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24,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2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433"/>
        </w:trPr>
        <w:tc>
          <w:tcPr>
            <w:tcW w:w="42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color w:val="auto"/>
                <w:w w:val="89"/>
              </w:rPr>
              <w:t>Trading Symbol(s)</w:t>
            </w:r>
          </w:p>
        </w:tc>
        <w:tc>
          <w:tcPr>
            <w:tcW w:w="48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4200" w:type="dxa"/>
            <w:vAlign w:val="bottom"/>
          </w:tcPr>
          <w:p>
            <w:pPr>
              <w:jc w:val="center"/>
              <w:ind w:right="152"/>
              <w:spacing w:after="0"/>
              <w:rPr>
                <w:sz w:val="20"/>
                <w:szCs w:val="20"/>
                <w:color w:val="auto"/>
              </w:rPr>
            </w:pPr>
            <w:r>
              <w:rPr>
                <w:rFonts w:ascii="Arial" w:cs="Arial" w:eastAsia="Arial" w:hAnsi="Arial"/>
                <w:sz w:val="18"/>
                <w:szCs w:val="18"/>
                <w:color w:val="auto"/>
                <w:w w:val="87"/>
              </w:rPr>
              <w:t>Common Stock, par value $0.001 per share</w:t>
            </w:r>
          </w:p>
        </w:tc>
        <w:tc>
          <w:tcPr>
            <w:tcW w:w="2200" w:type="dxa"/>
            <w:vAlign w:val="bottom"/>
          </w:tcPr>
          <w:p>
            <w:pPr>
              <w:jc w:val="center"/>
              <w:ind w:right="472"/>
              <w:spacing w:after="0"/>
              <w:rPr>
                <w:sz w:val="20"/>
                <w:szCs w:val="20"/>
                <w:color w:val="auto"/>
              </w:rPr>
            </w:pPr>
            <w:r>
              <w:rPr>
                <w:rFonts w:ascii="Arial" w:cs="Arial" w:eastAsia="Arial" w:hAnsi="Arial"/>
                <w:sz w:val="18"/>
                <w:szCs w:val="18"/>
                <w:color w:val="auto"/>
                <w:w w:val="95"/>
              </w:rPr>
              <w:t>VTGN</w:t>
            </w:r>
          </w:p>
        </w:tc>
        <w:tc>
          <w:tcPr>
            <w:tcW w:w="4840" w:type="dxa"/>
            <w:vAlign w:val="bottom"/>
          </w:tcPr>
          <w:p>
            <w:pPr>
              <w:jc w:val="center"/>
              <w:ind w:right="232"/>
              <w:spacing w:after="0"/>
              <w:rPr>
                <w:sz w:val="20"/>
                <w:szCs w:val="20"/>
                <w:color w:val="auto"/>
              </w:rPr>
            </w:pPr>
            <w:r>
              <w:rPr>
                <w:rFonts w:ascii="Arial" w:cs="Arial" w:eastAsia="Arial" w:hAnsi="Arial"/>
                <w:sz w:val="18"/>
                <w:szCs w:val="18"/>
                <w:color w:val="auto"/>
                <w:w w:val="89"/>
              </w:rPr>
              <w:t>Nasdaq Capital Market</w:t>
            </w:r>
          </w:p>
        </w:tc>
      </w:tr>
    </w:tbl>
    <w:p>
      <w:pPr>
        <w:spacing w:after="0" w:line="228"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March 24, 2020,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entered into a purchase agreement (the “</w:t>
      </w:r>
      <w:r>
        <w:rPr>
          <w:rFonts w:ascii="Arial" w:cs="Arial" w:eastAsia="Arial" w:hAnsi="Arial"/>
          <w:sz w:val="18"/>
          <w:szCs w:val="18"/>
          <w:i w:val="1"/>
          <w:iCs w:val="1"/>
          <w:color w:val="auto"/>
        </w:rPr>
        <w:t>Purchase Agreement</w:t>
      </w:r>
      <w:r>
        <w:rPr>
          <w:rFonts w:ascii="Arial" w:cs="Arial" w:eastAsia="Arial" w:hAnsi="Arial"/>
          <w:sz w:val="18"/>
          <w:szCs w:val="18"/>
          <w:color w:val="auto"/>
        </w:rPr>
        <w:t>”) and a registration rights agreement (the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with Lincoln Park Capital Fund, LLC (“</w:t>
      </w:r>
      <w:r>
        <w:rPr>
          <w:rFonts w:ascii="Arial" w:cs="Arial" w:eastAsia="Arial" w:hAnsi="Arial"/>
          <w:sz w:val="18"/>
          <w:szCs w:val="18"/>
          <w:i w:val="1"/>
          <w:iCs w:val="1"/>
          <w:color w:val="auto"/>
        </w:rPr>
        <w:t>LPC</w:t>
      </w:r>
      <w:r>
        <w:rPr>
          <w:rFonts w:ascii="Arial" w:cs="Arial" w:eastAsia="Arial" w:hAnsi="Arial"/>
          <w:sz w:val="18"/>
          <w:szCs w:val="18"/>
          <w:color w:val="auto"/>
        </w:rPr>
        <w:t>”) pursuant to which LPC committed to purchase up to $10,250,000 of the Company’s common stock, $0.001 par value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terms and subject to the conditions of the Purchase Agreement, the Company has the right, but not the obligation, to sell to LPC, and LPC is obligated to purchase up to $10,250,000 of shares of Common Stock. On March 24, 2020, the Company sold 500,000 shares of Common Stock to LPC under the Purchase Agreement at a price of $0.50 per share for proceeds of $250,000. Future sales of Common Stock by the Company under the Purchase Agreement, if any, will be subject to certain limitations, and may occur from time to time, at the Company’s sole discretion, over the 24-month period commencing on the date that a registration statement covering the resale of shares of Common Stock that have been and may be issued under the Purchase Agreement, which the Company agreed to file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pursuant to the Registration Rights Agreement, is declared effective by the SEC and a final prospectus in connection therewith is filed and the other conditions set forth in the Purchase Agreement are satisfied (such date on which all of such conditions are satisfied, the “</w:t>
      </w:r>
      <w:r>
        <w:rPr>
          <w:rFonts w:ascii="Arial" w:cs="Arial" w:eastAsia="Arial" w:hAnsi="Arial"/>
          <w:sz w:val="16"/>
          <w:szCs w:val="16"/>
          <w:i w:val="1"/>
          <w:iCs w:val="1"/>
          <w:color w:val="auto"/>
        </w:rPr>
        <w:t>Commencement Date</w:t>
      </w:r>
      <w:r>
        <w:rPr>
          <w:rFonts w:ascii="Arial" w:cs="Arial" w:eastAsia="Arial" w:hAnsi="Arial"/>
          <w:sz w:val="16"/>
          <w:szCs w:val="16"/>
          <w:color w:val="auto"/>
        </w:rPr>
        <w:t>”).</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After the Commencement Date, on any business day over the term of the Purchase Agreement, the Company has the right, in its sole discretion, to direct LPC to purchase up to 100,000 shares on such business day (the “</w:t>
      </w:r>
      <w:r>
        <w:rPr>
          <w:rFonts w:ascii="Arial" w:cs="Arial" w:eastAsia="Arial" w:hAnsi="Arial"/>
          <w:sz w:val="16"/>
          <w:szCs w:val="16"/>
          <w:i w:val="1"/>
          <w:iCs w:val="1"/>
          <w:color w:val="auto"/>
        </w:rPr>
        <w:t>Regular Purchase</w:t>
      </w:r>
      <w:r>
        <w:rPr>
          <w:rFonts w:ascii="Arial" w:cs="Arial" w:eastAsia="Arial" w:hAnsi="Arial"/>
          <w:sz w:val="16"/>
          <w:szCs w:val="16"/>
          <w:color w:val="auto"/>
        </w:rPr>
        <w:t xml:space="preserve">”), subject to increases under certain circumstances as provided in the Purchase Agreement. The purchase price per share for each such Regular Purchase will be based on prevailing market prices of the Company’s common stock immediately preceding the time of sale as computed under the Purchase Agreement. In each case, LPC’s maximum commitment in any single Regular Purchase may not exceed $1,000,000. In addition to Regular Purchases, provided that the Company presents LPC with a purchase notice for the full amount allowed for a Regular Purchase, the Company may also direct LPC to make </w:t>
      </w:r>
      <w:r>
        <w:rPr>
          <w:rFonts w:ascii="Arial" w:cs="Arial" w:eastAsia="Arial" w:hAnsi="Arial"/>
          <w:sz w:val="16"/>
          <w:szCs w:val="16"/>
          <w:color w:val="212529"/>
        </w:rPr>
        <w:t>accelerated purchases and additional accelerated purchases as described in the</w:t>
      </w:r>
      <w:r>
        <w:rPr>
          <w:rFonts w:ascii="Arial" w:cs="Arial" w:eastAsia="Arial" w:hAnsi="Arial"/>
          <w:sz w:val="16"/>
          <w:szCs w:val="16"/>
          <w:color w:val="auto"/>
        </w:rPr>
        <w:t xml:space="preserve"> </w:t>
      </w:r>
      <w:r>
        <w:rPr>
          <w:rFonts w:ascii="Arial" w:cs="Arial" w:eastAsia="Arial" w:hAnsi="Arial"/>
          <w:sz w:val="16"/>
          <w:szCs w:val="16"/>
          <w:color w:val="212529"/>
        </w:rPr>
        <w:t>Purchase Agreement</w:t>
      </w:r>
      <w:r>
        <w:rPr>
          <w:rFonts w:ascii="Arial" w:cs="Arial" w:eastAsia="Arial" w:hAnsi="Arial"/>
          <w:sz w:val="16"/>
          <w:szCs w:val="16"/>
          <w:color w:val="000000"/>
        </w:rPr>
        <w:t>.</w:t>
      </w:r>
    </w:p>
    <w:p>
      <w:pPr>
        <w:spacing w:after="0" w:line="1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applicable rules of the Nasdaq Capital Market, the aggregate number of shares that the Company can sell to LPC under the Purchase Agreement may in no case exceed 19.99% of the Company’s Common Stock outstanding immediately prior to the execution of the Purchase Agreement (which is 9,592,607 shares of Common Stock) (the “</w:t>
      </w:r>
      <w:r>
        <w:rPr>
          <w:rFonts w:ascii="Arial" w:cs="Arial" w:eastAsia="Arial" w:hAnsi="Arial"/>
          <w:sz w:val="18"/>
          <w:szCs w:val="18"/>
          <w:i w:val="1"/>
          <w:iCs w:val="1"/>
          <w:color w:val="auto"/>
        </w:rPr>
        <w:t>Exchange Cap</w:t>
      </w:r>
      <w:r>
        <w:rPr>
          <w:rFonts w:ascii="Arial" w:cs="Arial" w:eastAsia="Arial" w:hAnsi="Arial"/>
          <w:sz w:val="18"/>
          <w:szCs w:val="18"/>
          <w:color w:val="auto"/>
        </w:rPr>
        <w:t>”), unless (i) stockholder approval is obtained to issue more, in which case the Exchange Cap will not apply, or (ii) the average price of all applicable sales of the Company’s Common Stock to LPC under the Purchase Agreement equals or exceeds the closing price of our Common Stock on the Nasdaq Capital Market immediately preceding the signing of the Purchase Agreement, plus an incremental amount such that issuances and sales of our Common Stock to LPC under the Purchase Agreement would be exempt from the Exchange Cap limitation under applicable rules of the Nasdaq Capital Market.</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LPC has no right to require the Company to sell any shares of Common Stock to LPC, but LPC is obligated to make purchases as the Company directs, subject to certain conditions. In all instances, the Company may not sell shares of its Common Stock to LPC under the Purchase Agreement if it would result in LPC beneficially owning more than 9.99% of its Common Stock. There are no upper limits on the price per share that LPC must pay for shares of Common Stock.</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Purchase Agreement and the Registration Rights Agreement contain customary representations, warranties, agreements and conditions and indemnification obligations of the parties. The Company has the right to terminate the Purchase Agreement at any time, at no cost or penalty. The Company issued to LPC 750,000 shares of Common Stock, or approximately 2.7% of the value of the shares of Common Stock issuable under the Purchase Agreement, in consideration for entering into the Purchase Agreement.</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foregoing descriptions of the Purchase Agreement and the Registration Rights Agreement are qualified in their entirety by reference to the full text of such agreements, copies of which are attached hereto as Exhibit 10.1 and 10.2, respectively, and each of which is incorporated herein in its entirety by reference.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disclosures in Item 1.01 of this Current Report on Form 8-K regarding the issuance of shares of Common Stock to LPC on the Execution Date of the Purchase Agreement. The Company expects to use the proceeds from the initial sale of shares of Common Stock to LPC for working capital and general corporate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19"/>
                <w:szCs w:val="19"/>
                <w:color w:val="auto"/>
              </w:rPr>
            </w:pPr>
          </w:p>
        </w:tc>
        <w:tc>
          <w:tcPr>
            <w:tcW w:w="9880" w:type="dxa"/>
            <w:vAlign w:val="bottom"/>
          </w:tcPr>
          <w:p>
            <w:pPr>
              <w:spacing w:after="0"/>
              <w:rPr>
                <w:sz w:val="19"/>
                <w:szCs w:val="19"/>
                <w:color w:val="auto"/>
              </w:rPr>
            </w:pPr>
          </w:p>
        </w:tc>
      </w:tr>
      <w:tr>
        <w:trPr>
          <w:trHeight w:val="42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229"/>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9"/>
                <w:szCs w:val="19"/>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96"/>
        </w:trPr>
        <w:tc>
          <w:tcPr>
            <w:tcW w:w="3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Purchase Agreement, by and between VistaGen Therapeutics, Inc. and Lincoln Park Capital Fund, LLC, dated March 24, 2020</w:t>
            </w:r>
          </w:p>
        </w:tc>
      </w:tr>
      <w:tr>
        <w:trPr>
          <w:trHeight w:val="175"/>
        </w:trPr>
        <w:tc>
          <w:tcPr>
            <w:tcW w:w="1140" w:type="dxa"/>
            <w:vAlign w:val="bottom"/>
            <w:gridSpan w:val="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1"/>
              </w:rPr>
              <w:t>Registration Rights Agreement by and between VistaGen Therapeutics, Inc. and Lincoln Park Capital Fund, LLC, dated March 24, 2020</w:t>
            </w:r>
          </w:p>
        </w:tc>
      </w:tr>
      <w:tr>
        <w:trPr>
          <w:trHeight w:val="21"/>
        </w:trPr>
        <w:tc>
          <w:tcPr>
            <w:tcW w:w="3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on March 25, 2020</w:t>
            </w:r>
          </w:p>
        </w:tc>
      </w:tr>
      <w:tr>
        <w:trPr>
          <w:trHeight w:val="173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8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3" w:name="page4"/>
    <w:bookmarkEnd w:id="3"/>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13" w:lineRule="exact"/>
        <w:rPr>
          <w:sz w:val="20"/>
          <w:szCs w:val="20"/>
          <w:color w:val="auto"/>
        </w:rPr>
      </w:pPr>
    </w:p>
    <w:p>
      <w:pPr>
        <w:jc w:val="both"/>
        <w:ind w:right="20" w:firstLine="648"/>
        <w:spacing w:after="0" w:line="339" w:lineRule="auto"/>
        <w:rPr>
          <w:sz w:val="20"/>
          <w:szCs w:val="20"/>
          <w:color w:val="auto"/>
        </w:rPr>
      </w:pPr>
      <w:r>
        <w:rPr>
          <w:rFonts w:ascii="Arial" w:cs="Arial" w:eastAsia="Arial" w:hAnsi="Arial"/>
          <w:sz w:val="16"/>
          <w:szCs w:val="16"/>
          <w:b w:val="1"/>
          <w:bCs w:val="1"/>
          <w:color w:val="auto"/>
        </w:rPr>
        <w:t xml:space="preserve">THIS PURCHASE AGREEMENT </w:t>
      </w:r>
      <w:r>
        <w:rPr>
          <w:rFonts w:ascii="Arial" w:cs="Arial" w:eastAsia="Arial" w:hAnsi="Arial"/>
          <w:sz w:val="16"/>
          <w:szCs w:val="16"/>
          <w:color w:val="auto"/>
        </w:rPr>
        <w:t>(this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March 24, 2020, by and between</w:t>
      </w:r>
      <w:r>
        <w:rPr>
          <w:rFonts w:ascii="Arial" w:cs="Arial" w:eastAsia="Arial" w:hAnsi="Arial"/>
          <w:sz w:val="16"/>
          <w:szCs w:val="16"/>
          <w:b w:val="1"/>
          <w:bCs w:val="1"/>
          <w:color w:val="auto"/>
        </w:rPr>
        <w:t xml:space="preserve"> VISTAGEN THERAPEUTICS, INC.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w:t>
      </w:r>
      <w:r>
        <w:rPr>
          <w:rFonts w:ascii="Arial" w:cs="Arial" w:eastAsia="Arial" w:hAnsi="Arial"/>
          <w:sz w:val="16"/>
          <w:szCs w:val="16"/>
          <w:b w:val="1"/>
          <w:bCs w:val="1"/>
          <w:color w:val="auto"/>
        </w:rPr>
        <w:t>LINCOLN PARK CAPITAL FUND, LLC</w:t>
      </w:r>
      <w:r>
        <w:rPr>
          <w:rFonts w:ascii="Arial" w:cs="Arial" w:eastAsia="Arial" w:hAnsi="Arial"/>
          <w:sz w:val="16"/>
          <w:szCs w:val="16"/>
          <w:color w:val="auto"/>
        </w:rPr>
        <w:t>, an Illinois limited liability company (the “</w:t>
      </w:r>
      <w:r>
        <w:rPr>
          <w:rFonts w:ascii="Arial" w:cs="Arial" w:eastAsia="Arial" w:hAnsi="Arial"/>
          <w:sz w:val="16"/>
          <w:szCs w:val="16"/>
          <w:u w:val="single" w:color="auto"/>
          <w:color w:val="auto"/>
        </w:rPr>
        <w:t>Investor</w:t>
      </w:r>
      <w:r>
        <w:rPr>
          <w:rFonts w:ascii="Arial" w:cs="Arial" w:eastAsia="Arial" w:hAnsi="Arial"/>
          <w:sz w:val="16"/>
          <w:szCs w:val="16"/>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16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Subject to the terms and conditions set forth in this Agreement, the Company wishes to sell to the Investor, and the Investor wishes to buy from the Company, up to Ten Million Two Hundred Fifty Thousand Dollars ($10,250,000) of the Company's common stock, $0.001 par value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The shares of Common Stock to be purchased hereunder are referred to herein as the “</w:t>
      </w:r>
      <w:r>
        <w:rPr>
          <w:rFonts w:ascii="Arial" w:cs="Arial" w:eastAsia="Arial" w:hAnsi="Arial"/>
          <w:sz w:val="16"/>
          <w:szCs w:val="16"/>
          <w:u w:val="single" w:color="auto"/>
          <w:color w:val="auto"/>
        </w:rPr>
        <w:t>Purchase Shares</w:t>
      </w:r>
      <w:r>
        <w:rPr>
          <w:rFonts w:ascii="Arial" w:cs="Arial" w:eastAsia="Arial" w:hAnsi="Arial"/>
          <w:sz w:val="16"/>
          <w:szCs w:val="16"/>
          <w:color w:val="auto"/>
        </w:rPr>
        <w:t>.”</w:t>
      </w:r>
    </w:p>
    <w:p>
      <w:pPr>
        <w:spacing w:after="0" w:line="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12" w:lineRule="exact"/>
        <w:rPr>
          <w:sz w:val="20"/>
          <w:szCs w:val="20"/>
          <w:color w:val="auto"/>
        </w:rPr>
      </w:pPr>
    </w:p>
    <w:p>
      <w:pPr>
        <w:ind w:left="1280" w:hanging="624"/>
        <w:spacing w:after="0"/>
        <w:tabs>
          <w:tab w:leader="none" w:pos="1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5" w:lineRule="exact"/>
        <w:rPr>
          <w:sz w:val="20"/>
          <w:szCs w:val="20"/>
          <w:color w:val="auto"/>
        </w:rPr>
      </w:pPr>
    </w:p>
    <w:p>
      <w:pPr>
        <w:jc w:val="both"/>
        <w:ind w:firstLine="656"/>
        <w:spacing w:after="0" w:line="259" w:lineRule="auto"/>
        <w:tabs>
          <w:tab w:leader="none" w:pos="1487"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Accelerated Purchase Date</w:t>
      </w:r>
      <w:r>
        <w:rPr>
          <w:rFonts w:ascii="Arial" w:cs="Arial" w:eastAsia="Arial" w:hAnsi="Arial"/>
          <w:sz w:val="18"/>
          <w:szCs w:val="18"/>
          <w:color w:val="auto"/>
        </w:rPr>
        <w:t xml:space="preserve">” means, with respect to any Accelerated Purchase made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Business Day immediately following the applicable Purchase Date with respect to the corresponding Regular Purchase referred to in clause (i) of the second sentence of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w:t>
      </w:r>
    </w:p>
    <w:p>
      <w:pPr>
        <w:spacing w:after="0" w:line="193" w:lineRule="exact"/>
        <w:rPr>
          <w:rFonts w:ascii="Arial" w:cs="Arial" w:eastAsia="Arial" w:hAnsi="Arial"/>
          <w:sz w:val="18"/>
          <w:szCs w:val="18"/>
          <w:color w:val="auto"/>
        </w:rPr>
      </w:pPr>
    </w:p>
    <w:p>
      <w:pPr>
        <w:ind w:firstLine="656"/>
        <w:spacing w:after="0" w:line="268" w:lineRule="auto"/>
        <w:tabs>
          <w:tab w:leader="none" w:pos="1389"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Accelerated Purchase Minimum Price Threshold</w:t>
      </w:r>
      <w:r>
        <w:rPr>
          <w:rFonts w:ascii="Arial" w:cs="Arial" w:eastAsia="Arial" w:hAnsi="Arial"/>
          <w:sz w:val="18"/>
          <w:szCs w:val="18"/>
          <w:color w:val="auto"/>
        </w:rPr>
        <w:t xml:space="preserve">” means, with respect to any Accelerated Purchase made pursuant to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any minimum per share price threshold set forth in the applicable Accelerated Purchase Notice.</w:t>
      </w:r>
    </w:p>
    <w:p>
      <w:pPr>
        <w:spacing w:after="0" w:line="185" w:lineRule="exact"/>
        <w:rPr>
          <w:rFonts w:ascii="Arial" w:cs="Arial" w:eastAsia="Arial" w:hAnsi="Arial"/>
          <w:sz w:val="18"/>
          <w:szCs w:val="18"/>
          <w:color w:val="auto"/>
        </w:rPr>
      </w:pPr>
    </w:p>
    <w:p>
      <w:pPr>
        <w:jc w:val="both"/>
        <w:ind w:firstLine="656"/>
        <w:spacing w:after="0" w:line="298" w:lineRule="auto"/>
        <w:tabs>
          <w:tab w:leader="none" w:pos="1528"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Accelerated Purchase Notice</w:t>
      </w:r>
      <w:r>
        <w:rPr>
          <w:rFonts w:ascii="Arial" w:cs="Arial" w:eastAsia="Arial" w:hAnsi="Arial"/>
          <w:sz w:val="16"/>
          <w:szCs w:val="16"/>
          <w:color w:val="auto"/>
        </w:rPr>
        <w:t xml:space="preserve">” means, with respect to any Accelerated Purchase made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an irrevocable written notice from the Company to the Investor directing the Investor to buy a specified Accelerated Purchase Share Amount on the applicable Accelerated Purchase Date pursuant to </w:t>
      </w:r>
      <w:r>
        <w:rPr>
          <w:rFonts w:ascii="Arial" w:cs="Arial" w:eastAsia="Arial" w:hAnsi="Arial"/>
          <w:sz w:val="16"/>
          <w:szCs w:val="16"/>
          <w:u w:val="single" w:color="auto"/>
          <w:color w:val="auto"/>
        </w:rPr>
        <w:t>Section 2</w:t>
      </w:r>
      <w:r>
        <w:rPr>
          <w:rFonts w:ascii="Arial" w:cs="Arial" w:eastAsia="Arial" w:hAnsi="Arial"/>
          <w:sz w:val="16"/>
          <w:szCs w:val="16"/>
          <w:u w:val="single" w:color="auto"/>
          <w:color w:val="0000EE"/>
        </w:rPr>
        <w:t>(c)</w:t>
      </w:r>
      <w:r>
        <w:rPr>
          <w:rFonts w:ascii="Arial" w:cs="Arial" w:eastAsia="Arial" w:hAnsi="Arial"/>
          <w:sz w:val="16"/>
          <w:szCs w:val="16"/>
          <w:color w:val="auto"/>
        </w:rPr>
        <w:t xml:space="preserve"> hereof at the applicable Accelerated Purchase Price on the Accelerated Purchase Date for such Accelerated Purchase in accordance with this Agreement , and specifying any Accelerated Purchase Minimum Price Threshold determined by the Company.</w:t>
      </w:r>
    </w:p>
    <w:p>
      <w:pPr>
        <w:spacing w:after="0" w:line="166" w:lineRule="exact"/>
        <w:rPr>
          <w:rFonts w:ascii="Arial" w:cs="Arial" w:eastAsia="Arial" w:hAnsi="Arial"/>
          <w:sz w:val="16"/>
          <w:szCs w:val="16"/>
          <w:color w:val="auto"/>
        </w:rPr>
      </w:pPr>
    </w:p>
    <w:p>
      <w:pPr>
        <w:ind w:left="1360" w:hanging="704"/>
        <w:spacing w:after="0"/>
        <w:tabs>
          <w:tab w:leader="none" w:pos="1360" w:val="left"/>
        </w:tabs>
        <w:numPr>
          <w:ilvl w:val="1"/>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Accelerated Purchase Price</w:t>
      </w:r>
      <w:r>
        <w:rPr>
          <w:rFonts w:ascii="Arial" w:cs="Arial" w:eastAsia="Arial" w:hAnsi="Arial"/>
          <w:sz w:val="15"/>
          <w:szCs w:val="15"/>
          <w:color w:val="auto"/>
        </w:rPr>
        <w:t xml:space="preserve">” means, with respect to any particular Accelerated Purchase made pursuant to </w:t>
      </w:r>
      <w:r>
        <w:rPr>
          <w:rFonts w:ascii="Arial" w:cs="Arial" w:eastAsia="Arial" w:hAnsi="Arial"/>
          <w:sz w:val="15"/>
          <w:szCs w:val="15"/>
          <w:u w:val="single" w:color="auto"/>
          <w:color w:val="auto"/>
        </w:rPr>
        <w:t>Section 2(c)</w:t>
      </w:r>
      <w:r>
        <w:rPr>
          <w:rFonts w:ascii="Arial" w:cs="Arial" w:eastAsia="Arial" w:hAnsi="Arial"/>
          <w:sz w:val="15"/>
          <w:szCs w:val="15"/>
          <w:color w:val="auto"/>
        </w:rPr>
        <w:t xml:space="preserve"> hereof, the lower of</w:t>
      </w:r>
    </w:p>
    <w:p>
      <w:pPr>
        <w:spacing w:after="0" w:line="49" w:lineRule="exact"/>
        <w:rPr>
          <w:rFonts w:ascii="Arial" w:cs="Arial" w:eastAsia="Arial" w:hAnsi="Arial"/>
          <w:sz w:val="15"/>
          <w:szCs w:val="15"/>
          <w:color w:val="auto"/>
        </w:rPr>
      </w:pPr>
    </w:p>
    <w:p>
      <w:pPr>
        <w:jc w:val="both"/>
        <w:ind w:firstLine="8"/>
        <w:spacing w:after="0" w:line="286" w:lineRule="auto"/>
        <w:tabs>
          <w:tab w:leader="none" w:pos="217" w:val="left"/>
        </w:tabs>
        <w:numPr>
          <w:ilvl w:val="0"/>
          <w:numId w:val="4"/>
        </w:numPr>
        <w:rPr>
          <w:rFonts w:ascii="Arial" w:cs="Arial" w:eastAsia="Arial" w:hAnsi="Arial"/>
          <w:sz w:val="16"/>
          <w:szCs w:val="16"/>
          <w:color w:val="auto"/>
        </w:rPr>
      </w:pPr>
      <w:r>
        <w:rPr>
          <w:rFonts w:ascii="Arial" w:cs="Arial" w:eastAsia="Arial" w:hAnsi="Arial"/>
          <w:sz w:val="16"/>
          <w:szCs w:val="16"/>
          <w:color w:val="auto"/>
        </w:rPr>
        <w:t>ninety-five percent (95%) of the VWAP for the period beginning at 9:30:01 a.m., Eastern time, on the applicable Accelerated Purchase Date, or such other time publicly announced by the Principal Market as the official open (or commencement) of trading on the Principal Market on such applicable Accelerated Purchase Date (the “</w:t>
      </w:r>
      <w:r>
        <w:rPr>
          <w:rFonts w:ascii="Arial" w:cs="Arial" w:eastAsia="Arial" w:hAnsi="Arial"/>
          <w:sz w:val="16"/>
          <w:szCs w:val="16"/>
          <w:u w:val="single" w:color="auto"/>
          <w:color w:val="auto"/>
        </w:rPr>
        <w:t>Accelerated Purchase Commencement Time</w:t>
      </w:r>
      <w:r>
        <w:rPr>
          <w:rFonts w:ascii="Arial" w:cs="Arial" w:eastAsia="Arial" w:hAnsi="Arial"/>
          <w:sz w:val="16"/>
          <w:szCs w:val="16"/>
          <w:color w:val="auto"/>
        </w:rPr>
        <w:t>”), and ending at the earliest of (A) 4:00:00 p.m., Eastern time, on such applicable Accelerated Purchase Date, or such other time publicly announced by the Principal Market as the official close of trading on the Principal Market on such applicable Accelerated Purchase Date, (B) such time, from and after the Accelerated Purchase Commencement Time for such Accelerated Purchase, that the total number (or volume) of shares of Common Stock traded on the Principal Market has exceeded the applicable Accelerated Purchase Share Volume Maximum, and (C) such time, from and after the Accelerated Purchase Commencement Time for such Accelerated Purchase, that the Sale Price has fallen below the applicable Accelerated Purchase Minimum Price Threshold (such earliest of (i)(A), (i)(B) and (i)(C) above, the “</w:t>
      </w:r>
      <w:r>
        <w:rPr>
          <w:rFonts w:ascii="Arial" w:cs="Arial" w:eastAsia="Arial" w:hAnsi="Arial"/>
          <w:sz w:val="16"/>
          <w:szCs w:val="16"/>
          <w:u w:val="single" w:color="auto"/>
          <w:color w:val="auto"/>
        </w:rPr>
        <w:t>Accelerated Purchase Termination Time</w:t>
      </w:r>
      <w:r>
        <w:rPr>
          <w:rFonts w:ascii="Arial" w:cs="Arial" w:eastAsia="Arial" w:hAnsi="Arial"/>
          <w:sz w:val="16"/>
          <w:szCs w:val="16"/>
          <w:color w:val="auto"/>
        </w:rPr>
        <w:t>”), and (ii) the Closing Sale Price of the Common Stock on such applicable Accelerated Purchase Date (each to be appropriately adjusted for any reorganization, recapitalization, non-cash dividend, stock split, reverse stock split or other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right="20" w:firstLine="656"/>
        <w:spacing w:after="0" w:line="288" w:lineRule="auto"/>
        <w:tabs>
          <w:tab w:leader="none" w:pos="1238"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Accelerated Purchase Share Amount</w:t>
      </w:r>
      <w:r>
        <w:rPr>
          <w:rFonts w:ascii="Arial" w:cs="Arial" w:eastAsia="Arial" w:hAnsi="Arial"/>
          <w:sz w:val="16"/>
          <w:szCs w:val="16"/>
          <w:color w:val="auto"/>
        </w:rPr>
        <w:t xml:space="preserve">” means, with respect to an Accelerated Purchase made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the number of Purchase Shares directed by the Company to be purchased by the Investor in an Accelerated Purchase Notice, which number of Purchase Shares shall not exceed the lesser of (i) 300% of the number of Purchase Shares directed by the Company to be purchased by the Investor pursuant to the corresponding Regular Purchase Notice for the corresponding Regular Purchase referred to in clause (i) of the second sentence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(subject to the Purchase Share limitations contained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and (ii) an amount equal to (A) the Accelerated Purchase Share Percentage multiplied by (B) the total number (or volume) of shares of Common Stock traded on the Principal Market during the period on the applicable Accelerated Purchase Date beginning at the Accelerated Purchase Commencement Time for such Accelerated Purchase and ending at the Accelerated Purchase Termination Time for such Accelerated Purchase.</w:t>
      </w:r>
    </w:p>
    <w:p>
      <w:pPr>
        <w:spacing w:after="0" w:line="177" w:lineRule="exact"/>
        <w:rPr>
          <w:rFonts w:ascii="Arial" w:cs="Arial" w:eastAsia="Arial" w:hAnsi="Arial"/>
          <w:sz w:val="16"/>
          <w:szCs w:val="16"/>
          <w:color w:val="auto"/>
        </w:rPr>
      </w:pPr>
    </w:p>
    <w:p>
      <w:pPr>
        <w:ind w:left="1480" w:hanging="824"/>
        <w:spacing w:after="0"/>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Accelerated Purchase Share Percentage</w:t>
      </w:r>
      <w:r>
        <w:rPr>
          <w:rFonts w:ascii="Arial" w:cs="Arial" w:eastAsia="Arial" w:hAnsi="Arial"/>
          <w:sz w:val="16"/>
          <w:szCs w:val="16"/>
          <w:color w:val="auto"/>
        </w:rPr>
        <w:t xml:space="preserve">” means, with respect to any Accelerated Purchase made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thirty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percent (30%).</w:t>
      </w:r>
    </w:p>
    <w:p>
      <w:pPr>
        <w:spacing w:after="0" w:line="218" w:lineRule="exact"/>
        <w:rPr>
          <w:rFonts w:ascii="Arial" w:cs="Arial" w:eastAsia="Arial" w:hAnsi="Arial"/>
          <w:sz w:val="16"/>
          <w:szCs w:val="16"/>
          <w:color w:val="auto"/>
        </w:rPr>
      </w:pPr>
    </w:p>
    <w:p>
      <w:pPr>
        <w:jc w:val="both"/>
        <w:ind w:firstLine="656"/>
        <w:spacing w:after="0" w:line="298" w:lineRule="auto"/>
        <w:tabs>
          <w:tab w:leader="none" w:pos="1416"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Accelerated Purchase Share Volume Maximum</w:t>
      </w:r>
      <w:r>
        <w:rPr>
          <w:rFonts w:ascii="Arial" w:cs="Arial" w:eastAsia="Arial" w:hAnsi="Arial"/>
          <w:sz w:val="16"/>
          <w:szCs w:val="16"/>
          <w:color w:val="auto"/>
        </w:rPr>
        <w:t xml:space="preserve">” means, with respect to an Accelerated Purchase made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a number of shares of Common Stock equal to (i) the applicable Accelerated Purchase Share Amount to be purchased by the Investor pursuant to the applicable Accelerated Purchase Notice for such Accelerated Purchase, divided by (ii) the Accelerated Purchase Share Percentage (to be appropriately adjusted for any reorganization, recapitalization, non-cash dividend, stock split, reverse stock split or other similar transaction).</w:t>
      </w:r>
    </w:p>
    <w:p>
      <w:pPr>
        <w:spacing w:after="0" w:line="166" w:lineRule="exact"/>
        <w:rPr>
          <w:rFonts w:ascii="Arial" w:cs="Arial" w:eastAsia="Arial" w:hAnsi="Arial"/>
          <w:sz w:val="16"/>
          <w:szCs w:val="16"/>
          <w:color w:val="auto"/>
        </w:rPr>
      </w:pPr>
    </w:p>
    <w:p>
      <w:pPr>
        <w:jc w:val="both"/>
        <w:ind w:firstLine="656"/>
        <w:spacing w:after="0" w:line="256" w:lineRule="auto"/>
        <w:tabs>
          <w:tab w:leader="none" w:pos="1403"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Accelerated Purchase Date</w:t>
      </w:r>
      <w:r>
        <w:rPr>
          <w:rFonts w:ascii="Arial" w:cs="Arial" w:eastAsia="Arial" w:hAnsi="Arial"/>
          <w:sz w:val="18"/>
          <w:szCs w:val="18"/>
          <w:color w:val="auto"/>
        </w:rPr>
        <w:t xml:space="preserve">” means, with respect to an Additional Accelerated Purchase made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hereof, the Business Day (i) that is the Accelerated Purchase Date with respect to the corresponding Accelerated Purchase referred to in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hereof and (ii) on which the Investor receives, prior to 1:00 p.m., Eastern time, on such Business Day, a valid Additional Accelerated Purchase Notice for such Additional Accelerated Purchase in accordance with this Agreement.</w:t>
      </w:r>
    </w:p>
    <w:p>
      <w:pPr>
        <w:spacing w:after="0" w:line="196" w:lineRule="exact"/>
        <w:rPr>
          <w:rFonts w:ascii="Arial" w:cs="Arial" w:eastAsia="Arial" w:hAnsi="Arial"/>
          <w:sz w:val="18"/>
          <w:szCs w:val="18"/>
          <w:color w:val="auto"/>
        </w:rPr>
      </w:pPr>
    </w:p>
    <w:p>
      <w:pPr>
        <w:ind w:right="20" w:firstLine="656"/>
        <w:spacing w:after="0" w:line="331" w:lineRule="auto"/>
        <w:tabs>
          <w:tab w:leader="none" w:pos="1350"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Accelerated Purchase Minimum Price Threshold</w:t>
      </w:r>
      <w:r>
        <w:rPr>
          <w:rFonts w:ascii="Arial" w:cs="Arial" w:eastAsia="Arial" w:hAnsi="Arial"/>
          <w:sz w:val="16"/>
          <w:szCs w:val="16"/>
          <w:color w:val="auto"/>
        </w:rPr>
        <w:t xml:space="preserve">” means, with respect to an Additional Accelerated Purchase made pursuant to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any minimum per share price threshold set forth in the applicable Additional Accelerated Purchase Notice.</w:t>
      </w:r>
    </w:p>
    <w:p>
      <w:pPr>
        <w:spacing w:after="0" w:line="140" w:lineRule="exact"/>
        <w:rPr>
          <w:rFonts w:ascii="Arial" w:cs="Arial" w:eastAsia="Arial" w:hAnsi="Arial"/>
          <w:sz w:val="16"/>
          <w:szCs w:val="16"/>
          <w:color w:val="auto"/>
        </w:rPr>
      </w:pPr>
    </w:p>
    <w:p>
      <w:pPr>
        <w:jc w:val="both"/>
        <w:ind w:firstLine="656"/>
        <w:spacing w:after="0" w:line="298" w:lineRule="auto"/>
        <w:tabs>
          <w:tab w:leader="none" w:pos="1323"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Accelerated Purchase Notice</w:t>
      </w:r>
      <w:r>
        <w:rPr>
          <w:rFonts w:ascii="Arial" w:cs="Arial" w:eastAsia="Arial" w:hAnsi="Arial"/>
          <w:sz w:val="16"/>
          <w:szCs w:val="16"/>
          <w:color w:val="auto"/>
        </w:rPr>
        <w:t xml:space="preserve">” means, with respect to an Additional Accelerated Purchase made pursuant to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an irrevocable written notice from the Company to the Investor directing the Investor to purchase the applicable Additional Accelerated Purchase Share Amount at the Additional Accelerated Purchase Price for such Additional Accelerated Purchase in accordance with this Agreement, and specifying any Additional Accelerated Purchase Minimum Price Threshold determined by the Company.</w:t>
      </w:r>
    </w:p>
    <w:p>
      <w:pPr>
        <w:spacing w:after="0" w:line="166" w:lineRule="exact"/>
        <w:rPr>
          <w:rFonts w:ascii="Arial" w:cs="Arial" w:eastAsia="Arial" w:hAnsi="Arial"/>
          <w:sz w:val="16"/>
          <w:szCs w:val="16"/>
          <w:color w:val="auto"/>
        </w:rPr>
      </w:pPr>
    </w:p>
    <w:p>
      <w:pPr>
        <w:jc w:val="both"/>
        <w:ind w:firstLine="656"/>
        <w:spacing w:after="0" w:line="301" w:lineRule="auto"/>
        <w:tabs>
          <w:tab w:leader="none" w:pos="1389" w:val="left"/>
        </w:tabs>
        <w:numPr>
          <w:ilvl w:val="1"/>
          <w:numId w:val="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Accelerated Purchase Price</w:t>
      </w:r>
      <w:r>
        <w:rPr>
          <w:rFonts w:ascii="Arial" w:cs="Arial" w:eastAsia="Arial" w:hAnsi="Arial"/>
          <w:sz w:val="15"/>
          <w:szCs w:val="15"/>
          <w:color w:val="auto"/>
        </w:rPr>
        <w:t xml:space="preserve">” means, with respect to an Additional Accelerated Purchase made pursuant to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hereof, the lower of (i) ninety-five percent (95%) of the VWAP for the period on the applicable Additional Accelerated Purchase Date, beginning at the latest of (A) the applicable Accelerated Purchase Termination Time with respect to the corresponding Accelerated Purchase referred to in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hereof on such Additional Accelerated Purchase Date, (B) the applicable Additional Accelerated Purchase Termination Time with respect to the most recently completed prior Additional Accelerated Purchase on such Additional Accelerated Purchase Date, as applicable, and (C) the time at which all Purchase Shares subject to all prior Accelerated Purchases and Additional Accelerated Purchases (as applicable), including, without limitation, those that have been effected on the same Business Day as the applicable Additional Accelerated Purchase Date with respect to which the applicable Additional Accelerated Purchase relates, have theretofore been received by the Investor as DWAC Shares in accordance with this Agreement (such latest of (i)(A), (i)(B) and (i)(C) above, the “</w:t>
      </w:r>
      <w:r>
        <w:rPr>
          <w:rFonts w:ascii="Arial" w:cs="Arial" w:eastAsia="Arial" w:hAnsi="Arial"/>
          <w:sz w:val="15"/>
          <w:szCs w:val="15"/>
          <w:u w:val="single" w:color="auto"/>
          <w:color w:val="auto"/>
        </w:rPr>
        <w:t>Additional</w:t>
      </w:r>
      <w:r>
        <w:rPr>
          <w:rFonts w:ascii="Arial" w:cs="Arial" w:eastAsia="Arial" w:hAnsi="Arial"/>
          <w:sz w:val="15"/>
          <w:szCs w:val="15"/>
          <w:color w:val="auto"/>
        </w:rPr>
        <w:t xml:space="preserve"> </w:t>
      </w:r>
      <w:r>
        <w:rPr>
          <w:rFonts w:ascii="Arial" w:cs="Arial" w:eastAsia="Arial" w:hAnsi="Arial"/>
          <w:sz w:val="15"/>
          <w:szCs w:val="15"/>
          <w:u w:val="single" w:color="auto"/>
          <w:color w:val="auto"/>
        </w:rPr>
        <w:t>Accelerated Purchase Commencement Time</w:t>
      </w:r>
      <w:r>
        <w:rPr>
          <w:rFonts w:ascii="Arial" w:cs="Arial" w:eastAsia="Arial" w:hAnsi="Arial"/>
          <w:sz w:val="15"/>
          <w:szCs w:val="15"/>
          <w:color w:val="auto"/>
        </w:rPr>
        <w:t>”), and ending at the earliest of (X) 4:00 p.m., Eastern time, on such Additional Accelerated Purchase Date, or such other time publicly announced by the Principal Market as the official close of trading on the Principal Market on such Additional Accelerated Purchase Date,</w:t>
      </w:r>
    </w:p>
    <w:p>
      <w:pPr>
        <w:spacing w:after="0" w:line="3" w:lineRule="exact"/>
        <w:rPr>
          <w:rFonts w:ascii="Arial" w:cs="Arial" w:eastAsia="Arial" w:hAnsi="Arial"/>
          <w:sz w:val="15"/>
          <w:szCs w:val="15"/>
          <w:color w:val="auto"/>
        </w:rPr>
      </w:pPr>
    </w:p>
    <w:p>
      <w:pPr>
        <w:jc w:val="both"/>
        <w:ind w:firstLine="8"/>
        <w:spacing w:after="0" w:line="290" w:lineRule="auto"/>
        <w:tabs>
          <w:tab w:leader="none" w:pos="297"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such time, from and after the Additional Accelerated Purchase Commencement Time for such Additional Accelerated Purchase, that the total number (or volume) of shares of Common Stock traded on the Principal Market has exceeded the applicable Additional Accelerated Purchase Share Volume Maximum, and (Z) such time, from and after the Additional Accelerated Purchase Commencement Time for such Additional Accelerated Purchase, that the Sale Price has fallen below the applicable Additional Accelerated Purchase Minimum Price Threshold (if any) (such earliest of (i)(X), (i)(Y) and (i)(Z) above,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Accelerated Purchase Termination Time</w:t>
      </w:r>
      <w:r>
        <w:rPr>
          <w:rFonts w:ascii="Arial" w:cs="Arial" w:eastAsia="Arial" w:hAnsi="Arial"/>
          <w:sz w:val="16"/>
          <w:szCs w:val="16"/>
          <w:color w:val="auto"/>
        </w:rPr>
        <w:t>”), and (ii) the Closing Sale Price of the Common Stock on such Additional Accelerated Purchase Date (each to be appropriately adjusted for any reorganization, recapitalization, non-cash dividend, stock split, reverse stock split or other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ind w:right="120" w:firstLine="656"/>
        <w:spacing w:after="0" w:line="288" w:lineRule="auto"/>
        <w:tabs>
          <w:tab w:leader="none" w:pos="1384"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Accelerated Purchase Share Amount</w:t>
      </w:r>
      <w:r>
        <w:rPr>
          <w:rFonts w:ascii="Arial" w:cs="Arial" w:eastAsia="Arial" w:hAnsi="Arial"/>
          <w:sz w:val="16"/>
          <w:szCs w:val="16"/>
          <w:color w:val="auto"/>
        </w:rPr>
        <w:t xml:space="preserve">” means, with respect to an Additional Accelerated Purchase made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2(d)</w:t>
      </w:r>
      <w:r>
        <w:rPr>
          <w:rFonts w:ascii="Arial" w:cs="Arial" w:eastAsia="Arial" w:hAnsi="Arial"/>
          <w:sz w:val="16"/>
          <w:szCs w:val="16"/>
          <w:color w:val="auto"/>
        </w:rPr>
        <w:t xml:space="preserve"> hereof, the number of Purchase Shares directed by the Company to be purchased by the Investor on an Additional Accelerated Purchase Notice, which number of Purchase Shares shall not exceed the lesser of (i) 300% of the number of Purchase Shares directed by the Company to be purchased by the Investor pursuant to the corresponding Regular Purchase Notice for the corresponding Regular Purchase referred to in clause (i) of the second sentence of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(subject to the Purchase Share limitations contained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and (ii) an amount equal to (A) the Additional Accelerated Purchase Share Percentage multiplied by (B) the total number (or volume) of shares of Common Stock traded on the Principal Market during the period on the applicable Additional Accelerated Purchase Date beginning at the Additional Accelerated Purchase Commencement Time for such Additional Accelerated Purchase and ending at the Additional Accelerated Purchase Termination Time for such Additional Accelerated Purchase.</w:t>
      </w:r>
    </w:p>
    <w:p>
      <w:pPr>
        <w:spacing w:after="0" w:line="177" w:lineRule="exact"/>
        <w:rPr>
          <w:rFonts w:ascii="Arial" w:cs="Arial" w:eastAsia="Arial" w:hAnsi="Arial"/>
          <w:sz w:val="16"/>
          <w:szCs w:val="16"/>
          <w:color w:val="auto"/>
        </w:rPr>
      </w:pPr>
    </w:p>
    <w:p>
      <w:pPr>
        <w:ind w:firstLine="656"/>
        <w:spacing w:after="0" w:line="268" w:lineRule="auto"/>
        <w:tabs>
          <w:tab w:leader="none" w:pos="1438"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Accelerated Purchase Share Percentage</w:t>
      </w:r>
      <w:r>
        <w:rPr>
          <w:rFonts w:ascii="Arial" w:cs="Arial" w:eastAsia="Arial" w:hAnsi="Arial"/>
          <w:sz w:val="18"/>
          <w:szCs w:val="18"/>
          <w:color w:val="auto"/>
        </w:rPr>
        <w:t xml:space="preserve">” means, with respect to an Additional Accelerated Purchase made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2(d)</w:t>
      </w:r>
      <w:r>
        <w:rPr>
          <w:rFonts w:ascii="Arial" w:cs="Arial" w:eastAsia="Arial" w:hAnsi="Arial"/>
          <w:sz w:val="18"/>
          <w:szCs w:val="18"/>
          <w:color w:val="auto"/>
        </w:rPr>
        <w:t xml:space="preserve"> hereof, thirty percent (30%).</w:t>
      </w:r>
    </w:p>
    <w:p>
      <w:pPr>
        <w:spacing w:after="0" w:line="185" w:lineRule="exact"/>
        <w:rPr>
          <w:rFonts w:ascii="Arial" w:cs="Arial" w:eastAsia="Arial" w:hAnsi="Arial"/>
          <w:sz w:val="18"/>
          <w:szCs w:val="18"/>
          <w:color w:val="auto"/>
        </w:rPr>
      </w:pPr>
    </w:p>
    <w:p>
      <w:pPr>
        <w:jc w:val="both"/>
        <w:ind w:firstLine="656"/>
        <w:spacing w:after="0" w:line="254" w:lineRule="auto"/>
        <w:tabs>
          <w:tab w:leader="none" w:pos="141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Accelerated Purchase Share Volume Maximum</w:t>
      </w:r>
      <w:r>
        <w:rPr>
          <w:rFonts w:ascii="Arial" w:cs="Arial" w:eastAsia="Arial" w:hAnsi="Arial"/>
          <w:sz w:val="18"/>
          <w:szCs w:val="18"/>
          <w:color w:val="auto"/>
        </w:rPr>
        <w:t xml:space="preserve">” means, with respect to an Additional Accelerated Purchase made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hereof, a number of shares of Common Stock equal to (i) the applicable Additional Accelerated Purchase Share Amount to be purchased by the Investor pursuant to the applicable Additional Accelerated Purchase Notice for such Additional Accelerated Purchase, divided by (ii) the Additional Accelerated Purchase Share Percentage (to be appropriately adjusted for any reorganization, recapitalization, non-cash dividend, stock split, or other similar transaction)..</w:t>
      </w:r>
    </w:p>
    <w:p>
      <w:pPr>
        <w:spacing w:after="0" w:line="200" w:lineRule="exact"/>
        <w:rPr>
          <w:rFonts w:ascii="Arial" w:cs="Arial" w:eastAsia="Arial" w:hAnsi="Arial"/>
          <w:sz w:val="18"/>
          <w:szCs w:val="18"/>
          <w:color w:val="auto"/>
        </w:rPr>
      </w:pPr>
    </w:p>
    <w:p>
      <w:pPr>
        <w:jc w:val="both"/>
        <w:ind w:firstLine="656"/>
        <w:spacing w:after="0" w:line="298" w:lineRule="auto"/>
        <w:tabs>
          <w:tab w:leader="none" w:pos="1443"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Adjusted Regular Purchase Share Limit</w:t>
      </w:r>
      <w:r>
        <w:rPr>
          <w:rFonts w:ascii="Arial" w:cs="Arial" w:eastAsia="Arial" w:hAnsi="Arial"/>
          <w:sz w:val="16"/>
          <w:szCs w:val="16"/>
          <w:color w:val="auto"/>
        </w:rPr>
        <w:t xml:space="preserve">” means, with respect to a Regular Purchase made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the maximum number of Purchase Shares which, taking into account the applicable per share Purchase Price therefor calculated in accordance with this Agreement, would enable the Company to deliver to the Investor, on the applicable Purchase Date for such Regular Purchase, a Regular Purchase Notice for a Purchase Amount equal to, or as closely approximating without exceeding, One Hundred Fifty Thousand Dollars ($150,000).</w:t>
      </w:r>
    </w:p>
    <w:p>
      <w:pPr>
        <w:spacing w:after="0" w:line="166" w:lineRule="exact"/>
        <w:rPr>
          <w:rFonts w:ascii="Arial" w:cs="Arial" w:eastAsia="Arial" w:hAnsi="Arial"/>
          <w:sz w:val="16"/>
          <w:szCs w:val="16"/>
          <w:color w:val="auto"/>
        </w:rPr>
      </w:pPr>
    </w:p>
    <w:p>
      <w:pPr>
        <w:ind w:right="20" w:firstLine="656"/>
        <w:spacing w:after="0" w:line="259" w:lineRule="auto"/>
        <w:tabs>
          <w:tab w:leader="none" w:pos="1379"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xml:space="preserve">” means, initially, Ten Million Two Hundred Fifty Thousand Dollars ($10,250,000) in the aggregate, which amount shall be reduced by the Purchase Amount each time the Investor purchases shares of Common Stock (including the Initial Purchase Shares)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93" w:lineRule="exact"/>
        <w:rPr>
          <w:rFonts w:ascii="Arial" w:cs="Arial" w:eastAsia="Arial" w:hAnsi="Arial"/>
          <w:sz w:val="18"/>
          <w:szCs w:val="18"/>
          <w:color w:val="auto"/>
        </w:rPr>
      </w:pPr>
    </w:p>
    <w:p>
      <w:pPr>
        <w:ind w:right="100" w:firstLine="656"/>
        <w:spacing w:after="0" w:line="259" w:lineRule="auto"/>
        <w:tabs>
          <w:tab w:leader="none" w:pos="1379"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Price</w:t>
      </w:r>
      <w:r>
        <w:rPr>
          <w:rFonts w:ascii="Arial" w:cs="Arial" w:eastAsia="Arial" w:hAnsi="Arial"/>
          <w:sz w:val="18"/>
          <w:szCs w:val="18"/>
          <w:color w:val="auto"/>
        </w:rPr>
        <w:t>” means a price per Purchase Share (rounded to the nearest tenth of a cent) equal to the quotient obtained by dividing (i) the aggregate gross purchase price paid by the Investor for all Purchase Shares purchased pursuant to this Agreement, by (ii) the aggregate number of Purchase Shares issued pursuant to this Agreement.</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firstLine="656"/>
        <w:spacing w:after="0" w:line="268" w:lineRule="auto"/>
        <w:tabs>
          <w:tab w:leader="none" w:pos="1337"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Principal Market is open for trading, including any day on which the Principal Market is open for trading for a period of time less than the customary time.</w:t>
      </w:r>
    </w:p>
    <w:p>
      <w:pPr>
        <w:spacing w:after="0" w:line="185" w:lineRule="exact"/>
        <w:rPr>
          <w:rFonts w:ascii="Arial" w:cs="Arial" w:eastAsia="Arial" w:hAnsi="Arial"/>
          <w:sz w:val="18"/>
          <w:szCs w:val="18"/>
          <w:color w:val="auto"/>
        </w:rPr>
      </w:pPr>
    </w:p>
    <w:p>
      <w:pPr>
        <w:ind w:right="20" w:firstLine="656"/>
        <w:spacing w:after="0" w:line="268" w:lineRule="auto"/>
        <w:tabs>
          <w:tab w:leader="none" w:pos="137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Sale Price</w:t>
      </w:r>
      <w:r>
        <w:rPr>
          <w:rFonts w:ascii="Arial" w:cs="Arial" w:eastAsia="Arial" w:hAnsi="Arial"/>
          <w:sz w:val="18"/>
          <w:szCs w:val="18"/>
          <w:color w:val="auto"/>
        </w:rPr>
        <w:t>” means, for any security as of any date, the last closing sale price for such security on the Principal Market as reported by the Principal Market.</w:t>
      </w:r>
    </w:p>
    <w:p>
      <w:pPr>
        <w:spacing w:after="0" w:line="185" w:lineRule="exact"/>
        <w:rPr>
          <w:rFonts w:ascii="Arial" w:cs="Arial" w:eastAsia="Arial" w:hAnsi="Arial"/>
          <w:sz w:val="18"/>
          <w:szCs w:val="18"/>
          <w:color w:val="auto"/>
        </w:rPr>
      </w:pPr>
    </w:p>
    <w:p>
      <w:pPr>
        <w:jc w:val="both"/>
        <w:ind w:firstLine="656"/>
        <w:spacing w:after="0" w:line="285" w:lineRule="auto"/>
        <w:tabs>
          <w:tab w:leader="none" w:pos="1362"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 by law to be disclosed by the receiving party, provided that the receiving party gives the disclosing party prompt written notice of such requirement prior to such disclosure and assistance in obtaining an order protecting the information from public disclosure.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 w:name="page8"/>
    <w:bookmarkEnd w:id="7"/>
    <w:p>
      <w:pPr>
        <w:ind w:left="1380" w:hanging="72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DTC</w:t>
      </w:r>
      <w:r>
        <w:rPr>
          <w:rFonts w:ascii="Arial" w:cs="Arial" w:eastAsia="Arial" w:hAnsi="Arial"/>
          <w:sz w:val="16"/>
          <w:szCs w:val="16"/>
          <w:color w:val="auto"/>
        </w:rPr>
        <w:t>” means The Depository Trust Company, or any successor performing substantially the same function for the Company.</w:t>
      </w:r>
    </w:p>
    <w:p>
      <w:pPr>
        <w:spacing w:after="0" w:line="180" w:lineRule="exact"/>
        <w:rPr>
          <w:rFonts w:ascii="Arial" w:cs="Arial" w:eastAsia="Arial" w:hAnsi="Arial"/>
          <w:sz w:val="16"/>
          <w:szCs w:val="16"/>
          <w:color w:val="auto"/>
        </w:rPr>
      </w:pPr>
    </w:p>
    <w:p>
      <w:pPr>
        <w:jc w:val="both"/>
        <w:ind w:firstLine="656"/>
        <w:spacing w:after="0" w:line="256" w:lineRule="auto"/>
        <w:tabs>
          <w:tab w:leader="none" w:pos="1484"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DWAC Shares</w:t>
      </w:r>
      <w:r>
        <w:rPr>
          <w:rFonts w:ascii="Arial" w:cs="Arial" w:eastAsia="Arial" w:hAnsi="Arial"/>
          <w:sz w:val="18"/>
          <w:szCs w:val="18"/>
          <w:color w:val="auto"/>
        </w:rPr>
        <w:t>” means shares of Common Stock that are (i) issued in electronic form, (ii) freely tradable and transferable and without restriction on resale and (iii) timely credited by the Company to the Investor’s or its designee’s specified Deposit/Withdrawal at Custodian (DWAC) account with DTC under its Fast Automated Securities Transfer (FAST) Program, or any similar program hereafter adopted by DTC performing substantially the same function.</w:t>
      </w:r>
    </w:p>
    <w:p>
      <w:pPr>
        <w:spacing w:after="0" w:line="129" w:lineRule="exact"/>
        <w:rPr>
          <w:rFonts w:ascii="Arial" w:cs="Arial" w:eastAsia="Arial" w:hAnsi="Arial"/>
          <w:sz w:val="18"/>
          <w:szCs w:val="18"/>
          <w:color w:val="auto"/>
        </w:rPr>
      </w:pPr>
    </w:p>
    <w:p>
      <w:pPr>
        <w:ind w:left="1340" w:hanging="684"/>
        <w:spacing w:after="0"/>
        <w:tabs>
          <w:tab w:leader="none" w:pos="1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jc w:val="both"/>
        <w:ind w:firstLine="656"/>
        <w:spacing w:after="0" w:line="256" w:lineRule="auto"/>
        <w:tabs>
          <w:tab w:leader="none" w:pos="15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Adjusted Regular Purchase Share Limit</w:t>
      </w:r>
      <w:r>
        <w:rPr>
          <w:rFonts w:ascii="Arial" w:cs="Arial" w:eastAsia="Arial" w:hAnsi="Arial"/>
          <w:sz w:val="18"/>
          <w:szCs w:val="18"/>
          <w:color w:val="auto"/>
        </w:rPr>
        <w:t xml:space="preserve">” means, following any reorganization, recapitalization, non-cash dividend, stock split or other similar transaction from and after the date of this Agreement, the Regular Purchase Share Limit (as defined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in effect on the applicable date of determination, after giving effect to the full proportionate adjustment with respect to such reorganization, recapitalization, non-cash dividend, stock split or other similar transaction.</w:t>
      </w:r>
    </w:p>
    <w:p>
      <w:pPr>
        <w:spacing w:after="0" w:line="196" w:lineRule="exact"/>
        <w:rPr>
          <w:rFonts w:ascii="Arial" w:cs="Arial" w:eastAsia="Arial" w:hAnsi="Arial"/>
          <w:sz w:val="18"/>
          <w:szCs w:val="18"/>
          <w:color w:val="auto"/>
        </w:rPr>
      </w:pPr>
    </w:p>
    <w:p>
      <w:pPr>
        <w:ind w:left="1440" w:hanging="78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 Price</w:t>
      </w:r>
      <w:r>
        <w:rPr>
          <w:rFonts w:ascii="Arial" w:cs="Arial" w:eastAsia="Arial" w:hAnsi="Arial"/>
          <w:sz w:val="18"/>
          <w:szCs w:val="18"/>
          <w:color w:val="auto"/>
        </w:rPr>
        <w:t>” means fifty cents ($0.50).</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5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material adverse effect on (i) the enforceability of any Transaction Document, (ii) the results of operations, assets, business or financial condition of the Company and its Subsidiaries, taken as a whole, other than any material adverse effect that resulted exclusively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earthquakes, other acts of God, hostilities, acts of war, sabotage or terrorism or military actions or any escalation or material worsening of any such hostilities, acts of war, sabotage or terrorism or military actions existing as of the date hereof, (D) any action taken by the Investor, its affiliates or its or their successors and assigns with respect to the transactions contemplated by this Agreement, (E) the effect of any change in Applicable Laws or accounting rules that does not have a disproportionate effect on the Company and its Subsidiaries, taken as a whole, or (F) any change resulting from compliance with terms of this Agreement or the consummation of the transactions contemplated by this Agreement, or (iii) the Company’s ability to perform in any material respect on a timely basis its obligations under any Transaction Document to be performed as of the date of determination.</w:t>
      </w:r>
    </w:p>
    <w:p>
      <w:pPr>
        <w:spacing w:after="0" w:line="180" w:lineRule="exact"/>
        <w:rPr>
          <w:rFonts w:ascii="Arial" w:cs="Arial" w:eastAsia="Arial" w:hAnsi="Arial"/>
          <w:sz w:val="16"/>
          <w:szCs w:val="16"/>
          <w:color w:val="auto"/>
        </w:rPr>
      </w:pPr>
    </w:p>
    <w:p>
      <w:pPr>
        <w:ind w:left="1520" w:hanging="864"/>
        <w:spacing w:after="0"/>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first day of the month immediately following the twenty-four (24) month anniversary of the Commencement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5" w:lineRule="exact"/>
        <w:rPr>
          <w:rFonts w:ascii="Arial" w:cs="Arial" w:eastAsia="Arial" w:hAnsi="Arial"/>
          <w:sz w:val="16"/>
          <w:szCs w:val="16"/>
          <w:color w:val="auto"/>
        </w:rPr>
      </w:pPr>
    </w:p>
    <w:p>
      <w:pPr>
        <w:jc w:val="both"/>
        <w:ind w:firstLine="656"/>
        <w:spacing w:after="0" w:line="266" w:lineRule="auto"/>
        <w:tabs>
          <w:tab w:leader="none" w:pos="15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PEA Period</w:t>
      </w:r>
      <w:r>
        <w:rPr>
          <w:rFonts w:ascii="Arial" w:cs="Arial" w:eastAsia="Arial" w:hAnsi="Arial"/>
          <w:sz w:val="16"/>
          <w:szCs w:val="16"/>
          <w:color w:val="auto"/>
        </w:rPr>
        <w:t>” means the period commencing at 9:30 a.m., Eastern time, on the twentieth (20</w:t>
      </w:r>
      <w:r>
        <w:rPr>
          <w:rFonts w:ascii="Arial" w:cs="Arial" w:eastAsia="Arial" w:hAnsi="Arial"/>
          <w:sz w:val="22"/>
          <w:szCs w:val="22"/>
          <w:color w:val="auto"/>
          <w:vertAlign w:val="superscript"/>
        </w:rPr>
        <w:t>th</w:t>
      </w:r>
      <w:r>
        <w:rPr>
          <w:rFonts w:ascii="Arial" w:cs="Arial" w:eastAsia="Arial" w:hAnsi="Arial"/>
          <w:sz w:val="16"/>
          <w:szCs w:val="16"/>
          <w:color w:val="auto"/>
        </w:rPr>
        <w:t>) Business Day immediately prior to the filing of any post-effective amendment to the Registration Statement (as defined herein) or New Registration Statement (as such term is defined in the Registration Rights Agreement), and ending at 9:30 a.m., Eastern time, on the Business Day immediately following, the effective date of any post-effective amendment to the Registration Statement (as defined herein) or New Registration Statement (as such term is defined in the Registration Rights Agreement).</w:t>
      </w:r>
    </w:p>
    <w:p>
      <w:pPr>
        <w:spacing w:after="0" w:line="190" w:lineRule="exact"/>
        <w:rPr>
          <w:rFonts w:ascii="Arial" w:cs="Arial" w:eastAsia="Arial" w:hAnsi="Arial"/>
          <w:sz w:val="16"/>
          <w:szCs w:val="16"/>
          <w:color w:val="auto"/>
        </w:rPr>
      </w:pPr>
    </w:p>
    <w:p>
      <w:pPr>
        <w:ind w:firstLine="656"/>
        <w:spacing w:after="0" w:line="268"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entity including but not limited to any limited liability company, a partnership, a joint venture, a corporation, a trust, an unincorporated organization and a government or any department or agency thereof.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8" w:name="page9"/>
    <w:bookmarkEnd w:id="8"/>
    <w:p>
      <w:pPr>
        <w:jc w:val="both"/>
        <w:ind w:firstLine="656"/>
        <w:spacing w:after="0" w:line="294" w:lineRule="auto"/>
        <w:tabs>
          <w:tab w:leader="none" w:pos="157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Market</w:t>
      </w:r>
      <w:r>
        <w:rPr>
          <w:rFonts w:ascii="Arial" w:cs="Arial" w:eastAsia="Arial" w:hAnsi="Arial"/>
          <w:sz w:val="16"/>
          <w:szCs w:val="16"/>
          <w:color w:val="auto"/>
        </w:rPr>
        <w:t>” means The Nasdaq Capital Market (or any nationally recognized successor thereto); provided, however, that in the event the Company’s Common Stock is ever listed or traded on The Nasdaq Global Market, The Nasdaq Global Select Market, the New York Stock Exchange, the NYSE American, the NYSE Arca, the OTC Bulletin Board, the OTCQX operated by the OTC Markets Group, Inc. or the or OTCQB operated by the OTC Markets Group, Inc. (or any nationally recognized successor to any of the foregoing), then the “Principal Market” shall mean such other market or exchange on which the Company’s Common Stock is then listed or traded.</w:t>
      </w:r>
    </w:p>
    <w:p>
      <w:pPr>
        <w:spacing w:after="0" w:line="169" w:lineRule="exact"/>
        <w:rPr>
          <w:rFonts w:ascii="Arial" w:cs="Arial" w:eastAsia="Arial" w:hAnsi="Arial"/>
          <w:sz w:val="16"/>
          <w:szCs w:val="16"/>
          <w:color w:val="auto"/>
        </w:rPr>
      </w:pPr>
    </w:p>
    <w:p>
      <w:pPr>
        <w:ind w:firstLine="656"/>
        <w:spacing w:after="0" w:line="331" w:lineRule="auto"/>
        <w:tabs>
          <w:tab w:leader="none" w:pos="16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Amount</w:t>
      </w:r>
      <w:r>
        <w:rPr>
          <w:rFonts w:ascii="Arial" w:cs="Arial" w:eastAsia="Arial" w:hAnsi="Arial"/>
          <w:sz w:val="16"/>
          <w:szCs w:val="16"/>
          <w:color w:val="auto"/>
        </w:rPr>
        <w:t xml:space="preserve">” means, with respect to the Initial Purchase, any Regular Purchase, any Accelerated Purchase and any Additional Accelerated Purchase made hereunder, as applicable, the portion of the Available Amount to be purchased by the Investor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40" w:lineRule="exact"/>
        <w:rPr>
          <w:rFonts w:ascii="Arial" w:cs="Arial" w:eastAsia="Arial" w:hAnsi="Arial"/>
          <w:sz w:val="16"/>
          <w:szCs w:val="16"/>
          <w:color w:val="auto"/>
        </w:rPr>
      </w:pPr>
    </w:p>
    <w:p>
      <w:pPr>
        <w:jc w:val="both"/>
        <w:ind w:firstLine="656"/>
        <w:spacing w:after="0" w:line="259" w:lineRule="auto"/>
        <w:tabs>
          <w:tab w:leader="none" w:pos="13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xml:space="preserve">” means, with respect to a Regular Purchase made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the Business Day on which the Investor receives, after 4:00 p.m., Eastern time, but prior to 5:00 p.m., Eastern time, on such Business Day, a valid Regular Purchase Notice for such Regular Purchase in accordance with this Agreement.</w:t>
      </w:r>
    </w:p>
    <w:p>
      <w:pPr>
        <w:spacing w:after="0" w:line="193" w:lineRule="exact"/>
        <w:rPr>
          <w:rFonts w:ascii="Arial" w:cs="Arial" w:eastAsia="Arial" w:hAnsi="Arial"/>
          <w:sz w:val="18"/>
          <w:szCs w:val="18"/>
          <w:color w:val="auto"/>
        </w:rPr>
      </w:pPr>
    </w:p>
    <w:p>
      <w:pPr>
        <w:ind w:firstLine="656"/>
        <w:spacing w:after="0" w:line="268"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Notice</w:t>
      </w:r>
      <w:r>
        <w:rPr>
          <w:rFonts w:ascii="Arial" w:cs="Arial" w:eastAsia="Arial" w:hAnsi="Arial"/>
          <w:sz w:val="18"/>
          <w:szCs w:val="18"/>
          <w:color w:val="auto"/>
        </w:rPr>
        <w:t>” means a Regular Purchase Notice, an Accelerated Purchase Notice or an Additional Accelerated Purchase Notice with respect to any Regular Purchase, Accelerated Purchase or Additional Accelerated Purchase, respectively.</w:t>
      </w:r>
    </w:p>
    <w:p>
      <w:pPr>
        <w:spacing w:after="0" w:line="185" w:lineRule="exact"/>
        <w:rPr>
          <w:rFonts w:ascii="Arial" w:cs="Arial" w:eastAsia="Arial" w:hAnsi="Arial"/>
          <w:sz w:val="18"/>
          <w:szCs w:val="18"/>
          <w:color w:val="auto"/>
        </w:rPr>
      </w:pPr>
    </w:p>
    <w:p>
      <w:pPr>
        <w:jc w:val="both"/>
        <w:ind w:firstLine="656"/>
        <w:spacing w:after="0" w:line="298" w:lineRule="auto"/>
        <w:tabs>
          <w:tab w:leader="none" w:pos="14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means, with respect to any Regular Purchase made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 the lower of: (i) the lowest Sale Price on the applicable Purchase Date and (ii) the arithmetic average of the three (3) lowest Closing Sale Prices for the Common Stock during the ten (10) consecutive Business Days ending on the Business Day immediately preceding such Purchase Date (in each case, to be appropriately adjusted for any reorganization, recapitalization, non-cash dividend, stock split or other similar transaction that occurs on or after the date of this Agreement).</w:t>
      </w:r>
    </w:p>
    <w:p>
      <w:pPr>
        <w:spacing w:after="0" w:line="166" w:lineRule="exact"/>
        <w:rPr>
          <w:rFonts w:ascii="Arial" w:cs="Arial" w:eastAsia="Arial" w:hAnsi="Arial"/>
          <w:sz w:val="16"/>
          <w:szCs w:val="16"/>
          <w:color w:val="auto"/>
        </w:rPr>
      </w:pPr>
    </w:p>
    <w:p>
      <w:pPr>
        <w:ind w:left="1480" w:hanging="824"/>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means that certain Registration Rights Agreement, of even date herewith between the Company and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Investor.</w:t>
      </w:r>
    </w:p>
    <w:p>
      <w:pPr>
        <w:spacing w:after="0" w:line="218" w:lineRule="exact"/>
        <w:rPr>
          <w:rFonts w:ascii="Arial" w:cs="Arial" w:eastAsia="Arial" w:hAnsi="Arial"/>
          <w:sz w:val="16"/>
          <w:szCs w:val="16"/>
          <w:color w:val="auto"/>
        </w:rPr>
      </w:pPr>
    </w:p>
    <w:p>
      <w:pPr>
        <w:jc w:val="both"/>
        <w:ind w:firstLine="656"/>
        <w:spacing w:after="0" w:line="259" w:lineRule="auto"/>
        <w:tabs>
          <w:tab w:leader="none" w:pos="16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Purchase Notice</w:t>
      </w:r>
      <w:r>
        <w:rPr>
          <w:rFonts w:ascii="Arial" w:cs="Arial" w:eastAsia="Arial" w:hAnsi="Arial"/>
          <w:sz w:val="18"/>
          <w:szCs w:val="18"/>
          <w:color w:val="auto"/>
        </w:rPr>
        <w:t xml:space="preserve">” means, with respect to any Regular Purchase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hereof, an irrevocable written notice from the Company to the Investor directing the Investor to buy such applicable amount of Purchase Shares at the applicable Purchase Price as specified by the Company therein on the applicable Purchase Date for such Regular Purchase.</w:t>
      </w:r>
    </w:p>
    <w:p>
      <w:pPr>
        <w:spacing w:after="0" w:line="193" w:lineRule="exact"/>
        <w:rPr>
          <w:rFonts w:ascii="Arial" w:cs="Arial" w:eastAsia="Arial" w:hAnsi="Arial"/>
          <w:sz w:val="18"/>
          <w:szCs w:val="18"/>
          <w:color w:val="auto"/>
        </w:rPr>
      </w:pPr>
    </w:p>
    <w:p>
      <w:pPr>
        <w:ind w:left="1480" w:hanging="824"/>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Price</w:t>
      </w:r>
      <w:r>
        <w:rPr>
          <w:rFonts w:ascii="Arial" w:cs="Arial" w:eastAsia="Arial" w:hAnsi="Arial"/>
          <w:sz w:val="16"/>
          <w:szCs w:val="16"/>
          <w:color w:val="auto"/>
        </w:rPr>
        <w:t>” means any trade price for the shares of Common Stock on the Principal Market as reported by the Principal Market.</w:t>
      </w:r>
    </w:p>
    <w:p>
      <w:pPr>
        <w:spacing w:after="0" w:line="248" w:lineRule="exact"/>
        <w:rPr>
          <w:rFonts w:ascii="Arial" w:cs="Arial" w:eastAsia="Arial" w:hAnsi="Arial"/>
          <w:sz w:val="16"/>
          <w:szCs w:val="16"/>
          <w:color w:val="auto"/>
        </w:rPr>
      </w:pPr>
    </w:p>
    <w:p>
      <w:pPr>
        <w:ind w:left="1440" w:hanging="784"/>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rFonts w:ascii="Arial" w:cs="Arial" w:eastAsia="Arial" w:hAnsi="Arial"/>
          <w:sz w:val="18"/>
          <w:szCs w:val="18"/>
          <w:color w:val="auto"/>
        </w:rPr>
      </w:pPr>
    </w:p>
    <w:p>
      <w:pPr>
        <w:ind w:left="1440" w:hanging="784"/>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collectively, the Purchase Shares (including the Initial Purchase Shares) and the Commitment Shares.</w:t>
      </w:r>
    </w:p>
    <w:p>
      <w:pPr>
        <w:spacing w:after="0" w:line="225" w:lineRule="exact"/>
        <w:rPr>
          <w:rFonts w:ascii="Arial" w:cs="Arial" w:eastAsia="Arial" w:hAnsi="Arial"/>
          <w:sz w:val="18"/>
          <w:szCs w:val="18"/>
          <w:color w:val="auto"/>
        </w:rPr>
      </w:pPr>
    </w:p>
    <w:p>
      <w:pPr>
        <w:ind w:left="1440" w:hanging="784"/>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4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collectively, this Agreement and the schedules and exhibits hereto, the Registration Rights Agreement and the schedules and exhibits thereto, and each of the other agreements, documents, certificates and instruments entered into or furnished by the parties hereto or thereto in connection with the transactions contemplated hereby and thereby.</w:t>
      </w:r>
    </w:p>
    <w:p>
      <w:pPr>
        <w:spacing w:after="0" w:line="193" w:lineRule="exact"/>
        <w:rPr>
          <w:rFonts w:ascii="Arial" w:cs="Arial" w:eastAsia="Arial" w:hAnsi="Arial"/>
          <w:sz w:val="18"/>
          <w:szCs w:val="18"/>
          <w:color w:val="auto"/>
        </w:rPr>
      </w:pPr>
    </w:p>
    <w:p>
      <w:pPr>
        <w:ind w:right="200" w:firstLine="656"/>
        <w:spacing w:after="0" w:line="268" w:lineRule="auto"/>
        <w:tabs>
          <w:tab w:leader="none" w:pos="9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Inc., or such other Person who is then serving as the transfer agent for the Company with respect to the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p>
      <w:pPr>
        <w:jc w:val="both"/>
        <w:ind w:firstLine="656"/>
        <w:spacing w:after="0" w:line="259" w:lineRule="auto"/>
        <w:tabs>
          <w:tab w:leader="none" w:pos="15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with respect to an Accelerated Purchase Date or an Additional Accelerated Purchase Date, as applicable, the volume weighted average price of the Common Stock on the Principal Market, as reported on the Principal Market or by another reputable source such as Bloomberg, L.P.</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PURCHASE OF COMMON STOCK.</w:t>
      </w:r>
    </w:p>
    <w:p>
      <w:pPr>
        <w:spacing w:after="0" w:line="1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Subject to the terms and conditions set forth in this Agreement, the Company has the right to sell to the Investor, and the Investor has the obligation to purchase from the Company, Purchase Shares as follows:</w:t>
      </w:r>
    </w:p>
    <w:p>
      <w:pPr>
        <w:spacing w:after="0" w:line="118" w:lineRule="exact"/>
        <w:rPr>
          <w:sz w:val="20"/>
          <w:szCs w:val="20"/>
          <w:color w:val="auto"/>
        </w:rPr>
      </w:pPr>
    </w:p>
    <w:p>
      <w:pPr>
        <w:ind w:right="260" w:firstLine="656"/>
        <w:spacing w:after="0" w:line="331" w:lineRule="auto"/>
        <w:tabs>
          <w:tab w:leader="none" w:pos="136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Initial Purchase</w:t>
      </w:r>
      <w:r>
        <w:rPr>
          <w:rFonts w:ascii="Arial" w:cs="Arial" w:eastAsia="Arial" w:hAnsi="Arial"/>
          <w:sz w:val="16"/>
          <w:szCs w:val="16"/>
          <w:color w:val="auto"/>
        </w:rPr>
        <w:t>. On the date hereof, the Company shall purchase Two Hundred Fifty Thousand Dollars ($250,000) in Purchase Shares at the Initial Purchase Price (such purchase the “</w:t>
      </w:r>
      <w:r>
        <w:rPr>
          <w:rFonts w:ascii="Arial" w:cs="Arial" w:eastAsia="Arial" w:hAnsi="Arial"/>
          <w:sz w:val="16"/>
          <w:szCs w:val="16"/>
          <w:u w:val="single" w:color="auto"/>
          <w:color w:val="auto"/>
        </w:rPr>
        <w:t>Initial Purchase</w:t>
      </w:r>
      <w:r>
        <w:rPr>
          <w:rFonts w:ascii="Arial" w:cs="Arial" w:eastAsia="Arial" w:hAnsi="Arial"/>
          <w:sz w:val="16"/>
          <w:szCs w:val="16"/>
          <w:color w:val="auto"/>
        </w:rPr>
        <w:t>” and such Purchase Shares, the “</w:t>
      </w:r>
      <w:r>
        <w:rPr>
          <w:rFonts w:ascii="Arial" w:cs="Arial" w:eastAsia="Arial" w:hAnsi="Arial"/>
          <w:sz w:val="16"/>
          <w:szCs w:val="16"/>
          <w:u w:val="single" w:color="auto"/>
          <w:color w:val="auto"/>
        </w:rPr>
        <w:t>Initial Purchase Shares</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380" w:hanging="724"/>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Commencement of Regular Sales of Common Stock</w:t>
      </w:r>
      <w:r>
        <w:rPr>
          <w:rFonts w:ascii="Arial" w:cs="Arial" w:eastAsia="Arial" w:hAnsi="Arial"/>
          <w:sz w:val="16"/>
          <w:szCs w:val="16"/>
          <w:color w:val="auto"/>
        </w:rPr>
        <w:t xml:space="preserve">. Upon the satisfaction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hereof (the</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Commencement</w:t>
      </w:r>
      <w:r>
        <w:rPr>
          <w:rFonts w:ascii="Arial" w:cs="Arial" w:eastAsia="Arial" w:hAnsi="Arial"/>
          <w:sz w:val="16"/>
          <w:szCs w:val="16"/>
          <w:color w:val="auto"/>
        </w:rPr>
        <w:t>” and the date of satisfaction of such conditions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xml:space="preserve">”), the Company shall have the right, but not the obligation, to direct the Investor, by its delivery to the Investor of a Regular Purchase Notice from time to time, to purchase up to One Hundred Thousand (100,000) Purchase Shares, subject to adjustment as set forth below in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(such maximum number of Purchase Shares, as may be adjusted from time to time, the “</w:t>
      </w:r>
      <w:r>
        <w:rPr>
          <w:rFonts w:ascii="Arial" w:cs="Arial" w:eastAsia="Arial" w:hAnsi="Arial"/>
          <w:sz w:val="16"/>
          <w:szCs w:val="16"/>
          <w:u w:val="single" w:color="auto"/>
          <w:color w:val="auto"/>
        </w:rPr>
        <w:t>Regular Purchase Share Limit</w:t>
      </w:r>
      <w:r>
        <w:rPr>
          <w:rFonts w:ascii="Arial" w:cs="Arial" w:eastAsia="Arial" w:hAnsi="Arial"/>
          <w:sz w:val="16"/>
          <w:szCs w:val="16"/>
          <w:color w:val="auto"/>
        </w:rPr>
        <w:t>”), at the Purchase Price on the Purchase Date (each such purchase a “</w:t>
      </w:r>
      <w:r>
        <w:rPr>
          <w:rFonts w:ascii="Arial" w:cs="Arial" w:eastAsia="Arial" w:hAnsi="Arial"/>
          <w:sz w:val="16"/>
          <w:szCs w:val="16"/>
          <w:u w:val="single" w:color="auto"/>
          <w:color w:val="auto"/>
        </w:rPr>
        <w:t>Regular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Regular Purchase Share Limit shall be increased to One Hundred Fifty Thousand (150,000) Purchase Shares, if the Closing Sale Price of the Common Stock on the applicable Purchase Date is not below $0.80, (ii) the Regular Purchase Share Limit shall be increased to Two Hundred Thousand (200,000) Purchase Shares, if the Closing Sale Price of the Common Stock on the applicable Purchase Date is not below $1.00, and (iii) the Regular Purchase Share Limit shall be increased to Two Hundred Fifty Thousand (250,000) Purchase Shares, if the Closing Sale Price of the Common Stock on the applicable Purchase Date is not below $1.50;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Fully Adjusted Regular Purchase Share Limit then in effect would preclude the Company from delivering to the Investor a Regular Purchase Notice hereunder for a Purchase Amount equal to or greater the Alternate Adjusted Regular Purchase Share Limit, the Alternate Adjusted Regular Purchase Share Limit shall apply in lieu of the Fully Adjusted Regular Purchase Share Limit;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Investor’s committed obligation under any single Regular Purchase, other than any Regular Purchase with respect to which an Alternate Adjusted Regular Purchase Share Limit shall apply, shall not exceed One Million Dollars ($1,000,000). The Company may deliver multiple Regular Purchase Notices to the Investor in a day as often as every Business Day, so long as Purchase Shares for all prior Regular Purchases, Accelerated Purchases and Additional Accelerated Purchases, including, without limitation, those that have been effected on the same Business Day as the applicable Purchase Date, have theretofore been received by the Investor as DWAC Shares in accordance with this Agreement. Notwithstanding the foregoing, the Company shall not deliver a Regular Purchase Notice to the Investor during the PEA Period.</w:t>
      </w:r>
    </w:p>
    <w:p>
      <w:pPr>
        <w:spacing w:after="0" w:line="113" w:lineRule="exact"/>
        <w:rPr>
          <w:sz w:val="20"/>
          <w:szCs w:val="20"/>
          <w:color w:val="auto"/>
        </w:rPr>
      </w:pPr>
    </w:p>
    <w:p>
      <w:pPr>
        <w:ind w:right="20" w:firstLine="656"/>
        <w:spacing w:after="0" w:line="285" w:lineRule="auto"/>
        <w:tabs>
          <w:tab w:leader="none" w:pos="136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Accelerated Purchases</w:t>
      </w:r>
      <w:r>
        <w:rPr>
          <w:rFonts w:ascii="Arial" w:cs="Arial" w:eastAsia="Arial" w:hAnsi="Arial"/>
          <w:sz w:val="16"/>
          <w:szCs w:val="16"/>
          <w:color w:val="auto"/>
        </w:rPr>
        <w:t xml:space="preserve">. Subject to the terms and conditions of this Agreement, beginning on the Commencement Date, in addition to purchases of Purchase Shares as described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above, the Company shall also have the right, but not the obligation, to direct the Investor, by its delivery to the Investor of an Accelerated Purchase Notice from time to time in accordance with this Agreement, to purchase the applicable Accelerated Purchase Share Amount at the Accelerated Purchase Price on the Accelerated Purchase Date therefor in accordance with this Agreement (each such purchase, an “</w:t>
      </w:r>
      <w:r>
        <w:rPr>
          <w:rFonts w:ascii="Arial" w:cs="Arial" w:eastAsia="Arial" w:hAnsi="Arial"/>
          <w:sz w:val="16"/>
          <w:szCs w:val="16"/>
          <w:u w:val="single" w:color="auto"/>
          <w:color w:val="auto"/>
        </w:rPr>
        <w:t>Accelerated Purchase</w:t>
      </w:r>
      <w:r>
        <w:rPr>
          <w:rFonts w:ascii="Arial" w:cs="Arial" w:eastAsia="Arial" w:hAnsi="Arial"/>
          <w:sz w:val="16"/>
          <w:szCs w:val="16"/>
          <w:color w:val="auto"/>
        </w:rPr>
        <w:t>”). The Company may deliver an Accelerated Purchase Notice to the Investor only on a Purchase Date on which (i) the Company also properly submitted a Regular Purchase Notice providing for a Regular Purchase of a number of Purchase Shares not less than the Regular Purchase Share Limit then in effect on such Purchase Date in accordance with this Agreement = (ii) if all Purchase Shares subject to all prior Regular Purchases, Accelerated Purchases and Additional Accelerated Purchases, including, without limitation, those that have been effected on the same Business Day as the applicable Accelerated Purchase Date with respect to which the applicable Accelerated Purchase relates, have theretofore been received by the Investor as DWAC Shares in accordance with this Agreement and (iii) the Closing Sale Price of the Common Stock is not less than the Accelerated Purchase Floor Price. Within one (1) Business Day after completion of each Accelerated Purchase Date for an Accelerated Purchase, the Investor will provide to the Company a written confirmation of such Accelerated Purchase setting forth the applicable Accelerated Purchase Share Amount and Accelerated Purchase Price for such Accelerated Purchase (each, an “</w:t>
      </w:r>
      <w:r>
        <w:rPr>
          <w:rFonts w:ascii="Arial" w:cs="Arial" w:eastAsia="Arial" w:hAnsi="Arial"/>
          <w:sz w:val="16"/>
          <w:szCs w:val="16"/>
          <w:u w:val="single" w:color="auto"/>
          <w:color w:val="auto"/>
        </w:rPr>
        <w:t>Accelerated Purchase Confirmation</w:t>
      </w:r>
      <w:r>
        <w:rPr>
          <w:rFonts w:ascii="Arial" w:cs="Arial" w:eastAsia="Arial" w:hAnsi="Arial"/>
          <w:sz w:val="16"/>
          <w:szCs w:val="16"/>
          <w:color w:val="auto"/>
        </w:rPr>
        <w:t>”). Notwithstanding the foregoing, the Company shall not deliver any Accelerated Purchase Notices during the PEA Period.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0" w:name="page11"/>
    <w:bookmarkEnd w:id="10"/>
    <w:p>
      <w:pPr>
        <w:ind w:left="-8" w:firstLine="656"/>
        <w:spacing w:after="0" w:line="284" w:lineRule="auto"/>
        <w:tabs>
          <w:tab w:leader="none" w:pos="1415"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Additional Accelerated Purchases</w:t>
      </w:r>
      <w:r>
        <w:rPr>
          <w:rFonts w:ascii="Arial" w:cs="Arial" w:eastAsia="Arial" w:hAnsi="Arial"/>
          <w:sz w:val="16"/>
          <w:szCs w:val="16"/>
          <w:color w:val="auto"/>
        </w:rPr>
        <w:t xml:space="preserve">. Subject to the terms and conditions of this Agreement, beginning one (1) Business Day following the Commencement Date and thereafter, in addition to purchases of Purchase Shares as described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above, the Company shall also have the right, but not the obligation, to direct the Investor, by its timely delivery to the Investor of an Additional Accelerated Purchase Notice on an Additional Accelerated Purchase Date in accordance with this Agreement, to purchase the applicable Additional Accelerated Purchase Share Amount at the applicable Additional Accelerated Purchase Price therefor in accordance with this Agreement (each such purchase, an “</w:t>
      </w:r>
      <w:r>
        <w:rPr>
          <w:rFonts w:ascii="Arial" w:cs="Arial" w:eastAsia="Arial" w:hAnsi="Arial"/>
          <w:sz w:val="16"/>
          <w:szCs w:val="16"/>
          <w:u w:val="single" w:color="auto"/>
          <w:color w:val="auto"/>
        </w:rPr>
        <w:t>Additional Accelerated Purchase</w:t>
      </w:r>
      <w:r>
        <w:rPr>
          <w:rFonts w:ascii="Arial" w:cs="Arial" w:eastAsia="Arial" w:hAnsi="Arial"/>
          <w:sz w:val="16"/>
          <w:szCs w:val="16"/>
          <w:color w:val="auto"/>
        </w:rPr>
        <w:t xml:space="preserve">”). The Company may deliver multiple Additional Accelerated Purchase Notices to the Investor on an Additional Accelerated Purchase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deliver an Additional Accelerated Purchase Notice to the Investor only (i) on a Business Day that is also the Accelerated Purchase Date for an Accelerated Purchase with respect to which the Company properly submitted to the Investor an Accelerated Purchase Notice in accordance with this Agreement on the applicable Purchase Date for a Regular Purchase of a number of Purchase Shares not less than the Regular Purchase Share Limit then in effect in accordance with this Agreement, and (ii) if all Purchase Shares subject to all prior Regular Purchases, Accelerated Purchases and Additional Accelerated Purchases, including, without limitation, those that have been effected on the same Business Day as the applicable Additional Accelerated Purchase Date with respect to which the applicable Additional Accelerated Purchase relates, have theretofore been received by the Investor as DWAC Shares in accordance with this Agreement. Within one (1) Business Day after the completion of each Additional Accelerated Purchase Date, the Investor will provide to the Company a written confirmation of each Additional Accelerated Purchase on such Additional Accelerated Purchase Date setting forth the applicable Additional Accelerated Purchase Share Amount and Additional Accelerated Purchase Price for each such Additional Accelerated Purchase on such Additional Accelerated Purchase Date (each, an “</w:t>
      </w:r>
      <w:r>
        <w:rPr>
          <w:rFonts w:ascii="Arial" w:cs="Arial" w:eastAsia="Arial" w:hAnsi="Arial"/>
          <w:sz w:val="16"/>
          <w:szCs w:val="16"/>
          <w:u w:val="single" w:color="auto"/>
          <w:color w:val="auto"/>
        </w:rPr>
        <w:t>Additional Accelerated Purchase Confirmation</w:t>
      </w:r>
      <w:r>
        <w:rPr>
          <w:rFonts w:ascii="Arial" w:cs="Arial" w:eastAsia="Arial" w:hAnsi="Arial"/>
          <w:sz w:val="16"/>
          <w:szCs w:val="16"/>
          <w:color w:val="auto"/>
        </w:rPr>
        <w:t>”). Notwithstanding the foregoing, the Company shall not deliver any Additional Accelerated Purchase Notices during the PEA Period.</w:t>
      </w:r>
    </w:p>
    <w:p>
      <w:pPr>
        <w:spacing w:after="0" w:line="119" w:lineRule="exact"/>
        <w:rPr>
          <w:rFonts w:ascii="Arial" w:cs="Arial" w:eastAsia="Arial" w:hAnsi="Arial"/>
          <w:sz w:val="16"/>
          <w:szCs w:val="16"/>
          <w:color w:val="auto"/>
        </w:rPr>
      </w:pPr>
    </w:p>
    <w:p>
      <w:pPr>
        <w:ind w:left="-8" w:right="20" w:firstLine="656"/>
        <w:spacing w:after="0" w:line="301" w:lineRule="auto"/>
        <w:tabs>
          <w:tab w:leader="none" w:pos="1361" w:val="left"/>
        </w:tabs>
        <w:numPr>
          <w:ilvl w:val="1"/>
          <w:numId w:val="15"/>
        </w:numPr>
        <w:rPr>
          <w:rFonts w:ascii="Arial" w:cs="Arial" w:eastAsia="Arial" w:hAnsi="Arial"/>
          <w:sz w:val="15"/>
          <w:szCs w:val="15"/>
          <w:color w:val="auto"/>
        </w:rPr>
      </w:pPr>
      <w:r>
        <w:rPr>
          <w:rFonts w:ascii="Arial" w:cs="Arial" w:eastAsia="Arial" w:hAnsi="Arial"/>
          <w:sz w:val="15"/>
          <w:szCs w:val="15"/>
          <w:u w:val="single" w:color="auto"/>
          <w:color w:val="auto"/>
        </w:rPr>
        <w:t>Payment for Purchase Shares.</w:t>
      </w:r>
      <w:r>
        <w:rPr>
          <w:rFonts w:ascii="Arial" w:cs="Arial" w:eastAsia="Arial" w:hAnsi="Arial"/>
          <w:sz w:val="15"/>
          <w:szCs w:val="15"/>
          <w:color w:val="auto"/>
        </w:rPr>
        <w:t xml:space="preserve"> The Investor shall pay to the Company the price for the Initial Purchase Shares pursuant to </w:t>
      </w: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via wire transfer of immediately available funds on the same Business Day that the Investor receives the Initial Purchase Shares, if such Initial Purchase Shares are so received by the Investor before 1:00 p.m., Eastern time, or, if such Initial Purchase Shares are so received by the Investor after 1:00 p.m., Eastern time, the next Business Day. For each Regular Purchase, the Investor shall pay to the Company an amount equal to the Purchase Amount with respect to such Regular Purchase as full payment for such Purchase Shares via wire transfer of immediately available funds on the same Business Day that the Investor receives such Purchase Shares, if such Purchase Shares are received by the Investor before 1:00 p.m., Eastern time, or, if such Purchase Shares are received by the Investor after 1:00 p.m., Eastern time, the next Business Day. For each Accelerated Purchase and each Additional Accelerated Purchase, the Investor shall pay to the Company an amount equal to the Purchase Amount with respect to such Accelerated Purchase and Additional Accelerated Purchase, respectively, as full payment for such Purchase Shares via wire transfer of immediately available funds on the second Business Day following the date that the Investor receives such Purchase Shares. If the Company or the Transfer Agent shall fail for any reason or for no reason to electronically transfer any Purchase Shares as DWAC Shares submitted by the Investor or its agent with respect to any Regular Purchase, Accelerated Purchase or Additional Accelerated Purchase (as applicable) within two (2) Business Days following the receipt by the Company of the Purchase Price, Accelerated Purchase Price or Additional Accelerated Purchase Price, respectively, therefor in compliance with this </w:t>
      </w:r>
      <w:r>
        <w:rPr>
          <w:rFonts w:ascii="Arial" w:cs="Arial" w:eastAsia="Arial" w:hAnsi="Arial"/>
          <w:sz w:val="15"/>
          <w:szCs w:val="15"/>
          <w:u w:val="single" w:color="auto"/>
          <w:color w:val="auto"/>
        </w:rPr>
        <w:t>Section 2(e)</w:t>
      </w:r>
      <w:r>
        <w:rPr>
          <w:rFonts w:ascii="Arial" w:cs="Arial" w:eastAsia="Arial" w:hAnsi="Arial"/>
          <w:sz w:val="15"/>
          <w:szCs w:val="15"/>
          <w:color w:val="auto"/>
        </w:rPr>
        <w:t>, and if on or after such Business Day the Investor purchases (in an open market transaction or otherwise) shares of Common Stock to deliver in satisfaction of a sale by the Investor of such Purchase Shares that the Investor anticipated receiving from the Company with respect to such Regular Purchase, Accelerated Purchase or Additional Accelerated Purchase (as applicable), then the Company shall, within two</w:t>
      </w:r>
    </w:p>
    <w:p>
      <w:pPr>
        <w:spacing w:after="0" w:line="1" w:lineRule="exact"/>
        <w:rPr>
          <w:rFonts w:ascii="Arial" w:cs="Arial" w:eastAsia="Arial" w:hAnsi="Arial"/>
          <w:sz w:val="15"/>
          <w:szCs w:val="15"/>
          <w:color w:val="auto"/>
        </w:rPr>
      </w:pPr>
    </w:p>
    <w:p>
      <w:pPr>
        <w:ind w:left="-8" w:right="100" w:firstLine="8"/>
        <w:spacing w:after="0" w:line="285" w:lineRule="auto"/>
        <w:tabs>
          <w:tab w:leader="none" w:pos="2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Business Days after the Investor’s request, either (i) pay cash to the Investor in an amount equal to the Investor’s total purchase price (including customary brokerage commissions, if any) for the shares of Common Stock so purchased (the “</w:t>
      </w:r>
      <w:r>
        <w:rPr>
          <w:rFonts w:ascii="Arial" w:cs="Arial" w:eastAsia="Arial" w:hAnsi="Arial"/>
          <w:sz w:val="16"/>
          <w:szCs w:val="16"/>
          <w:u w:val="single" w:color="auto"/>
          <w:color w:val="auto"/>
        </w:rPr>
        <w:t>Cover Price</w:t>
      </w:r>
      <w:r>
        <w:rPr>
          <w:rFonts w:ascii="Arial" w:cs="Arial" w:eastAsia="Arial" w:hAnsi="Arial"/>
          <w:sz w:val="16"/>
          <w:szCs w:val="16"/>
          <w:color w:val="auto"/>
        </w:rPr>
        <w:t>”), at which point the Company’s obligation to deliver such Purchase Shares as DWAC Shares shall terminate, or (ii) promptly honor its obligation to deliver to the Investor such Purchase Shares as DWAC Shares and pay cash to the Investor in an amount equal to the excess (if any) of the Cover Price over the total Purchase Amount paid by the Investor pursuant to this Agreement for all of the Purchase Shares to be purchased by the Investor in connection with such purchases. The Company shall not issue any fraction of a share of Common Stock upon the Initial Purchase or any Regular Purchase, Accelerated Purchase or Additional Accelerated Purchase. If the issuance would result in the issuance of a fraction of a share of Common Stock, the Company shall round such fraction of a share of Common Stock up or down to the nearest whole share. All payments made under this Agreement shall be made in lawful money of the United States of America or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12" w:right="339" w:bottom="1440" w:gutter="0" w:footer="0" w:header="0"/>
        </w:sectPr>
      </w:pPr>
    </w:p>
    <w:bookmarkStart w:id="11" w:name="page12"/>
    <w:bookmarkEnd w:id="11"/>
    <w:p>
      <w:pPr>
        <w:ind w:right="80" w:firstLine="656"/>
        <w:spacing w:after="0" w:line="285" w:lineRule="auto"/>
        <w:tabs>
          <w:tab w:leader="none" w:pos="139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Compliance with Principal Market Rules</w:t>
      </w:r>
      <w:r>
        <w:rPr>
          <w:rFonts w:ascii="Arial" w:cs="Arial" w:eastAsia="Arial" w:hAnsi="Arial"/>
          <w:sz w:val="16"/>
          <w:szCs w:val="16"/>
          <w:color w:val="auto"/>
        </w:rPr>
        <w:t xml:space="preserve">. Notwithstanding anything in this Agreement to the contrary, and in addition to the limitations set forth in </w:t>
      </w:r>
      <w:r>
        <w:rPr>
          <w:rFonts w:ascii="Arial" w:cs="Arial" w:eastAsia="Arial" w:hAnsi="Arial"/>
          <w:sz w:val="16"/>
          <w:szCs w:val="16"/>
          <w:u w:val="single" w:color="auto"/>
          <w:color w:val="auto"/>
        </w:rPr>
        <w:t>Section 2(g)</w:t>
      </w:r>
      <w:r>
        <w:rPr>
          <w:rFonts w:ascii="Arial" w:cs="Arial" w:eastAsia="Arial" w:hAnsi="Arial"/>
          <w:sz w:val="16"/>
          <w:szCs w:val="16"/>
          <w:color w:val="auto"/>
        </w:rPr>
        <w:t>, the Company shall not issue more than 9,592,607 shares (including the Commitment Shares) of Common Stock (the “</w:t>
      </w:r>
      <w:r>
        <w:rPr>
          <w:rFonts w:ascii="Arial" w:cs="Arial" w:eastAsia="Arial" w:hAnsi="Arial"/>
          <w:sz w:val="16"/>
          <w:szCs w:val="16"/>
          <w:u w:val="single" w:color="auto"/>
          <w:color w:val="auto"/>
        </w:rPr>
        <w:t>Exchange Cap</w:t>
      </w:r>
      <w:r>
        <w:rPr>
          <w:rFonts w:ascii="Arial" w:cs="Arial" w:eastAsia="Arial" w:hAnsi="Arial"/>
          <w:sz w:val="16"/>
          <w:szCs w:val="16"/>
          <w:color w:val="auto"/>
        </w:rPr>
        <w:t xml:space="preserve">”) under this Agreement, which equals 19.99% of the Company’s outstanding shares of Common Stock as of the date hereof, unless stockholder approval is obtained to issue in excess of the Exchange 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limitation shall not apply if at any time the Exchange Cap is reached and at all times thereafter the average price paid for all shares of Common Stock issued under this Agreement is equal to or greater than $0.3557 (the “</w:t>
      </w:r>
      <w:r>
        <w:rPr>
          <w:rFonts w:ascii="Arial" w:cs="Arial" w:eastAsia="Arial" w:hAnsi="Arial"/>
          <w:sz w:val="16"/>
          <w:szCs w:val="16"/>
          <w:u w:val="single" w:color="auto"/>
          <w:color w:val="auto"/>
        </w:rPr>
        <w:t>Minimum Price</w:t>
      </w:r>
      <w:r>
        <w:rPr>
          <w:rFonts w:ascii="Arial" w:cs="Arial" w:eastAsia="Arial" w:hAnsi="Arial"/>
          <w:sz w:val="16"/>
          <w:szCs w:val="16"/>
          <w:color w:val="auto"/>
        </w:rPr>
        <w:t>”), a price equal to the lower of (i) the Nasdaq Official Closing Price immediately preceding the execution of this Agreement or (ii) the arithmetic average of the five (5) Nasdaq Official Closing Prices for the Common Stock immediately preceding the execution of this Agreement, as calculated in accordance with the rules of the Principal Market (in such circumstance, for purposes of the Principal Market, the transaction contemplated hereby would not be “below market” and the Exchange Cap would not apply). Notwithstanding the foregoing, the Company shall not be required or permitted to issue, and the Buyer shall not be required to purchase, any shares of Common Stock under this Agreement if such issuance would violate the rules or regulations of the Principal Market. The Company may, in its sole discretion, determine whether to obtain stockholder approval to issue more than 19.99% of its outstanding shares of Common Stock hereunder if such issuance would require stockholder approval under the rules or regulations of the Principal Market. The Exchange Cap shall be reduced, on a share-for-share basis, by the number of shares of Common Stock issued or issuable that may be aggregated with the transactions contemplated by this Agreement under applicable rules of the Principal Market.</w:t>
      </w:r>
    </w:p>
    <w:p>
      <w:pPr>
        <w:spacing w:after="0" w:line="113" w:lineRule="exact"/>
        <w:rPr>
          <w:rFonts w:ascii="Arial" w:cs="Arial" w:eastAsia="Arial" w:hAnsi="Arial"/>
          <w:sz w:val="16"/>
          <w:szCs w:val="16"/>
          <w:color w:val="auto"/>
        </w:rPr>
      </w:pPr>
    </w:p>
    <w:p>
      <w:pPr>
        <w:jc w:val="both"/>
        <w:ind w:firstLine="656"/>
        <w:spacing w:after="0" w:line="290" w:lineRule="auto"/>
        <w:tabs>
          <w:tab w:leader="none" w:pos="145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xml:space="preserve"> Notwithstanding anything to the contrary contained in this Agreement, the Company shall not issue or sell, and the Investor shall not purchase or acquire, any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of more than 9.99% of the then issued and outstanding shares of Common Stock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Upon the written or oral request of the Investor, the Company shall promptly (but not later than twenty-four (24) hours) confirm orally or in writing to the Investor the amount of Common Stock then outstanding. The Investor and the Company shall each cooperate in good faith in the determinations required hereby and the application hereof.</w:t>
      </w:r>
    </w:p>
    <w:p>
      <w:pPr>
        <w:spacing w:after="0" w:line="131" w:lineRule="exact"/>
        <w:rPr>
          <w:rFonts w:ascii="Arial" w:cs="Arial" w:eastAsia="Arial" w:hAnsi="Arial"/>
          <w:sz w:val="16"/>
          <w:szCs w:val="16"/>
          <w:color w:val="auto"/>
        </w:rPr>
      </w:pPr>
    </w:p>
    <w:p>
      <w:pPr>
        <w:ind w:firstLine="656"/>
        <w:spacing w:after="0" w:line="294" w:lineRule="auto"/>
        <w:tabs>
          <w:tab w:leader="none" w:pos="106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Excess Share Limitation.</w:t>
      </w:r>
      <w:r>
        <w:rPr>
          <w:rFonts w:ascii="Arial" w:cs="Arial" w:eastAsia="Arial" w:hAnsi="Arial"/>
          <w:sz w:val="16"/>
          <w:szCs w:val="16"/>
          <w:color w:val="auto"/>
        </w:rPr>
        <w:t xml:space="preserve"> If the Company delivers any Purchase Notice for a Purchase Amount in excess of the limitations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such Purchase Notice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to the extent of the amount by which the number of Purchase Shares set forth in such Purchase Notice exceeds the number of Purchase Shares which the Company is permitted to include in such Purchase Notice in accordance herewith, and the Investor shall have no obligation to purchase such excess Purchase Shares with respect to such Purchase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Investor shall remain obligated to purchase the number of Purchase Shares which the Company is permitted to include in such Purchase Notice.</w:t>
      </w:r>
    </w:p>
    <w:p>
      <w:pPr>
        <w:spacing w:after="0" w:line="196" w:lineRule="exact"/>
        <w:rPr>
          <w:rFonts w:ascii="Arial" w:cs="Arial" w:eastAsia="Arial" w:hAnsi="Arial"/>
          <w:sz w:val="16"/>
          <w:szCs w:val="16"/>
          <w:color w:val="auto"/>
        </w:rPr>
      </w:pPr>
    </w:p>
    <w:p>
      <w:pPr>
        <w:ind w:right="420" w:firstLine="656"/>
        <w:spacing w:after="0" w:line="369" w:lineRule="auto"/>
        <w:tabs>
          <w:tab w:leader="none" w:pos="103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Adjustments for Shares</w:t>
      </w:r>
      <w:r>
        <w:rPr>
          <w:rFonts w:ascii="Arial" w:cs="Arial" w:eastAsia="Arial" w:hAnsi="Arial"/>
          <w:sz w:val="15"/>
          <w:szCs w:val="15"/>
          <w:color w:val="auto"/>
        </w:rPr>
        <w:t xml:space="preserve">. All share-related numbers contained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be adjusted to take into account any reorganization, recapitalization, non-cash dividend, stock split or other similar transaction effected with respect to the Common Stock except as specifically stated herein.</w:t>
      </w:r>
    </w:p>
    <w:p>
      <w:pPr>
        <w:spacing w:after="0" w:line="139" w:lineRule="exact"/>
        <w:rPr>
          <w:sz w:val="20"/>
          <w:szCs w:val="20"/>
          <w:color w:val="auto"/>
        </w:rPr>
      </w:pPr>
    </w:p>
    <w:p>
      <w:pPr>
        <w:ind w:left="1280" w:hanging="624"/>
        <w:spacing w:after="0"/>
        <w:tabs>
          <w:tab w:leader="none" w:pos="1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INVESTOR'S REPRESENTATIONS AND WARRANTIES.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Investor represents and warrants to the Company that as of the date hereof and as of the Commencement Date:</w:t>
      </w:r>
    </w:p>
    <w:p>
      <w:pPr>
        <w:spacing w:after="0" w:line="185" w:lineRule="exact"/>
        <w:rPr>
          <w:sz w:val="20"/>
          <w:szCs w:val="20"/>
          <w:color w:val="auto"/>
        </w:rPr>
      </w:pPr>
    </w:p>
    <w:p>
      <w:pPr>
        <w:jc w:val="both"/>
        <w:ind w:firstLine="656"/>
        <w:spacing w:after="0" w:line="259" w:lineRule="auto"/>
        <w:tabs>
          <w:tab w:leader="none" w:pos="105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The Investor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w:t>
      </w:r>
    </w:p>
    <w:p>
      <w:pPr>
        <w:spacing w:after="0" w:line="153" w:lineRule="exact"/>
        <w:rPr>
          <w:rFonts w:ascii="Arial" w:cs="Arial" w:eastAsia="Arial" w:hAnsi="Arial"/>
          <w:sz w:val="18"/>
          <w:szCs w:val="18"/>
          <w:color w:val="auto"/>
        </w:rPr>
      </w:pPr>
    </w:p>
    <w:p>
      <w:pPr>
        <w:jc w:val="both"/>
        <w:ind w:firstLine="656"/>
        <w:spacing w:after="0" w:line="253" w:lineRule="auto"/>
        <w:tabs>
          <w:tab w:leader="none" w:pos="108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Investor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Investor’s right to sell the Securities at any time pursuant to the Registration Statement described herein or otherwise in compliance with applicable federal and state securities laws). The Investor is acquiring the Securities hereunder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2" w:name="page13"/>
    <w:bookmarkEnd w:id="12"/>
    <w:p>
      <w:pPr>
        <w:ind w:right="20" w:firstLine="656"/>
        <w:spacing w:after="0" w:line="268" w:lineRule="auto"/>
        <w:tabs>
          <w:tab w:leader="none" w:pos="142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The Investor is an "accredited investor" as that term is defined in Rule 501(a)(3) of Regulation D promulgated under the Securities Act.</w:t>
      </w:r>
    </w:p>
    <w:p>
      <w:pPr>
        <w:spacing w:after="0" w:line="185" w:lineRule="exact"/>
        <w:rPr>
          <w:rFonts w:ascii="Arial" w:cs="Arial" w:eastAsia="Arial" w:hAnsi="Arial"/>
          <w:sz w:val="18"/>
          <w:szCs w:val="18"/>
          <w:color w:val="auto"/>
        </w:rPr>
      </w:pPr>
    </w:p>
    <w:p>
      <w:pPr>
        <w:jc w:val="both"/>
        <w:ind w:firstLine="656"/>
        <w:spacing w:after="0" w:line="298" w:lineRule="auto"/>
        <w:tabs>
          <w:tab w:leader="none" w:pos="137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Reliance on Exemptions</w:t>
      </w:r>
      <w:r>
        <w:rPr>
          <w:rFonts w:ascii="Arial" w:cs="Arial" w:eastAsia="Arial" w:hAnsi="Arial"/>
          <w:sz w:val="16"/>
          <w:szCs w:val="16"/>
          <w:color w:val="auto"/>
        </w:rPr>
        <w:t>. The Investor understands that the Securities may be offered and sold to it in reliance on specific exemptions from the registration requirements of United States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w:t>
      </w:r>
    </w:p>
    <w:p>
      <w:pPr>
        <w:spacing w:after="0" w:line="166" w:lineRule="exact"/>
        <w:rPr>
          <w:rFonts w:ascii="Arial" w:cs="Arial" w:eastAsia="Arial" w:hAnsi="Arial"/>
          <w:sz w:val="16"/>
          <w:szCs w:val="16"/>
          <w:color w:val="auto"/>
        </w:rPr>
      </w:pPr>
    </w:p>
    <w:p>
      <w:pPr>
        <w:jc w:val="both"/>
        <w:ind w:firstLine="656"/>
        <w:spacing w:after="0" w:line="290" w:lineRule="auto"/>
        <w:tabs>
          <w:tab w:leader="none" w:pos="1352"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The Investor understands that its investment in the Securities involves a high degree of risk. The Investor (i) is able to bear the economic risk of an investment in the Securities including a total loss thereof,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Investor or its representatives shall modify, amend or affect the Investor's right to rely on the Company's representations and warranties contained in Section 4 below. The Investor has sought such accounting, legal and tax advice as it has considered necessary to make an informed investment decision with respect to its acquisition of the Securities.</w:t>
      </w:r>
    </w:p>
    <w:p>
      <w:pPr>
        <w:spacing w:after="0" w:line="171" w:lineRule="exact"/>
        <w:rPr>
          <w:rFonts w:ascii="Arial" w:cs="Arial" w:eastAsia="Arial" w:hAnsi="Arial"/>
          <w:sz w:val="16"/>
          <w:szCs w:val="16"/>
          <w:color w:val="auto"/>
        </w:rPr>
      </w:pPr>
    </w:p>
    <w:p>
      <w:pPr>
        <w:jc w:val="both"/>
        <w:ind w:firstLine="656"/>
        <w:spacing w:after="0" w:line="259" w:lineRule="auto"/>
        <w:tabs>
          <w:tab w:leader="none" w:pos="137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Investor understands that no U.S. federal or state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w:t>
      </w:r>
    </w:p>
    <w:p>
      <w:pPr>
        <w:spacing w:after="0" w:line="193" w:lineRule="exact"/>
        <w:rPr>
          <w:rFonts w:ascii="Arial" w:cs="Arial" w:eastAsia="Arial" w:hAnsi="Arial"/>
          <w:sz w:val="18"/>
          <w:szCs w:val="18"/>
          <w:color w:val="auto"/>
        </w:rPr>
      </w:pPr>
    </w:p>
    <w:p>
      <w:pPr>
        <w:jc w:val="both"/>
        <w:ind w:firstLine="656"/>
        <w:spacing w:after="0" w:line="254" w:lineRule="auto"/>
        <w:tabs>
          <w:tab w:leader="none" w:pos="153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Transfer or Sale</w:t>
      </w:r>
      <w:r>
        <w:rPr>
          <w:rFonts w:ascii="Arial" w:cs="Arial" w:eastAsia="Arial" w:hAnsi="Arial"/>
          <w:sz w:val="18"/>
          <w:szCs w:val="18"/>
          <w:color w:val="auto"/>
        </w:rPr>
        <w:t>. The Investor understands that (i) the Securities may not be offered for sale, sold, assigned or transferred unless (A) registered pursuant to the Securities Act or (B) an exemption exists permitting such Securities to be offered, sold, assigned or transferred without such registration;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97" w:lineRule="exact"/>
        <w:rPr>
          <w:rFonts w:ascii="Arial" w:cs="Arial" w:eastAsia="Arial" w:hAnsi="Arial"/>
          <w:sz w:val="18"/>
          <w:szCs w:val="18"/>
          <w:color w:val="auto"/>
        </w:rPr>
      </w:pPr>
    </w:p>
    <w:p>
      <w:pPr>
        <w:jc w:val="both"/>
        <w:ind w:firstLine="656"/>
        <w:spacing w:after="0" w:line="256" w:lineRule="auto"/>
        <w:tabs>
          <w:tab w:leader="none" w:pos="134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Investor is a resident of the State of Illinois.</w:t>
      </w:r>
    </w:p>
    <w:p>
      <w:pPr>
        <w:spacing w:after="0" w:line="225" w:lineRule="exact"/>
        <w:rPr>
          <w:rFonts w:ascii="Arial" w:cs="Arial" w:eastAsia="Arial" w:hAnsi="Arial"/>
          <w:sz w:val="18"/>
          <w:szCs w:val="18"/>
          <w:color w:val="auto"/>
        </w:rPr>
      </w:pPr>
    </w:p>
    <w:p>
      <w:pPr>
        <w:jc w:val="both"/>
        <w:ind w:firstLine="656"/>
        <w:spacing w:after="0" w:line="256" w:lineRule="auto"/>
        <w:tabs>
          <w:tab w:leader="none" w:pos="140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Short Selling</w:t>
      </w:r>
      <w:r>
        <w:rPr>
          <w:rFonts w:ascii="Arial" w:cs="Arial" w:eastAsia="Arial" w:hAnsi="Arial"/>
          <w:sz w:val="18"/>
          <w:szCs w:val="18"/>
          <w:color w:val="auto"/>
        </w:rPr>
        <w:t>. The Investor represents and warrants to the Company that at no time prior to the date of this Agreement has any of the Investor, its agents, representatives or affiliates engaged in or effected, in any manner whatsoever, directly or indirectly, any (i) "short sale" (as such term is defined in Rule 200 of Regulation SHO of the Exchange Act) of the Common Stock or (ii) hedging transaction, which establishes a net short position with respect to the Common Stock.</w:t>
      </w:r>
    </w:p>
    <w:p>
      <w:pPr>
        <w:spacing w:after="0" w:line="196" w:lineRule="exact"/>
        <w:rPr>
          <w:rFonts w:ascii="Arial" w:cs="Arial" w:eastAsia="Arial" w:hAnsi="Arial"/>
          <w:sz w:val="18"/>
          <w:szCs w:val="18"/>
          <w:color w:val="auto"/>
        </w:rPr>
      </w:pPr>
    </w:p>
    <w:p>
      <w:pPr>
        <w:jc w:val="both"/>
        <w:ind w:firstLine="656"/>
        <w:spacing w:after="0" w:line="259" w:lineRule="auto"/>
        <w:tabs>
          <w:tab w:leader="none" w:pos="136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The Investor is an entity duly organized, validly existing and in good standing under the laws of the jurisdiction of its organization, with the requisite power and authority to enter into and to consummate the transactions contemplated by this Agreement and otherwise to carry out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 w:name="page14"/>
    <w:bookmarkEnd w:id="13"/>
    <w:p>
      <w:pPr>
        <w:ind w:left="1280" w:hanging="624"/>
        <w:spacing w:after="0"/>
        <w:tabs>
          <w:tab w:leader="none" w:pos="1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represents and warrants to the Investor that, except as set forth in the disclosure schedules attached hereto or as disclosed in the SEC Documents (as defined below), which disclosures shall be deemed to be a part of the representations and warranties made hereunder, as of the date hereof and as of the Commencement Date:</w:t>
      </w:r>
    </w:p>
    <w:p>
      <w:pPr>
        <w:spacing w:after="0" w:line="194" w:lineRule="exact"/>
        <w:rPr>
          <w:sz w:val="20"/>
          <w:szCs w:val="20"/>
          <w:color w:val="auto"/>
        </w:rPr>
      </w:pPr>
    </w:p>
    <w:p>
      <w:pPr>
        <w:jc w:val="both"/>
        <w:ind w:firstLine="656"/>
        <w:spacing w:after="0" w:line="288" w:lineRule="auto"/>
        <w:tabs>
          <w:tab w:leader="none" w:pos="144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of its Subsidiaries is in violation or default of any of the provisions of its respective articles or certificate of incorporation, bylaws or other organizational or charter documents.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no Subsidiaries except as set disclosed in the SEC Documents.</w:t>
      </w:r>
    </w:p>
    <w:p>
      <w:pPr>
        <w:spacing w:after="0" w:line="172" w:lineRule="exact"/>
        <w:rPr>
          <w:rFonts w:ascii="Arial" w:cs="Arial" w:eastAsia="Arial" w:hAnsi="Arial"/>
          <w:sz w:val="16"/>
          <w:szCs w:val="16"/>
          <w:color w:val="auto"/>
        </w:rPr>
      </w:pPr>
    </w:p>
    <w:p>
      <w:pPr>
        <w:jc w:val="both"/>
        <w:ind w:firstLine="656"/>
        <w:spacing w:after="0" w:line="284" w:lineRule="auto"/>
        <w:tabs>
          <w:tab w:leader="none" w:pos="156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xml:space="preserve">. (i) The Company has the requisite corporate power and authority to enter into and perform its obligations under this Agreement and each of the Transaction Documents, and to issue the Securities in accordance with the terms hereof and thereof, (ii) the execution and delivery of the Transaction Documents by the Company and the consummation by it of the transactions contemplated hereby and thereby, including without limitation, the issuance of the Commitment Shares as defined below in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and the Initial Purchase Shares and the reservation for issuance and the issuance of the Purchase Shares issuable under this Agreement, have been duly authorized by the Company's Board of Directors and no further consent or authorization is required by the Company, its Board of Directors or its stockholders (except as provided in this Agreement), (iii) each of this Agreement and the Registration Rights Agreement has been, and each other Transaction Document shall be on the Commencement Date, duly executed and delivered by the Company, and (iv) each of this Agreement and the Registration Rights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of the Company has approved of resolutions (the “</w:t>
      </w:r>
      <w:r>
        <w:rPr>
          <w:rFonts w:ascii="Arial" w:cs="Arial" w:eastAsia="Arial" w:hAnsi="Arial"/>
          <w:sz w:val="16"/>
          <w:szCs w:val="16"/>
          <w:u w:val="single" w:color="auto"/>
          <w:color w:val="auto"/>
        </w:rPr>
        <w:t>Signing Resolutions</w:t>
      </w:r>
      <w:r>
        <w:rPr>
          <w:rFonts w:ascii="Arial" w:cs="Arial" w:eastAsia="Arial" w:hAnsi="Arial"/>
          <w:sz w:val="16"/>
          <w:szCs w:val="16"/>
          <w:color w:val="auto"/>
        </w:rPr>
        <w:t>”), a copy of which has been provided to the Investor, authorizing this Agreement, the Registration Rights Agreement and the transactions contemplated hereby. The Signing Resolutions are valid, in full force and effect and have not been modified or supplemented in any respect. The Company has delivered to the Investor a true and correct copy of a unanimous written consent adopting the Signing Resolutions executed by all of the members of the Board of Directors of the Company. Except as set forth in this Agreement, no other approvals or consents of the Company’s Board of Directors, any authorized committee thereof, and/or stockholders is necessary under Applicable Laws and the Articles of Incorporation or Bylaws to authorize the execution and delivery of the Transaction Documents or any of the transactions contemplated thereby, including, but not limited to, the issuance of the Commitment Shares and the issuance of the Purchase Shares.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ind w:firstLine="656"/>
        <w:spacing w:after="0" w:line="284" w:lineRule="auto"/>
        <w:tabs>
          <w:tab w:leader="none" w:pos="1339"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As of the date hereof, the authorized capital stock of the Company is set forth in </w:t>
      </w:r>
      <w:r>
        <w:rPr>
          <w:rFonts w:ascii="Arial" w:cs="Arial" w:eastAsia="Arial" w:hAnsi="Arial"/>
          <w:sz w:val="16"/>
          <w:szCs w:val="16"/>
          <w:u w:val="single" w:color="auto"/>
          <w:color w:val="auto"/>
        </w:rPr>
        <w:t>Schedule 4</w:t>
      </w:r>
      <w:r>
        <w:rPr>
          <w:rFonts w:ascii="Arial" w:cs="Arial" w:eastAsia="Arial" w:hAnsi="Arial"/>
          <w:sz w:val="16"/>
          <w:szCs w:val="16"/>
          <w:color w:val="auto"/>
        </w:rPr>
        <w:t>(</w:t>
      </w:r>
      <w:r>
        <w:rPr>
          <w:rFonts w:ascii="Arial" w:cs="Arial" w:eastAsia="Arial" w:hAnsi="Arial"/>
          <w:sz w:val="16"/>
          <w:szCs w:val="16"/>
          <w:u w:val="single" w:color="auto"/>
          <w:color w:val="auto"/>
        </w:rPr>
        <w:t>c</w:t>
      </w:r>
      <w:r>
        <w:rPr>
          <w:rFonts w:ascii="Arial" w:cs="Arial" w:eastAsia="Arial" w:hAnsi="Arial"/>
          <w:sz w:val="16"/>
          <w:szCs w:val="16"/>
          <w:color w:val="auto"/>
        </w:rPr>
        <w:t>) hereof. Except as disclosed in the SEC Documents (as defined below), (i) no shares of the Company’s capital stock are subject to preemptive rights or any other similar rights or any liens, encumbrances and defects (“</w:t>
      </w:r>
      <w:r>
        <w:rPr>
          <w:rFonts w:ascii="Arial" w:cs="Arial" w:eastAsia="Arial" w:hAnsi="Arial"/>
          <w:sz w:val="16"/>
          <w:szCs w:val="16"/>
          <w:u w:val="single" w:color="auto"/>
          <w:color w:val="auto"/>
        </w:rPr>
        <w:t>Liens</w:t>
      </w:r>
      <w:r>
        <w:rPr>
          <w:rFonts w:ascii="Arial" w:cs="Arial" w:eastAsia="Arial" w:hAnsi="Arial"/>
          <w:sz w:val="16"/>
          <w:szCs w:val="16"/>
          <w:color w:val="auto"/>
        </w:rPr>
        <w:t>”)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there are no agreements or arrangements under which the Company or any of its Subsidiaries is obligated to register the sale of any of their securities under the Securities Act (except the Registration Rights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to the Investor true and correct copies of the Company's Restated and Amended Articles of Incorporation, as amended and as in effect on the date hereof (the "</w:t>
      </w:r>
      <w:r>
        <w:rPr>
          <w:rFonts w:ascii="Arial" w:cs="Arial" w:eastAsia="Arial" w:hAnsi="Arial"/>
          <w:sz w:val="16"/>
          <w:szCs w:val="16"/>
          <w:u w:val="single" w:color="auto"/>
          <w:color w:val="auto"/>
        </w:rPr>
        <w:t>Articles of Incorporation</w:t>
      </w:r>
      <w:r>
        <w:rPr>
          <w:rFonts w:ascii="Arial" w:cs="Arial" w:eastAsia="Arial" w:hAnsi="Arial"/>
          <w:sz w:val="16"/>
          <w:szCs w:val="16"/>
          <w:color w:val="auto"/>
        </w:rPr>
        <w:t>"), and the Company's Amended and Restated Bylaws, as amended and as in effect on the date hereof (the "</w:t>
      </w:r>
      <w:r>
        <w:rPr>
          <w:rFonts w:ascii="Arial" w:cs="Arial" w:eastAsia="Arial" w:hAnsi="Arial"/>
          <w:sz w:val="16"/>
          <w:szCs w:val="16"/>
          <w:u w:val="single" w:color="auto"/>
          <w:color w:val="auto"/>
        </w:rPr>
        <w:t>Bylaws</w:t>
      </w:r>
      <w:r>
        <w:rPr>
          <w:rFonts w:ascii="Arial" w:cs="Arial" w:eastAsia="Arial" w:hAnsi="Arial"/>
          <w:sz w:val="16"/>
          <w:szCs w:val="16"/>
          <w:color w:val="auto"/>
        </w:rPr>
        <w:t>"), summaries of the terms of all securities convertible into or exercisable for Common Stock, if any, and copies of any documents containing the material rights of the holders thereof in respect thereto.</w:t>
      </w:r>
    </w:p>
    <w:p>
      <w:pPr>
        <w:spacing w:after="0" w:line="186" w:lineRule="exact"/>
        <w:rPr>
          <w:rFonts w:ascii="Arial" w:cs="Arial" w:eastAsia="Arial" w:hAnsi="Arial"/>
          <w:sz w:val="16"/>
          <w:szCs w:val="16"/>
          <w:color w:val="auto"/>
        </w:rPr>
      </w:pPr>
    </w:p>
    <w:p>
      <w:pPr>
        <w:jc w:val="both"/>
        <w:ind w:firstLine="656"/>
        <w:spacing w:after="0" w:line="288" w:lineRule="auto"/>
        <w:tabs>
          <w:tab w:leader="none" w:pos="143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Issuance of Securities</w:t>
      </w:r>
      <w:r>
        <w:rPr>
          <w:rFonts w:ascii="Arial" w:cs="Arial" w:eastAsia="Arial" w:hAnsi="Arial"/>
          <w:sz w:val="16"/>
          <w:szCs w:val="16"/>
          <w:color w:val="auto"/>
        </w:rPr>
        <w:t xml:space="preserve">. Upon issuance and payment therefor in accordance with the terms and conditions of this Agreement, the Purchase Shares shall be validly issued, fully paid and nonassessable and free from all taxes, Liens, charges, restrictions, rights of first refusal and preemptive rights with respect to the issue thereof, with the holders being entitled to all rights accorded to a holder of Common Stock. Eight Million Seven Hundred Fifty Thousand (8,750,000) shares of Common Stock have been duly authorized and reserved for issuance upon purchase under this Agreement as Purchase Shares (excluding the Initial Purchase Shares). Seven Hundred Fifty Thousand (750,000) shares of Common Stock have been duly authorized and reserved for issuance as Commitment Shares (as defined below in </w:t>
      </w:r>
      <w:r>
        <w:rPr>
          <w:rFonts w:ascii="Arial" w:cs="Arial" w:eastAsia="Arial" w:hAnsi="Arial"/>
          <w:sz w:val="16"/>
          <w:szCs w:val="16"/>
          <w:u w:val="single" w:color="auto"/>
          <w:color w:val="auto"/>
        </w:rPr>
        <w:t>Section 5(e)</w:t>
      </w:r>
      <w:r>
        <w:rPr>
          <w:rFonts w:ascii="Arial" w:cs="Arial" w:eastAsia="Arial" w:hAnsi="Arial"/>
          <w:sz w:val="16"/>
          <w:szCs w:val="16"/>
          <w:color w:val="auto"/>
        </w:rPr>
        <w:t>) in accordance with this Agreement. The Commitment Shares shall be validly issued, fully paid and nonassessable and free from all taxes, liens, charges, restrictions, rights of first refusal and preemptive rights with respect to the issue thereof, with the holders being entitled to all rights accorded to a holder of Common Stock.</w:t>
      </w:r>
    </w:p>
    <w:p>
      <w:pPr>
        <w:spacing w:after="0" w:line="177" w:lineRule="exact"/>
        <w:rPr>
          <w:rFonts w:ascii="Arial" w:cs="Arial" w:eastAsia="Arial" w:hAnsi="Arial"/>
          <w:sz w:val="16"/>
          <w:szCs w:val="16"/>
          <w:color w:val="auto"/>
        </w:rPr>
      </w:pPr>
    </w:p>
    <w:p>
      <w:pPr>
        <w:jc w:val="both"/>
        <w:ind w:firstLine="656"/>
        <w:spacing w:after="0" w:line="284" w:lineRule="auto"/>
        <w:tabs>
          <w:tab w:leader="none" w:pos="152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consummation by the Company of the transactions contemplated hereby and thereby (including, without limitation, the reservation for issuance and the issuance of the Purchase Shares and the Commitment Shares) will not (i) result in a violation of the Articles of Incorporation (including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Neither the Company nor any Subsidiary is in violation or default of or under (i) any provision of the Articles of Incorporation or Bylaws or under its respective certificate or articles of incorporation, any certificate of designation, preferences and rights of any outstanding series of preferred stock, organizational charter or bylaws, respectively, (ii) the terms of any indenture, contract, lease, mortgage, deed of trust, note agreement, loan agreement or other agreement, obligation, condition, covenant or instrument to which it is a party or bound or to which its property is subject, or (iii) any judgment, order or decree of any court, regulatory body, administrative agency, governmental body, arbitrator or other authority having jurisdiction over the Company or any of its properties, which, in the case of clauses (ii) or (iii), could be reasonably expected to have a Material Adverse Effect. Except as specifically contemplated by this Agreement and as required under the Securities Act or applicable state securities laws and the rules and regulations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Commencement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5" w:name="page16"/>
    <w:bookmarkEnd w:id="15"/>
    <w:p>
      <w:pPr>
        <w:jc w:val="both"/>
        <w:ind w:firstLine="656"/>
        <w:spacing w:after="0" w:line="285" w:lineRule="auto"/>
        <w:tabs>
          <w:tab w:leader="none" w:pos="133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24 months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6"/>
          <w:szCs w:val="16"/>
          <w:u w:val="single" w:color="auto"/>
          <w:color w:val="auto"/>
        </w:rPr>
        <w:t>SEC Documents</w:t>
      </w:r>
      <w:r>
        <w:rPr>
          <w:rFonts w:ascii="Arial" w:cs="Arial" w:eastAsia="Arial" w:hAnsi="Arial"/>
          <w:sz w:val="16"/>
          <w:szCs w:val="16"/>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Except as set forth in the SEC Documents, the Company has received no notices or correspondence from the SEC for the one year preceding the date hereof. The SEC has not commenced any enforcement proceedings against the Company or any of its Subsidiaries.</w:t>
      </w:r>
    </w:p>
    <w:p>
      <w:pPr>
        <w:spacing w:after="0" w:line="176" w:lineRule="exact"/>
        <w:rPr>
          <w:rFonts w:ascii="Arial" w:cs="Arial" w:eastAsia="Arial" w:hAnsi="Arial"/>
          <w:sz w:val="16"/>
          <w:szCs w:val="16"/>
          <w:color w:val="auto"/>
        </w:rPr>
      </w:pPr>
    </w:p>
    <w:p>
      <w:pPr>
        <w:jc w:val="both"/>
        <w:ind w:firstLine="656"/>
        <w:spacing w:after="0" w:line="298" w:lineRule="auto"/>
        <w:tabs>
          <w:tab w:leader="none" w:pos="147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disclosed in the SEC Documents, since December 31, 2019, there has been no material adverse change in the business, properties, operations, financial condition or results of operations of the Company or its Subsidiaries.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w:t>
      </w:r>
    </w:p>
    <w:p>
      <w:pPr>
        <w:spacing w:after="0" w:line="166" w:lineRule="exact"/>
        <w:rPr>
          <w:rFonts w:ascii="Arial" w:cs="Arial" w:eastAsia="Arial" w:hAnsi="Arial"/>
          <w:sz w:val="16"/>
          <w:szCs w:val="16"/>
          <w:color w:val="auto"/>
        </w:rPr>
      </w:pPr>
    </w:p>
    <w:p>
      <w:pPr>
        <w:jc w:val="both"/>
        <w:ind w:firstLine="656"/>
        <w:spacing w:after="0" w:line="256" w:lineRule="auto"/>
        <w:tabs>
          <w:tab w:leader="none" w:pos="133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is no action, suit, proceeding, inquiry or investigation before or by any court, public board, government agency, self-regulatory organization or body pending or, to the knowledge of the Company or any of its Subsidiaries, threatened against or affecting the Company, the Common Stock or any of the Company's or its Subsidiaries' officers or directors in their capacities as such, which could reasonably be expected to have a Material Adverse Effect.</w:t>
      </w:r>
    </w:p>
    <w:p>
      <w:pPr>
        <w:spacing w:after="0" w:line="196" w:lineRule="exact"/>
        <w:rPr>
          <w:rFonts w:ascii="Arial" w:cs="Arial" w:eastAsia="Arial" w:hAnsi="Arial"/>
          <w:sz w:val="18"/>
          <w:szCs w:val="18"/>
          <w:color w:val="auto"/>
        </w:rPr>
      </w:pPr>
    </w:p>
    <w:p>
      <w:pPr>
        <w:jc w:val="both"/>
        <w:ind w:firstLine="656"/>
        <w:spacing w:after="0" w:line="290" w:lineRule="auto"/>
        <w:tabs>
          <w:tab w:leader="none" w:pos="139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Investor's Status</w:t>
      </w:r>
      <w:r>
        <w:rPr>
          <w:rFonts w:ascii="Arial" w:cs="Arial" w:eastAsia="Arial" w:hAnsi="Arial"/>
          <w:sz w:val="16"/>
          <w:szCs w:val="16"/>
          <w:color w:val="auto"/>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further represents to the Investor that the Company's decision to enter into the Transaction Documents has been based solely on the independent evaluation by the Company and its representatives and advisors.</w:t>
      </w:r>
    </w:p>
    <w:p>
      <w:pPr>
        <w:spacing w:after="0" w:line="171" w:lineRule="exact"/>
        <w:rPr>
          <w:rFonts w:ascii="Arial" w:cs="Arial" w:eastAsia="Arial" w:hAnsi="Arial"/>
          <w:sz w:val="16"/>
          <w:szCs w:val="16"/>
          <w:color w:val="auto"/>
        </w:rPr>
      </w:pPr>
    </w:p>
    <w:p>
      <w:pPr>
        <w:jc w:val="both"/>
        <w:ind w:firstLine="656"/>
        <w:spacing w:after="0" w:line="298" w:lineRule="auto"/>
        <w:tabs>
          <w:tab w:leader="none" w:pos="131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 Aggregated Offering</w:t>
      </w:r>
      <w:r>
        <w:rPr>
          <w:rFonts w:ascii="Arial" w:cs="Arial" w:eastAsia="Arial" w:hAnsi="Arial"/>
          <w:sz w:val="16"/>
          <w:szCs w:val="16"/>
          <w:color w:val="auto"/>
        </w:rPr>
        <w:t>. Neither the Company, nor any of its affiliates, nor any Person acting on its or their behalf has, directly or indirectly, made any offers or sales of any security or solicited any offers to buy any security, under circumstances that would cause the transactions contemplated hereby to be integrated or aggregated with prior offerings by the Company in a manner that would require stockholder approval pursuant to the rules of the Principal Market on which any of the securities of the Company are listed or designated.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p>
      <w:pPr>
        <w:jc w:val="both"/>
        <w:ind w:firstLine="656"/>
        <w:spacing w:after="0" w:line="286" w:lineRule="auto"/>
        <w:tabs>
          <w:tab w:leader="none" w:pos="143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this Agreement.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could reasonably be expected to have a Material Adverse Effect.</w:t>
      </w:r>
    </w:p>
    <w:p>
      <w:pPr>
        <w:spacing w:after="0" w:line="180" w:lineRule="exact"/>
        <w:rPr>
          <w:rFonts w:ascii="Arial" w:cs="Arial" w:eastAsia="Arial" w:hAnsi="Arial"/>
          <w:sz w:val="16"/>
          <w:szCs w:val="16"/>
          <w:color w:val="auto"/>
        </w:rPr>
      </w:pPr>
    </w:p>
    <w:p>
      <w:pPr>
        <w:jc w:val="both"/>
        <w:ind w:firstLine="656"/>
        <w:spacing w:after="0" w:line="294" w:lineRule="auto"/>
        <w:tabs>
          <w:tab w:leader="none" w:pos="1404"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of the three foregoing clauses, the failure to so comply could not reasonably be expected to have, individually or in the aggregate, a Material Adverse Effect.</w:t>
      </w:r>
    </w:p>
    <w:p>
      <w:pPr>
        <w:spacing w:after="0" w:line="169" w:lineRule="exact"/>
        <w:rPr>
          <w:rFonts w:ascii="Arial" w:cs="Arial" w:eastAsia="Arial" w:hAnsi="Arial"/>
          <w:sz w:val="16"/>
          <w:szCs w:val="16"/>
          <w:color w:val="auto"/>
        </w:rPr>
      </w:pPr>
    </w:p>
    <w:p>
      <w:pPr>
        <w:jc w:val="both"/>
        <w:ind w:firstLine="656"/>
        <w:spacing w:after="0" w:line="288" w:lineRule="auto"/>
        <w:tabs>
          <w:tab w:leader="none" w:pos="1694"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The Company and its Subsidiaries own no real property. Except as disclosed in the SEC Documents,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all Liens and,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and its Subsidiaries are held by them under valid, subsisting and enforceable leases with which the Company and its Subsidiaries are in compliance with such exceptions as are not material and do not interfere with the use made and proposed to be made of such property and buildings by the Company and its Subsidiaries.</w:t>
      </w:r>
    </w:p>
    <w:p>
      <w:pPr>
        <w:spacing w:after="0" w:line="177" w:lineRule="exact"/>
        <w:rPr>
          <w:rFonts w:ascii="Arial" w:cs="Arial" w:eastAsia="Arial" w:hAnsi="Arial"/>
          <w:sz w:val="16"/>
          <w:szCs w:val="16"/>
          <w:color w:val="auto"/>
        </w:rPr>
      </w:pPr>
    </w:p>
    <w:p>
      <w:pPr>
        <w:jc w:val="both"/>
        <w:ind w:firstLine="656"/>
        <w:spacing w:after="0" w:line="254" w:lineRule="auto"/>
        <w:tabs>
          <w:tab w:leader="none" w:pos="140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could not reasonably be expected to have a Material Adverse Effect.</w:t>
      </w:r>
    </w:p>
    <w:p>
      <w:pPr>
        <w:spacing w:after="0" w:line="197" w:lineRule="exact"/>
        <w:rPr>
          <w:rFonts w:ascii="Arial" w:cs="Arial" w:eastAsia="Arial" w:hAnsi="Arial"/>
          <w:sz w:val="18"/>
          <w:szCs w:val="18"/>
          <w:color w:val="auto"/>
        </w:rPr>
      </w:pPr>
    </w:p>
    <w:p>
      <w:pPr>
        <w:jc w:val="both"/>
        <w:ind w:right="20" w:firstLine="656"/>
        <w:spacing w:after="0" w:line="306" w:lineRule="auto"/>
        <w:tabs>
          <w:tab w:leader="none" w:pos="134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its Subsidiaries possess all material certificates, authorizations and permits issued by the appropriate federal, state, local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60" w:lineRule="exact"/>
        <w:rPr>
          <w:rFonts w:ascii="Arial" w:cs="Arial" w:eastAsia="Arial" w:hAnsi="Arial"/>
          <w:sz w:val="16"/>
          <w:szCs w:val="16"/>
          <w:color w:val="auto"/>
        </w:rPr>
      </w:pPr>
    </w:p>
    <w:p>
      <w:pPr>
        <w:jc w:val="both"/>
        <w:ind w:firstLine="656"/>
        <w:spacing w:after="0" w:line="290" w:lineRule="auto"/>
        <w:tabs>
          <w:tab w:leader="none" w:pos="149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7" w:name="page18"/>
    <w:bookmarkEnd w:id="17"/>
    <w:p>
      <w:pPr>
        <w:jc w:val="both"/>
        <w:ind w:firstLine="656"/>
        <w:spacing w:after="0" w:line="256" w:lineRule="auto"/>
        <w:tabs>
          <w:tab w:leader="none" w:pos="151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SEC Documents, none of the officers or directors of the Company and, to the knowledge of the Company, none of the Company’s stockholders, the officers or directors of any stockholder of the Company, or any family member or affiliate of any of the foregoing, has either directly or indirectly any interest in, or is a party to, any transaction that is required to be disclosed as a related party transaction pursuant to Item 404 of Regulation S-K promulgated under the Securities Act.</w:t>
      </w:r>
    </w:p>
    <w:p>
      <w:pPr>
        <w:spacing w:after="0" w:line="196" w:lineRule="exact"/>
        <w:rPr>
          <w:rFonts w:ascii="Arial" w:cs="Arial" w:eastAsia="Arial" w:hAnsi="Arial"/>
          <w:sz w:val="18"/>
          <w:szCs w:val="18"/>
          <w:color w:val="auto"/>
        </w:rPr>
      </w:pPr>
    </w:p>
    <w:p>
      <w:pPr>
        <w:jc w:val="both"/>
        <w:ind w:firstLine="656"/>
        <w:spacing w:after="0" w:line="254"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Articles of Incorporation or the laws of the state of its incorporation which is or could become applicable to the Investor as a result of the transactions contemplated by this Agreement, including, without limitation, the Company's issuance of the Securities and the Investor's ownership of the Securities.</w:t>
      </w:r>
    </w:p>
    <w:p>
      <w:pPr>
        <w:spacing w:after="0" w:line="200" w:lineRule="exact"/>
        <w:rPr>
          <w:rFonts w:ascii="Arial" w:cs="Arial" w:eastAsia="Arial" w:hAnsi="Arial"/>
          <w:sz w:val="18"/>
          <w:szCs w:val="18"/>
          <w:color w:val="auto"/>
        </w:rPr>
      </w:pPr>
    </w:p>
    <w:p>
      <w:pPr>
        <w:jc w:val="both"/>
        <w:ind w:firstLine="656"/>
        <w:spacing w:after="0" w:line="286" w:lineRule="auto"/>
        <w:tabs>
          <w:tab w:leader="none" w:pos="14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Except with respect to the material terms and conditions of the transactions contemplated by the Transaction Documents that will be timely publicly disclosed by the Company, the Company confirms that neither it nor any other Person acting on its behalf has provided the Investor or its agents or counsel with any information that it believes constitutes or might constitute material, non-public information which is not otherwise disclosed in the Registration Statement or the SEC Documents. The Company understands and confirms that the Investor will rely on the foregoing representation in effecting purchases and sales of securities of the Company. All of the disclosure furnished by or on behalf of the Company to the Investor regarding the Company, its business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they were made, not misleading. The Company acknowledges and agrees that the Investor neither makes nor has made any representations or warranties with respect to the transactions contemplated hereby other than those specifically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w:t>
      </w:r>
    </w:p>
    <w:p>
      <w:pPr>
        <w:spacing w:after="0" w:line="177" w:lineRule="exact"/>
        <w:rPr>
          <w:rFonts w:ascii="Arial" w:cs="Arial" w:eastAsia="Arial" w:hAnsi="Arial"/>
          <w:sz w:val="16"/>
          <w:szCs w:val="16"/>
          <w:color w:val="auto"/>
        </w:rPr>
      </w:pPr>
    </w:p>
    <w:p>
      <w:pPr>
        <w:jc w:val="both"/>
        <w:ind w:firstLine="656"/>
        <w:spacing w:after="0" w:line="284" w:lineRule="auto"/>
        <w:tabs>
          <w:tab w:leader="none" w:pos="141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any of the Subsidiaries nor, to the knowledge of the Company, any director, officer, agent, employee or affiliate of the Company or any of the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 The operations of the Company and the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applicable governmental agency,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 Neither the Company nor any of its Subsidiaries, nor to the knowledge of the Company any of the directors, officers or employees, agents, affiliates or representatives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 w:name="page19"/>
    <w:bookmarkEnd w:id="18"/>
    <w:p>
      <w:pPr>
        <w:ind w:right="20"/>
        <w:spacing w:after="0" w:line="287" w:lineRule="auto"/>
        <w:rPr>
          <w:sz w:val="20"/>
          <w:szCs w:val="20"/>
          <w:color w:val="auto"/>
        </w:rPr>
      </w:pPr>
      <w:r>
        <w:rPr>
          <w:rFonts w:ascii="Arial" w:cs="Arial" w:eastAsia="Arial" w:hAnsi="Arial"/>
          <w:sz w:val="16"/>
          <w:szCs w:val="16"/>
          <w:color w:val="auto"/>
        </w:rPr>
        <w:t>the European Union, Her Majesty’s Treasury,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(ii) located, organized or resident in a country or territory that is the subject of Sanctions (including, without limitation, the Balkans, Belarus, Burma/Myanmar, Cote D’Ivoire, Cuba, Democratic Republic of Congo, Iran, Iraq, Liberia, Libya, North Korea, Sudan, Syria, Venezuela and Zimbabwe).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396" w:lineRule="exact"/>
        <w:rPr>
          <w:sz w:val="20"/>
          <w:szCs w:val="20"/>
          <w:color w:val="auto"/>
        </w:rPr>
      </w:pPr>
    </w:p>
    <w:p>
      <w:pPr>
        <w:ind w:firstLine="656"/>
        <w:spacing w:after="0" w:line="331" w:lineRule="auto"/>
        <w:tabs>
          <w:tab w:leader="none" w:pos="144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DTC Eligibility</w:t>
      </w:r>
      <w:r>
        <w:rPr>
          <w:rFonts w:ascii="Arial" w:cs="Arial" w:eastAsia="Arial" w:hAnsi="Arial"/>
          <w:sz w:val="16"/>
          <w:szCs w:val="16"/>
          <w:color w:val="auto"/>
        </w:rPr>
        <w:t>. The Company, through the Transfer Agent, currently participates in the DTC Fast Automated Securities Transfer (FAST) Program and the Common Stock can be transferred electronically to third parties via the DTC Fast Automated Securities Transfer (FAST) Program.</w:t>
      </w:r>
    </w:p>
    <w:p>
      <w:pPr>
        <w:spacing w:after="0" w:line="140" w:lineRule="exact"/>
        <w:rPr>
          <w:rFonts w:ascii="Arial" w:cs="Arial" w:eastAsia="Arial" w:hAnsi="Arial"/>
          <w:sz w:val="16"/>
          <w:szCs w:val="16"/>
          <w:color w:val="auto"/>
        </w:rPr>
      </w:pPr>
    </w:p>
    <w:p>
      <w:pPr>
        <w:jc w:val="both"/>
        <w:ind w:firstLine="656"/>
        <w:spacing w:after="0" w:line="284" w:lineRule="auto"/>
        <w:tabs>
          <w:tab w:leader="none" w:pos="145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Accounting Controls; Sarbanes-Oxley</w:t>
      </w:r>
      <w:r>
        <w:rPr>
          <w:rFonts w:ascii="Arial" w:cs="Arial" w:eastAsia="Arial" w:hAnsi="Arial"/>
          <w:sz w:val="16"/>
          <w:szCs w:val="16"/>
          <w:color w:val="auto"/>
        </w:rPr>
        <w:t>. The Company maintains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 Except as disclosed in the SEC Documents, the Company has concluded that its internal control over financial reporting is effective and the Company is not aware of any “significant deficiencies” or “material weaknesses” (each as defined by the rules adopted by the SEC) in its internal control over financial reporting, or any fraud, whether or not material, that involves management or other employees of the Company and its Subsidiaries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Board of Directors has, subject to the exceptions, cure periods and the phase in periods specified in the applicable stock exchange rules of the Principal Market (“</w:t>
      </w:r>
      <w:r>
        <w:rPr>
          <w:rFonts w:ascii="Arial" w:cs="Arial" w:eastAsia="Arial" w:hAnsi="Arial"/>
          <w:sz w:val="16"/>
          <w:szCs w:val="16"/>
          <w:u w:val="single" w:color="auto"/>
          <w:color w:val="auto"/>
        </w:rPr>
        <w:t>Exchange Rules</w:t>
      </w:r>
      <w:r>
        <w:rPr>
          <w:rFonts w:ascii="Arial" w:cs="Arial" w:eastAsia="Arial" w:hAnsi="Arial"/>
          <w:sz w:val="16"/>
          <w:szCs w:val="16"/>
          <w:color w:val="auto"/>
        </w:rPr>
        <w:t>”), validly appointed an audit committee to oversee internal accounting controls whose composition satisfies the applicable independence and other requirements of the Exchange Rules and the rules under the Exchange Act, and the Board of Directors has adopted a charter for the audit committee that satisfies the requirements of the Exchange Rules and the rules under the Exchange Act. No relationship, direct or indirect, exists between or among the Company, on the one hand, and the directors, officers, stockholders, customers or suppliers of the Company, on the other hand, which is required to be described in the Registration Statement which is not so described. The Company has not, directly or indirectly, extended or maintained credit, or arranged for the extension of credit, or renewed an extension of credit, in the form of a personal loan to or for any of its directors or executive officers in violation of Applicable Laws, including Section 402 of the Sarbanes-Oxley Act of 2002 and the rules and regulations promulgated in connection therewith.</w:t>
      </w:r>
    </w:p>
    <w:p>
      <w:pPr>
        <w:spacing w:after="0" w:line="117" w:lineRule="exact"/>
        <w:rPr>
          <w:rFonts w:ascii="Arial" w:cs="Arial" w:eastAsia="Arial" w:hAnsi="Arial"/>
          <w:sz w:val="16"/>
          <w:szCs w:val="16"/>
          <w:color w:val="auto"/>
        </w:rPr>
      </w:pPr>
    </w:p>
    <w:p>
      <w:pPr>
        <w:jc w:val="both"/>
        <w:ind w:firstLine="656"/>
        <w:spacing w:after="0" w:line="298" w:lineRule="auto"/>
        <w:tabs>
          <w:tab w:leader="none" w:pos="152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w:t>
      </w:r>
      <w:r>
        <w:rPr>
          <w:rFonts w:ascii="Arial" w:cs="Arial" w:eastAsia="Arial" w:hAnsi="Arial"/>
          <w:sz w:val="16"/>
          <w:szCs w:val="16"/>
          <w:u w:val="single" w:color="auto"/>
          <w:color w:val="auto"/>
        </w:rPr>
        <w:t>Section 4(w)</w:t>
      </w:r>
      <w:r>
        <w:rPr>
          <w:rFonts w:ascii="Arial" w:cs="Arial" w:eastAsia="Arial" w:hAnsi="Arial"/>
          <w:sz w:val="16"/>
          <w:szCs w:val="16"/>
          <w:color w:val="auto"/>
        </w:rPr>
        <w:t xml:space="preserve"> that may be due in connection with the transactions contemplated by the Transaction Documents.</w:t>
      </w:r>
    </w:p>
    <w:p>
      <w:pPr>
        <w:spacing w:after="0" w:line="98" w:lineRule="exact"/>
        <w:rPr>
          <w:rFonts w:ascii="Arial" w:cs="Arial" w:eastAsia="Arial" w:hAnsi="Arial"/>
          <w:sz w:val="16"/>
          <w:szCs w:val="16"/>
          <w:color w:val="auto"/>
        </w:rPr>
      </w:pPr>
    </w:p>
    <w:p>
      <w:pPr>
        <w:jc w:val="both"/>
        <w:ind w:firstLine="656"/>
        <w:spacing w:after="0" w:line="259" w:lineRule="auto"/>
        <w:tabs>
          <w:tab w:leader="none" w:pos="141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immediately after giving effect to the sale of the Purchase Shares in accordance with this Agreement and the application of the proceeds as described in the Registration Statement under the caption “Use of Proceeds,” will not be, an “investment company” within the meaning of the Investment Company Act of 1940, as amended.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9" w:name="page20"/>
    <w:bookmarkEnd w:id="19"/>
    <w:p>
      <w:pPr>
        <w:jc w:val="both"/>
        <w:ind w:firstLine="656"/>
        <w:spacing w:after="0" w:line="291" w:lineRule="auto"/>
        <w:tabs>
          <w:tab w:leader="none" w:pos="136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Except as disclosed in the SEC Documents, the Company has not, in the twelve (12) months preceding the date hereof, received any notice from any Person to the effect that the Company is not in compliance with the listing or maintenance requirements of the Principal Market. Except as disclosed in the SEC Documents, the Company is, and has no reason to believe that it will not in the foreseeable future continue to be, in compliance with all such listing and maintenance requirements.</w:t>
      </w:r>
    </w:p>
    <w:p>
      <w:pPr>
        <w:spacing w:after="0" w:line="106" w:lineRule="exact"/>
        <w:rPr>
          <w:rFonts w:ascii="Arial" w:cs="Arial" w:eastAsia="Arial" w:hAnsi="Arial"/>
          <w:sz w:val="16"/>
          <w:szCs w:val="16"/>
          <w:color w:val="auto"/>
        </w:rPr>
      </w:pPr>
    </w:p>
    <w:p>
      <w:pPr>
        <w:ind w:firstLine="656"/>
        <w:spacing w:after="0" w:line="268" w:lineRule="auto"/>
        <w:tabs>
          <w:tab w:leader="none" w:pos="136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accountants are set forth in the SEC Documents and, to the knowledge of the Company, such accountants are an independent registered public accounting firm as required by the Securities Act.</w:t>
      </w:r>
    </w:p>
    <w:p>
      <w:pPr>
        <w:spacing w:after="0" w:line="118" w:lineRule="exact"/>
        <w:rPr>
          <w:sz w:val="20"/>
          <w:szCs w:val="20"/>
          <w:color w:val="auto"/>
        </w:rPr>
      </w:pPr>
    </w:p>
    <w:p>
      <w:pPr>
        <w:jc w:val="both"/>
        <w:ind w:firstLine="656"/>
        <w:spacing w:after="0" w:line="298" w:lineRule="auto"/>
        <w:tabs>
          <w:tab w:leader="none" w:pos="147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 Market Manipulation</w:t>
      </w:r>
      <w:r>
        <w:rPr>
          <w:rFonts w:ascii="Arial" w:cs="Arial" w:eastAsia="Arial" w:hAnsi="Arial"/>
          <w:sz w:val="16"/>
          <w:szCs w:val="16"/>
          <w:color w:val="auto"/>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98" w:lineRule="exact"/>
        <w:rPr>
          <w:rFonts w:ascii="Arial" w:cs="Arial" w:eastAsia="Arial" w:hAnsi="Arial"/>
          <w:sz w:val="16"/>
          <w:szCs w:val="16"/>
          <w:color w:val="auto"/>
        </w:rPr>
      </w:pPr>
    </w:p>
    <w:p>
      <w:pPr>
        <w:ind w:left="1440" w:hanging="784"/>
        <w:spacing w:after="0"/>
        <w:tabs>
          <w:tab w:leader="none" w:pos="14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Shell Company Status</w:t>
      </w:r>
      <w:r>
        <w:rPr>
          <w:rFonts w:ascii="Arial" w:cs="Arial" w:eastAsia="Arial" w:hAnsi="Arial"/>
          <w:sz w:val="16"/>
          <w:szCs w:val="16"/>
          <w:color w:val="auto"/>
        </w:rPr>
        <w:t>. The Company is not currently, and has never been, an issuer identified in Rule 144(i)(1) under the Securities Act.</w:t>
      </w:r>
    </w:p>
    <w:p>
      <w:pPr>
        <w:spacing w:after="0" w:line="180" w:lineRule="exact"/>
        <w:rPr>
          <w:rFonts w:ascii="Arial" w:cs="Arial" w:eastAsia="Arial" w:hAnsi="Arial"/>
          <w:sz w:val="16"/>
          <w:szCs w:val="16"/>
          <w:color w:val="auto"/>
        </w:rPr>
      </w:pPr>
    </w:p>
    <w:p>
      <w:pPr>
        <w:jc w:val="both"/>
        <w:ind w:firstLine="656"/>
        <w:spacing w:after="0" w:line="286" w:lineRule="auto"/>
        <w:tabs>
          <w:tab w:leader="none" w:pos="1444"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Benefit Plans; Labor Matters</w:t>
      </w:r>
      <w:r>
        <w:rPr>
          <w:rFonts w:ascii="Arial" w:cs="Arial" w:eastAsia="Arial" w:hAnsi="Arial"/>
          <w:sz w:val="16"/>
          <w:szCs w:val="16"/>
          <w:color w:val="auto"/>
        </w:rPr>
        <w:t>. Each benefit and compensation plan, agreement, policy and arrangement that is maintained, administered or contributed to by the Company for current or former employees or directors of, or independent contractors with respect to, the Company has been maintained in compliance with its terms and the requirements of any applicable statutes, orders, rules and regulations, and the Company has complied in all material respects with all applicable statutes, orders, rules and regulations in regard to such plans, agreements, policies and arrangements. Each stock option granted under any equity incentive plan of the Company (each, a “</w:t>
      </w:r>
      <w:r>
        <w:rPr>
          <w:rFonts w:ascii="Arial" w:cs="Arial" w:eastAsia="Arial" w:hAnsi="Arial"/>
          <w:sz w:val="16"/>
          <w:szCs w:val="16"/>
          <w:u w:val="single" w:color="auto"/>
          <w:color w:val="auto"/>
        </w:rPr>
        <w:t>Stock Plan</w:t>
      </w:r>
      <w:r>
        <w:rPr>
          <w:rFonts w:ascii="Arial" w:cs="Arial" w:eastAsia="Arial" w:hAnsi="Arial"/>
          <w:sz w:val="16"/>
          <w:szCs w:val="16"/>
          <w:color w:val="auto"/>
        </w:rPr>
        <w:t>”) was granted with a per share exercise price no less than the market price per common share on the grant date of such option in accordance with the rules of the Principal Market, and no such grant involved any “back-dating,” “forward-dating” or similar practice with respect to the effective date of such grant; each such option (i) was granted in compliance in all material respects with Applicable Laws and with the applicable Stock Plan(s), (ii) was duly approved by the Board of Directors or a duly authorized committee thereof, and (iii) has been (or will be, if granted after December 31, 2019) properly accounted for in the Company’s financial statements and disclosed, to the extent required, in the Company’s filings or submissions with the SEC, and the Principal Market. No labor problem or dispute with the employees of the Company exists or is threatened or imminent, and the Company is not aware of any existing or imminent labor disturbance by the employees of any of its principal suppliers or contractors, that would have a Material Adverse Effect.</w:t>
      </w:r>
    </w:p>
    <w:p>
      <w:pPr>
        <w:spacing w:after="0" w:line="109" w:lineRule="exact"/>
        <w:rPr>
          <w:rFonts w:ascii="Arial" w:cs="Arial" w:eastAsia="Arial" w:hAnsi="Arial"/>
          <w:sz w:val="16"/>
          <w:szCs w:val="16"/>
          <w:color w:val="auto"/>
        </w:rPr>
      </w:pPr>
    </w:p>
    <w:p>
      <w:pPr>
        <w:jc w:val="both"/>
        <w:ind w:firstLine="656"/>
        <w:spacing w:after="0" w:line="286" w:lineRule="auto"/>
        <w:tabs>
          <w:tab w:leader="none" w:pos="145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Regulatory</w:t>
      </w:r>
      <w:r>
        <w:rPr>
          <w:rFonts w:ascii="Arial" w:cs="Arial" w:eastAsia="Arial" w:hAnsi="Arial"/>
          <w:sz w:val="16"/>
          <w:szCs w:val="16"/>
          <w:color w:val="auto"/>
        </w:rPr>
        <w:t>. During the 12-month period immediately preceding the date hereof, except as described in the SEC Documents, the Company and each of its Subsidiaries: (A) is and at all times has been in material compliance with all applicable U.S. and foreign statutes, rules, regulations, or guidance applicable to Company and its Subsidiaries (“</w:t>
      </w:r>
      <w:r>
        <w:rPr>
          <w:rFonts w:ascii="Arial" w:cs="Arial" w:eastAsia="Arial" w:hAnsi="Arial"/>
          <w:sz w:val="16"/>
          <w:szCs w:val="16"/>
          <w:u w:val="single" w:color="auto"/>
          <w:color w:val="auto"/>
        </w:rPr>
        <w:t>Applicable Laws</w:t>
      </w:r>
      <w:r>
        <w:rPr>
          <w:rFonts w:ascii="Arial" w:cs="Arial" w:eastAsia="Arial" w:hAnsi="Arial"/>
          <w:sz w:val="16"/>
          <w:szCs w:val="16"/>
          <w:color w:val="auto"/>
        </w:rPr>
        <w:t>”), except as would not, individually or in the aggregate, reasonably be expected to result in a Material Adverse Effect; (B) have not received any notice of adverse finding, warning letter, untitled letter or other correspondence or notice from the U.S. Food and Drug Administration or any other federal, state, or foreign governmental authority having authority over the Company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alleging or asserting noncompliance with any Applicable Laws or any licenses, certificates, approvals, clearances, authorizations, permits and supplements or amendments thereto required by any such Applicable Laws (“</w:t>
      </w:r>
      <w:r>
        <w:rPr>
          <w:rFonts w:ascii="Arial" w:cs="Arial" w:eastAsia="Arial" w:hAnsi="Arial"/>
          <w:sz w:val="16"/>
          <w:szCs w:val="16"/>
          <w:u w:val="single" w:color="auto"/>
          <w:color w:val="auto"/>
        </w:rPr>
        <w:t>Authorizations</w:t>
      </w:r>
      <w:r>
        <w:rPr>
          <w:rFonts w:ascii="Arial" w:cs="Arial" w:eastAsia="Arial" w:hAnsi="Arial"/>
          <w:sz w:val="16"/>
          <w:szCs w:val="16"/>
          <w:color w:val="auto"/>
        </w:rPr>
        <w:t>”); (C) possess all material Authorizations and such material Authorizations are valid and in full force and effect and are not in violation of any term of any such material Authorizations; (D) have not received notice of any claim, action, suit, proceeding, hearing, enforcement, investigation, arbitration or other action from any Governmental Authority or third party alleging that any product, operation or activity is in violation of any Applicable Laws or Authorizations and have no knowledge that any such Governmental Authority or third party is considering any such claim, litigation, arbitration, action, suit, investigation or proceeding; (E) have not received notice that any Governmental Authority has taken, is taking or intends to take action to limit, suspend, modify or revoke any Authorizations and the Company has no</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0" w:name="page21"/>
    <w:bookmarkEnd w:id="20"/>
    <w:p>
      <w:pPr>
        <w:ind w:right="60"/>
        <w:spacing w:after="0" w:line="284" w:lineRule="auto"/>
        <w:rPr>
          <w:sz w:val="20"/>
          <w:szCs w:val="20"/>
          <w:color w:val="auto"/>
        </w:rPr>
      </w:pPr>
      <w:r>
        <w:rPr>
          <w:rFonts w:ascii="Arial" w:cs="Arial" w:eastAsia="Arial" w:hAnsi="Arial"/>
          <w:sz w:val="16"/>
          <w:szCs w:val="16"/>
          <w:color w:val="auto"/>
        </w:rPr>
        <w:t>knowledge that any such Governmental Authority is considering such action; and (F) have filed, obtained, maintained or submitted all material reports, documents, forms, notices, applications, records, claims, submissions and supplements or amendments as required by any Applicable Laws or material Authorizations and that all such reports, documents, forms, notices, applications, records, claims, submissions and supplements or amendments were complete and correct in all material respects on the date filed (or were corrected or supplemented by a subsequent submission). During the 12-month period immediately preceding the date hereof, to the Company’s knowledge, the studies, tests and preclinical and clinical trials conducted by or on behalf of the Company were conducted, and, if still pending, are, in all material respects, being conducted, in accordance with experimental protocols, procedures and controls pursuant to accepted professional scientific standards and all Applicable Laws, including, without limitation, the United States Federal Food, Drug and Cosmetic Act or any; the descriptions of the top-line results of such studies, tests and trials contained in the SEC Documents are accurate and complete in all material respects and fairly present the top-line data derived from such studies, tests and trials; the descriptions in the SEC Documents of the results of such clinical trials are consistent in all material respects with such results and to the Company’s knowledge there are no other studies or other clinical trials whose results are materially inconsistent with or otherwise materially call into question the results described or referred to in the SEC Documents; and the Company has not received any notices or correspondence from any Governmental Authority requiring the termination, suspension or material modification of any studies, tests or preclinical or clinical trials conducted by or on behalf of the Company or its Subsidiaries. The Company has concluded that it uses commercially reasonable efforts to review, from time to time, the progress and results of the studies, tests and preclinical and clinical trials and, based upon (i) the information provided to the Company by the third parties conducting such studies, tests, preclinical studies and clinical trials that are described in the SEC Documents and the Company’s review of such information, and (ii) the Company’s actual knowledge, the Company reasonably believes that the descriptions of the top-line results of such studies, tests, preclinical studies and clinical trials are accurate and complete in all material respects</w:t>
      </w:r>
    </w:p>
    <w:p>
      <w:pPr>
        <w:spacing w:after="0" w:line="119" w:lineRule="exact"/>
        <w:rPr>
          <w:sz w:val="20"/>
          <w:szCs w:val="20"/>
          <w:color w:val="auto"/>
        </w:rPr>
      </w:pPr>
    </w:p>
    <w:p>
      <w:pPr>
        <w:jc w:val="both"/>
        <w:ind w:firstLine="656"/>
        <w:spacing w:after="0" w:line="302" w:lineRule="auto"/>
        <w:tabs>
          <w:tab w:leader="none" w:pos="1403" w:val="left"/>
        </w:tabs>
        <w:numPr>
          <w:ilvl w:val="1"/>
          <w:numId w:val="30"/>
        </w:numPr>
        <w:rPr>
          <w:rFonts w:ascii="Arial" w:cs="Arial" w:eastAsia="Arial" w:hAnsi="Arial"/>
          <w:sz w:val="15"/>
          <w:szCs w:val="15"/>
          <w:color w:val="auto"/>
        </w:rPr>
      </w:pPr>
      <w:r>
        <w:rPr>
          <w:rFonts w:ascii="Arial" w:cs="Arial" w:eastAsia="Arial" w:hAnsi="Arial"/>
          <w:sz w:val="15"/>
          <w:szCs w:val="15"/>
          <w:u w:val="single" w:color="auto"/>
          <w:color w:val="auto"/>
        </w:rPr>
        <w:t>No Disqualification Events</w:t>
      </w:r>
      <w:r>
        <w:rPr>
          <w:rFonts w:ascii="Arial" w:cs="Arial" w:eastAsia="Arial" w:hAnsi="Arial"/>
          <w:sz w:val="15"/>
          <w:szCs w:val="15"/>
          <w:color w:val="auto"/>
        </w:rPr>
        <w:t>. None of the Company, any of its predecessors, any affiliated issuer, any director, executive officer, other officer of the Company participating in the transactions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5"/>
          <w:szCs w:val="15"/>
          <w:u w:val="single" w:color="auto"/>
          <w:color w:val="auto"/>
        </w:rPr>
        <w:t>Issuer Covered Person</w:t>
      </w:r>
      <w:r>
        <w:rPr>
          <w:rFonts w:ascii="Arial" w:cs="Arial" w:eastAsia="Arial" w:hAnsi="Arial"/>
          <w:sz w:val="15"/>
          <w:szCs w:val="15"/>
          <w:color w:val="auto"/>
        </w:rPr>
        <w:t>”) is subject to any of the “Bad Actor” disqualifications described in Rule 506(d)(1)(i) to</w:t>
      </w:r>
    </w:p>
    <w:p>
      <w:pPr>
        <w:spacing w:after="0" w:line="2" w:lineRule="exact"/>
        <w:rPr>
          <w:rFonts w:ascii="Arial" w:cs="Arial" w:eastAsia="Arial" w:hAnsi="Arial"/>
          <w:sz w:val="15"/>
          <w:szCs w:val="15"/>
          <w:color w:val="auto"/>
        </w:rPr>
      </w:pPr>
    </w:p>
    <w:p>
      <w:pPr>
        <w:ind w:firstLine="8"/>
        <w:spacing w:after="0" w:line="323" w:lineRule="auto"/>
        <w:tabs>
          <w:tab w:leader="none" w:pos="406"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Securities Act (a “</w:t>
      </w:r>
      <w:r>
        <w:rPr>
          <w:rFonts w:ascii="Arial" w:cs="Arial" w:eastAsia="Arial" w:hAnsi="Arial"/>
          <w:sz w:val="16"/>
          <w:szCs w:val="16"/>
          <w:u w:val="single" w:color="auto"/>
          <w:color w:val="auto"/>
        </w:rPr>
        <w:t>Disqualification Event</w:t>
      </w:r>
      <w:r>
        <w:rPr>
          <w:rFonts w:ascii="Arial" w:cs="Arial" w:eastAsia="Arial" w:hAnsi="Arial"/>
          <w:sz w:val="16"/>
          <w:szCs w:val="16"/>
          <w:color w:val="auto"/>
        </w:rPr>
        <w:t>”), except for a Disqualification Event covered by Rule 506(d)(2) or (d)(3) under the Securities Act. The Company has exercised reasonable care to determine whether any Issuer Covered Person is subject to a Disqualification Event.</w:t>
      </w:r>
    </w:p>
    <w:p>
      <w:pPr>
        <w:spacing w:after="0" w:line="78" w:lineRule="exact"/>
        <w:rPr>
          <w:rFonts w:ascii="Arial" w:cs="Arial" w:eastAsia="Arial" w:hAnsi="Arial"/>
          <w:sz w:val="16"/>
          <w:szCs w:val="16"/>
          <w:color w:val="auto"/>
        </w:rPr>
      </w:pPr>
    </w:p>
    <w:p>
      <w:pPr>
        <w:jc w:val="both"/>
        <w:ind w:firstLine="656"/>
        <w:spacing w:after="0" w:line="259" w:lineRule="auto"/>
        <w:tabs>
          <w:tab w:leader="none" w:pos="156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Absence of Schedules</w:t>
      </w:r>
      <w:r>
        <w:rPr>
          <w:rFonts w:ascii="Arial" w:cs="Arial" w:eastAsia="Arial" w:hAnsi="Arial"/>
          <w:sz w:val="18"/>
          <w:szCs w:val="18"/>
          <w:color w:val="auto"/>
        </w:rPr>
        <w:t>. In the event of an undelivered disclosure schedule to any of the representations and warranties set forth in this Section 4, the Company hereby acknowledges and agrees that each such undelivered disclosure schedule shall be deemed to read as follows: “Nothing to Disclose”.</w:t>
      </w:r>
    </w:p>
    <w:p>
      <w:pPr>
        <w:spacing w:after="0" w:line="120" w:lineRule="exact"/>
        <w:rPr>
          <w:sz w:val="20"/>
          <w:szCs w:val="20"/>
          <w:color w:val="auto"/>
        </w:rPr>
      </w:pPr>
    </w:p>
    <w:p>
      <w:pPr>
        <w:ind w:left="1280" w:hanging="624"/>
        <w:spacing w:after="0"/>
        <w:tabs>
          <w:tab w:leader="none" w:pos="1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jc w:val="both"/>
        <w:ind w:firstLine="656"/>
        <w:spacing w:after="0" w:line="288" w:lineRule="auto"/>
        <w:tabs>
          <w:tab w:leader="none" w:pos="132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Filing of Current Report and Registration Statement</w:t>
      </w:r>
      <w:r>
        <w:rPr>
          <w:rFonts w:ascii="Arial" w:cs="Arial" w:eastAsia="Arial" w:hAnsi="Arial"/>
          <w:sz w:val="16"/>
          <w:szCs w:val="16"/>
          <w:color w:val="auto"/>
        </w:rPr>
        <w:t>. The Company agrees that it shall, within the time required under the Exchange Act, file with the SEC a report on Form 8-K relating to the transactions contemplated by, and describing the material terms and conditions of, the Transaction Documents (the “</w:t>
      </w:r>
      <w:r>
        <w:rPr>
          <w:rFonts w:ascii="Arial" w:cs="Arial" w:eastAsia="Arial" w:hAnsi="Arial"/>
          <w:sz w:val="16"/>
          <w:szCs w:val="16"/>
          <w:u w:val="single" w:color="auto"/>
          <w:color w:val="auto"/>
        </w:rPr>
        <w:t>Current Report</w:t>
      </w:r>
      <w:r>
        <w:rPr>
          <w:rFonts w:ascii="Arial" w:cs="Arial" w:eastAsia="Arial" w:hAnsi="Arial"/>
          <w:sz w:val="16"/>
          <w:szCs w:val="16"/>
          <w:color w:val="auto"/>
        </w:rPr>
        <w:t>”). The Company shall also file with the SEC by April 30, 2020 a new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covering only the resale of Purchase Shares, the Initial Purchase Shares and the Commitment Shares, in accordance with the terms of the Registration Rights Agreement. The Company shall permit the Investor to review and comment upon the final pre-filing draft version of the Current Report at least one (1) Business Day prior to its filing with the SEC, and the Company shall not file the Current Report or the Registration Statement with the SEC in a form to which the Investor reasonably objects. The Investor shall use its reasonable best efforts to comment upon the final pre-filing draft version of the Current Report within on the Business Day the Investor receives it from the Company.</w:t>
      </w:r>
    </w:p>
    <w:p>
      <w:pPr>
        <w:spacing w:after="0" w:line="177" w:lineRule="exact"/>
        <w:rPr>
          <w:rFonts w:ascii="Arial" w:cs="Arial" w:eastAsia="Arial" w:hAnsi="Arial"/>
          <w:sz w:val="16"/>
          <w:szCs w:val="16"/>
          <w:color w:val="auto"/>
        </w:rPr>
      </w:pPr>
    </w:p>
    <w:p>
      <w:pPr>
        <w:jc w:val="both"/>
        <w:ind w:firstLine="656"/>
        <w:spacing w:after="0" w:line="298" w:lineRule="auto"/>
        <w:tabs>
          <w:tab w:leader="none" w:pos="144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Blue Sky</w:t>
      </w:r>
      <w:r>
        <w:rPr>
          <w:rFonts w:ascii="Arial" w:cs="Arial" w:eastAsia="Arial" w:hAnsi="Arial"/>
          <w:sz w:val="16"/>
          <w:szCs w:val="16"/>
          <w:color w:val="auto"/>
        </w:rPr>
        <w:t>. The Company shall take all such action, if any, as is reasonably necessary in order to obtain an exemption for or to register or qualify (i) the issuance of the Commitment Shares and the sale of the Purchase Shares to the Investor under this Agreement and (ii) any subsequent resale of all Commitment Shares and all Purchase Shares by the Investor, in each case, under applicable securities or “Blue Sky” laws of the states of the United States in such states as is reasonably requested by the Investor from time to time, and shall provide evidence of any such action so taken to the Investor.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1" w:name="page22"/>
    <w:bookmarkEnd w:id="21"/>
    <w:p>
      <w:pPr>
        <w:jc w:val="both"/>
        <w:ind w:firstLine="656"/>
        <w:spacing w:after="0" w:line="286" w:lineRule="auto"/>
        <w:tabs>
          <w:tab w:leader="none" w:pos="1487"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Listing/DTC</w:t>
      </w:r>
      <w:r>
        <w:rPr>
          <w:rFonts w:ascii="Arial" w:cs="Arial" w:eastAsia="Arial" w:hAnsi="Arial"/>
          <w:sz w:val="16"/>
          <w:szCs w:val="16"/>
          <w:color w:val="auto"/>
        </w:rPr>
        <w:t xml:space="preserve">. The Company shall promptly secure the listing of all of the Purchase Shares and Commitment Shares to be issued to the Investor hereunder on the Principal Market (subject to official notice of issuance) and upon each other national securities exchange or automated quotation system, if any, upon which the Common Stock is then listed, and shall maintain, so long as any shares of Common Stock shall be so listed, such listing of all such Securities from time to time issuable hereunder. The Company shall maintain the listing of the Common Stock on the Principal Market and shall comply in all respects with the Company’s reporting, filing and other obligations under the bylaws or rules and regulations of the Principal Market. Neither the Company nor any of its Subsidiaries shall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any Person regarding the continued eligibility of the Common Stock for listing on the Principal Market; provided, however, that the Company shall not provide the Investor copies of any such notice that the Company reasonably believes constitutes material non-public information, and the Company would not be required to publicly disclose such notice in any report or statement filed with the SEC under the Exchange Act (including on Form 8-K) or the Securities Act. The Company shall pay all fees and expenses in connection with satisfying its obligations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w:t>
      </w:r>
      <w:r>
        <w:rPr>
          <w:rFonts w:ascii="Arial" w:cs="Arial" w:eastAsia="Arial" w:hAnsi="Arial"/>
          <w:sz w:val="16"/>
          <w:szCs w:val="16"/>
          <w:u w:val="single" w:color="auto"/>
          <w:color w:val="auto"/>
        </w:rPr>
        <w:t>c</w:t>
      </w:r>
      <w:r>
        <w:rPr>
          <w:rFonts w:ascii="Arial" w:cs="Arial" w:eastAsia="Arial" w:hAnsi="Arial"/>
          <w:sz w:val="16"/>
          <w:szCs w:val="16"/>
          <w:color w:val="auto"/>
        </w:rPr>
        <w:t>). The Company shall take all action necessary to ensure that its Common Stock can be transferred electronically as DWAC Shares.</w:t>
      </w:r>
    </w:p>
    <w:p>
      <w:pPr>
        <w:spacing w:after="0" w:line="177" w:lineRule="exact"/>
        <w:rPr>
          <w:rFonts w:ascii="Arial" w:cs="Arial" w:eastAsia="Arial" w:hAnsi="Arial"/>
          <w:sz w:val="16"/>
          <w:szCs w:val="16"/>
          <w:color w:val="auto"/>
        </w:rPr>
      </w:pPr>
    </w:p>
    <w:p>
      <w:pPr>
        <w:jc w:val="both"/>
        <w:ind w:firstLine="656"/>
        <w:spacing w:after="0" w:line="298" w:lineRule="auto"/>
        <w:tabs>
          <w:tab w:leader="none" w:pos="141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Prohibition of Short Sales and Hedging Transactions</w:t>
      </w:r>
      <w:r>
        <w:rPr>
          <w:rFonts w:ascii="Arial" w:cs="Arial" w:eastAsia="Arial" w:hAnsi="Arial"/>
          <w:sz w:val="16"/>
          <w:szCs w:val="16"/>
          <w:color w:val="auto"/>
        </w:rPr>
        <w:t xml:space="preserve">. The Investor agrees that beginning on the date of this Agreement and ending on the date of termination of this Agreement as provided in </w:t>
      </w:r>
      <w:r>
        <w:rPr>
          <w:rFonts w:ascii="Arial" w:cs="Arial" w:eastAsia="Arial" w:hAnsi="Arial"/>
          <w:sz w:val="16"/>
          <w:szCs w:val="16"/>
          <w:u w:val="single" w:color="auto"/>
          <w:color w:val="auto"/>
        </w:rPr>
        <w:t>Section 11</w:t>
      </w:r>
      <w:r>
        <w:rPr>
          <w:rFonts w:ascii="Arial" w:cs="Arial" w:eastAsia="Arial" w:hAnsi="Arial"/>
          <w:sz w:val="16"/>
          <w:szCs w:val="16"/>
          <w:color w:val="auto"/>
        </w:rPr>
        <w:t>, the Investor and its agents, representatives and affiliates shall not in any manner whatsoever enter into or effect, directly or indirectly, any (i) “short sale” (as such term is defined in Rule 200 of Regulation SHO of the Exchange Act) of the Common Stock or (ii) hedging transaction, which establishes a net short position with respect to the Common Stock.</w:t>
      </w:r>
    </w:p>
    <w:p>
      <w:pPr>
        <w:spacing w:after="0" w:line="166" w:lineRule="exact"/>
        <w:rPr>
          <w:rFonts w:ascii="Arial" w:cs="Arial" w:eastAsia="Arial" w:hAnsi="Arial"/>
          <w:sz w:val="16"/>
          <w:szCs w:val="16"/>
          <w:color w:val="auto"/>
        </w:rPr>
      </w:pPr>
    </w:p>
    <w:p>
      <w:pPr>
        <w:jc w:val="both"/>
        <w:ind w:firstLine="656"/>
        <w:spacing w:after="0" w:line="294" w:lineRule="auto"/>
        <w:tabs>
          <w:tab w:leader="none" w:pos="139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Issuance of Commitment Shares</w:t>
      </w:r>
      <w:r>
        <w:rPr>
          <w:rFonts w:ascii="Arial" w:cs="Arial" w:eastAsia="Arial" w:hAnsi="Arial"/>
          <w:sz w:val="16"/>
          <w:szCs w:val="16"/>
          <w:color w:val="auto"/>
        </w:rPr>
        <w:t>. In consideration for the Investor’s execution and delivery of this Agreement, the Company shall cause to be issued to the Investor a total of Seven Hundred Fifty Thousand (750,000) shares of Common Stock (the “</w:t>
      </w:r>
      <w:r>
        <w:rPr>
          <w:rFonts w:ascii="Arial" w:cs="Arial" w:eastAsia="Arial" w:hAnsi="Arial"/>
          <w:sz w:val="16"/>
          <w:szCs w:val="16"/>
          <w:u w:val="single" w:color="auto"/>
          <w:color w:val="auto"/>
        </w:rPr>
        <w:t>Commitment Shares</w:t>
      </w:r>
      <w:r>
        <w:rPr>
          <w:rFonts w:ascii="Arial" w:cs="Arial" w:eastAsia="Arial" w:hAnsi="Arial"/>
          <w:sz w:val="16"/>
          <w:szCs w:val="16"/>
          <w:color w:val="auto"/>
        </w:rPr>
        <w:t>”) directly to the Investor and shall deliver to the Transfer Agent the Irrevocable Transfer Agent Instructions (as defined below). For the avoidance of doubt, all of the Commitment Shares shall be fully earned as of the date of this Agreement, whether or not the Commencement shall occur or any Purchase Shares, except the Initial Purchase Shares, are purchased by the Investor under this Agreement and irrespective of any termination of this Agreement.</w:t>
      </w:r>
    </w:p>
    <w:p>
      <w:pPr>
        <w:spacing w:after="0" w:line="169" w:lineRule="exact"/>
        <w:rPr>
          <w:rFonts w:ascii="Arial" w:cs="Arial" w:eastAsia="Arial" w:hAnsi="Arial"/>
          <w:sz w:val="16"/>
          <w:szCs w:val="16"/>
          <w:color w:val="auto"/>
        </w:rPr>
      </w:pPr>
    </w:p>
    <w:p>
      <w:pPr>
        <w:jc w:val="both"/>
        <w:ind w:firstLine="656"/>
        <w:spacing w:after="0" w:line="284" w:lineRule="auto"/>
        <w:tabs>
          <w:tab w:leader="none" w:pos="158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Due Diligence; Non-Public Information</w:t>
      </w:r>
      <w:r>
        <w:rPr>
          <w:rFonts w:ascii="Arial" w:cs="Arial" w:eastAsia="Arial" w:hAnsi="Arial"/>
          <w:sz w:val="16"/>
          <w:szCs w:val="16"/>
          <w:color w:val="auto"/>
        </w:rPr>
        <w:t>. The Investor shall have the right, from time to time as the Investor may reasonably deem appropriate, to perform reasonable due diligence on the Company during normal business hours. The Company and its officers and employees shall provide information and reasonably cooperate with the Investor in connection with any reasonable request by the Investor related to the Investor’s due diligence of the Company. Each party hereto agrees not to disclose any Confidential Information of the other party to any third party and shall not use the Confidential Information for any purpose other than in connection with, or in furtherance of, the transactions contemplated hereby in full compliance with applicable securities laws. Each party hereto acknowledges that the Confidential Information shall remain the property of the disclosing party and agrees that it shall take all reasonable measures to protect the secrecy of any Confidential Information disclosed by the other party. The Company confirms that neither it nor any other Person acting on its behalf shall provide the Investor or its agents or counsel with any information that constitutes or might constitute material, non-public information, unless a public announcement thereof is made by the Company in the manner contemplated by Regulation FD under the Exchange Act. In the event of a breach of the foregoing covenant by the Company or any Person acting on its behalf (as determined in the reasonable good faith judgment of the Investor), in addition to any other remedy provided herein or in the other Transaction Documents, the Investor shall have the right to make a public disclosure, in the form of a press release, public advertisement or otherwise, of such material, non-public information without the prior approval by the Company; provided the Investor shall have first provided notice to the Company that it believes it has received information that constitutes material, non-public information, the Company shall have at least one (1) Business Day to publicly disclose such material, non-public information prior to any such disclosure by the Investor, and the Company shall have failed to publicly disclose such material, non-public information within such time period. The Investor shall not have any liability to the Company, any of its Subsidiaries, or any of their respective directors, officers, employees, stockholders or agents, for any such disclosure. The Company understands and confirms that the Investor shall be relying on the foregoing covenants in effecting transactions in securities of the Company.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2" w:name="page23"/>
    <w:bookmarkEnd w:id="22"/>
    <w:p>
      <w:pPr>
        <w:jc w:val="both"/>
        <w:ind w:firstLine="656"/>
        <w:spacing w:after="0" w:line="259" w:lineRule="auto"/>
        <w:tabs>
          <w:tab w:leader="none" w:pos="143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Purchase Records</w:t>
      </w:r>
      <w:r>
        <w:rPr>
          <w:rFonts w:ascii="Arial" w:cs="Arial" w:eastAsia="Arial" w:hAnsi="Arial"/>
          <w:sz w:val="18"/>
          <w:szCs w:val="18"/>
          <w:color w:val="auto"/>
        </w:rPr>
        <w:t>. The Investor and the Company shall each maintain records showing the remaining Available Amount at any given time and the dates and Purchase Amounts for each Regular Purchase, Accelerated Purchase and Additional Accelerated Purchase or shall use such other method, reasonably satisfactory to the Investor and the Company.</w:t>
      </w:r>
    </w:p>
    <w:p>
      <w:pPr>
        <w:spacing w:after="0" w:line="126" w:lineRule="exact"/>
        <w:rPr>
          <w:rFonts w:ascii="Arial" w:cs="Arial" w:eastAsia="Arial" w:hAnsi="Arial"/>
          <w:sz w:val="18"/>
          <w:szCs w:val="18"/>
          <w:color w:val="auto"/>
        </w:rPr>
      </w:pPr>
    </w:p>
    <w:p>
      <w:pPr>
        <w:ind w:firstLine="656"/>
        <w:spacing w:after="0" w:line="268" w:lineRule="auto"/>
        <w:tabs>
          <w:tab w:leader="none" w:pos="137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Company shall pay any and all transfer, stamp or similar taxes that may be payable with respect to the issuance and delivery of any shares of Common Stock to the Investor made under this Agreement.</w:t>
      </w:r>
    </w:p>
    <w:p>
      <w:pPr>
        <w:spacing w:after="0" w:line="185" w:lineRule="exact"/>
        <w:rPr>
          <w:rFonts w:ascii="Arial" w:cs="Arial" w:eastAsia="Arial" w:hAnsi="Arial"/>
          <w:sz w:val="18"/>
          <w:szCs w:val="18"/>
          <w:color w:val="auto"/>
        </w:rPr>
      </w:pPr>
    </w:p>
    <w:p>
      <w:pPr>
        <w:jc w:val="both"/>
        <w:ind w:firstLine="656"/>
        <w:spacing w:after="0" w:line="254" w:lineRule="auto"/>
        <w:tabs>
          <w:tab w:leader="none" w:pos="131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Aggregation</w:t>
      </w:r>
      <w:r>
        <w:rPr>
          <w:rFonts w:ascii="Arial" w:cs="Arial" w:eastAsia="Arial" w:hAnsi="Arial"/>
          <w:sz w:val="18"/>
          <w:szCs w:val="18"/>
          <w:color w:val="auto"/>
        </w:rPr>
        <w:t>. From and after the date of this Agreement, neither the Company, nor or any of its affiliates will, and the Company shall use its reasonable best efforts to ensure that no Person acting on their behalf will, directly or indirectly, make any offers or sales of any security or solicit any offers to buy any security, under circumstances that would cause this offering of the Securities by the Company to the Investor to be aggregated with other offerings by the Company in a manner that would require stockholder approval pursuant to the rules of the Principal Market on which any of the securities of the Company are listed or designated, unless stockholder approval is obtained before the closing of such subsequent transaction in accordance with the rules of such Principal Market.</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Use of Proceeds</w:t>
      </w:r>
      <w:r>
        <w:rPr>
          <w:rFonts w:ascii="Arial" w:cs="Arial" w:eastAsia="Arial" w:hAnsi="Arial"/>
          <w:sz w:val="15"/>
          <w:szCs w:val="15"/>
          <w:color w:val="auto"/>
        </w:rPr>
        <w:t>. The Company may use the net proceeds from any sale of Purchase Shares for any corporate purpose at its sole discretion.</w:t>
      </w:r>
    </w:p>
    <w:p>
      <w:pPr>
        <w:spacing w:after="0" w:line="192" w:lineRule="exact"/>
        <w:rPr>
          <w:rFonts w:ascii="Arial" w:cs="Arial" w:eastAsia="Arial" w:hAnsi="Arial"/>
          <w:sz w:val="15"/>
          <w:szCs w:val="15"/>
          <w:color w:val="auto"/>
        </w:rPr>
      </w:pPr>
    </w:p>
    <w:p>
      <w:pPr>
        <w:jc w:val="both"/>
        <w:ind w:firstLine="656"/>
        <w:spacing w:after="0" w:line="256" w:lineRule="auto"/>
        <w:tabs>
          <w:tab w:leader="none" w:pos="147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Other Transactions</w:t>
      </w:r>
      <w:r>
        <w:rPr>
          <w:rFonts w:ascii="Arial" w:cs="Arial" w:eastAsia="Arial" w:hAnsi="Arial"/>
          <w:sz w:val="18"/>
          <w:szCs w:val="18"/>
          <w:color w:val="auto"/>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Purchase Shares and the Commitment Shares to the Investor in accordance with the terms of the Transaction Documents.</w:t>
      </w:r>
    </w:p>
    <w:p>
      <w:pPr>
        <w:spacing w:after="0" w:line="129" w:lineRule="exact"/>
        <w:rPr>
          <w:sz w:val="20"/>
          <w:szCs w:val="20"/>
          <w:color w:val="auto"/>
        </w:rPr>
      </w:pPr>
    </w:p>
    <w:p>
      <w:pPr>
        <w:jc w:val="both"/>
        <w:ind w:firstLine="656"/>
        <w:spacing w:after="0" w:line="306" w:lineRule="auto"/>
        <w:tabs>
          <w:tab w:leader="none" w:pos="1443"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From and after the date of this Agreement, neither the Company, nor any of its affiliates will, and the Company shall use its reasonable best efforts to ensure that no Person acting on their behalf will, directly or indirectly, make any offers or sales of any security or solicit any offers to buy any security, under circumstances that would require registration of the offer and sale of any of the Securities under the Securities Act.</w:t>
      </w:r>
    </w:p>
    <w:p>
      <w:pPr>
        <w:spacing w:after="0" w:line="92" w:lineRule="exact"/>
        <w:rPr>
          <w:rFonts w:ascii="Arial" w:cs="Arial" w:eastAsia="Arial" w:hAnsi="Arial"/>
          <w:sz w:val="16"/>
          <w:szCs w:val="16"/>
          <w:color w:val="auto"/>
        </w:rPr>
      </w:pPr>
    </w:p>
    <w:p>
      <w:pPr>
        <w:jc w:val="both"/>
        <w:ind w:firstLine="656"/>
        <w:spacing w:after="0" w:line="282" w:lineRule="auto"/>
        <w:tabs>
          <w:tab w:leader="none" w:pos="135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Limitation on Variable Rate Transactions.</w:t>
      </w:r>
      <w:r>
        <w:rPr>
          <w:rFonts w:ascii="Arial" w:cs="Arial" w:eastAsia="Arial" w:hAnsi="Arial"/>
          <w:sz w:val="16"/>
          <w:szCs w:val="16"/>
          <w:color w:val="auto"/>
        </w:rPr>
        <w:t xml:space="preserve"> From and until the later of: (i) Twenty-Four (24) months from the date hereof or (ii) the Maturity Date (irrespective of any earlier termination of this Agreement, the Company shall be prohibited from effecting or entering into an agreement to effect any issuance by the Company or any of its Subsidiaries of Common Stock or Common Stock Equivalents (or a combination of units thereof) involving a Variable Rate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 “</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means any securities of the Company or its Subsidiaries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 “</w:t>
      </w:r>
      <w:r>
        <w:rPr>
          <w:rFonts w:ascii="Arial" w:cs="Arial" w:eastAsia="Arial" w:hAnsi="Arial"/>
          <w:sz w:val="16"/>
          <w:szCs w:val="16"/>
          <w:u w:val="single" w:color="auto"/>
          <w:color w:val="auto"/>
        </w:rPr>
        <w:t>Variable Rate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means a transaction, from and until the later of (i) twenty-four (24) months from the date hereof or (ii) the Maturity Date, in which the Company</w:t>
      </w:r>
    </w:p>
    <w:p>
      <w:pPr>
        <w:spacing w:after="0" w:line="4" w:lineRule="exact"/>
        <w:rPr>
          <w:rFonts w:ascii="Arial" w:cs="Arial" w:eastAsia="Arial" w:hAnsi="Arial"/>
          <w:sz w:val="16"/>
          <w:szCs w:val="16"/>
          <w:color w:val="auto"/>
        </w:rPr>
      </w:pPr>
    </w:p>
    <w:p>
      <w:pPr>
        <w:jc w:val="both"/>
        <w:ind w:firstLine="8"/>
        <w:spacing w:after="0" w:line="285" w:lineRule="auto"/>
        <w:tabs>
          <w:tab w:leader="none" w:pos="227" w:val="left"/>
        </w:tabs>
        <w:numPr>
          <w:ilvl w:val="0"/>
          <w:numId w:val="37"/>
        </w:numPr>
        <w:rPr>
          <w:rFonts w:ascii="Arial" w:cs="Arial" w:eastAsia="Arial" w:hAnsi="Arial"/>
          <w:sz w:val="16"/>
          <w:szCs w:val="16"/>
          <w:color w:val="auto"/>
        </w:rPr>
      </w:pPr>
      <w:r>
        <w:rPr>
          <w:rFonts w:ascii="Arial" w:cs="Arial" w:eastAsia="Arial" w:hAnsi="Arial"/>
          <w:sz w:val="16"/>
          <w:szCs w:val="16"/>
          <w:color w:val="auto"/>
        </w:rPr>
        <w:t>issues or sells any equity or debt securities that are convertible into, exchangeable or exercisable for, or include the right to receive additional shares of Common Stock or Common Stock Equivalents either (A) at a conversion price, exercise price, exchange rate or other price that is based upon and/or varies with the trading prices of or quotations for the Common Stock at any time after the initial issuance of such equity or debt securities (including, without limitation, pursuant to any “cashless exercise” provision),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Stock (including, without limitation, any “full ratchet” or “weighted average” anti-dilution provisions, but not including any standard anti-dilution protection for any reorganization, recapitalization, non-cash dividend, stock split, reverse stock split or other similar transaction), (ii) issues or sells any equity or debt securities, including without limitation, Common Stock or Common Stock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standard anti-dilution protection for any reorganization, recapitalization, non-cash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23" w:name="page24"/>
    <w:bookmarkEnd w:id="23"/>
    <w:p>
      <w:pPr>
        <w:ind w:right="40"/>
        <w:spacing w:after="0" w:line="303" w:lineRule="auto"/>
        <w:rPr>
          <w:sz w:val="20"/>
          <w:szCs w:val="20"/>
          <w:color w:val="auto"/>
        </w:rPr>
      </w:pPr>
      <w:r>
        <w:rPr>
          <w:rFonts w:ascii="Arial" w:cs="Arial" w:eastAsia="Arial" w:hAnsi="Arial"/>
          <w:sz w:val="15"/>
          <w:szCs w:val="15"/>
          <w:color w:val="auto"/>
        </w:rPr>
        <w:t>dividend, stock split, reverse stock split or other similar transaction), or (B) that is subject to or contains any put, call, redemption, buy-back, price-reset or other similar provision or mechanism (including, without limitation, a “Black-Scholes” put or call right) that provides for the issuance of additional equity securities of the Company or the payment of cash by the Company, or (iii) enters into any agreement, including, but not limited to, an “equity line”, “at-the-market offering” that is not an Exempt Issuance or other continuous offering or similar offering of Common Stock or Common Stock Equivalents, whereby the Company may sell Common Stock or Common Stock Equivalents at a future determined price. “</w:t>
      </w:r>
      <w:r>
        <w:rPr>
          <w:rFonts w:ascii="Arial" w:cs="Arial" w:eastAsia="Arial" w:hAnsi="Arial"/>
          <w:sz w:val="15"/>
          <w:szCs w:val="15"/>
          <w:u w:val="single" w:color="auto"/>
          <w:color w:val="auto"/>
        </w:rPr>
        <w:t>Exempt Issuance</w:t>
      </w:r>
      <w:r>
        <w:rPr>
          <w:rFonts w:ascii="Arial" w:cs="Arial" w:eastAsia="Arial" w:hAnsi="Arial"/>
          <w:sz w:val="15"/>
          <w:szCs w:val="15"/>
          <w:color w:val="auto"/>
        </w:rPr>
        <w:t>” means the issuance of (a) Common Stock, options, restricted stock units or other equity incentive awards to employees, officers, directors or vendors of the Company pursuant to any equity incentive plan duly adopted for such purpose, by the Board of Directors of the Company or a majority of the members of a committee of directors established for such purpose, (b) any Securities issued to the Investor pursuant to this Agreement, (c) shares of Common Stock, Common Stock Equivalents or other securities issued to the Investor pursuant to any other existing or future contract, agreement or arrangement between the Company and the Investor, (d) shares of Common Stock, Common Stock Equivalents or other securities upon the exercise, exchange or conversion of any shares of Common Stock, Common Stock Equivalents or other securities held by the Investor at any time, (e) any securities issued upon the exercise or exchange of or conversion of any Common Stock Equivalents issued and outstanding on the date hereof, provided that such securities or Common Stock Equivalents referred to in this clause (e) have not been amended since the date hereof to increase the number of such securities or Common Stock underlying such securities or to decrease the exercise price, exchange price or conversion price of such securities, (f) Common Stock Equivalents that are convertible into, exchangeable or exercisable for, or include the right to receive shares of Common Stock at a conversion price, exercise price, exchange rate or other price (which may be below the then current market price of the Common Stock) that is fixed at the time of initial issuance of such Common Stock Equivalents (subject only to standard anti-dilution protection for any reorganization, recapitalization, non-cash dividend, stock split, reverse stock split or other similar transaction), which fixed conversion price, exercise price, exchange rate or other price shall not at any time after the initial issuance of such Common Stock Equivalent be based upon or varying with the trading prices of or quotations for the Common Stock or subject to being reset at some future date, (g) securities issued pursuant to acquisitions, divestitures, licenses, partnerships, collaborations or strategic transactions approved by the Board of Directors of the Company or a majority of the members of a committee of directors established for such purpose, which acquisitions, divestitures, licenses, partnerships, collaborations or strategic transactions can have a Variable Rate Transaction component, provided that any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(h) Common Stock issued pursuant to an “at-the-market offering” by the Company exclusively through a registered broker-dealer acting as agent of the Company pursuant to a written agreement between the Company and such registered broker-dealer or</w:t>
      </w:r>
    </w:p>
    <w:p>
      <w:pPr>
        <w:spacing w:after="0" w:line="178" w:lineRule="exact"/>
        <w:rPr>
          <w:sz w:val="20"/>
          <w:szCs w:val="20"/>
          <w:color w:val="auto"/>
        </w:rPr>
      </w:pPr>
    </w:p>
    <w:p>
      <w:pPr>
        <w:ind w:right="540" w:firstLine="8"/>
        <w:spacing w:after="0" w:line="323" w:lineRule="auto"/>
        <w:tabs>
          <w:tab w:leader="none" w:pos="2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equity securities issued in connection with future financings or offerings of the Company, such as but not limited to, registered direct offerings, rights offerings, and confidentially marketed public offerings; provided such underlying transactions do not involve a Variable Rate Transaction.</w:t>
      </w:r>
    </w:p>
    <w:p>
      <w:pPr>
        <w:spacing w:after="0" w:line="72" w:lineRule="exact"/>
        <w:rPr>
          <w:rFonts w:ascii="Arial" w:cs="Arial" w:eastAsia="Arial" w:hAnsi="Arial"/>
          <w:sz w:val="16"/>
          <w:szCs w:val="16"/>
          <w:color w:val="auto"/>
        </w:rPr>
      </w:pPr>
    </w:p>
    <w:p>
      <w:pPr>
        <w:ind w:left="1260" w:hanging="604"/>
        <w:spacing w:after="0"/>
        <w:tabs>
          <w:tab w:leader="none" w:pos="126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AGENT INSTRUCTIONS.</w:t>
      </w:r>
    </w:p>
    <w:p>
      <w:pPr>
        <w:spacing w:after="0" w:line="258" w:lineRule="exact"/>
        <w:rPr>
          <w:sz w:val="20"/>
          <w:szCs w:val="20"/>
          <w:color w:val="auto"/>
        </w:rPr>
      </w:pPr>
    </w:p>
    <w:p>
      <w:pPr>
        <w:jc w:val="both"/>
        <w:ind w:firstLine="656"/>
        <w:spacing w:after="0" w:line="256" w:lineRule="auto"/>
        <w:tabs>
          <w:tab w:leader="none" w:pos="11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On the date of this Agreement, the Company shall issue irrevocable instructions to the Transfer Agent substantially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to issue the Initial Purchase Shares and the Commitment Shares in accordance with the terms of this Agreement (the “</w:t>
      </w:r>
      <w:r>
        <w:rPr>
          <w:rFonts w:ascii="Arial" w:cs="Arial" w:eastAsia="Arial" w:hAnsi="Arial"/>
          <w:sz w:val="18"/>
          <w:szCs w:val="18"/>
          <w:u w:val="single" w:color="auto"/>
          <w:color w:val="auto"/>
        </w:rPr>
        <w:t>Irrevocable Transfer Agent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Instructions</w:t>
      </w:r>
      <w:r>
        <w:rPr>
          <w:rFonts w:ascii="Arial" w:cs="Arial" w:eastAsia="Arial" w:hAnsi="Arial"/>
          <w:sz w:val="18"/>
          <w:szCs w:val="18"/>
          <w:color w:val="auto"/>
        </w:rPr>
        <w:t>”). The certificate(s) or book-entry statement(s) representing the Initial Purchase Shares and the Commitment Shares, except as set forth below, shall bear the following restrictive legend (the “</w:t>
      </w:r>
      <w:r>
        <w:rPr>
          <w:rFonts w:ascii="Arial" w:cs="Arial" w:eastAsia="Arial" w:hAnsi="Arial"/>
          <w:sz w:val="18"/>
          <w:szCs w:val="18"/>
          <w:u w:val="single" w:color="auto"/>
          <w:color w:val="auto"/>
        </w:rPr>
        <w:t>Restrictive Legend</w:t>
      </w:r>
      <w:r>
        <w:rPr>
          <w:rFonts w:ascii="Arial" w:cs="Arial" w:eastAsia="Arial" w:hAnsi="Arial"/>
          <w:sz w:val="18"/>
          <w:szCs w:val="18"/>
          <w:color w:val="auto"/>
        </w:rPr>
        <w:t>”):</w:t>
      </w:r>
    </w:p>
    <w:p>
      <w:pPr>
        <w:spacing w:after="0" w:line="123" w:lineRule="exact"/>
        <w:rPr>
          <w:sz w:val="20"/>
          <w:szCs w:val="20"/>
          <w:color w:val="auto"/>
        </w:rPr>
      </w:pPr>
    </w:p>
    <w:p>
      <w:pPr>
        <w:jc w:val="both"/>
        <w:ind w:left="660" w:right="480"/>
        <w:spacing w:after="0" w:line="254" w:lineRule="auto"/>
        <w:rPr>
          <w:sz w:val="20"/>
          <w:szCs w:val="20"/>
          <w:color w:val="auto"/>
        </w:rPr>
      </w:pPr>
      <w:r>
        <w:rPr>
          <w:rFonts w:ascii="Arial" w:cs="Arial" w:eastAsia="Arial" w:hAnsi="Arial"/>
          <w:sz w:val="18"/>
          <w:szCs w:val="18"/>
          <w:b w:val="1"/>
          <w:bCs w:val="1"/>
          <w:color w:val="auto"/>
        </w:rPr>
        <w:t>THE SECURITIES REPRESENTED BY THIS CERTIFICATE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4" w:name="page25"/>
    <w:bookmarkEnd w:id="24"/>
    <w:p>
      <w:pPr>
        <w:jc w:val="both"/>
        <w:ind w:firstLine="656"/>
        <w:spacing w:after="0" w:line="301" w:lineRule="auto"/>
        <w:tabs>
          <w:tab w:leader="none" w:pos="1069" w:val="left"/>
        </w:tabs>
        <w:numPr>
          <w:ilvl w:val="1"/>
          <w:numId w:val="40"/>
        </w:numPr>
        <w:rPr>
          <w:rFonts w:ascii="Arial" w:cs="Arial" w:eastAsia="Arial" w:hAnsi="Arial"/>
          <w:sz w:val="15"/>
          <w:szCs w:val="15"/>
          <w:color w:val="auto"/>
        </w:rPr>
      </w:pPr>
      <w:r>
        <w:rPr>
          <w:rFonts w:ascii="Arial" w:cs="Arial" w:eastAsia="Arial" w:hAnsi="Arial"/>
          <w:sz w:val="15"/>
          <w:szCs w:val="15"/>
          <w:color w:val="auto"/>
        </w:rPr>
        <w:t>On the earlier of (i) the Commencement Date and (ii) such time that the Investor shall request, provided all conditions of Rule 144 under the Securities Act are met, the Company shall, no later than one (1) Business Day following the delivery by the Investor to the Company or the Transfer Agent of one or more legended certificates or book-entry statements representing the Initial Purchase Shares and the Commitment Shares (which certificates or book-entry statements the Investor shall promptly deliver on or prior to the first to occur of the events described in clauses (i) and (ii) of this sentence), as directed by the Investor, issue and deliver (or cause to be issued and delivered) to the Investor, as requested by the Investor, either: (A) a certificate or book-entry statement representing such Initial Purchase Shares and Commitment Shares that is free from all restrictive and other legends or (B) a number of shares of Common Stock equal to the number of Commitment Shares represented by the certificate(s) or book-entry statement(s) so delivered by the Investor as DWAC Shares. The Company shall take all actions to carry out the intent and accomplish the purposes of the immediately preceding sentence, including, without limitation, delivering all such legal opinions, consents, certificates, resolutions and instructions to the Transfer Agent, and any successor transfer agent of the Company, as may be requested from time to time by the Investor or necessary or desirable to carry out the intent and accomplish the purposes of the immediately preceding sentence. On the Commencement Date, the Company shall issue to the Transfer Agent, and any subsequent transfer agent, (i) irrevocable instructions in the form substantially similar to those used by the Investor in substantially similar transactions (the “</w:t>
      </w:r>
      <w:r>
        <w:rPr>
          <w:rFonts w:ascii="Arial" w:cs="Arial" w:eastAsia="Arial" w:hAnsi="Arial"/>
          <w:sz w:val="15"/>
          <w:szCs w:val="15"/>
          <w:u w:val="single" w:color="auto"/>
          <w:color w:val="auto"/>
        </w:rPr>
        <w:t>Commencement Irrevocable Transfer Agent Instructions</w:t>
      </w:r>
      <w:r>
        <w:rPr>
          <w:rFonts w:ascii="Arial" w:cs="Arial" w:eastAsia="Arial" w:hAnsi="Arial"/>
          <w:sz w:val="15"/>
          <w:szCs w:val="15"/>
          <w:color w:val="auto"/>
        </w:rPr>
        <w:t>”) and</w:t>
      </w:r>
    </w:p>
    <w:p>
      <w:pPr>
        <w:spacing w:after="0" w:line="2" w:lineRule="exact"/>
        <w:rPr>
          <w:rFonts w:ascii="Arial" w:cs="Arial" w:eastAsia="Arial" w:hAnsi="Arial"/>
          <w:sz w:val="15"/>
          <w:szCs w:val="15"/>
          <w:color w:val="auto"/>
        </w:rPr>
      </w:pPr>
    </w:p>
    <w:p>
      <w:pPr>
        <w:jc w:val="both"/>
        <w:ind w:firstLine="8"/>
        <w:spacing w:after="0" w:line="285" w:lineRule="auto"/>
        <w:tabs>
          <w:tab w:leader="none" w:pos="2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notice of effectiveness of the Registration Statement in the form attached as an exhibit to the Registration Rights Agreement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Effectiveness of Registration Statement</w:t>
      </w:r>
      <w:r>
        <w:rPr>
          <w:rFonts w:ascii="Arial" w:cs="Arial" w:eastAsia="Arial" w:hAnsi="Arial"/>
          <w:sz w:val="16"/>
          <w:szCs w:val="16"/>
          <w:color w:val="auto"/>
        </w:rPr>
        <w:t xml:space="preserve">”), in each case to issue the Initial Purchase Shares and the Commitment Shares and the Purchase Shares in accordance with the terms of this Agreement and the Registration Rights Agreement. All Purchase Shares to be issued from and after Commencement to or for the benefit of the Investor pursuant to this Agreement shall be issued only as DWAC Shares. The Company represents and warrants to the Investor that, while this Agreement is effective, no instruction other than the Commencement Irrevocable Transfer Agent Instructions and the Notice of Effectiveness of Registration Statement referred to in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will be given by the Company to the Transfer Agent with respect to the Commitment Shares or the Purchase Shares from and after Commencement, and the Commitment Shares, and the Purchase Shares and the Commitment Shares covered by the Registration Statement shall otherwise be freely transferable on the books and records of the Company. The Company agrees that if the Company fails to fully comply with the provisions of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within five (5) Business Days of the Investor providing the deliveries referred to above, the Company shall, at the Investor’s written instruction, purchase such shares of Common Stock containing the Restrictive Legend from the Investor at the greater of the (i) Purchase Price or Accelerated Purchase Price paid for such shares of Common Stock (as applicable) and (ii) the Closing Sale Price of the Common Stock on the date of the Investor’s written instruction.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 CONDITIONS TO THE COMPANY'S RIGHT TO COMMENCE SALES OF SHARES OF COMMON STOCK.</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right of the Company hereunder to commence sales of the Purchase Shares (other than the Initial Purchase Shares) on the Commencement Date is subject to the satisfaction of each of the following conditions:</w:t>
      </w:r>
    </w:p>
    <w:p>
      <w:pPr>
        <w:spacing w:after="0" w:line="186" w:lineRule="exact"/>
        <w:rPr>
          <w:sz w:val="20"/>
          <w:szCs w:val="20"/>
          <w:color w:val="auto"/>
        </w:rPr>
      </w:pPr>
    </w:p>
    <w:p>
      <w:pPr>
        <w:ind w:left="1380" w:hanging="724"/>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Investor shall have executed each of the Transaction Documents and delivered the same to the Company;</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1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Registration Statement covering the resale of the Purchase Shares in accordance with the Registration Rights Agreement and all of the Initial Purchase Shares and Commitment Shares shall have been declared effective under the Securities Act by the SEC, and no stop order with respect to the Registration Statement shall be pending or threatened by the SEC;</w:t>
      </w:r>
    </w:p>
    <w:p>
      <w:pPr>
        <w:spacing w:after="0" w:line="220" w:lineRule="exact"/>
        <w:rPr>
          <w:rFonts w:ascii="Arial" w:cs="Arial" w:eastAsia="Arial" w:hAnsi="Arial"/>
          <w:sz w:val="18"/>
          <w:szCs w:val="18"/>
          <w:color w:val="auto"/>
        </w:rPr>
      </w:pPr>
    </w:p>
    <w:p>
      <w:pPr>
        <w:ind w:firstLine="656"/>
        <w:spacing w:after="0" w:line="331" w:lineRule="auto"/>
        <w:tabs>
          <w:tab w:leader="none" w:pos="13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Securities to be issued by the Company to the Investor under the Transaction Documents shall have been approved for listing on the Principal Market in accordance with the applicable rules and regulations of the Principal Market, subject only to official notice of issuance; and</w:t>
      </w:r>
    </w:p>
    <w:p>
      <w:pPr>
        <w:spacing w:after="0" w:line="167" w:lineRule="exact"/>
        <w:rPr>
          <w:rFonts w:ascii="Arial" w:cs="Arial" w:eastAsia="Arial" w:hAnsi="Arial"/>
          <w:sz w:val="16"/>
          <w:szCs w:val="16"/>
          <w:color w:val="auto"/>
        </w:rPr>
      </w:pPr>
    </w:p>
    <w:p>
      <w:pPr>
        <w:ind w:right="20" w:firstLine="656"/>
        <w:spacing w:after="0" w:line="268" w:lineRule="auto"/>
        <w:tabs>
          <w:tab w:leader="none" w:pos="15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representations and warranties of the Investor shall be true and correct in all material respects as of the date hereof and as of the Commencement Date as though made at that time.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color w:val="auto"/>
        </w:rPr>
        <w:t>8. CONDITIONS TO THE INVESTOR'S OBLIGATION TO PURCHASE SHARES OF COMMON STOCK.</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obligation of the Investor to buy Purchase Shares (other than the Initial Purchase Shares) under this Agreement is subject to the satisfaction of each of the following conditions on or prior to the Commencement Date and, once such conditions have been initially satisfied, there shall not be any ongoing obligation to satisfy such conditions after the Commencement has occurred:</w:t>
      </w:r>
    </w:p>
    <w:p>
      <w:pPr>
        <w:spacing w:after="0" w:line="194" w:lineRule="exact"/>
        <w:rPr>
          <w:sz w:val="20"/>
          <w:szCs w:val="20"/>
          <w:color w:val="auto"/>
        </w:rPr>
      </w:pPr>
    </w:p>
    <w:p>
      <w:pPr>
        <w:ind w:left="1340" w:hanging="684"/>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have executed each of the Transaction Documents and delivered the same to the Investor;</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Company shall have caused the Commitment Shares and the Initial Purchase Shares to be delivered as DWAC Shares or (ii) removed all restrictive and other legends from the certificates or book-entry statements representing the Commitment Shares, in each case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6(b)</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656"/>
        <w:spacing w:after="0" w:line="256" w:lineRule="auto"/>
        <w:tabs>
          <w:tab w:leader="none" w:pos="13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Common Stock shall be listed or quoted on the Principal Market, trading in the Common Stock shall not have been within the last 365 days suspended by the SEC or the Principal Market for one or more Trading Day, and all Securities to be issued by the Company to the Investor pursuant to this Agreement shall have been, approved for listing or quotation on the Principal Market in accordance with the applicable rules and regulations of the Principal Market, subject only to official notice of issuance;</w:t>
      </w:r>
    </w:p>
    <w:p>
      <w:pPr>
        <w:spacing w:after="0" w:line="129" w:lineRule="exact"/>
        <w:rPr>
          <w:rFonts w:ascii="Arial" w:cs="Arial" w:eastAsia="Arial" w:hAnsi="Arial"/>
          <w:sz w:val="18"/>
          <w:szCs w:val="18"/>
          <w:color w:val="auto"/>
        </w:rPr>
      </w:pPr>
    </w:p>
    <w:p>
      <w:pPr>
        <w:ind w:firstLine="656"/>
        <w:spacing w:after="0" w:line="268" w:lineRule="auto"/>
        <w:tabs>
          <w:tab w:leader="none" w:pos="13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Investor shall have received the opinion letter of the Company's legal counsel dated as of the Commencement Date substantially in the form agreed prior to the date of this Agreement by the Company’s legal counsel and the Investor’s legal counsel;</w:t>
      </w:r>
    </w:p>
    <w:p>
      <w:pPr>
        <w:spacing w:after="0" w:line="185" w:lineRule="exact"/>
        <w:rPr>
          <w:rFonts w:ascii="Arial" w:cs="Arial" w:eastAsia="Arial" w:hAnsi="Arial"/>
          <w:sz w:val="18"/>
          <w:szCs w:val="18"/>
          <w:color w:val="auto"/>
        </w:rPr>
      </w:pPr>
    </w:p>
    <w:p>
      <w:pPr>
        <w:jc w:val="both"/>
        <w:ind w:firstLine="656"/>
        <w:spacing w:after="0" w:line="290" w:lineRule="auto"/>
        <w:tabs>
          <w:tab w:leader="none" w:pos="1414"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shall be true and correct in all material respects (except to the extent that any of such representations and warranties is already qualified as to materiality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above, in which case, such representations and warranties shall be true shall be true and correct without further qualification) as of the date hereof and as of the Commencement Date as though made at that time (except for representations and warranties that speak as of a specific date, which and correct as of such date) and the Company shall have performed, satisfied and complied with the covenants, agreements and conditions required by the Transaction Documents to be performed, satisfied or complied with by the Company at or prior to the Commencement Date. The Investor shall have received a certificate, executed by the CEO, President or CFO of the Company, dated as of the Commencement Date, to the foregoing effect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firstLine="656"/>
        <w:spacing w:after="0" w:line="268" w:lineRule="auto"/>
        <w:tabs>
          <w:tab w:leader="none" w:pos="14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Board of Directors of the Company shall have adopted the Signing Resolutions, which shall be in full force and effect without any amendment or supplement thereto as of the Commencement Date;</w:t>
      </w:r>
    </w:p>
    <w:p>
      <w:pPr>
        <w:spacing w:after="0" w:line="185" w:lineRule="exact"/>
        <w:rPr>
          <w:rFonts w:ascii="Arial" w:cs="Arial" w:eastAsia="Arial" w:hAnsi="Arial"/>
          <w:sz w:val="18"/>
          <w:szCs w:val="18"/>
          <w:color w:val="auto"/>
        </w:rPr>
      </w:pPr>
    </w:p>
    <w:p>
      <w:pPr>
        <w:jc w:val="both"/>
        <w:ind w:firstLine="656"/>
        <w:spacing w:after="0" w:line="259" w:lineRule="auto"/>
        <w:tabs>
          <w:tab w:leader="none" w:pos="13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the Commencement Date, the Company shall have reserved out of its authorized and unissued Common Stock, solely for the purpose of effecting purchases of Purchase Shares hereunder (other than the Initial Purchase Shares), Eight Million Seven Hundred Fifty Thousand (8,750,000) shares of Common Stock;</w:t>
      </w:r>
    </w:p>
    <w:p>
      <w:pPr>
        <w:spacing w:after="0" w:line="193" w:lineRule="exact"/>
        <w:rPr>
          <w:rFonts w:ascii="Arial" w:cs="Arial" w:eastAsia="Arial" w:hAnsi="Arial"/>
          <w:sz w:val="18"/>
          <w:szCs w:val="18"/>
          <w:color w:val="auto"/>
        </w:rPr>
      </w:pPr>
    </w:p>
    <w:p>
      <w:pPr>
        <w:ind w:firstLine="656"/>
        <w:spacing w:after="0" w:line="331" w:lineRule="auto"/>
        <w:tabs>
          <w:tab w:leader="none" w:pos="134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Commencement Irrevocable Transfer Agent Instructions and the Notice of Effectiveness of Registration Statement each shall have been delivered to and acknowledged in writing by the Company and the Company’s Transfer Agent (or any successor transfer agent);</w:t>
      </w:r>
    </w:p>
    <w:p>
      <w:pPr>
        <w:spacing w:after="0" w:line="140" w:lineRule="exact"/>
        <w:rPr>
          <w:rFonts w:ascii="Arial" w:cs="Arial" w:eastAsia="Arial" w:hAnsi="Arial"/>
          <w:sz w:val="16"/>
          <w:szCs w:val="16"/>
          <w:color w:val="auto"/>
        </w:rPr>
      </w:pPr>
    </w:p>
    <w:p>
      <w:pPr>
        <w:jc w:val="both"/>
        <w:ind w:firstLine="656"/>
        <w:spacing w:after="0" w:line="298" w:lineRule="auto"/>
        <w:tabs>
          <w:tab w:leader="none" w:pos="141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have delivered to the Investor (i) a certificate evidencing the incorporation and good standing of the Company in the State of Nevada issued by the Secretary of State of the State of Nevada and (ii) a certificate or its equivalent evidencing the good standing of the Company as a foreign corporation in the State of California, issued by the Secretary of State of the State of California, and in any other jurisdiction where the Company is duly qualified to conduct business, in each case, as of a date within ten (10) Business Days of the Commencement Date;</w:t>
      </w:r>
    </w:p>
    <w:p>
      <w:pPr>
        <w:spacing w:after="0" w:line="166" w:lineRule="exact"/>
        <w:rPr>
          <w:rFonts w:ascii="Arial" w:cs="Arial" w:eastAsia="Arial" w:hAnsi="Arial"/>
          <w:sz w:val="16"/>
          <w:szCs w:val="16"/>
          <w:color w:val="auto"/>
        </w:rPr>
      </w:pPr>
    </w:p>
    <w:p>
      <w:pPr>
        <w:ind w:firstLine="656"/>
        <w:spacing w:after="0" w:line="268" w:lineRule="auto"/>
        <w:tabs>
          <w:tab w:leader="none" w:pos="13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have delivered to the Investor a certified copy of the Articles of Incorporation as certified by the Secretary of State of the State of Nevada within ten (10) Business Days of the Commencement 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firstLine="656"/>
        <w:spacing w:after="0" w:line="268" w:lineRule="auto"/>
        <w:tabs>
          <w:tab w:leader="none" w:pos="15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the Investor a secretary's certificate executed by the Secretary of the Company, dated as of the Commencement Date,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firstLine="656"/>
        <w:spacing w:after="0" w:line="288" w:lineRule="auto"/>
        <w:tabs>
          <w:tab w:leader="none" w:pos="1418"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Registration Statement covering the resale of such number of the Purchase Shares as the Company is permitted to register under the Registration Statement pursuant to the Registration Rights Agreement and all of the Initial Purchase Shares and Commitment Shares shall have been declared effective under the Securities Act by the SEC, and no stop order with respect to the Registration Statement shall be in effect or threatened by the SEC. The Company shall have prepared and filed with the SEC, not later than one (1) Business Day after the effective date of the Registration Statement, a final and complete prospectus (the preliminary form of which shall be included in the Registration Statement) and shall have delivered to the Investor a true and complete copy thereof. Such prospectus shall be current and available for the resale by the Investor of all of the Securities covered thereby. The Current Report shall have been filed with the SEC, as required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All reports, schedules, registrations, forms, statements, information and other documents required to have been filed by the Company with the SEC at prior to the Commencement Date pursuant to the reporting requirements of the Exchange Act shall have been filed with the SEC within the applicable time periods prescribed for such filings under the Exchange Act;</w:t>
      </w:r>
    </w:p>
    <w:p>
      <w:pPr>
        <w:spacing w:after="0" w:line="172" w:lineRule="exact"/>
        <w:rPr>
          <w:rFonts w:ascii="Arial" w:cs="Arial" w:eastAsia="Arial" w:hAnsi="Arial"/>
          <w:sz w:val="16"/>
          <w:szCs w:val="16"/>
          <w:color w:val="auto"/>
        </w:rPr>
      </w:pPr>
    </w:p>
    <w:p>
      <w:pPr>
        <w:ind w:left="1400" w:hanging="744"/>
        <w:spacing w:after="0"/>
        <w:tabs>
          <w:tab w:leader="none" w:pos="1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Event of Default has occurred, or any event which, after notice and/or lapse of time, would become an Event of Default has occurred;</w:t>
      </w:r>
    </w:p>
    <w:p>
      <w:pPr>
        <w:spacing w:after="0" w:line="248" w:lineRule="exact"/>
        <w:rPr>
          <w:rFonts w:ascii="Arial" w:cs="Arial" w:eastAsia="Arial" w:hAnsi="Arial"/>
          <w:sz w:val="16"/>
          <w:szCs w:val="16"/>
          <w:color w:val="auto"/>
        </w:rPr>
      </w:pPr>
    </w:p>
    <w:p>
      <w:pPr>
        <w:jc w:val="both"/>
        <w:ind w:firstLine="656"/>
        <w:spacing w:after="0" w:line="288" w:lineRule="auto"/>
        <w:tabs>
          <w:tab w:leader="none" w:pos="16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spacing w:after="0" w:line="110" w:lineRule="exact"/>
        <w:rPr>
          <w:rFonts w:ascii="Arial" w:cs="Arial" w:eastAsia="Arial" w:hAnsi="Arial"/>
          <w:sz w:val="16"/>
          <w:szCs w:val="16"/>
          <w:color w:val="auto"/>
        </w:rPr>
      </w:pPr>
    </w:p>
    <w:p>
      <w:pPr>
        <w:jc w:val="both"/>
        <w:ind w:firstLine="656"/>
        <w:spacing w:after="0" w:line="259" w:lineRule="auto"/>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statute, regulation, order, decree, writ, ruling or injunction shall have been enacted, entered, promulgated, threatened or endorsed by any federal, state, local or foreign court or Governmental Authority of competent jurisdiction which prohibits the consummation of or which would materially modify or delay any of the transactions contemplated by the Transaction Documents;</w:t>
      </w:r>
    </w:p>
    <w:p>
      <w:pPr>
        <w:spacing w:after="0" w:line="126" w:lineRule="exact"/>
        <w:rPr>
          <w:rFonts w:ascii="Arial" w:cs="Arial" w:eastAsia="Arial" w:hAnsi="Arial"/>
          <w:sz w:val="18"/>
          <w:szCs w:val="18"/>
          <w:color w:val="auto"/>
        </w:rPr>
      </w:pPr>
    </w:p>
    <w:p>
      <w:pPr>
        <w:jc w:val="both"/>
        <w:ind w:firstLine="656"/>
        <w:spacing w:after="0" w:line="323" w:lineRule="auto"/>
        <w:tabs>
          <w:tab w:leader="none" w:pos="1489"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 and</w:t>
      </w:r>
    </w:p>
    <w:p>
      <w:pPr>
        <w:spacing w:after="0" w:line="83" w:lineRule="exact"/>
        <w:rPr>
          <w:rFonts w:ascii="Arial" w:cs="Arial" w:eastAsia="Arial" w:hAnsi="Arial"/>
          <w:sz w:val="15"/>
          <w:szCs w:val="15"/>
          <w:color w:val="auto"/>
        </w:rPr>
      </w:pPr>
    </w:p>
    <w:p>
      <w:pPr>
        <w:ind w:firstLine="656"/>
        <w:spacing w:after="0" w:line="268"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Company shall have provided the Investor with the information requested by the Investor in connection with its due diligence requests in accordance with the terms of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color w:val="auto"/>
        </w:rPr>
        <w:t>9. INDEMNIFICATION.</w:t>
      </w:r>
    </w:p>
    <w:p>
      <w:pPr>
        <w:spacing w:after="0" w:line="2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5"/>
          <w:szCs w:val="15"/>
          <w:color w:val="auto"/>
        </w:rPr>
        <w:t>In consideration of the Investor’s execution and delivery of the Transaction Documents and acquiring the Securities hereunder and in addition to all of the Company’s other obligations under the Transaction Documents, the Company shall defend, protect, indemnify and hold harmless the Investor and all of its affiliates, stockholders, officers, directors, members, managers,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5"/>
          <w:szCs w:val="15"/>
          <w:u w:val="single" w:color="auto"/>
          <w:color w:val="auto"/>
        </w:rPr>
        <w:t>Indemnitees</w:t>
      </w:r>
      <w:r>
        <w:rPr>
          <w:rFonts w:ascii="Arial" w:cs="Arial" w:eastAsia="Arial" w:hAnsi="Arial"/>
          <w:sz w:val="15"/>
          <w:szCs w:val="15"/>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5"/>
          <w:szCs w:val="15"/>
          <w:u w:val="single" w:color="auto"/>
          <w:color w:val="auto"/>
        </w:rPr>
        <w:t>Indemnified Liabilities</w:t>
      </w:r>
      <w:r>
        <w:rPr>
          <w:rFonts w:ascii="Arial" w:cs="Arial" w:eastAsia="Arial" w:hAnsi="Arial"/>
          <w:sz w:val="15"/>
          <w:szCs w:val="15"/>
          <w:color w:val="auto"/>
        </w:rPr>
        <w:t xml:space="preserve">”),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(c) any cause of action, suit or claim brought or made against such Indemnitee and arising out of or resulting from the execution, delivery, performance or enforcement of the Transaction Documents or any other certificate, instrument or document contemplated hereby or thereby, (d) any violation of the Securities Act, the Exchange Act, state securities or “Blue Sky” laws, or the rules and regulations of the Principal Market in connection with the transactions contemplated by the Transaction Documents by the Company or any of its Subsidiaries, affiliates, officers, directors or employees, (e) any untrue statement or alleged untrue statement of a material fact contained, or incorporated by reference, in the Registration Statement or any amendment thereto or any omission or alleged omission to state therein, or in any document incorporated by reference therein, a material fact required to be stated therein or necessary to make the statements therein not misleading, or (f) any untrue statement or alleged untrue statement of a material fact contained, or incorporated by reference, in the Registration Statement, or any omission or alleged omission to state therein, or in any document incorporated by reference therein, a material fact required to be stated therein or necessary to make the statements therein, in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 the indemnity contained in clause (c) of this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shall not apply to any Indemnified Liabilities which directly and primarily result from the fraud, gross negligence or willful misconduct of an Indemnitee, (II) the indemnity contained in clauses (d), (e) and (f) of this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shall not apply to any Indemnified Liabilities to the extent, but only to the extent, arising out of or based upon any untrue statement or alleged untrue statement or omission or alleged omission made in reliance upon and in conformity with written information furnished to the Company by or on behalf of the Investor expressly for use in any Registration Statement and (III) the indemnity in this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provided that no seller of Securities guilty of fraudulent misrepresentation (within the meaning of Section 11(f) of the Securities Act) shall be entitled to contribution from any seller of Securities who was not guilty of fraudulent misrepresentation. Payment under this indemnification shall be made within thirty (30) days from the date the Indemnitee makes written request for it. A certificate containing reasonable detail as to the amount of such indemnification submitted to the Company by the Indemnitee shall be conclusive evidence, absent manifest error, of the amount due from the Company to the Indemnitee. If any action shall be brought against any Indemnitee with respect to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w:t>
      </w:r>
    </w:p>
    <w:p>
      <w:pPr>
        <w:spacing w:after="0" w:line="200" w:lineRule="exact"/>
        <w:rPr>
          <w:sz w:val="20"/>
          <w:szCs w:val="20"/>
          <w:color w:val="auto"/>
        </w:rPr>
      </w:pPr>
    </w:p>
    <w:p>
      <w:pPr>
        <w:spacing w:after="0" w:line="205" w:lineRule="exact"/>
        <w:rPr>
          <w:sz w:val="20"/>
          <w:szCs w:val="20"/>
          <w:color w:val="auto"/>
        </w:rPr>
      </w:pPr>
    </w:p>
    <w:p>
      <w:pPr>
        <w:jc w:val="both"/>
        <w:ind w:firstLine="8"/>
        <w:spacing w:after="0" w:line="302" w:lineRule="auto"/>
        <w:tabs>
          <w:tab w:leader="none" w:pos="2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1360" w:hanging="704"/>
        <w:spacing w:after="0"/>
        <w:tabs>
          <w:tab w:leader="none" w:pos="1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be deemed to have occurred at any time as any of the following events occurs:</w:t>
      </w:r>
    </w:p>
    <w:p>
      <w:pPr>
        <w:spacing w:after="0" w:line="225" w:lineRule="exact"/>
        <w:rPr>
          <w:sz w:val="20"/>
          <w:szCs w:val="20"/>
          <w:color w:val="auto"/>
        </w:rPr>
      </w:pPr>
    </w:p>
    <w:p>
      <w:pPr>
        <w:jc w:val="both"/>
        <w:ind w:firstLine="656"/>
        <w:spacing w:after="0" w:line="310" w:lineRule="auto"/>
        <w:tabs>
          <w:tab w:leader="none" w:pos="141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effectiveness of a registration statement registering the resale of the Securities lapses for any reason (including, without limitation, the issuance of a stop order or similar order) or such registration statement (or the prospectus forming a part thereof) is unavailable to the Investor for resale of any or all of the Securities to be issued to the Investor under the Transaction Documents, and such lapse or unavailability continues for a period of ten (10) consecutive Business Days or for more than an aggregate of thirty (30) Business Days in any 365-day period, but excluding a lapse or unavailability where (i) the Company terminates a registration statement after the Investor has confirmed in writing that all of the Securities covered thereby have been resold or (ii) the Company supersedes one registration statement with another registration statement, including (without limitation) by terminating a prior registration statement when it is effectively replaced with a new registration statement covering Securities (provided in the case of this clause (ii) that all of the Securities covered by the superseded (or terminated) registration statement that have not theretofore been resold are included in the superseding (or new) registration statement);</w:t>
      </w:r>
    </w:p>
    <w:p>
      <w:pPr>
        <w:spacing w:after="0" w:line="161" w:lineRule="exact"/>
        <w:rPr>
          <w:rFonts w:ascii="Arial" w:cs="Arial" w:eastAsia="Arial" w:hAnsi="Arial"/>
          <w:sz w:val="15"/>
          <w:szCs w:val="15"/>
          <w:color w:val="auto"/>
        </w:rPr>
      </w:pPr>
    </w:p>
    <w:p>
      <w:pPr>
        <w:ind w:right="20" w:firstLine="656"/>
        <w:spacing w:after="0" w:line="268" w:lineRule="auto"/>
        <w:tabs>
          <w:tab w:leader="none" w:pos="13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suspension of the Common Stock from trading on the Principal Market for a period of one (1) Business Day, provided that the Company may not direct the Investor to purchase any shares of Common Stock during any such suspension;</w:t>
      </w:r>
    </w:p>
    <w:p>
      <w:pPr>
        <w:spacing w:after="0" w:line="185" w:lineRule="exact"/>
        <w:rPr>
          <w:rFonts w:ascii="Arial" w:cs="Arial" w:eastAsia="Arial" w:hAnsi="Arial"/>
          <w:sz w:val="18"/>
          <w:szCs w:val="18"/>
          <w:color w:val="auto"/>
        </w:rPr>
      </w:pPr>
    </w:p>
    <w:p>
      <w:pPr>
        <w:jc w:val="both"/>
        <w:ind w:firstLine="656"/>
        <w:spacing w:after="0" w:line="256" w:lineRule="auto"/>
        <w:tabs>
          <w:tab w:leader="none" w:pos="15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delisting of the Common Stock from The Nasdaq Capital Market, provided, however, that the Common Stock is not immediately thereafter trading on the New York Stock Exchange, The Nasdaq Global Market, The Nasdaq Global Select Market, the NYSE American, the NYSE Arca, the OTC Bulletin Board, the OTCQX operated by the OTC Markets Group, Inc. or the OTCQB operated by the OTC Markets Group, Inc. (or nationally recognized successor to any of the foregoing);</w:t>
      </w:r>
    </w:p>
    <w:p>
      <w:pPr>
        <w:spacing w:after="0" w:line="223" w:lineRule="exact"/>
        <w:rPr>
          <w:rFonts w:ascii="Arial" w:cs="Arial" w:eastAsia="Arial" w:hAnsi="Arial"/>
          <w:sz w:val="18"/>
          <w:szCs w:val="18"/>
          <w:color w:val="auto"/>
        </w:rPr>
      </w:pPr>
    </w:p>
    <w:p>
      <w:pPr>
        <w:jc w:val="both"/>
        <w:ind w:firstLine="656"/>
        <w:spacing w:after="0" w:line="298" w:lineRule="auto"/>
        <w:tabs>
          <w:tab w:leader="none" w:pos="1082"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If at any time after the Commencement Date, the Exchange Cap is exceeded unless and until stockholder approval is obtained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hereof. The Exchange Cap shall be deemed to be exceeded at such time if, upon submission of a Regular Purchase Notice or Accelerated Purchase Notice under this Agreement, the issuance of such shares of Common Stock would exceed that number of shares of Common Stock which the Company may issue under this Agreement without breaching the Company’s obligations under the rules or regulations of the Principal Market;</w:t>
      </w:r>
    </w:p>
    <w:p>
      <w:pPr>
        <w:spacing w:after="0" w:line="98" w:lineRule="exact"/>
        <w:rPr>
          <w:rFonts w:ascii="Arial" w:cs="Arial" w:eastAsia="Arial" w:hAnsi="Arial"/>
          <w:sz w:val="16"/>
          <w:szCs w:val="16"/>
          <w:color w:val="auto"/>
        </w:rPr>
      </w:pPr>
    </w:p>
    <w:p>
      <w:pPr>
        <w:jc w:val="both"/>
        <w:ind w:firstLine="656"/>
        <w:spacing w:after="0" w:line="259" w:lineRule="auto"/>
        <w:tabs>
          <w:tab w:leader="none" w:pos="13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for any reason by the Transfer Agent to issue Purchase Shares to the Investor within three (3) Business Days after the applicable Purchase Date, Accelerated Purchase Date or Additional Accelerated Purchase Date (as applicable) on which the Investor is entitled to receive such Purchase Shares;</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breaches any representation, warranty, covenant or other term or condition under any Transaction Document if such breach has or could have a Material Adverse Effect and except, in the case of a breach of a covenant which is reasonably curable, only if such breach continues for a period of at least five (5) Business Days;</w:t>
      </w:r>
    </w:p>
    <w:p>
      <w:pPr>
        <w:spacing w:after="0" w:line="193" w:lineRule="exact"/>
        <w:rPr>
          <w:rFonts w:ascii="Arial" w:cs="Arial" w:eastAsia="Arial" w:hAnsi="Arial"/>
          <w:sz w:val="18"/>
          <w:szCs w:val="18"/>
          <w:color w:val="auto"/>
        </w:rPr>
      </w:pPr>
    </w:p>
    <w:p>
      <w:pPr>
        <w:ind w:left="1340" w:hanging="684"/>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Person commences a proceeding against the Company pursuant to or within the meaning of any Bankruptcy Law;</w:t>
      </w:r>
    </w:p>
    <w:p>
      <w:pPr>
        <w:spacing w:after="0" w:line="225" w:lineRule="exact"/>
        <w:rPr>
          <w:rFonts w:ascii="Arial" w:cs="Arial" w:eastAsia="Arial" w:hAnsi="Arial"/>
          <w:sz w:val="18"/>
          <w:szCs w:val="18"/>
          <w:color w:val="auto"/>
        </w:rPr>
      </w:pPr>
    </w:p>
    <w:p>
      <w:pPr>
        <w:jc w:val="both"/>
        <w:ind w:firstLine="656"/>
        <w:spacing w:after="0" w:line="306" w:lineRule="auto"/>
        <w:tabs>
          <w:tab w:leader="none" w:pos="1378"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pursuant to or within the meaning of any Bankruptcy Law, the Company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w:t>
      </w:r>
    </w:p>
    <w:p>
      <w:pPr>
        <w:spacing w:after="0" w:line="160" w:lineRule="exact"/>
        <w:rPr>
          <w:rFonts w:ascii="Arial" w:cs="Arial" w:eastAsia="Arial" w:hAnsi="Arial"/>
          <w:sz w:val="16"/>
          <w:szCs w:val="16"/>
          <w:color w:val="auto"/>
        </w:rPr>
      </w:pPr>
    </w:p>
    <w:p>
      <w:pPr>
        <w:jc w:val="both"/>
        <w:ind w:firstLine="656"/>
        <w:spacing w:after="0" w:line="259" w:lineRule="auto"/>
        <w:tabs>
          <w:tab w:leader="none" w:pos="15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 or;</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at any time the Company is not eligible to transfer its Common Stock electronically as DWAC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ind w:firstLine="648"/>
        <w:spacing w:after="0" w:line="294" w:lineRule="auto"/>
        <w:rPr>
          <w:sz w:val="20"/>
          <w:szCs w:val="20"/>
          <w:color w:val="auto"/>
        </w:rPr>
      </w:pPr>
      <w:r>
        <w:rPr>
          <w:rFonts w:ascii="Arial" w:cs="Arial" w:eastAsia="Arial" w:hAnsi="Arial"/>
          <w:sz w:val="16"/>
          <w:szCs w:val="16"/>
          <w:color w:val="auto"/>
        </w:rPr>
        <w:t>In addition to any other rights and remedies under applicable law and this Agreement, so long as an Event of Default has occurred and is continuing, or if any event which, after notice and/or lapse of time, would become an Event of Default, has occurred and is continuing, the Company shall not deliver to the Investor any Regular Purchase Notice or Accelerated Purchase Notice. Notwithstanding the foregoing, the foregoing sentence shall not be deemed to apply to any notice from Nasdaq previously received or received in the future regarding the Company’s failure to comply with the continuing listing standards of The Nasdaq Capital Market, and to the fact of each such failure, unless and until all compliance and appeal periods for such failure have lapsed or expired.</w:t>
      </w:r>
    </w:p>
    <w:p>
      <w:pPr>
        <w:spacing w:after="0" w:line="163" w:lineRule="exact"/>
        <w:rPr>
          <w:sz w:val="20"/>
          <w:szCs w:val="20"/>
          <w:color w:val="auto"/>
        </w:rPr>
      </w:pPr>
    </w:p>
    <w:p>
      <w:pPr>
        <w:ind w:left="1340" w:hanging="684"/>
        <w:spacing w:after="0"/>
        <w:tabs>
          <w:tab w:leader="none" w:pos="1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terminated only as follows:</w:t>
      </w:r>
    </w:p>
    <w:p>
      <w:pPr>
        <w:spacing w:after="0" w:line="185" w:lineRule="exact"/>
        <w:rPr>
          <w:sz w:val="20"/>
          <w:szCs w:val="20"/>
          <w:color w:val="auto"/>
        </w:rPr>
      </w:pPr>
    </w:p>
    <w:p>
      <w:pPr>
        <w:jc w:val="both"/>
        <w:ind w:firstLine="656"/>
        <w:spacing w:after="0" w:line="298" w:lineRule="auto"/>
        <w:tabs>
          <w:tab w:leader="none" w:pos="105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w:t>
      </w:r>
      <w:r>
        <w:rPr>
          <w:rFonts w:ascii="Arial" w:cs="Arial" w:eastAsia="Arial" w:hAnsi="Arial"/>
          <w:sz w:val="16"/>
          <w:szCs w:val="16"/>
          <w:u w:val="single" w:color="auto"/>
          <w:color w:val="auto"/>
        </w:rPr>
        <w:t>Sections 10(g)</w:t>
      </w:r>
      <w:r>
        <w:rPr>
          <w:rFonts w:ascii="Arial" w:cs="Arial" w:eastAsia="Arial" w:hAnsi="Arial"/>
          <w:sz w:val="16"/>
          <w:szCs w:val="16"/>
          <w:color w:val="auto"/>
        </w:rPr>
        <w:t xml:space="preserve">, </w:t>
      </w:r>
      <w:r>
        <w:rPr>
          <w:rFonts w:ascii="Arial" w:cs="Arial" w:eastAsia="Arial" w:hAnsi="Arial"/>
          <w:sz w:val="16"/>
          <w:szCs w:val="16"/>
          <w:u w:val="single" w:color="auto"/>
          <w:color w:val="auto"/>
        </w:rPr>
        <w:t>10(h)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10(i)</w:t>
      </w:r>
      <w:r>
        <w:rPr>
          <w:rFonts w:ascii="Arial" w:cs="Arial" w:eastAsia="Arial" w:hAnsi="Arial"/>
          <w:sz w:val="16"/>
          <w:szCs w:val="16"/>
          <w:color w:val="auto"/>
        </w:rPr>
        <w:t xml:space="preserve"> hereof), this Agreement shall automatically terminate without any liability or payment to the Company (except as set forth below) without further action or notice by any Person.</w:t>
      </w:r>
    </w:p>
    <w:p>
      <w:pPr>
        <w:spacing w:after="0" w:line="125" w:lineRule="exact"/>
        <w:rPr>
          <w:rFonts w:ascii="Arial" w:cs="Arial" w:eastAsia="Arial" w:hAnsi="Arial"/>
          <w:sz w:val="16"/>
          <w:szCs w:val="16"/>
          <w:color w:val="auto"/>
        </w:rPr>
      </w:pPr>
    </w:p>
    <w:p>
      <w:pPr>
        <w:jc w:val="both"/>
        <w:ind w:firstLine="656"/>
        <w:spacing w:after="0" w:line="291" w:lineRule="auto"/>
        <w:tabs>
          <w:tab w:leader="none" w:pos="106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 the event that the Commencement shall not have occurred on or before June 30, 2020, due to the failure to satisfy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above with respect to the Commencement, either the Company or the Investor shall have the option to terminate this Agreement at the close of business on such date or thereafter without liability of any party to any other party (except as set forth below); provided, however, that the right to terminate this Agreement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not be available to any party if such party is then in breach of any covenant or agreement contained in this Agreement or any representation or warranty of such party contained in this Agreement fails to be true and correct such that the conditions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w:t>
      </w:r>
      <w:r>
        <w:rPr>
          <w:rFonts w:ascii="Arial" w:cs="Arial" w:eastAsia="Arial" w:hAnsi="Arial"/>
          <w:sz w:val="16"/>
          <w:szCs w:val="16"/>
          <w:color w:val="auto"/>
        </w:rPr>
        <w:t>(</w:t>
      </w:r>
      <w:r>
        <w:rPr>
          <w:rFonts w:ascii="Arial" w:cs="Arial" w:eastAsia="Arial" w:hAnsi="Arial"/>
          <w:sz w:val="16"/>
          <w:szCs w:val="16"/>
          <w:u w:val="single" w:color="auto"/>
          <w:color w:val="auto"/>
        </w:rPr>
        <w:t>e</w:t>
      </w:r>
      <w:r>
        <w:rPr>
          <w:rFonts w:ascii="Arial" w:cs="Arial" w:eastAsia="Arial" w:hAnsi="Arial"/>
          <w:sz w:val="16"/>
          <w:szCs w:val="16"/>
          <w:color w:val="auto"/>
        </w:rPr>
        <w:t>), as applicable, could not then be satisfied.</w:t>
      </w:r>
    </w:p>
    <w:p>
      <w:pPr>
        <w:spacing w:after="0" w:line="133" w:lineRule="exact"/>
        <w:rPr>
          <w:rFonts w:ascii="Arial" w:cs="Arial" w:eastAsia="Arial" w:hAnsi="Arial"/>
          <w:sz w:val="16"/>
          <w:szCs w:val="16"/>
          <w:color w:val="auto"/>
        </w:rPr>
      </w:pPr>
    </w:p>
    <w:p>
      <w:pPr>
        <w:jc w:val="both"/>
        <w:ind w:firstLine="656"/>
        <w:spacing w:after="0" w:line="256" w:lineRule="auto"/>
        <w:tabs>
          <w:tab w:leader="none" w:pos="10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any time after the Commencement Date, the Company shall have the option to terminate this Agreement for any reason or for no reason by delivering notice (a “</w:t>
      </w:r>
      <w:r>
        <w:rPr>
          <w:rFonts w:ascii="Arial" w:cs="Arial" w:eastAsia="Arial" w:hAnsi="Arial"/>
          <w:sz w:val="18"/>
          <w:szCs w:val="18"/>
          <w:u w:val="single" w:color="auto"/>
          <w:color w:val="auto"/>
        </w:rPr>
        <w:t>Company Termination Notice</w:t>
      </w:r>
      <w:r>
        <w:rPr>
          <w:rFonts w:ascii="Arial" w:cs="Arial" w:eastAsia="Arial" w:hAnsi="Arial"/>
          <w:sz w:val="18"/>
          <w:szCs w:val="18"/>
          <w:color w:val="auto"/>
        </w:rPr>
        <w:t>”) to the Investor electing to terminate this Agreement without any liability whatsoever of any party to any other party under this Agreement (except as set forth below). The Company Termination Notice shall not be effective until one (1) Business Day after it has been received by the Investor.</w:t>
      </w:r>
    </w:p>
    <w:p>
      <w:pPr>
        <w:spacing w:after="0" w:line="129" w:lineRule="exact"/>
        <w:rPr>
          <w:rFonts w:ascii="Arial" w:cs="Arial" w:eastAsia="Arial" w:hAnsi="Arial"/>
          <w:sz w:val="18"/>
          <w:szCs w:val="18"/>
          <w:color w:val="auto"/>
        </w:rPr>
      </w:pPr>
    </w:p>
    <w:p>
      <w:pPr>
        <w:jc w:val="both"/>
        <w:ind w:firstLine="656"/>
        <w:spacing w:after="0" w:line="259" w:lineRule="auto"/>
        <w:tabs>
          <w:tab w:leader="none" w:pos="14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shall automatically terminate on the date that the Company sells and the Investor purchases the full Available Amount as provided herein, without any action or notice on the part of any party and without any liability whatsoever of any party to any other party under this Agreement (except as set forth below).</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3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If, for any reason or for no reason, the full Available Amount has not been purchased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Agreement by the Maturity Date, this Agreement shall automatically terminate on the Maturity Date, without any action or notice on the part of any party and without any liability whatsoever of any party to any other party under this Agreement (except as set forth below).</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Sections 11</w:t>
      </w:r>
      <w:r>
        <w:rPr>
          <w:rFonts w:ascii="Arial" w:cs="Arial" w:eastAsia="Arial" w:hAnsi="Arial"/>
          <w:sz w:val="16"/>
          <w:szCs w:val="16"/>
          <w:color w:val="auto"/>
        </w:rPr>
        <w:t>(</w:t>
      </w:r>
      <w:r>
        <w:rPr>
          <w:rFonts w:ascii="Arial" w:cs="Arial" w:eastAsia="Arial" w:hAnsi="Arial"/>
          <w:sz w:val="16"/>
          <w:szCs w:val="16"/>
          <w:u w:val="single" w:color="auto"/>
          <w:color w:val="auto"/>
        </w:rPr>
        <w:t>a</w:t>
      </w:r>
      <w:r>
        <w:rPr>
          <w:rFonts w:ascii="Arial" w:cs="Arial" w:eastAsia="Arial" w:hAnsi="Arial"/>
          <w:sz w:val="16"/>
          <w:szCs w:val="16"/>
          <w:color w:val="auto"/>
        </w:rPr>
        <w:t xml:space="preserve">) (with respect to an Event of Default under </w:t>
      </w:r>
      <w:r>
        <w:rPr>
          <w:rFonts w:ascii="Arial" w:cs="Arial" w:eastAsia="Arial" w:hAnsi="Arial"/>
          <w:sz w:val="16"/>
          <w:szCs w:val="16"/>
          <w:u w:val="single" w:color="auto"/>
          <w:color w:val="auto"/>
        </w:rPr>
        <w:t>Sections 10</w:t>
      </w:r>
      <w:r>
        <w:rPr>
          <w:rFonts w:ascii="Arial" w:cs="Arial" w:eastAsia="Arial" w:hAnsi="Arial"/>
          <w:sz w:val="16"/>
          <w:szCs w:val="16"/>
          <w:color w:val="auto"/>
        </w:rPr>
        <w:t>(</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10</w:t>
      </w:r>
      <w:r>
        <w:rPr>
          <w:rFonts w:ascii="Arial" w:cs="Arial" w:eastAsia="Arial" w:hAnsi="Arial"/>
          <w:sz w:val="16"/>
          <w:szCs w:val="16"/>
          <w:color w:val="auto"/>
        </w:rPr>
        <w:t>(</w:t>
      </w:r>
      <w:r>
        <w:rPr>
          <w:rFonts w:ascii="Arial" w:cs="Arial" w:eastAsia="Arial" w:hAnsi="Arial"/>
          <w:sz w:val="16"/>
          <w:szCs w:val="16"/>
          <w:u w:val="single" w:color="auto"/>
          <w:color w:val="auto"/>
        </w:rPr>
        <w:t>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10(i)</w:t>
      </w:r>
      <w:r>
        <w:rPr>
          <w:rFonts w:ascii="Arial" w:cs="Arial" w:eastAsia="Arial" w:hAnsi="Arial"/>
          <w:sz w:val="16"/>
          <w:szCs w:val="16"/>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w:t>
      </w:r>
      <w:r>
        <w:rPr>
          <w:rFonts w:ascii="Arial" w:cs="Arial" w:eastAsia="Arial" w:hAnsi="Arial"/>
          <w:sz w:val="16"/>
          <w:szCs w:val="16"/>
          <w:color w:val="auto"/>
        </w:rPr>
        <w:t>(</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any termination of this Agreement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effected by written notice from the Company to the Investor, or the Investor to the Company, as the case may be, setting forth the basis for the termination hereof. The representations and warranties and covenants of the Company and the Investor contained in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w:t>
      </w:r>
      <w:r>
        <w:rPr>
          <w:rFonts w:ascii="Arial" w:cs="Arial" w:eastAsia="Arial" w:hAnsi="Arial"/>
          <w:sz w:val="16"/>
          <w:szCs w:val="16"/>
          <w:color w:val="auto"/>
        </w:rPr>
        <w:t xml:space="preserve"> hereof, the indemnification provisions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and the agreements and covenants set forth in </w:t>
      </w:r>
      <w:r>
        <w:rPr>
          <w:rFonts w:ascii="Arial" w:cs="Arial" w:eastAsia="Arial" w:hAnsi="Arial"/>
          <w:sz w:val="16"/>
          <w:szCs w:val="16"/>
          <w:u w:val="single" w:color="auto"/>
          <w:color w:val="auto"/>
        </w:rPr>
        <w:t>Sections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shall survive the Commencement and any termination of this Agreement. No termination of this Agreement shall (i) affect the Company’s or the Investor’s rights or obligations under (A) this Agreement with respect to pending Regular Purchases, Accelerated Purchases, and Additional Accelerated Purchases and the Company and the Investor shall complete their respective obligations with respect to any pending Regular Purchases, Accelerated Purchases and Additional Accelerated Purchases under this Agreement and (B) the Registration Rights Agreement, which shall survive any such termination, or (ii) be deemed to release the Company or the Investor from any liability for intentional misrepresentation or willful breach of any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-441325</wp:posOffset>
            </wp:positionV>
            <wp:extent cx="43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5888990</wp:posOffset>
            </wp:positionH>
            <wp:positionV relativeFrom="paragraph">
              <wp:posOffset>-458470</wp:posOffset>
            </wp:positionV>
            <wp:extent cx="361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0" w:name="page31"/>
    <w:bookmarkEnd w:id="30"/>
    <w:p>
      <w:pPr>
        <w:ind w:left="1360" w:hanging="704"/>
        <w:spacing w:after="0"/>
        <w:tabs>
          <w:tab w:leader="none" w:pos="1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31" w:lineRule="exact"/>
        <w:rPr>
          <w:sz w:val="20"/>
          <w:szCs w:val="20"/>
          <w:color w:val="auto"/>
        </w:rPr>
      </w:pPr>
    </w:p>
    <w:p>
      <w:pPr>
        <w:jc w:val="both"/>
        <w:ind w:firstLine="656"/>
        <w:spacing w:after="0" w:line="282" w:lineRule="auto"/>
        <w:tabs>
          <w:tab w:leader="none" w:pos="137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The corporate laws of the State of Nevada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the State of Illinois, County of Cook,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EACH PARTY HEREBY IRREVOCABLY WAIVES ANY RIGHT IT MAY HAVE</w:t>
      </w:r>
      <w:r>
        <w:rPr>
          <w:rFonts w:ascii="Arial" w:cs="Arial" w:eastAsia="Arial" w:hAnsi="Arial"/>
          <w:sz w:val="18"/>
          <w:szCs w:val="18"/>
          <w:color w:val="auto"/>
        </w:rPr>
        <w:t>,</w:t>
      </w:r>
      <w:r>
        <w:rPr>
          <w:rFonts w:ascii="Arial" w:cs="Arial" w:eastAsia="Arial" w:hAnsi="Arial"/>
          <w:sz w:val="18"/>
          <w:szCs w:val="18"/>
          <w:b w:val="1"/>
          <w:bCs w:val="1"/>
          <w:color w:val="auto"/>
        </w:rPr>
        <w:t xml:space="preserve"> AND AGREES NOT TO REQUEST</w:t>
      </w:r>
      <w:r>
        <w:rPr>
          <w:rFonts w:ascii="Arial" w:cs="Arial" w:eastAsia="Arial" w:hAnsi="Arial"/>
          <w:sz w:val="18"/>
          <w:szCs w:val="18"/>
          <w:color w:val="auto"/>
        </w:rPr>
        <w:t>,</w:t>
      </w:r>
      <w:r>
        <w:rPr>
          <w:rFonts w:ascii="Arial" w:cs="Arial" w:eastAsia="Arial" w:hAnsi="Arial"/>
          <w:sz w:val="18"/>
          <w:szCs w:val="18"/>
          <w:b w:val="1"/>
          <w:bCs w:val="1"/>
          <w:color w:val="auto"/>
        </w:rPr>
        <w:t xml:space="preserve"> A JURY TRIAL FOR</w:t>
      </w:r>
    </w:p>
    <w:p>
      <w:pPr>
        <w:spacing w:after="0" w:line="9"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THE ADJUDICATION OF ANY DISPUTE HEREUNDER OR IN CONNECTION HEREWITH OR ARISING OUT OF THIS AGREEMENT OR ANY TRANSACTION CONTEMPLATED HEREBY</w:t>
      </w:r>
      <w:r>
        <w:rPr>
          <w:rFonts w:ascii="Arial" w:cs="Arial" w:eastAsia="Arial" w:hAnsi="Arial"/>
          <w:sz w:val="18"/>
          <w:szCs w:val="18"/>
          <w:color w:val="auto"/>
        </w:rPr>
        <w:t>.</w:t>
      </w:r>
    </w:p>
    <w:p>
      <w:pPr>
        <w:spacing w:after="0" w:line="193" w:lineRule="exact"/>
        <w:rPr>
          <w:rFonts w:ascii="Arial" w:cs="Arial" w:eastAsia="Arial" w:hAnsi="Arial"/>
          <w:sz w:val="16"/>
          <w:szCs w:val="16"/>
          <w:color w:val="auto"/>
        </w:rPr>
      </w:pPr>
    </w:p>
    <w:p>
      <w:pPr>
        <w:jc w:val="both"/>
        <w:ind w:firstLine="656"/>
        <w:spacing w:after="0" w:line="256" w:lineRule="auto"/>
        <w:tabs>
          <w:tab w:leader="none" w:pos="144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shall be considered due execution and shall be binding upon the signatory thereto with the same force and effect as if the signature were an original signature.</w:t>
      </w:r>
    </w:p>
    <w:p>
      <w:pPr>
        <w:spacing w:after="0" w:line="196" w:lineRule="exact"/>
        <w:rPr>
          <w:rFonts w:ascii="Arial" w:cs="Arial" w:eastAsia="Arial" w:hAnsi="Arial"/>
          <w:sz w:val="18"/>
          <w:szCs w:val="18"/>
          <w:color w:val="auto"/>
        </w:rPr>
      </w:pPr>
    </w:p>
    <w:p>
      <w:pPr>
        <w:ind w:left="1420" w:hanging="764"/>
        <w:spacing w:after="0"/>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8" w:lineRule="exact"/>
        <w:rPr>
          <w:rFonts w:ascii="Arial" w:cs="Arial" w:eastAsia="Arial" w:hAnsi="Arial"/>
          <w:sz w:val="16"/>
          <w:szCs w:val="16"/>
          <w:color w:val="auto"/>
        </w:rPr>
      </w:pPr>
    </w:p>
    <w:p>
      <w:pPr>
        <w:jc w:val="both"/>
        <w:ind w:firstLine="656"/>
        <w:spacing w:after="0" w:line="259" w:lineRule="auto"/>
        <w:tabs>
          <w:tab w:leader="none" w:pos="145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93" w:lineRule="exact"/>
        <w:rPr>
          <w:rFonts w:ascii="Arial" w:cs="Arial" w:eastAsia="Arial" w:hAnsi="Arial"/>
          <w:sz w:val="18"/>
          <w:szCs w:val="18"/>
          <w:color w:val="auto"/>
        </w:rPr>
      </w:pPr>
    </w:p>
    <w:p>
      <w:pPr>
        <w:jc w:val="both"/>
        <w:ind w:firstLine="656"/>
        <w:spacing w:after="0" w:line="291" w:lineRule="auto"/>
        <w:tabs>
          <w:tab w:leader="none" w:pos="132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supersede all other prior oral or written agreements between the Investor, the Company, their affiliates and Persons acting on their behalf with respect to the subject matter thereof,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has not relied on, in any manner whatsoever, any representations or statements, written or oral, other than as expressly set forth in the Transaction Documents.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jc w:val="both"/>
        <w:ind w:left="-20" w:firstLine="656"/>
        <w:spacing w:after="0" w:line="254" w:lineRule="auto"/>
        <w:tabs>
          <w:tab w:leader="none" w:pos="142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(650) 577-3600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Shawn Singh, Chief Executive Officer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ssingh@vistagen.com</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Disclosure Law Group, a Professional Corporation</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655 West Broadway, Suite 870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619.272.7063</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619.330.2101</w:t>
      </w:r>
    </w:p>
    <w:p>
      <w:pPr>
        <w:spacing w:after="0" w:line="9" w:lineRule="exact"/>
        <w:rPr>
          <w:sz w:val="20"/>
          <w:szCs w:val="20"/>
          <w:color w:val="auto"/>
        </w:rPr>
      </w:pPr>
    </w:p>
    <w:p>
      <w:pPr>
        <w:ind w:left="1280"/>
        <w:spacing w:after="0"/>
        <w:tabs>
          <w:tab w:leader="none" w:pos="32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jsudweeks@disclosurelawgroup.com</w:t>
      </w:r>
    </w:p>
    <w:p>
      <w:pPr>
        <w:spacing w:after="0" w:line="9"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Jessica R. Sudweeks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Investor:</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Lincoln Park Capital Fund, LLC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440 North Wells, Suite 410</w:t>
      </w:r>
    </w:p>
    <w:p>
      <w:pPr>
        <w:spacing w:after="0" w:line="9" w:lineRule="exact"/>
        <w:rPr>
          <w:sz w:val="20"/>
          <w:szCs w:val="20"/>
          <w:color w:val="auto"/>
        </w:rPr>
      </w:pPr>
    </w:p>
    <w:tbl>
      <w:tblPr>
        <w:tblLayout w:type="fixed"/>
        <w:tblInd w:w="1280" w:type="dxa"/>
        <w:tblCellMar>
          <w:top w:w="0" w:type="dxa"/>
          <w:left w:w="0" w:type="dxa"/>
          <w:bottom w:w="0" w:type="dxa"/>
          <w:right w:w="0" w:type="dxa"/>
        </w:tblCellMar>
      </w:tblPr>
      <w:tr>
        <w:trPr>
          <w:trHeight w:val="210"/>
        </w:trPr>
        <w:tc>
          <w:tcPr>
            <w:tcW w:w="1520" w:type="dxa"/>
            <w:vAlign w:val="bottom"/>
          </w:tcPr>
          <w:p>
            <w:pPr>
              <w:spacing w:after="0"/>
              <w:rPr>
                <w:sz w:val="20"/>
                <w:szCs w:val="20"/>
                <w:color w:val="auto"/>
              </w:rPr>
            </w:pPr>
            <w:r>
              <w:rPr>
                <w:rFonts w:ascii="Arial" w:cs="Arial" w:eastAsia="Arial" w:hAnsi="Arial"/>
                <w:sz w:val="18"/>
                <w:szCs w:val="18"/>
                <w:color w:val="auto"/>
              </w:rPr>
              <w:t>Chicago, IL 60654</w:t>
            </w: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Telephone:</w:t>
            </w:r>
          </w:p>
        </w:tc>
        <w:tc>
          <w:tcPr>
            <w:tcW w:w="2300" w:type="dxa"/>
            <w:vAlign w:val="bottom"/>
            <w:gridSpan w:val="2"/>
          </w:tcPr>
          <w:p>
            <w:pPr>
              <w:jc w:val="right"/>
              <w:ind w:right="932"/>
              <w:spacing w:after="0"/>
              <w:rPr>
                <w:sz w:val="20"/>
                <w:szCs w:val="20"/>
                <w:color w:val="auto"/>
              </w:rPr>
            </w:pPr>
            <w:r>
              <w:rPr>
                <w:rFonts w:ascii="Arial" w:cs="Arial" w:eastAsia="Arial" w:hAnsi="Arial"/>
                <w:sz w:val="18"/>
                <w:szCs w:val="18"/>
                <w:color w:val="auto"/>
              </w:rPr>
              <w:t>312-822-9300</w:t>
            </w:r>
          </w:p>
        </w:tc>
        <w:tc>
          <w:tcPr>
            <w:tcW w:w="1740" w:type="dxa"/>
            <w:vAlign w:val="bottom"/>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Facsimile:</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312-822-9301</w:t>
            </w:r>
          </w:p>
        </w:tc>
        <w:tc>
          <w:tcPr>
            <w:tcW w:w="1740" w:type="dxa"/>
            <w:vAlign w:val="bottom"/>
          </w:tcPr>
          <w:p>
            <w:pPr>
              <w:spacing w:after="0"/>
              <w:rPr>
                <w:sz w:val="18"/>
                <w:szCs w:val="18"/>
                <w:color w:val="auto"/>
              </w:rPr>
            </w:pPr>
          </w:p>
        </w:tc>
      </w:tr>
      <w:tr>
        <w:trPr>
          <w:trHeight w:val="184"/>
        </w:trPr>
        <w:tc>
          <w:tcPr>
            <w:tcW w:w="1520" w:type="dxa"/>
            <w:vAlign w:val="bottom"/>
          </w:tcPr>
          <w:p>
            <w:pPr>
              <w:spacing w:after="0" w:line="184" w:lineRule="exact"/>
              <w:rPr>
                <w:sz w:val="20"/>
                <w:szCs w:val="20"/>
                <w:color w:val="auto"/>
              </w:rPr>
            </w:pPr>
            <w:r>
              <w:rPr>
                <w:rFonts w:ascii="Arial" w:cs="Arial" w:eastAsia="Arial" w:hAnsi="Arial"/>
                <w:sz w:val="18"/>
                <w:szCs w:val="18"/>
                <w:color w:val="auto"/>
              </w:rPr>
              <w:t>E-</w:t>
            </w:r>
          </w:p>
        </w:tc>
        <w:tc>
          <w:tcPr>
            <w:tcW w:w="420" w:type="dxa"/>
            <w:vAlign w:val="bottom"/>
          </w:tcPr>
          <w:p>
            <w:pPr>
              <w:spacing w:after="0"/>
              <w:rPr>
                <w:sz w:val="15"/>
                <w:szCs w:val="15"/>
                <w:color w:val="auto"/>
              </w:rPr>
            </w:pPr>
          </w:p>
        </w:tc>
        <w:tc>
          <w:tcPr>
            <w:tcW w:w="3620" w:type="dxa"/>
            <w:vAlign w:val="bottom"/>
            <w:gridSpan w:val="2"/>
          </w:tcPr>
          <w:p>
            <w:pPr>
              <w:spacing w:after="0" w:line="184" w:lineRule="exact"/>
              <w:rPr>
                <w:sz w:val="20"/>
                <w:szCs w:val="20"/>
                <w:color w:val="auto"/>
              </w:rPr>
            </w:pPr>
            <w:r>
              <w:rPr>
                <w:rFonts w:ascii="Arial" w:cs="Arial" w:eastAsia="Arial" w:hAnsi="Arial"/>
                <w:sz w:val="18"/>
                <w:szCs w:val="18"/>
                <w:color w:val="auto"/>
                <w:w w:val="89"/>
              </w:rPr>
              <w:t>jscheinfeld@lpcfunds.com or jcope@lpcfunds.com</w:t>
            </w:r>
          </w:p>
        </w:tc>
      </w:tr>
      <w:tr>
        <w:trPr>
          <w:trHeight w:val="228"/>
        </w:trPr>
        <w:tc>
          <w:tcPr>
            <w:tcW w:w="1520" w:type="dxa"/>
            <w:vAlign w:val="bottom"/>
          </w:tcPr>
          <w:p>
            <w:pPr>
              <w:spacing w:after="0"/>
              <w:rPr>
                <w:sz w:val="20"/>
                <w:szCs w:val="20"/>
                <w:color w:val="auto"/>
              </w:rPr>
            </w:pPr>
            <w:r>
              <w:rPr>
                <w:rFonts w:ascii="Arial" w:cs="Arial" w:eastAsia="Arial" w:hAnsi="Arial"/>
                <w:sz w:val="18"/>
                <w:szCs w:val="18"/>
                <w:color w:val="auto"/>
              </w:rPr>
              <w:t>mail:</w:t>
            </w:r>
          </w:p>
        </w:tc>
        <w:tc>
          <w:tcPr>
            <w:tcW w:w="42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Attention:</w:t>
            </w:r>
          </w:p>
        </w:tc>
        <w:tc>
          <w:tcPr>
            <w:tcW w:w="4040" w:type="dxa"/>
            <w:vAlign w:val="bottom"/>
            <w:gridSpan w:val="3"/>
          </w:tcPr>
          <w:p>
            <w:pPr>
              <w:ind w:left="220"/>
              <w:spacing w:after="0"/>
              <w:rPr>
                <w:sz w:val="20"/>
                <w:szCs w:val="20"/>
                <w:color w:val="auto"/>
              </w:rPr>
            </w:pPr>
            <w:r>
              <w:rPr>
                <w:rFonts w:ascii="Arial" w:cs="Arial" w:eastAsia="Arial" w:hAnsi="Arial"/>
                <w:sz w:val="18"/>
                <w:szCs w:val="18"/>
                <w:color w:val="auto"/>
              </w:rPr>
              <w:t>Josh Scheinfeld or Jonathan Cope</w:t>
            </w: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K&amp;L Gates, LLP</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200 S. Biscayne Blvd., Ste. 3900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Miami, Florida 33131</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305-539-3306</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305-358-7095</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clayton.parker@klgates.com</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Clayton E. Parker, Esq.</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Computershare Trust Company, N.A.</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8742 Lucent Blvd., Suite 225</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Highlands Ranch, CO 80129</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303-262-0637</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303-262-0609</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Audrey Matheney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audrey.matheny@computershare.com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63" w:right="339" w:bottom="1440" w:gutter="0" w:footer="0" w:header="0"/>
        </w:sectPr>
      </w:pPr>
    </w:p>
    <w:bookmarkStart w:id="32" w:name="page33"/>
    <w:bookmarkEnd w:id="32"/>
    <w:p>
      <w:pPr>
        <w:ind w:right="20"/>
        <w:spacing w:after="0" w:line="291" w:lineRule="auto"/>
        <w:rPr>
          <w:sz w:val="20"/>
          <w:szCs w:val="20"/>
          <w:color w:val="auto"/>
        </w:rPr>
      </w:pPr>
      <w:r>
        <w:rPr>
          <w:rFonts w:ascii="Arial" w:cs="Arial" w:eastAsia="Arial" w:hAnsi="Arial"/>
          <w:sz w:val="16"/>
          <w:szCs w:val="16"/>
          <w:color w:val="auto"/>
        </w:rPr>
        <w:t>or at such other address and/or facsimile number and/or email address and/or to the attention of such other Person as the recipient party has specified by written notice given to each other party three (3) Business Days prior to the effectiveness of such change. Written confirmation of (A) receipt given by the recipient of such notice, consent or other communication, (B) delivery mechanically or electronically generated by the sender's facsimile machine or email account containing the time, date, and recipient facsimile number or email address, as applicable and an image of the first page of such transmission, or (C) delivery provided by a nationally recognized overnight delivery service, shall be rebuttable evidence of personal service, receipt by facsimile or email or receipt from a nationally recognized overnight delivery service in accordance with clause (i), (ii) or (iii) above, respectively.</w:t>
      </w:r>
    </w:p>
    <w:p>
      <w:pPr>
        <w:spacing w:after="0" w:line="174" w:lineRule="exact"/>
        <w:rPr>
          <w:sz w:val="20"/>
          <w:szCs w:val="20"/>
          <w:color w:val="auto"/>
        </w:rPr>
      </w:pPr>
    </w:p>
    <w:p>
      <w:pPr>
        <w:jc w:val="both"/>
        <w:ind w:firstLine="656"/>
        <w:spacing w:after="0" w:line="259" w:lineRule="auto"/>
        <w:tabs>
          <w:tab w:leader="none" w:pos="144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Investor, including by merger or consolidation. The Investor may not assign its rights or obligations under this Agreement.</w:t>
      </w:r>
    </w:p>
    <w:p>
      <w:pPr>
        <w:spacing w:after="0" w:line="193" w:lineRule="exact"/>
        <w:rPr>
          <w:rFonts w:ascii="Arial" w:cs="Arial" w:eastAsia="Arial" w:hAnsi="Arial"/>
          <w:sz w:val="18"/>
          <w:szCs w:val="18"/>
          <w:color w:val="auto"/>
        </w:rPr>
      </w:pPr>
    </w:p>
    <w:p>
      <w:pPr>
        <w:ind w:firstLine="656"/>
        <w:spacing w:after="0" w:line="331" w:lineRule="auto"/>
        <w:tabs>
          <w:tab w:leader="none" w:pos="137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This Agreement is intended for the benefit of the parties hereto and their respective permitted successors and assigns, and, except as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is not for the benefit of, nor may any provision hereof be enforced by, any other Person.</w:t>
      </w:r>
    </w:p>
    <w:p>
      <w:pPr>
        <w:spacing w:after="0" w:line="140" w:lineRule="exact"/>
        <w:rPr>
          <w:rFonts w:ascii="Arial" w:cs="Arial" w:eastAsia="Arial" w:hAnsi="Arial"/>
          <w:sz w:val="16"/>
          <w:szCs w:val="16"/>
          <w:color w:val="auto"/>
        </w:rPr>
      </w:pPr>
    </w:p>
    <w:p>
      <w:pPr>
        <w:jc w:val="both"/>
        <w:ind w:firstLine="656"/>
        <w:spacing w:after="0" w:line="291" w:lineRule="auto"/>
        <w:tabs>
          <w:tab w:leader="none" w:pos="137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The Company shall afford the Investor and its counsel with the opportunity to review and comment upon, shall consult with the Investor and its counsel on the form and substance of, and shall give due consideration to all such comments from the Investor or its counsel on, any press release, SEC filing or any other public disclosure by or on behalf of the Company relating to the Investor, its purchases hereunder or any aspect of the Transaction Documents or the transactions contemplated thereby, not less than 24 hours prior to the issuance, filing or public disclosure thereof. Unless the parties agree otherwise, which agreement may be oral or electronic, the Investor must be provided with a final version of any such press release, SEC filing or other public disclosure at least 24 hours prior to any release, filing or use by the Company thereof.</w:t>
      </w:r>
    </w:p>
    <w:p>
      <w:pPr>
        <w:spacing w:after="0" w:line="173" w:lineRule="exact"/>
        <w:rPr>
          <w:rFonts w:ascii="Arial" w:cs="Arial" w:eastAsia="Arial" w:hAnsi="Arial"/>
          <w:sz w:val="16"/>
          <w:szCs w:val="16"/>
          <w:color w:val="auto"/>
        </w:rPr>
      </w:pPr>
    </w:p>
    <w:p>
      <w:pPr>
        <w:jc w:val="both"/>
        <w:ind w:firstLine="656"/>
        <w:spacing w:after="0" w:line="256" w:lineRule="auto"/>
        <w:tabs>
          <w:tab w:leader="none" w:pos="135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consummate and make effective, as soon as reasonably possible, the Commencement, and to carry out the intent and accomplish the purposes of this Agreement and the consummation of the transactions contemplated hereby.</w:t>
      </w:r>
    </w:p>
    <w:p>
      <w:pPr>
        <w:spacing w:after="0" w:line="196" w:lineRule="exact"/>
        <w:rPr>
          <w:rFonts w:ascii="Arial" w:cs="Arial" w:eastAsia="Arial" w:hAnsi="Arial"/>
          <w:sz w:val="18"/>
          <w:szCs w:val="18"/>
          <w:color w:val="auto"/>
        </w:rPr>
      </w:pPr>
    </w:p>
    <w:p>
      <w:pPr>
        <w:jc w:val="both"/>
        <w:ind w:firstLine="656"/>
        <w:spacing w:after="0" w:line="291" w:lineRule="auto"/>
        <w:tabs>
          <w:tab w:leader="none" w:pos="134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 Financial Advisor, Placement Agent, Broker or Finder</w:t>
      </w:r>
      <w:r>
        <w:rPr>
          <w:rFonts w:ascii="Arial" w:cs="Arial" w:eastAsia="Arial" w:hAnsi="Arial"/>
          <w:sz w:val="16"/>
          <w:szCs w:val="16"/>
          <w:color w:val="auto"/>
        </w:rPr>
        <w:t>.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relating to or arising out of the transactions contemplated hereby. The Company shall pay, and hold the Investor harmless against, any liability, loss or expense (including, without limitation, attorneys' fees and out of pocket expenses) arising in connection with any such claim.</w:t>
      </w:r>
    </w:p>
    <w:p>
      <w:pPr>
        <w:spacing w:after="0" w:line="173" w:lineRule="exact"/>
        <w:rPr>
          <w:rFonts w:ascii="Arial" w:cs="Arial" w:eastAsia="Arial" w:hAnsi="Arial"/>
          <w:sz w:val="16"/>
          <w:szCs w:val="16"/>
          <w:color w:val="auto"/>
        </w:rPr>
      </w:pPr>
    </w:p>
    <w:p>
      <w:pPr>
        <w:ind w:firstLine="656"/>
        <w:spacing w:after="0" w:line="268"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85" w:lineRule="exact"/>
        <w:rPr>
          <w:rFonts w:ascii="Arial" w:cs="Arial" w:eastAsia="Arial" w:hAnsi="Arial"/>
          <w:sz w:val="18"/>
          <w:szCs w:val="18"/>
          <w:color w:val="auto"/>
        </w:rPr>
      </w:pPr>
    </w:p>
    <w:p>
      <w:pPr>
        <w:jc w:val="both"/>
        <w:ind w:firstLine="656"/>
        <w:spacing w:after="0" w:line="288" w:lineRule="auto"/>
        <w:tabs>
          <w:tab w:leader="none" w:pos="155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xml:space="preserve">. The Investor’s remedies provided in this Agreement, including, without limitation, the Investor’s remedies provided in </w:t>
      </w:r>
      <w:r>
        <w:rPr>
          <w:rFonts w:ascii="Arial" w:cs="Arial" w:eastAsia="Arial" w:hAnsi="Arial"/>
          <w:sz w:val="16"/>
          <w:szCs w:val="16"/>
          <w:u w:val="single" w:color="auto"/>
          <w:color w:val="auto"/>
        </w:rPr>
        <w:t>Section 9</w:t>
      </w:r>
      <w:r>
        <w:rPr>
          <w:rFonts w:ascii="Arial" w:cs="Arial" w:eastAsia="Arial" w:hAnsi="Arial"/>
          <w:sz w:val="16"/>
          <w:szCs w:val="16"/>
          <w:color w:val="auto"/>
        </w:rPr>
        <w:t>,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the Investor shall be entitled, in addition to all other available remedies, to an injunction restraining any breach, without the necessity of showing economic loss and without any bond or other security being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3" w:name="page34"/>
    <w:bookmarkEnd w:id="33"/>
    <w:p>
      <w:pPr>
        <w:jc w:val="both"/>
        <w:ind w:firstLine="656"/>
        <w:spacing w:after="0" w:line="294" w:lineRule="auto"/>
        <w:tabs>
          <w:tab w:leader="none" w:pos="161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Enforcement Costs</w:t>
      </w:r>
      <w:r>
        <w:rPr>
          <w:rFonts w:ascii="Arial" w:cs="Arial" w:eastAsia="Arial" w:hAnsi="Arial"/>
          <w:sz w:val="16"/>
          <w:szCs w:val="16"/>
          <w:color w:val="auto"/>
        </w:rPr>
        <w:t>. If: (i) this Agreement is placed by the Investor in the hands of an attorney for enforcement or is enforced by the Investor through any legal proceeding; (ii) an attorney is retained to represent the Investor in any bankruptcy, reorganization, receivership or other proceedings affecting creditors’ rights and involving a claim under this Agreement; or (iii) an attorney is retained to represent the Investor in any other proceedings whatsoever in connection with this Agreement, then the Company shall pay to the Investor, as incurred by the Investor, all reasonable costs and expenses including reasonable attorneys’ fees incurred in connection therewith, in addition to all other amounts due hereunder.</w:t>
      </w:r>
    </w:p>
    <w:p>
      <w:pPr>
        <w:spacing w:after="0" w:line="169" w:lineRule="exact"/>
        <w:rPr>
          <w:rFonts w:ascii="Arial" w:cs="Arial" w:eastAsia="Arial" w:hAnsi="Arial"/>
          <w:sz w:val="16"/>
          <w:szCs w:val="16"/>
          <w:color w:val="auto"/>
        </w:rPr>
      </w:pPr>
    </w:p>
    <w:p>
      <w:pPr>
        <w:jc w:val="both"/>
        <w:ind w:firstLine="656"/>
        <w:spacing w:after="0" w:line="291" w:lineRule="auto"/>
        <w:tabs>
          <w:tab w:leader="none" w:pos="1379"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Amendment and Waiver; Failure or Indulgence Not Waiver</w:t>
      </w:r>
      <w:r>
        <w:rPr>
          <w:rFonts w:ascii="Arial" w:cs="Arial" w:eastAsia="Arial" w:hAnsi="Arial"/>
          <w:sz w:val="16"/>
          <w:szCs w:val="16"/>
          <w:color w:val="auto"/>
        </w:rPr>
        <w:t>. No provision of this Agreement may be amended or waived by the parties from and after the date that is one (1) Business Day immediately preceding the filing of the Registration Statement with the SEC. Subject to the immediately preceding sentence, (i) no provision of this Agreement may be amended other than by a written instrument signed by both parties hereto and (ii)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383" w:lineRule="exact"/>
        <w:rPr>
          <w:rFonts w:ascii="Arial" w:cs="Arial" w:eastAsia="Arial" w:hAnsi="Arial"/>
          <w:sz w:val="16"/>
          <w:szCs w:val="16"/>
          <w:color w:val="auto"/>
        </w:rPr>
      </w:pPr>
    </w:p>
    <w:p>
      <w:pPr>
        <w:ind w:left="4740" w:hanging="211"/>
        <w:spacing w:after="0"/>
        <w:tabs>
          <w:tab w:leader="none" w:pos="474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Page Follows **</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Investor and the Company have caused this Purchase Agreement to be duly executed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Singh</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INVESTOR: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LINCOLN PARK CAPITAL FUND, LLC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BY: LINCOLN PARK CAPITAL, LLC</w:t>
      </w:r>
    </w:p>
    <w:p>
      <w:pPr>
        <w:spacing w:after="0" w:line="25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Josh Scheinfeld</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Josh Scheinfeld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503" w:right="779" w:bottom="1440" w:gutter="0" w:footer="0" w:header="0"/>
        </w:sectPr>
      </w:pPr>
    </w:p>
    <w:bookmarkStart w:id="35" w:name="page36"/>
    <w:bookmarkEnd w:id="35"/>
    <w:p>
      <w:pPr>
        <w:jc w:val="right"/>
        <w:ind w:right="3979"/>
        <w:spacing w:after="0"/>
        <w:rPr>
          <w:sz w:val="20"/>
          <w:szCs w:val="20"/>
          <w:color w:val="auto"/>
        </w:rPr>
      </w:pPr>
      <w:r>
        <w:rPr>
          <w:rFonts w:ascii="Arial" w:cs="Arial" w:eastAsia="Arial" w:hAnsi="Arial"/>
          <w:sz w:val="16"/>
          <w:szCs w:val="16"/>
          <w:b w:val="1"/>
          <w:bCs w:val="1"/>
          <w:u w:val="single" w:color="auto"/>
          <w:color w:val="auto"/>
        </w:rPr>
        <w:t>SCHEDULES</w:t>
      </w:r>
    </w:p>
    <w:p>
      <w:pPr>
        <w:sectPr>
          <w:pgSz w:w="11900" w:h="16838" w:orient="portrait"/>
          <w:cols w:equalWidth="0" w:num="1">
            <w:col w:w="10139"/>
          </w:cols>
          <w:pgMar w:left="320" w:top="557" w:right="1440"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Schedule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Capitalization</w:t>
      </w:r>
    </w:p>
    <w:p>
      <w:pPr>
        <w:spacing w:after="0" w:line="38" w:lineRule="exact"/>
        <w:rPr>
          <w:sz w:val="20"/>
          <w:szCs w:val="20"/>
          <w:color w:val="auto"/>
        </w:rPr>
      </w:pPr>
    </w:p>
    <w:p>
      <w:pPr>
        <w:sectPr>
          <w:pgSz w:w="11900" w:h="16838" w:orient="portrait"/>
          <w:cols w:equalWidth="0" w:num="2">
            <w:col w:w="1240" w:space="720"/>
            <w:col w:w="8179"/>
          </w:cols>
          <w:pgMar w:left="320" w:top="557" w:right="1440" w:bottom="1440" w:gutter="0" w:footer="0" w:header="0"/>
          <w:type w:val="continuous"/>
        </w:sectPr>
      </w:pPr>
    </w:p>
    <w:p>
      <w:pPr>
        <w:spacing w:after="0"/>
        <w:rPr>
          <w:sz w:val="20"/>
          <w:szCs w:val="20"/>
          <w:color w:val="auto"/>
        </w:rPr>
      </w:pPr>
      <w:r>
        <w:rPr>
          <w:rFonts w:ascii="Arial" w:cs="Arial" w:eastAsia="Arial" w:hAnsi="Arial"/>
          <w:sz w:val="16"/>
          <w:szCs w:val="16"/>
          <w:color w:val="auto"/>
        </w:rPr>
        <w:t>4(c)</w:t>
      </w:r>
    </w:p>
    <w:p>
      <w:pPr>
        <w:sectPr>
          <w:pgSz w:w="11900" w:h="16838" w:orient="portrait"/>
          <w:cols w:equalWidth="0" w:num="1">
            <w:col w:w="10139"/>
          </w:cols>
          <w:pgMar w:left="320" w:top="557"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Schedule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Brokerage or Finder’s Fees</w:t>
      </w:r>
    </w:p>
    <w:p>
      <w:pPr>
        <w:spacing w:after="0" w:line="44" w:lineRule="exact"/>
        <w:rPr>
          <w:sz w:val="20"/>
          <w:szCs w:val="20"/>
          <w:color w:val="auto"/>
        </w:rPr>
      </w:pPr>
    </w:p>
    <w:p>
      <w:pPr>
        <w:sectPr>
          <w:pgSz w:w="11900" w:h="16838" w:orient="portrait"/>
          <w:cols w:equalWidth="0" w:num="2">
            <w:col w:w="1240" w:space="720"/>
            <w:col w:w="8179"/>
          </w:cols>
          <w:pgMar w:left="320" w:top="557" w:right="1440" w:bottom="1440" w:gutter="0" w:footer="0" w:header="0"/>
          <w:type w:val="continuous"/>
        </w:sectPr>
      </w:pPr>
    </w:p>
    <w:p>
      <w:pPr>
        <w:spacing w:after="0"/>
        <w:rPr>
          <w:sz w:val="20"/>
          <w:szCs w:val="20"/>
          <w:color w:val="auto"/>
        </w:rPr>
      </w:pPr>
      <w:r>
        <w:rPr>
          <w:rFonts w:ascii="Arial" w:cs="Arial" w:eastAsia="Arial" w:hAnsi="Arial"/>
          <w:sz w:val="16"/>
          <w:szCs w:val="16"/>
          <w:color w:val="auto"/>
        </w:rPr>
        <w:t>4(w)</w:t>
      </w:r>
    </w:p>
    <w:p>
      <w:pPr>
        <w:sectPr>
          <w:pgSz w:w="11900" w:h="16838" w:orient="portrait"/>
          <w:cols w:equalWidth="0" w:num="1">
            <w:col w:w="10139"/>
          </w:cols>
          <w:pgMar w:left="320" w:top="5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type w:val="continuous"/>
        </w:sectPr>
      </w:pPr>
    </w:p>
    <w:bookmarkStart w:id="36" w:name="page37"/>
    <w:bookmarkEnd w:id="36"/>
    <w:p>
      <w:pPr>
        <w:jc w:val="right"/>
        <w:ind w:right="4099"/>
        <w:spacing w:after="0"/>
        <w:rPr>
          <w:sz w:val="20"/>
          <w:szCs w:val="20"/>
          <w:color w:val="auto"/>
        </w:rPr>
      </w:pPr>
      <w:r>
        <w:rPr>
          <w:rFonts w:ascii="Arial" w:cs="Arial" w:eastAsia="Arial" w:hAnsi="Arial"/>
          <w:sz w:val="18"/>
          <w:szCs w:val="18"/>
          <w:b w:val="1"/>
          <w:bCs w:val="1"/>
          <w:u w:val="single" w:color="auto"/>
          <w:color w:val="auto"/>
        </w:rPr>
        <w:t>EXHIBITS</w:t>
      </w:r>
    </w:p>
    <w:p>
      <w:pPr>
        <w:sectPr>
          <w:pgSz w:w="11900" w:h="16838" w:orient="portrait"/>
          <w:cols w:equalWidth="0" w:num="1">
            <w:col w:w="10139"/>
          </w:cols>
          <w:pgMar w:left="320" w:top="503" w:right="1440"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Exhibit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Exhibit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C</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Form of Officer’s Certificate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Form of Secretary’s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of Letter to Transfer Agent</w:t>
      </w:r>
    </w:p>
    <w:p>
      <w:pPr>
        <w:spacing w:after="0" w:line="200" w:lineRule="exact"/>
        <w:rPr>
          <w:sz w:val="20"/>
          <w:szCs w:val="20"/>
          <w:color w:val="auto"/>
        </w:rPr>
      </w:pPr>
    </w:p>
    <w:p>
      <w:pPr>
        <w:sectPr>
          <w:pgSz w:w="11900" w:h="16838" w:orient="portrait"/>
          <w:cols w:equalWidth="0" w:num="2">
            <w:col w:w="1240" w:space="720"/>
            <w:col w:w="8179"/>
          </w:cols>
          <w:pgMar w:left="320" w:top="503" w:right="1440"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3" w:right="1440"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6"/>
          <w:szCs w:val="16"/>
          <w:b w:val="1"/>
          <w:bCs w:val="1"/>
          <w:u w:val="single" w:color="auto"/>
          <w:color w:val="auto"/>
        </w:rPr>
        <w:t>DISCLOSURE SCHEDULES</w:t>
      </w:r>
    </w:p>
    <w:p>
      <w:pPr>
        <w:sectPr>
          <w:pgSz w:w="11900" w:h="16838" w:orient="portrait"/>
          <w:cols w:equalWidth="0" w:num="1">
            <w:col w:w="9019"/>
          </w:cols>
          <w:pgMar w:left="1440" w:top="5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OFFICER’S CERTIFICATE</w:t>
      </w:r>
    </w:p>
    <w:p>
      <w:pPr>
        <w:spacing w:after="0" w:line="225" w:lineRule="exact"/>
        <w:rPr>
          <w:sz w:val="20"/>
          <w:szCs w:val="20"/>
          <w:color w:val="auto"/>
        </w:rPr>
      </w:pPr>
    </w:p>
    <w:p>
      <w:pPr>
        <w:jc w:val="both"/>
        <w:ind w:firstLine="972"/>
        <w:spacing w:after="0" w:line="310" w:lineRule="auto"/>
        <w:rPr>
          <w:sz w:val="20"/>
          <w:szCs w:val="20"/>
          <w:color w:val="auto"/>
        </w:rPr>
      </w:pPr>
      <w:r>
        <w:rPr>
          <w:rFonts w:ascii="Arial" w:cs="Arial" w:eastAsia="Arial" w:hAnsi="Arial"/>
          <w:sz w:val="16"/>
          <w:szCs w:val="16"/>
          <w:color w:val="auto"/>
        </w:rPr>
        <w:t>This Officer’s Certificate (“</w:t>
      </w:r>
      <w:r>
        <w:rPr>
          <w:rFonts w:ascii="Arial" w:cs="Arial" w:eastAsia="Arial" w:hAnsi="Arial"/>
          <w:sz w:val="16"/>
          <w:szCs w:val="16"/>
          <w:b w:val="1"/>
          <w:bCs w:val="1"/>
          <w:color w:val="auto"/>
        </w:rPr>
        <w:t>Certificate</w:t>
      </w:r>
      <w:r>
        <w:rPr>
          <w:rFonts w:ascii="Arial" w:cs="Arial" w:eastAsia="Arial" w:hAnsi="Arial"/>
          <w:sz w:val="16"/>
          <w:szCs w:val="16"/>
          <w:color w:val="auto"/>
        </w:rPr>
        <w:t>”) is being delivered pursuant to Section 8(e) of that certain Purchase Agreement dated as of March 24, 2020, (“</w:t>
      </w:r>
      <w:r>
        <w:rPr>
          <w:rFonts w:ascii="Arial" w:cs="Arial" w:eastAsia="Arial" w:hAnsi="Arial"/>
          <w:sz w:val="16"/>
          <w:szCs w:val="16"/>
          <w:b w:val="1"/>
          <w:bCs w:val="1"/>
          <w:color w:val="auto"/>
        </w:rPr>
        <w:t>Purchase Agreement</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VISTAGEN THERAPEUTICS, INC.</w:t>
      </w:r>
      <w:r>
        <w:rPr>
          <w:rFonts w:ascii="Arial" w:cs="Arial" w:eastAsia="Arial" w:hAnsi="Arial"/>
          <w:sz w:val="16"/>
          <w:szCs w:val="16"/>
          <w:color w:val="auto"/>
        </w:rPr>
        <w:t>,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w:t>
      </w:r>
      <w:r>
        <w:rPr>
          <w:rFonts w:ascii="Arial" w:cs="Arial" w:eastAsia="Arial" w:hAnsi="Arial"/>
          <w:sz w:val="16"/>
          <w:szCs w:val="16"/>
          <w:b w:val="1"/>
          <w:bCs w:val="1"/>
          <w:color w:val="auto"/>
        </w:rPr>
        <w:t>LINCOLN PARK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CAPITAL FUND, LLC </w:t>
      </w:r>
      <w:r>
        <w:rPr>
          <w:rFonts w:ascii="Arial" w:cs="Arial" w:eastAsia="Arial" w:hAnsi="Arial"/>
          <w:sz w:val="16"/>
          <w:szCs w:val="16"/>
          <w:color w:val="auto"/>
        </w:rPr>
        <w:t>(the “</w:t>
      </w:r>
      <w:r>
        <w:rPr>
          <w:rFonts w:ascii="Arial" w:cs="Arial" w:eastAsia="Arial" w:hAnsi="Arial"/>
          <w:sz w:val="16"/>
          <w:szCs w:val="16"/>
          <w:b w:val="1"/>
          <w:bCs w:val="1"/>
          <w:color w:val="auto"/>
        </w:rPr>
        <w:t>Investor</w:t>
      </w:r>
      <w:r>
        <w:rPr>
          <w:rFonts w:ascii="Arial" w:cs="Arial" w:eastAsia="Arial" w:hAnsi="Arial"/>
          <w:sz w:val="16"/>
          <w:szCs w:val="16"/>
          <w:color w:val="auto"/>
        </w:rPr>
        <w:t>”). Terms used herein and not otherwise defined shall have the meanings ascribed to them in the Purchase Agreement.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undersigned, ___________, ______________ of the Company, hereby certifies as follows:</w:t>
      </w:r>
    </w:p>
    <w:p>
      <w:pPr>
        <w:spacing w:after="0" w:line="225" w:lineRule="exact"/>
        <w:rPr>
          <w:sz w:val="20"/>
          <w:szCs w:val="20"/>
          <w:color w:val="auto"/>
        </w:rPr>
      </w:pPr>
    </w:p>
    <w:p>
      <w:pPr>
        <w:ind w:left="1600" w:hanging="620"/>
        <w:spacing w:after="0"/>
        <w:tabs>
          <w:tab w:leader="none" w:pos="1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am the _____________ of the Company and make the statements contained in this Certificate;</w:t>
      </w:r>
    </w:p>
    <w:p>
      <w:pPr>
        <w:spacing w:after="0" w:line="225" w:lineRule="exact"/>
        <w:rPr>
          <w:rFonts w:ascii="Arial" w:cs="Arial" w:eastAsia="Arial" w:hAnsi="Arial"/>
          <w:sz w:val="18"/>
          <w:szCs w:val="18"/>
          <w:color w:val="auto"/>
        </w:rPr>
      </w:pPr>
    </w:p>
    <w:p>
      <w:pPr>
        <w:ind w:right="80" w:firstLine="980"/>
        <w:spacing w:after="0" w:line="323" w:lineRule="auto"/>
        <w:tabs>
          <w:tab w:leader="none" w:pos="1583"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are true and correct in all material respects (except to the extent that any of such representations and warranties is already qualified as to materiality in Section 4 of the Purchase Agreement, in which case, such representations and warranties are true and correct without further qualification) as of the date when made and as of the Commencement Date as though made at that time (except for representations and warranties that speak as of a specific date, in which case such representations and warranties are true and correct in all as of such date);</w:t>
      </w:r>
    </w:p>
    <w:p>
      <w:pPr>
        <w:spacing w:after="0" w:line="151" w:lineRule="exact"/>
        <w:rPr>
          <w:rFonts w:ascii="Arial" w:cs="Arial" w:eastAsia="Arial" w:hAnsi="Arial"/>
          <w:sz w:val="15"/>
          <w:szCs w:val="15"/>
          <w:color w:val="auto"/>
        </w:rPr>
      </w:pPr>
    </w:p>
    <w:p>
      <w:pPr>
        <w:ind w:right="140" w:firstLine="980"/>
        <w:spacing w:after="0" w:line="331" w:lineRule="auto"/>
        <w:tabs>
          <w:tab w:leader="none" w:pos="158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has performed, satisfied and complied in all material respects with covenants, agreements and conditions required by the Transaction Documents to be performed, satisfied or complied with by the Company at or prior to the Commencement Date.</w:t>
      </w:r>
    </w:p>
    <w:p>
      <w:pPr>
        <w:spacing w:after="0" w:line="140" w:lineRule="exact"/>
        <w:rPr>
          <w:rFonts w:ascii="Arial" w:cs="Arial" w:eastAsia="Arial" w:hAnsi="Arial"/>
          <w:sz w:val="16"/>
          <w:szCs w:val="16"/>
          <w:color w:val="auto"/>
        </w:rPr>
      </w:pPr>
    </w:p>
    <w:p>
      <w:pPr>
        <w:ind w:right="260" w:firstLine="980"/>
        <w:spacing w:after="0" w:line="259" w:lineRule="auto"/>
        <w:tabs>
          <w:tab w:leader="none" w:pos="162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hereunder signed my name on this ___ day of ___________.</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______________________</w:t>
      </w:r>
    </w:p>
    <w:p>
      <w:pPr>
        <w:spacing w:after="0" w:line="1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as Secretary of </w:t>
      </w:r>
      <w:r>
        <w:rPr>
          <w:rFonts w:ascii="Arial" w:cs="Arial" w:eastAsia="Arial" w:hAnsi="Arial"/>
          <w:sz w:val="16"/>
          <w:szCs w:val="16"/>
          <w:b w:val="1"/>
          <w:bCs w:val="1"/>
          <w:color w:val="auto"/>
        </w:rPr>
        <w:t>VISTAGEN THERAPEUTICS, INC.</w:t>
      </w:r>
      <w:r>
        <w:rPr>
          <w:rFonts w:ascii="Arial" w:cs="Arial" w:eastAsia="Arial" w:hAnsi="Arial"/>
          <w:sz w:val="16"/>
          <w:szCs w:val="16"/>
          <w:color w:val="auto"/>
        </w:rPr>
        <w:t>, a Nevada corporation, hereby certifies that ___________ is the duly elected,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appointed, qualified and acting ________ of </w:t>
      </w:r>
      <w:r>
        <w:rPr>
          <w:rFonts w:ascii="Arial" w:cs="Arial" w:eastAsia="Arial" w:hAnsi="Arial"/>
          <w:sz w:val="16"/>
          <w:szCs w:val="16"/>
          <w:b w:val="1"/>
          <w:bCs w:val="1"/>
          <w:color w:val="auto"/>
        </w:rPr>
        <w:t>VISTAGEN THERAPEUTICS, INC.</w:t>
      </w:r>
      <w:r>
        <w:rPr>
          <w:rFonts w:ascii="Arial" w:cs="Arial" w:eastAsia="Arial" w:hAnsi="Arial"/>
          <w:sz w:val="16"/>
          <w:szCs w:val="16"/>
          <w:color w:val="auto"/>
        </w:rPr>
        <w:t xml:space="preserve"> and that the signature appearing above is her/her genuine signature.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Secretary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left="55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FORM OF SECRETARY’S CERTIFICATE</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This Secretary’s Certificate (“Certificate”) is being delivered pursuant to </w:t>
      </w:r>
      <w:r>
        <w:rPr>
          <w:rFonts w:ascii="Arial" w:cs="Arial" w:eastAsia="Arial" w:hAnsi="Arial"/>
          <w:sz w:val="16"/>
          <w:szCs w:val="16"/>
          <w:u w:val="single" w:color="auto"/>
          <w:color w:val="auto"/>
        </w:rPr>
        <w:t>Section 8(k)</w:t>
      </w:r>
      <w:r>
        <w:rPr>
          <w:rFonts w:ascii="Arial" w:cs="Arial" w:eastAsia="Arial" w:hAnsi="Arial"/>
          <w:sz w:val="16"/>
          <w:szCs w:val="16"/>
          <w:color w:val="auto"/>
        </w:rPr>
        <w:t xml:space="preserve"> of that certain Purchase Agreement dated as of March 24, 2020 (“Purchase Agreement”), by and between </w:t>
      </w:r>
      <w:r>
        <w:rPr>
          <w:rFonts w:ascii="Arial" w:cs="Arial" w:eastAsia="Arial" w:hAnsi="Arial"/>
          <w:sz w:val="16"/>
          <w:szCs w:val="16"/>
          <w:b w:val="1"/>
          <w:bCs w:val="1"/>
          <w:color w:val="auto"/>
        </w:rPr>
        <w:t>VISTAGEN THERAPEUTICS, INC.</w:t>
      </w:r>
      <w:r>
        <w:rPr>
          <w:rFonts w:ascii="Arial" w:cs="Arial" w:eastAsia="Arial" w:hAnsi="Arial"/>
          <w:sz w:val="16"/>
          <w:szCs w:val="16"/>
          <w:color w:val="auto"/>
        </w:rPr>
        <w:t xml:space="preserve">, a Nevada corporation (the “Company”) and </w:t>
      </w:r>
      <w:r>
        <w:rPr>
          <w:rFonts w:ascii="Arial" w:cs="Arial" w:eastAsia="Arial" w:hAnsi="Arial"/>
          <w:sz w:val="16"/>
          <w:szCs w:val="16"/>
          <w:b w:val="1"/>
          <w:bCs w:val="1"/>
          <w:color w:val="auto"/>
        </w:rPr>
        <w:t>LINCOLN PARK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FUND, LLC </w:t>
      </w:r>
      <w:r>
        <w:rPr>
          <w:rFonts w:ascii="Arial" w:cs="Arial" w:eastAsia="Arial" w:hAnsi="Arial"/>
          <w:sz w:val="16"/>
          <w:szCs w:val="16"/>
          <w:color w:val="auto"/>
        </w:rPr>
        <w:t>(the “Investor”), pursuant to which the Company may sell to the Investor up to Ten Million Two Hundred Fifty Thousand Dollars ($10,250,000)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common stock. Terms used herein and not otherwise defined shall have the meanings ascribed to them in the Purchase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____________, Secretary of the Company, hereby certifies as follows:</w:t>
      </w:r>
    </w:p>
    <w:p>
      <w:pPr>
        <w:spacing w:after="0" w:line="225" w:lineRule="exact"/>
        <w:rPr>
          <w:sz w:val="20"/>
          <w:szCs w:val="20"/>
          <w:color w:val="auto"/>
        </w:rPr>
      </w:pPr>
    </w:p>
    <w:p>
      <w:pPr>
        <w:ind w:left="1920" w:hanging="616"/>
        <w:spacing w:after="0"/>
        <w:tabs>
          <w:tab w:leader="none" w:pos="1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am the Secretary of the Company and make the statements contained in this Secretary’s Certificate.</w:t>
      </w:r>
    </w:p>
    <w:p>
      <w:pPr>
        <w:spacing w:after="0" w:line="225" w:lineRule="exact"/>
        <w:rPr>
          <w:rFonts w:ascii="Arial" w:cs="Arial" w:eastAsia="Arial" w:hAnsi="Arial"/>
          <w:sz w:val="18"/>
          <w:szCs w:val="18"/>
          <w:color w:val="auto"/>
        </w:rPr>
      </w:pPr>
    </w:p>
    <w:p>
      <w:pPr>
        <w:jc w:val="both"/>
        <w:ind w:left="660" w:right="500" w:firstLine="644"/>
        <w:spacing w:after="0" w:line="306" w:lineRule="auto"/>
        <w:tabs>
          <w:tab w:leader="none" w:pos="19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are true, correct and complete copies of the Company’s Bylaws (“Bylaws”) and Articles of Incorporation (“Charter”), in each case, as amended through the date hereof, and no action has been taken by the Company, its directors, officers or stockholders, in contemplation of the filing of any further amendment relating to or affecting the Bylaws or Charter.</w:t>
      </w:r>
    </w:p>
    <w:p>
      <w:pPr>
        <w:spacing w:after="0" w:line="160" w:lineRule="exact"/>
        <w:rPr>
          <w:rFonts w:ascii="Arial" w:cs="Arial" w:eastAsia="Arial" w:hAnsi="Arial"/>
          <w:sz w:val="16"/>
          <w:szCs w:val="16"/>
          <w:color w:val="auto"/>
        </w:rPr>
      </w:pPr>
    </w:p>
    <w:p>
      <w:pPr>
        <w:jc w:val="both"/>
        <w:ind w:left="660" w:right="480" w:firstLine="644"/>
        <w:spacing w:after="0" w:line="291" w:lineRule="auto"/>
        <w:tabs>
          <w:tab w:leader="none" w:pos="19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are true, correct and complete copies of the resolutions duly adopted by the Board of Directors of the Company on _____________, at which a quorum was present and acting throughout. Such resolutions have not been amended, modified or rescinded and remain in full force and effect and such resolutions are the only resolutions adopted by the Company’s Board of Directors, or any committee thereof, or the stockholders of the Company relating to or affecting (i) the entering into and performance of the Purchase Agreement, or the issuance, offering and sale of the Purchase Shares and the Commitment Shares and (ii) and the performance of the Company of its obligation under the Transaction Documents as contemplated therein.</w:t>
      </w:r>
    </w:p>
    <w:p>
      <w:pPr>
        <w:spacing w:after="0" w:line="173" w:lineRule="exact"/>
        <w:rPr>
          <w:rFonts w:ascii="Arial" w:cs="Arial" w:eastAsia="Arial" w:hAnsi="Arial"/>
          <w:sz w:val="16"/>
          <w:szCs w:val="16"/>
          <w:color w:val="auto"/>
        </w:rPr>
      </w:pPr>
    </w:p>
    <w:p>
      <w:pPr>
        <w:ind w:left="1900" w:hanging="596"/>
        <w:spacing w:after="0"/>
        <w:tabs>
          <w:tab w:leader="none" w:pos="1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As of the date hereof, the authorized, issued and reserved capital stock of the Company is as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hereunder signed my name on this ___ day of ____________, 2020.</w:t>
      </w:r>
    </w:p>
    <w:p>
      <w:pPr>
        <w:spacing w:after="0" w:line="23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Secretary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undersigned as ______________ of </w:t>
      </w:r>
      <w:r>
        <w:rPr>
          <w:rFonts w:ascii="Arial" w:cs="Arial" w:eastAsia="Arial" w:hAnsi="Arial"/>
          <w:sz w:val="16"/>
          <w:szCs w:val="16"/>
          <w:b w:val="1"/>
          <w:bCs w:val="1"/>
          <w:color w:val="auto"/>
        </w:rPr>
        <w:t>VISTAGEN THERAPEUTICS, INC.</w:t>
      </w:r>
      <w:r>
        <w:rPr>
          <w:rFonts w:ascii="Arial" w:cs="Arial" w:eastAsia="Arial" w:hAnsi="Arial"/>
          <w:sz w:val="16"/>
          <w:szCs w:val="16"/>
          <w:color w:val="auto"/>
        </w:rPr>
        <w:t>, a Nevada corporation, hereby certifies that __________________ is the duly</w:t>
      </w:r>
    </w:p>
    <w:p>
      <w:pPr>
        <w:spacing w:after="0" w:line="4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elected, appointed, qualified and acting Secretary of </w:t>
      </w:r>
      <w:r>
        <w:rPr>
          <w:rFonts w:ascii="Arial" w:cs="Arial" w:eastAsia="Arial" w:hAnsi="Arial"/>
          <w:sz w:val="18"/>
          <w:szCs w:val="18"/>
          <w:b w:val="1"/>
          <w:bCs w:val="1"/>
          <w:color w:val="auto"/>
        </w:rPr>
        <w:t>VISTAGEN THERAPEUTICS, INC.</w:t>
      </w:r>
      <w:r>
        <w:rPr>
          <w:rFonts w:ascii="Arial" w:cs="Arial" w:eastAsia="Arial" w:hAnsi="Arial"/>
          <w:sz w:val="18"/>
          <w:szCs w:val="18"/>
          <w:color w:val="auto"/>
        </w:rPr>
        <w:t>, and that the signature appearing above is his/her genuine signature.</w:t>
      </w:r>
    </w:p>
    <w:p>
      <w:pPr>
        <w:spacing w:after="0" w:line="19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___________________________________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FORM OF LETTER TO THE TRANSFER AGENT FOR THE ISSUANCE OF THE COMMITMENT SHARES AT SIGNING OF THE PURCHASE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[COMPANY LETTERHEAD]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March 24, 2020</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Computershare Trust Company, N.A.</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8742 Lucent Blvd., Suite 225</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Highlands Ranch, CO 80129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Telephone: 303-262-0637</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Facsimile: 303-262-0609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Audrey Matheney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E-Mail: audrey.matheny@computershare.com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Issuance of Common Stock to Lincoln Park Capital Fund,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Ms. Matheney:</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On behalf of </w:t>
      </w:r>
      <w:r>
        <w:rPr>
          <w:rFonts w:ascii="Arial" w:cs="Arial" w:eastAsia="Arial" w:hAnsi="Arial"/>
          <w:sz w:val="18"/>
          <w:szCs w:val="18"/>
          <w:b w:val="1"/>
          <w:bCs w:val="1"/>
          <w:color w:val="auto"/>
        </w:rPr>
        <w:t>VISTAGEN THERAPEUTICS, INC.</w:t>
      </w:r>
      <w:r>
        <w:rPr>
          <w:rFonts w:ascii="Arial" w:cs="Arial" w:eastAsia="Arial" w:hAnsi="Arial"/>
          <w:sz w:val="18"/>
          <w:szCs w:val="18"/>
          <w:color w:val="auto"/>
        </w:rPr>
        <w:t xml:space="preserve"> (the “Company”), you are hereby instructed to issue </w:t>
      </w:r>
      <w:r>
        <w:rPr>
          <w:rFonts w:ascii="Arial" w:cs="Arial" w:eastAsia="Arial" w:hAnsi="Arial"/>
          <w:sz w:val="18"/>
          <w:szCs w:val="18"/>
          <w:b w:val="1"/>
          <w:bCs w:val="1"/>
          <w:u w:val="single" w:color="auto"/>
          <w:color w:val="auto"/>
        </w:rPr>
        <w:t>as soon as possible</w:t>
      </w:r>
      <w:r>
        <w:rPr>
          <w:rFonts w:ascii="Arial" w:cs="Arial" w:eastAsia="Arial" w:hAnsi="Arial"/>
          <w:sz w:val="18"/>
          <w:szCs w:val="18"/>
          <w:color w:val="auto"/>
        </w:rPr>
        <w:t xml:space="preserve"> a book-entry statement representing an aggregate of 1,250,000 shares of our common stock in the name of </w:t>
      </w:r>
      <w:r>
        <w:rPr>
          <w:rFonts w:ascii="Arial" w:cs="Arial" w:eastAsia="Arial" w:hAnsi="Arial"/>
          <w:sz w:val="18"/>
          <w:szCs w:val="18"/>
          <w:b w:val="1"/>
          <w:bCs w:val="1"/>
          <w:u w:val="single" w:color="auto"/>
          <w:color w:val="auto"/>
        </w:rPr>
        <w:t>Lincoln Park Capital Fund, LLC</w:t>
      </w:r>
      <w:r>
        <w:rPr>
          <w:rFonts w:ascii="Arial" w:cs="Arial" w:eastAsia="Arial" w:hAnsi="Arial"/>
          <w:sz w:val="18"/>
          <w:szCs w:val="18"/>
          <w:color w:val="auto"/>
        </w:rPr>
        <w:t>. The book-entry statement should be dated March 24, 2020. I have included a true and correct copy of resolutions duly adopted by the Company’s Board of Directors approving the issuance of these shares. The book-entry statement should bear the following restrictive legend:</w:t>
      </w:r>
    </w:p>
    <w:p>
      <w:pPr>
        <w:spacing w:after="0" w:line="190" w:lineRule="exact"/>
        <w:rPr>
          <w:sz w:val="20"/>
          <w:szCs w:val="20"/>
          <w:color w:val="auto"/>
        </w:rPr>
      </w:pPr>
    </w:p>
    <w:p>
      <w:pPr>
        <w:jc w:val="both"/>
        <w:ind w:left="660" w:right="480"/>
        <w:spacing w:after="0" w:line="254" w:lineRule="auto"/>
        <w:rPr>
          <w:sz w:val="20"/>
          <w:szCs w:val="20"/>
          <w:color w:val="auto"/>
        </w:rPr>
      </w:pPr>
      <w:r>
        <w:rPr>
          <w:rFonts w:ascii="Arial" w:cs="Arial" w:eastAsia="Arial" w:hAnsi="Arial"/>
          <w:sz w:val="18"/>
          <w:szCs w:val="18"/>
          <w:b w:val="1"/>
          <w:bCs w:val="1"/>
          <w:color w:val="auto"/>
        </w:rPr>
        <w:t>THE SECURITIES REPRESENTED HEREBY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book-entry statement should be sent </w:t>
      </w:r>
      <w:r>
        <w:rPr>
          <w:rFonts w:ascii="Arial" w:cs="Arial" w:eastAsia="Arial" w:hAnsi="Arial"/>
          <w:sz w:val="18"/>
          <w:szCs w:val="18"/>
          <w:b w:val="1"/>
          <w:bCs w:val="1"/>
          <w:u w:val="single" w:color="auto"/>
          <w:color w:val="auto"/>
        </w:rPr>
        <w:t>as soon as possible via overnight mail</w:t>
      </w:r>
      <w:r>
        <w:rPr>
          <w:rFonts w:ascii="Arial" w:cs="Arial" w:eastAsia="Arial" w:hAnsi="Arial"/>
          <w:sz w:val="18"/>
          <w:szCs w:val="18"/>
          <w:color w:val="auto"/>
        </w:rPr>
        <w:t xml:space="preserve"> to the following address:</w:t>
      </w:r>
    </w:p>
    <w:p>
      <w:pPr>
        <w:spacing w:after="0" w:line="2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Lincoln Park Capital Fund, LLC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440 North Wells, Suite 410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 60654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Josh Scheinfeld/Jonathan Cope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for your help. Please call me at [__________] if you have any questions or need anything further.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THIS REGISTRATION RIGHTS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24, 2020, by and between</w:t>
      </w:r>
      <w:r>
        <w:rPr>
          <w:rFonts w:ascii="Arial" w:cs="Arial" w:eastAsia="Arial" w:hAnsi="Arial"/>
          <w:sz w:val="18"/>
          <w:szCs w:val="18"/>
          <w:b w:val="1"/>
          <w:bCs w:val="1"/>
          <w:color w:val="auto"/>
        </w:rPr>
        <w:t xml:space="preserve"> VISTAGEN THERAPEUTICS, INC</w:t>
      </w:r>
      <w:r>
        <w:rPr>
          <w:rFonts w:ascii="Arial" w:cs="Arial" w:eastAsia="Arial" w:hAnsi="Arial"/>
          <w:sz w:val="18"/>
          <w:szCs w:val="18"/>
          <w:color w:val="auto"/>
        </w:rPr>
        <w:t>.,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LINCOLN PARK CAPITAL FUND, LLC</w:t>
      </w:r>
      <w:r>
        <w:rPr>
          <w:rFonts w:ascii="Arial" w:cs="Arial" w:eastAsia="Arial" w:hAnsi="Arial"/>
          <w:sz w:val="18"/>
          <w:szCs w:val="18"/>
          <w:color w:val="auto"/>
        </w:rPr>
        <w:t>, an Illinois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its permitted assigns, the “</w:t>
      </w:r>
      <w:r>
        <w:rPr>
          <w:rFonts w:ascii="Arial" w:cs="Arial" w:eastAsia="Arial" w:hAnsi="Arial"/>
          <w:sz w:val="18"/>
          <w:szCs w:val="18"/>
          <w:u w:val="single" w:color="auto"/>
          <w:color w:val="auto"/>
        </w:rPr>
        <w:t>Buyer</w:t>
      </w:r>
      <w:r>
        <w:rPr>
          <w:rFonts w:ascii="Arial" w:cs="Arial" w:eastAsia="Arial" w:hAnsi="Arial"/>
          <w:sz w:val="18"/>
          <w:szCs w:val="18"/>
          <w:color w:val="auto"/>
        </w:rPr>
        <w:t>”). Capitalized terms used herein and not otherwise defined herein shall have the respective meanings set forth in the Purchase Agreement by and between the parties hereto, dated as of the date hereof (as amended, restated, supplemented or otherwise modified from time to time,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agreed, upon the terms and subject to the conditions of the Purchase Agreement, to sell to the Buyer up to Ten Million Two Hundred Fifty Thousand Dollars ($10,250,000) of Purchase Shares and to induce the Buyer to enter into the Purchase Agreement, the Company has agreed to provide certain registration rights under the Securities Act of 1933, as amended, and the rules and regulations thereunder (collectively,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applicable state securities laws.</w:t>
      </w:r>
    </w:p>
    <w:p>
      <w:pPr>
        <w:spacing w:after="0" w:line="19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the mutual covenants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Company and the Buyer hereby agree as follows:</w:t>
      </w:r>
    </w:p>
    <w:p>
      <w:pPr>
        <w:spacing w:after="0" w:line="180" w:lineRule="exact"/>
        <w:rPr>
          <w:sz w:val="20"/>
          <w:szCs w:val="20"/>
          <w:color w:val="auto"/>
        </w:rPr>
      </w:pPr>
    </w:p>
    <w:p>
      <w:pPr>
        <w:ind w:left="1280" w:hanging="624"/>
        <w:spacing w:after="0"/>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25" w:lineRule="exact"/>
        <w:rPr>
          <w:sz w:val="20"/>
          <w:szCs w:val="20"/>
          <w:color w:val="auto"/>
        </w:rPr>
      </w:pPr>
    </w:p>
    <w:p>
      <w:pPr>
        <w:jc w:val="both"/>
        <w:ind w:firstLine="1304"/>
        <w:spacing w:after="0" w:line="335" w:lineRule="auto"/>
        <w:tabs>
          <w:tab w:leader="none" w:pos="2157" w:val="left"/>
        </w:tabs>
        <w:numPr>
          <w:ilvl w:val="0"/>
          <w:numId w:val="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Investor</w:t>
      </w:r>
      <w:r>
        <w:rPr>
          <w:rFonts w:ascii="Arial" w:cs="Arial" w:eastAsia="Arial" w:hAnsi="Arial"/>
          <w:sz w:val="15"/>
          <w:szCs w:val="15"/>
          <w:color w:val="auto"/>
        </w:rPr>
        <w:t xml:space="preserve">” means the Buyer, any transferee or assignee thereof to whom a Buyer assigns its rights under this Agreement in accordance with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and who agrees to become bound by the provisions of this Agreement, and any transferee or assignee thereof to whom a transferee or assignee assigns its rights under this Agreement in accordance with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and who agrees to become bound by the provisions of this Agreement.</w:t>
      </w:r>
    </w:p>
    <w:p>
      <w:pPr>
        <w:spacing w:after="0" w:line="141" w:lineRule="exact"/>
        <w:rPr>
          <w:rFonts w:ascii="Arial" w:cs="Arial" w:eastAsia="Arial" w:hAnsi="Arial"/>
          <w:sz w:val="15"/>
          <w:szCs w:val="15"/>
          <w:color w:val="auto"/>
        </w:rPr>
      </w:pPr>
    </w:p>
    <w:p>
      <w:pPr>
        <w:ind w:firstLine="1304"/>
        <w:spacing w:after="0" w:line="331" w:lineRule="auto"/>
        <w:tabs>
          <w:tab w:leader="none" w:pos="1964"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or entity including but not limited to any corporation, a limited liability company, an association, a partnership, an organization, a business, an individual, a governmental or political subdivision thereof or a governmental agency.</w:t>
      </w:r>
    </w:p>
    <w:p>
      <w:pPr>
        <w:spacing w:after="0" w:line="140" w:lineRule="exact"/>
        <w:rPr>
          <w:rFonts w:ascii="Arial" w:cs="Arial" w:eastAsia="Arial" w:hAnsi="Arial"/>
          <w:sz w:val="16"/>
          <w:szCs w:val="16"/>
          <w:color w:val="auto"/>
        </w:rPr>
      </w:pPr>
    </w:p>
    <w:p>
      <w:pPr>
        <w:jc w:val="both"/>
        <w:ind w:firstLine="1304"/>
        <w:spacing w:after="0" w:line="256" w:lineRule="auto"/>
        <w:tabs>
          <w:tab w:leader="none" w:pos="1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Arial" w:cs="Arial" w:eastAsia="Arial" w:hAnsi="Arial"/>
          <w:sz w:val="18"/>
          <w:szCs w:val="18"/>
          <w:u w:val="single" w:color="auto"/>
          <w:color w:val="auto"/>
        </w:rPr>
        <w:t>Rule 415</w:t>
      </w:r>
      <w:r>
        <w:rPr>
          <w:rFonts w:ascii="Arial" w:cs="Arial" w:eastAsia="Arial" w:hAnsi="Arial"/>
          <w:sz w:val="18"/>
          <w:szCs w:val="18"/>
          <w:color w:val="auto"/>
        </w:rPr>
        <w:t>”), and the declaration or ordering of effectiveness of such registration statement(s) by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1304"/>
        <w:spacing w:after="0" w:line="254" w:lineRule="auto"/>
        <w:tabs>
          <w:tab w:leader="none" w:pos="197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all of the Initial Purchase Shares and Commitment Shares, and the Purchase Shares that may, from time to time, be issued or become issuable to the Investor under the Purchase Agreement (without regard to any limitation or restriction on purchases), and any and all shares of capital stock issued or issuable with respect to the Purchase Shares or the Commitment Shares or the Purchase Agreement as a result of any stock split, stock dividend, recapitalization, exchange or similar event or otherwise, without regard to any limitation on purchases under the Purchase Agreement.</w:t>
      </w:r>
    </w:p>
    <w:p>
      <w:pPr>
        <w:spacing w:after="0" w:line="200" w:lineRule="exact"/>
        <w:rPr>
          <w:rFonts w:ascii="Arial" w:cs="Arial" w:eastAsia="Arial" w:hAnsi="Arial"/>
          <w:sz w:val="18"/>
          <w:szCs w:val="18"/>
          <w:color w:val="auto"/>
        </w:rPr>
      </w:pPr>
    </w:p>
    <w:p>
      <w:pPr>
        <w:ind w:left="2100" w:hanging="796"/>
        <w:spacing w:after="0"/>
        <w:tabs>
          <w:tab w:leader="none" w:pos="21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one or more registration statements of the Company covering only the sale of the Registrable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left="1280" w:hanging="624"/>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5" w:lineRule="auto"/>
        <w:tabs>
          <w:tab w:leader="none" w:pos="202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Mandatory Registration.</w:t>
      </w:r>
      <w:r>
        <w:rPr>
          <w:rFonts w:ascii="Arial" w:cs="Arial" w:eastAsia="Arial" w:hAnsi="Arial"/>
          <w:sz w:val="16"/>
          <w:szCs w:val="16"/>
          <w:color w:val="auto"/>
        </w:rPr>
        <w:t xml:space="preserve"> The Company shall, by April 30, 2020, file with the SEC an initial Registration Statement covering the maximum number of Registrable Securities as shall be permitted to be included thereon in accordance with applicable SEC rules, regulations and interpretations so as to permit the resale of such Registrable Securities by the Investor under Rule 415 under the Securities Act at then prevailing market prices (and not fixed prices), as mutually determined by both the Company and the Investor in consultation with their respective legal counsel (in any case including all of the Initial Purchase Shares and Commitment Shares), subject to the aggregate number of authorized shares of the Company’s Common Stock then available for issuance in its Restated and Amended Articles of Incorporation. The initial Registration Statement shall register only the Registrable Securities. The Investor and its counsel shall have a reasonable opportunity to review and comment upon such Registration Statement and any amendment or supplement to such Registration Statement and any related prospectus prior to its filing with the SEC, and the Company shall give due consideration to all such comments. The Investor shall furnish all information reasonably requested by the Company for inclusion therein. The Company shall use reasonable best efforts to have the Registration Statement and any amendment declared effective by the SEC as soon as practicable. The Company shall use reasonable best efforts to keep the Registration Statement effective pursuant to Rule 415 promulgated under the Securities Act and available for the resale by the Investor of all of the Registrable Securities covered thereby at all times until the date on which the Investor shall have resold all the Registrable Securities covered thereby and no Available Amount remains under the Purchase Agreement (the “</w:t>
      </w:r>
      <w:r>
        <w:rPr>
          <w:rFonts w:ascii="Arial" w:cs="Arial" w:eastAsia="Arial" w:hAnsi="Arial"/>
          <w:sz w:val="16"/>
          <w:szCs w:val="16"/>
          <w:u w:val="single" w:color="auto"/>
          <w:color w:val="auto"/>
        </w:rPr>
        <w:t>Registration Period</w:t>
      </w:r>
      <w:r>
        <w:rPr>
          <w:rFonts w:ascii="Arial" w:cs="Arial" w:eastAsia="Arial" w:hAnsi="Arial"/>
          <w:sz w:val="16"/>
          <w:szCs w:val="16"/>
          <w:color w:val="auto"/>
        </w:rPr>
        <w:t>”).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78" w:lineRule="exact"/>
        <w:rPr>
          <w:rFonts w:ascii="Arial" w:cs="Arial" w:eastAsia="Arial" w:hAnsi="Arial"/>
          <w:sz w:val="16"/>
          <w:szCs w:val="16"/>
          <w:color w:val="auto"/>
        </w:rPr>
      </w:pPr>
    </w:p>
    <w:p>
      <w:pPr>
        <w:jc w:val="both"/>
        <w:ind w:firstLine="1304"/>
        <w:spacing w:after="0" w:line="294" w:lineRule="auto"/>
        <w:tabs>
          <w:tab w:leader="none" w:pos="2059"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Rule 424 Prospectus</w:t>
      </w:r>
      <w:r>
        <w:rPr>
          <w:rFonts w:ascii="Arial" w:cs="Arial" w:eastAsia="Arial" w:hAnsi="Arial"/>
          <w:sz w:val="16"/>
          <w:szCs w:val="16"/>
          <w:color w:val="auto"/>
        </w:rPr>
        <w:t>. The Company shall, as required by applicable securities regulations, from time to time file with the SEC, pursuant to Rule 424 promulgated under the Securities Act, the prospectus and prospectus supplements, if any, to be used in connection with sales of the Registrable Securities under the Registration Statement. The Investor and its counsel shall have a reasonable opportunity to review and comment upon such prospectus prior to its filing with the SEC, and the Company shall give due consideration to all such comments. The Investor shall use its reasonable best efforts to comment upon such prospectus within one (1) Business Day from the date the Investor receives the final pre-filing version of such prospectus.</w:t>
      </w:r>
    </w:p>
    <w:p>
      <w:pPr>
        <w:spacing w:after="0" w:line="169" w:lineRule="exact"/>
        <w:rPr>
          <w:rFonts w:ascii="Arial" w:cs="Arial" w:eastAsia="Arial" w:hAnsi="Arial"/>
          <w:sz w:val="16"/>
          <w:szCs w:val="16"/>
          <w:color w:val="auto"/>
        </w:rPr>
      </w:pPr>
    </w:p>
    <w:p>
      <w:pPr>
        <w:jc w:val="both"/>
        <w:ind w:firstLine="1304"/>
        <w:spacing w:after="0" w:line="254" w:lineRule="auto"/>
        <w:tabs>
          <w:tab w:leader="none" w:pos="1927"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Sufficient Number of Shares Registered</w:t>
      </w:r>
      <w:r>
        <w:rPr>
          <w:rFonts w:ascii="Arial" w:cs="Arial" w:eastAsia="Arial" w:hAnsi="Arial"/>
          <w:sz w:val="18"/>
          <w:szCs w:val="18"/>
          <w:color w:val="auto"/>
        </w:rPr>
        <w:t>. In the event the number of shares available under the Registration Statement is insufficient to cover all of the Registrable Securities, the Company shall amend the Registration Statement or file a new Registration Statement (a “</w:t>
      </w:r>
      <w:r>
        <w:rPr>
          <w:rFonts w:ascii="Arial" w:cs="Arial" w:eastAsia="Arial" w:hAnsi="Arial"/>
          <w:sz w:val="18"/>
          <w:szCs w:val="18"/>
          <w:u w:val="single" w:color="auto"/>
          <w:color w:val="auto"/>
        </w:rPr>
        <w:t>New 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xml:space="preserve">”), so as to cover all of such Registrable Securities (subject to the limitations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 as soon as practicable, but in any event not later than ten (10) Business Days after the necessity therefor arises, subject to any limits that may be imposed by the SEC pursuant to Rule 415 under the Securities Act. The Company shall use its reasonable best efforts to cause such amendment and/or New Registration Statement to become effective as soon as practicable following the filing thereof.</w:t>
      </w:r>
    </w:p>
    <w:p>
      <w:pPr>
        <w:spacing w:after="0" w:line="197" w:lineRule="exact"/>
        <w:rPr>
          <w:rFonts w:ascii="Arial" w:cs="Arial" w:eastAsia="Arial" w:hAnsi="Arial"/>
          <w:sz w:val="18"/>
          <w:szCs w:val="18"/>
          <w:color w:val="auto"/>
        </w:rPr>
      </w:pPr>
    </w:p>
    <w:p>
      <w:pPr>
        <w:jc w:val="both"/>
        <w:ind w:firstLine="1394"/>
        <w:spacing w:after="0" w:line="286" w:lineRule="auto"/>
        <w:tabs>
          <w:tab w:leader="none" w:pos="1880"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Offering</w:t>
      </w:r>
      <w:r>
        <w:rPr>
          <w:rFonts w:ascii="Arial" w:cs="Arial" w:eastAsia="Arial" w:hAnsi="Arial"/>
          <w:sz w:val="16"/>
          <w:szCs w:val="16"/>
          <w:color w:val="auto"/>
        </w:rPr>
        <w:t>. If the staff of the SEC (the “</w:t>
      </w:r>
      <w:r>
        <w:rPr>
          <w:rFonts w:ascii="Arial" w:cs="Arial" w:eastAsia="Arial" w:hAnsi="Arial"/>
          <w:sz w:val="16"/>
          <w:szCs w:val="16"/>
          <w:u w:val="single" w:color="auto"/>
          <w:color w:val="auto"/>
        </w:rPr>
        <w:t>Staff</w:t>
      </w:r>
      <w:r>
        <w:rPr>
          <w:rFonts w:ascii="Arial" w:cs="Arial" w:eastAsia="Arial" w:hAnsi="Arial"/>
          <w:sz w:val="16"/>
          <w:szCs w:val="16"/>
          <w:color w:val="auto"/>
        </w:rPr>
        <w:t xml:space="preserve">”)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then-prevailing market prices (and not fixed prices), or if after the filing of the initial Registration Statement with the SEC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the Company is otherwise required by the Staff or the SEC to reduce the number of Registrable Securities included in such initial Registration Statement, then the Company shall reduce the number of Registrable Securities to be included in such initial Registration Statement (with the prior consent, which shall not be unreasonably withheld, of the Investor and its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Registrable Securities (and any related conditions to the Investor’s obligations) shall be qualified as necessary to comport with any requirement of the SEC or the Staff as addressed in this </w:t>
      </w:r>
      <w:r>
        <w:rPr>
          <w:rFonts w:ascii="Arial" w:cs="Arial" w:eastAsia="Arial" w:hAnsi="Arial"/>
          <w:sz w:val="16"/>
          <w:szCs w:val="16"/>
          <w:u w:val="single" w:color="auto"/>
          <w:color w:val="auto"/>
        </w:rPr>
        <w:t>Section 2(d)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 w:name="page44"/>
    <w:bookmarkEnd w:id="43"/>
    <w:p>
      <w:pPr>
        <w:ind w:left="1280" w:hanging="624"/>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RELATED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With respect to the Registration Statement and whenever any Registrable Securities are to be registered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60" w:lineRule="exact"/>
        <w:rPr>
          <w:sz w:val="20"/>
          <w:szCs w:val="20"/>
          <w:color w:val="auto"/>
        </w:rPr>
      </w:pPr>
    </w:p>
    <w:p>
      <w:pPr>
        <w:jc w:val="both"/>
        <w:ind w:firstLine="1304"/>
        <w:spacing w:after="0" w:line="291" w:lineRule="auto"/>
        <w:tabs>
          <w:tab w:leader="none" w:pos="192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Investor as set forth in such registration statement.</w:t>
      </w:r>
    </w:p>
    <w:p>
      <w:pPr>
        <w:spacing w:after="0" w:line="173" w:lineRule="exact"/>
        <w:rPr>
          <w:rFonts w:ascii="Arial" w:cs="Arial" w:eastAsia="Arial" w:hAnsi="Arial"/>
          <w:sz w:val="16"/>
          <w:szCs w:val="16"/>
          <w:color w:val="auto"/>
        </w:rPr>
      </w:pPr>
    </w:p>
    <w:p>
      <w:pPr>
        <w:jc w:val="both"/>
        <w:ind w:firstLine="1304"/>
        <w:spacing w:after="0" w:line="291" w:lineRule="auto"/>
        <w:tabs>
          <w:tab w:leader="none" w:pos="19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shall permit the Investor to review and comment upon the Registration Statement or any New Registration Statement and all amendments and supplements thereto at least two (2) Business Days prior to their filing with the SEC, and not file any document in a form to which Investor reasonably objects. The Investor shall use its reasonable best efforts to comment upon the Registration Statement or any New Registration Statement and any amendments or supplements thereto within two (2) Business Days from the date the Investor receives the final version thereof. The Company shall furnish to the Investor, without charge any correspondence from the SEC or the staff of the SEC to the Company or its representatives relating to the Registration Statement or any New Registration Statement.</w:t>
      </w:r>
    </w:p>
    <w:p>
      <w:pPr>
        <w:spacing w:after="0" w:line="173" w:lineRule="exact"/>
        <w:rPr>
          <w:rFonts w:ascii="Arial" w:cs="Arial" w:eastAsia="Arial" w:hAnsi="Arial"/>
          <w:sz w:val="16"/>
          <w:szCs w:val="16"/>
          <w:color w:val="auto"/>
        </w:rPr>
      </w:pPr>
    </w:p>
    <w:p>
      <w:pPr>
        <w:jc w:val="both"/>
        <w:ind w:firstLine="1304"/>
        <w:spacing w:after="0" w:line="290" w:lineRule="auto"/>
        <w:tabs>
          <w:tab w:leader="none" w:pos="19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Upon request of the Investor, the Company shall furnish to the Investor, (i) promptly after the same is prepared and filed with the SEC, at least one copy of such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live EDGAR system shall be deemed “furnished to the Investor” hereunder.</w:t>
      </w:r>
    </w:p>
    <w:p>
      <w:pPr>
        <w:spacing w:after="0" w:line="171" w:lineRule="exact"/>
        <w:rPr>
          <w:rFonts w:ascii="Arial" w:cs="Arial" w:eastAsia="Arial" w:hAnsi="Arial"/>
          <w:sz w:val="16"/>
          <w:szCs w:val="16"/>
          <w:color w:val="auto"/>
        </w:rPr>
      </w:pPr>
    </w:p>
    <w:p>
      <w:pPr>
        <w:jc w:val="both"/>
        <w:ind w:firstLine="1304"/>
        <w:spacing w:after="0" w:line="286" w:lineRule="auto"/>
        <w:tabs>
          <w:tab w:leader="none" w:pos="21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Company shall use reasonable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w:t>
      </w:r>
      <w:r>
        <w:rPr>
          <w:rFonts w:ascii="Arial" w:cs="Arial" w:eastAsia="Arial" w:hAnsi="Arial"/>
          <w:sz w:val="16"/>
          <w:szCs w:val="16"/>
          <w:u w:val="single" w:color="auto"/>
          <w:color w:val="auto"/>
        </w:rPr>
        <w:t>Section 3(d)</w:t>
      </w:r>
      <w:r>
        <w:rPr>
          <w:rFonts w:ascii="Arial" w:cs="Arial" w:eastAsia="Arial" w:hAnsi="Arial"/>
          <w:sz w:val="16"/>
          <w:szCs w:val="16"/>
          <w:color w:val="auto"/>
        </w:rPr>
        <w:t>, (y) subject itself to general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4" w:name="page45"/>
    <w:bookmarkEnd w:id="44"/>
    <w:p>
      <w:pPr>
        <w:jc w:val="both"/>
        <w:ind w:firstLine="1304"/>
        <w:spacing w:after="0" w:line="308" w:lineRule="auto"/>
        <w:tabs>
          <w:tab w:leader="none" w:pos="1956" w:val="left"/>
        </w:tabs>
        <w:numPr>
          <w:ilvl w:val="1"/>
          <w:numId w:val="62"/>
        </w:numPr>
        <w:rPr>
          <w:rFonts w:ascii="Arial" w:cs="Arial" w:eastAsia="Arial" w:hAnsi="Arial"/>
          <w:sz w:val="15"/>
          <w:szCs w:val="15"/>
          <w:color w:val="auto"/>
        </w:rPr>
      </w:pPr>
      <w:r>
        <w:rPr>
          <w:rFonts w:ascii="Arial" w:cs="Arial" w:eastAsia="Arial" w:hAnsi="Arial"/>
          <w:sz w:val="15"/>
          <w:szCs w:val="15"/>
          <w:color w:val="auto"/>
        </w:rPr>
        <w:t>As promptly as practicable after becoming aware of such event or facts, the Company shall notify the Investor of the happening of any event or existence of such facts as a result of which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(provided that in no event shall such notice contain any material, non-public information regarding the Company), and promptly prepare a supplement or amendment to such registration statement to correct such untrue statement or omission, and deliver a copy of such supplement or amendment to the Investor (or such other number of copies as the Investor may reasonably request). The Company shall also promptly notify the Investor in writing (i) when a prospectus or any prospectus supplement or post-effective amendment has been filed, and when a registration statement or any post-effective amendment has become effective (notification of such effectiveness shall be delivered to the Investor by email or facsimile on the same day of such effectiveness and by overnight mail), (ii) of any request by the SEC for amendments or supplements to any registration statement or related prospectus or related information, and (iii) of the Company’s reasonable determination that a post-effective amendment to a registration statement would be appropriate.</w:t>
      </w:r>
    </w:p>
    <w:p>
      <w:pPr>
        <w:spacing w:after="0" w:line="162" w:lineRule="exact"/>
        <w:rPr>
          <w:rFonts w:ascii="Arial" w:cs="Arial" w:eastAsia="Arial" w:hAnsi="Arial"/>
          <w:sz w:val="15"/>
          <w:szCs w:val="15"/>
          <w:color w:val="auto"/>
        </w:rPr>
      </w:pPr>
    </w:p>
    <w:p>
      <w:pPr>
        <w:jc w:val="both"/>
        <w:ind w:firstLine="1304"/>
        <w:spacing w:after="0" w:line="298" w:lineRule="auto"/>
        <w:tabs>
          <w:tab w:leader="none" w:pos="1957"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Company shall use its reasonable best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w:t>
      </w:r>
    </w:p>
    <w:p>
      <w:pPr>
        <w:spacing w:after="0" w:line="166" w:lineRule="exact"/>
        <w:rPr>
          <w:rFonts w:ascii="Arial" w:cs="Arial" w:eastAsia="Arial" w:hAnsi="Arial"/>
          <w:sz w:val="16"/>
          <w:szCs w:val="16"/>
          <w:color w:val="auto"/>
        </w:rPr>
      </w:pPr>
    </w:p>
    <w:p>
      <w:pPr>
        <w:jc w:val="both"/>
        <w:ind w:firstLine="1304"/>
        <w:spacing w:after="0" w:line="304" w:lineRule="auto"/>
        <w:tabs>
          <w:tab w:leader="none" w:pos="1967"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Company shall (i) cause all the Registrable Securities to be listed on each securities exchange on which securities of the same class or series issued by the Company are then listed, if any, if the listing of such Registrable Securities is then permitted under the rules of such exchange, or</w:t>
      </w:r>
    </w:p>
    <w:p>
      <w:pPr>
        <w:spacing w:after="0" w:line="1" w:lineRule="exact"/>
        <w:rPr>
          <w:rFonts w:ascii="Arial" w:cs="Arial" w:eastAsia="Arial" w:hAnsi="Arial"/>
          <w:sz w:val="15"/>
          <w:szCs w:val="15"/>
          <w:color w:val="auto"/>
        </w:rPr>
      </w:pPr>
    </w:p>
    <w:p>
      <w:pPr>
        <w:ind w:firstLine="8"/>
        <w:spacing w:after="0" w:line="260" w:lineRule="auto"/>
        <w:tabs>
          <w:tab w:leader="none" w:pos="2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secure designation and quotation of all the Registrable Securities on the Principal Market. The Company shall pay all fees and expenses in connection with satisfying its obligation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1304"/>
        <w:spacing w:after="0" w:line="306" w:lineRule="auto"/>
        <w:tabs>
          <w:tab w:leader="none" w:pos="2076"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Company shall cooperate with the Investor to facilitate the timely preparation and delivery of certificates (not bearing any restrictive legend) representing the Registrable Securities to be offered pursuant to any registration statement and enable such certificates to be in such denominations or amounts as the Investor may reasonably request and registered in such names as the Investor may request.</w:t>
      </w:r>
    </w:p>
    <w:p>
      <w:pPr>
        <w:spacing w:after="0" w:line="160" w:lineRule="exact"/>
        <w:rPr>
          <w:rFonts w:ascii="Arial" w:cs="Arial" w:eastAsia="Arial" w:hAnsi="Arial"/>
          <w:sz w:val="16"/>
          <w:szCs w:val="16"/>
          <w:color w:val="auto"/>
        </w:rPr>
      </w:pPr>
    </w:p>
    <w:p>
      <w:pPr>
        <w:ind w:left="1880" w:hanging="576"/>
        <w:spacing w:after="0"/>
        <w:tabs>
          <w:tab w:leader="none" w:pos="1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shall at all times provide a transfer agent and registrar with respect to its Common Stock.</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1890"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reasonably requested by the Investor, the Company shall (i) as soon as practicable after receipt of written notice from the Investor, incorporate in a prospectus supplement or post-effective amendment such information as the Investor believes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w:t>
      </w:r>
    </w:p>
    <w:p>
      <w:pPr>
        <w:spacing w:after="0" w:line="173" w:lineRule="exact"/>
        <w:rPr>
          <w:rFonts w:ascii="Arial" w:cs="Arial" w:eastAsia="Arial" w:hAnsi="Arial"/>
          <w:sz w:val="16"/>
          <w:szCs w:val="16"/>
          <w:color w:val="auto"/>
        </w:rPr>
      </w:pPr>
    </w:p>
    <w:p>
      <w:pPr>
        <w:jc w:val="both"/>
        <w:ind w:firstLine="1304"/>
        <w:spacing w:after="0" w:line="259" w:lineRule="auto"/>
        <w:tabs>
          <w:tab w:leader="none" w:pos="20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cause the Registrable Securities covered by any registration statement to be registered with or approved by such other governmental agencies or authorities as may be necessary to consummate the disposition of such Registrable Securities.</w:t>
      </w:r>
    </w:p>
    <w:p>
      <w:pPr>
        <w:spacing w:after="0" w:line="193" w:lineRule="exact"/>
        <w:rPr>
          <w:rFonts w:ascii="Arial" w:cs="Arial" w:eastAsia="Arial" w:hAnsi="Arial"/>
          <w:sz w:val="18"/>
          <w:szCs w:val="18"/>
          <w:color w:val="auto"/>
        </w:rPr>
      </w:pPr>
    </w:p>
    <w:p>
      <w:pPr>
        <w:jc w:val="both"/>
        <w:ind w:firstLine="1304"/>
        <w:spacing w:after="0" w:line="291" w:lineRule="auto"/>
        <w:tabs>
          <w:tab w:leader="none" w:pos="1981"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Within one (1) Business Day after any registration statement which includes the Registrable Securities is ordered effective by the SEC, the Company shall deliver, and shall cause legal counsel for the Company to deliver, to the transfer agent for such Registrable Securities (with copies to the Investor) confirmation that such registration statement has been declared effective by the SEC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Thereafter, if requested by the Buyer at any time, the Company shall require its counsel to deliver to the Buyer a written confirmation whether or not the effectiveness of such registration statement has lapsed at any time for any reason (including, without limitation, the issuance of a stop order) and whether or not the registration statement is current and available to the Buyer for sale of all of the Registrable Securities.</w:t>
      </w:r>
    </w:p>
    <w:p>
      <w:pPr>
        <w:spacing w:after="0" w:line="173" w:lineRule="exact"/>
        <w:rPr>
          <w:rFonts w:ascii="Arial" w:cs="Arial" w:eastAsia="Arial" w:hAnsi="Arial"/>
          <w:sz w:val="16"/>
          <w:szCs w:val="16"/>
          <w:color w:val="auto"/>
        </w:rPr>
      </w:pPr>
    </w:p>
    <w:p>
      <w:pPr>
        <w:ind w:firstLine="1304"/>
        <w:spacing w:after="0" w:line="268" w:lineRule="auto"/>
        <w:tabs>
          <w:tab w:leader="none" w:pos="20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Company shall take all other reasonable actions necessary to expedite and facilitate disposition by the Investor of Registrable Securities pursuant to any registration statement.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5" w:name="page46"/>
    <w:bookmarkEnd w:id="45"/>
    <w:p>
      <w:pPr>
        <w:ind w:left="1280" w:hanging="624"/>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8" w:lineRule="auto"/>
        <w:tabs>
          <w:tab w:leader="none" w:pos="2169"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shall notify the Investor in writing of the information the Company reasonably requires from the Investor in connection with any registration statement hereunder. The Investor shall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spacing w:after="0" w:line="166" w:lineRule="exact"/>
        <w:rPr>
          <w:rFonts w:ascii="Arial" w:cs="Arial" w:eastAsia="Arial" w:hAnsi="Arial"/>
          <w:sz w:val="16"/>
          <w:szCs w:val="16"/>
          <w:color w:val="auto"/>
        </w:rPr>
      </w:pPr>
    </w:p>
    <w:p>
      <w:pPr>
        <w:ind w:firstLine="1304"/>
        <w:spacing w:after="0" w:line="268" w:lineRule="auto"/>
        <w:tabs>
          <w:tab w:leader="none" w:pos="19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Investor agrees to cooperate with the Company as reasonably requested by the Company in connection with the preparation and filing of any registration statement hereunder.</w:t>
      </w:r>
    </w:p>
    <w:p>
      <w:pPr>
        <w:spacing w:after="0" w:line="185" w:lineRule="exact"/>
        <w:rPr>
          <w:rFonts w:ascii="Arial" w:cs="Arial" w:eastAsia="Arial" w:hAnsi="Arial"/>
          <w:sz w:val="18"/>
          <w:szCs w:val="18"/>
          <w:color w:val="auto"/>
        </w:rPr>
      </w:pPr>
    </w:p>
    <w:p>
      <w:pPr>
        <w:jc w:val="both"/>
        <w:ind w:firstLine="1304"/>
        <w:spacing w:after="0" w:line="288" w:lineRule="auto"/>
        <w:tabs>
          <w:tab w:leader="none" w:pos="1998"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The Investor agrees that, upon receipt of any notice from the Company of the happening of any event or existence of facts of the kind described in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or the first sentence of 3(e), the Investor will immediately discontinue disposition of Registrable Securities pursuant to any registration statement(s) covering such Registrable Securities until the Investor’s receipt of the copies of the supplemented or amended prospectus contemplated by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3(e)</w:t>
      </w:r>
      <w:r>
        <w:rPr>
          <w:rFonts w:ascii="Arial" w:cs="Arial" w:eastAsia="Arial" w:hAnsi="Arial"/>
          <w:sz w:val="16"/>
          <w:szCs w:val="16"/>
          <w:color w:val="auto"/>
        </w:rPr>
        <w:t xml:space="preserve">. Notwithstanding anything to the contrary, the Company shall cause its transfer agent to promptly deliver shares of Common Stock without any restrictive legend in accordance with the terms of the Purchase Agreement in connection with any sale of Registrable Securities with respect to which an Investor has entered into a contract for sale prior to the Company’s knowledge of and subsequent issuance of a notice from the Company to the Investor of the happening of any event of the kind described in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and for which the Investor has not yet settled.</w:t>
      </w:r>
    </w:p>
    <w:p>
      <w:pPr>
        <w:spacing w:after="0" w:line="177" w:lineRule="exact"/>
        <w:rPr>
          <w:rFonts w:ascii="Arial" w:cs="Arial" w:eastAsia="Arial" w:hAnsi="Arial"/>
          <w:sz w:val="16"/>
          <w:szCs w:val="16"/>
          <w:color w:val="auto"/>
        </w:rPr>
      </w:pPr>
    </w:p>
    <w:p>
      <w:pPr>
        <w:ind w:left="1280" w:hanging="624"/>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EXPENSES OF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All reasonable expenses, other than sales or brokerage commissions, incurred in connection with registrations, filings or qualifications pursuant to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including, without limitation, all registration, listing and qualifications fees, printers and accounting fees, and fees and disbursements of counsel for the Company, shall be paid by the Company.</w:t>
      </w:r>
    </w:p>
    <w:p>
      <w:pPr>
        <w:spacing w:after="0" w:line="194" w:lineRule="exact"/>
        <w:rPr>
          <w:sz w:val="20"/>
          <w:szCs w:val="20"/>
          <w:color w:val="auto"/>
        </w:rPr>
      </w:pPr>
    </w:p>
    <w:p>
      <w:pPr>
        <w:ind w:left="1280" w:hanging="624"/>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6"/>
        <w:spacing w:after="0" w:line="284" w:lineRule="auto"/>
        <w:rPr>
          <w:rFonts w:ascii="Arial" w:cs="Arial" w:eastAsia="Arial" w:hAnsi="Arial"/>
          <w:sz w:val="18"/>
          <w:szCs w:val="18"/>
          <w:color w:val="auto"/>
        </w:rPr>
      </w:pPr>
      <w:r>
        <w:rPr>
          <w:rFonts w:ascii="Arial" w:cs="Arial" w:eastAsia="Arial" w:hAnsi="Arial"/>
          <w:sz w:val="16"/>
          <w:szCs w:val="16"/>
          <w:color w:val="auto"/>
        </w:rPr>
        <w:t>a. To the fullest extent permitted by law, the Company will, and hereby does, indemnify, hold harmless and defend the Investor, each Person, if any, who controls the Investor, the members, the directors, officers, partners, employees, agents, members, managers representatives of the Investor and each Person, if any, who controls the Investor within the meaning of the Securities Act or the Securities Exchange Act of 1934, as amended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against any losses, claims, damages, liabilities, judgments, fines, penalties, charges, costs, reasonable attorneys’ fees, amounts paid in settlement or reasonable expenses, joint or several,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Arial" w:cs="Arial" w:eastAsia="Arial" w:hAnsi="Arial"/>
          <w:sz w:val="16"/>
          <w:szCs w:val="16"/>
          <w:u w:val="single" w:color="auto"/>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u w:val="single" w:color="auto"/>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 Statement or (iv) any material violation by the Company of this Agreement (the matters in the foregoing clauses (i) through (iv)</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6" w:name="page47"/>
    <w:bookmarkEnd w:id="46"/>
    <w:p>
      <w:pPr>
        <w:jc w:val="both"/>
        <w:spacing w:after="0" w:line="285" w:lineRule="auto"/>
        <w:rPr>
          <w:sz w:val="20"/>
          <w:szCs w:val="20"/>
          <w:color w:val="auto"/>
        </w:rPr>
      </w:pPr>
      <w:r>
        <w:rPr>
          <w:rFonts w:ascii="Arial" w:cs="Arial" w:eastAsia="Arial" w:hAnsi="Arial"/>
          <w:sz w:val="16"/>
          <w:szCs w:val="16"/>
          <w:color w:val="auto"/>
        </w:rPr>
        <w:t>being, collectively, “</w:t>
      </w:r>
      <w:r>
        <w:rPr>
          <w:rFonts w:ascii="Arial" w:cs="Arial" w:eastAsia="Arial" w:hAnsi="Arial"/>
          <w:sz w:val="16"/>
          <w:szCs w:val="16"/>
          <w:u w:val="single" w:color="auto"/>
          <w:color w:val="auto"/>
        </w:rPr>
        <w:t>Violations</w:t>
      </w:r>
      <w:r>
        <w:rPr>
          <w:rFonts w:ascii="Arial" w:cs="Arial" w:eastAsia="Arial" w:hAnsi="Arial"/>
          <w:sz w:val="16"/>
          <w:szCs w:val="16"/>
          <w:color w:val="auto"/>
        </w:rPr>
        <w:t xml:space="preserve">”). The Company shall reimburse each Indemnified Person promptly as such expenses are incurred and are due and payable, for any reasonable legal fees or other reasonable expenses incurred by them in connection with investigating or defending any such Claim. Notwithstanding anything to the contrary contained herein, the indemnification agreement contained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(i) shall not apply to a Claim by an Indemnified Person arising out of or based upon a Violation which occurs in reliance upon and in conformity with information about the Investor furnished in writing to the Company by such Indemnified Person expressly for use in connection with the preparation of the Registration Statement, any New Registration Statement or any such amendment thereof or supplement thereto, if such prospectus was timely made available by the Company pursuant to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(ii) with respect to any superseded prospectus, shall not inure to the benefit of any such person from whom the person asserting any such Claim purchased the Registrable Securities that are the subject thereof (or to the benefit of any person controlling such person) if the untrue statement or omission of material fact contained in the superseded prospectus was corrected in the revised prospectus, as then amended or supplemented, if such revised prospectus was timely made available by the Company pursuant to Section 3(c) or Section 3(e),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deliver or to cause to be delivered the prospectus made available by the Company, if such prospectus was timely made available by the Company pursuant to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and (iv)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76" w:lineRule="exact"/>
        <w:rPr>
          <w:sz w:val="20"/>
          <w:szCs w:val="20"/>
          <w:color w:val="auto"/>
        </w:rPr>
      </w:pPr>
    </w:p>
    <w:p>
      <w:pPr>
        <w:jc w:val="both"/>
        <w:ind w:firstLine="1304"/>
        <w:spacing w:after="0" w:line="285" w:lineRule="auto"/>
        <w:tabs>
          <w:tab w:leader="none" w:pos="1974"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In connection with the Registration Statement or any New Registration Statement, the Investor agrees to indemnify, hold harmless and defend, to the same extent and in the same manner as is set forth in </w:t>
      </w:r>
      <w:r>
        <w:rPr>
          <w:rFonts w:ascii="Arial" w:cs="Arial" w:eastAsia="Arial" w:hAnsi="Arial"/>
          <w:sz w:val="16"/>
          <w:szCs w:val="16"/>
          <w:u w:val="single" w:color="auto"/>
          <w:color w:val="auto"/>
        </w:rPr>
        <w:t>Section 6(a)</w:t>
      </w:r>
      <w:r>
        <w:rPr>
          <w:rFonts w:ascii="Arial" w:cs="Arial" w:eastAsia="Arial" w:hAnsi="Arial"/>
          <w:sz w:val="16"/>
          <w:szCs w:val="16"/>
          <w:color w:val="auto"/>
        </w:rPr>
        <w:t>, the Company, each of its directors, each of its officers who signs the Registration Statement or any New Registration Statement, each Person, if any, who controls the Company within the meaning of the Securities Act or the Exchange Act (collectively and together with an Indemnified Person,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furnished to the Company by the Investor expressly for use in connection with such registration statement; and, subject to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the Investor will reimburse any legal or other expenses reasonably incurred by them in connection with investigating or defending any such Claim; provided, however, that the indemnity agreement contained in this Section 6(b) and the agreement with respect to contribution contained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not apply to amounts paid in settlement of any Claim if such settlement is effected without the prior written consent of the Investor, which consent shall not be unreasonably withheld; provided, further, however, that the Investor shall be liable under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 w:name="page48"/>
    <w:bookmarkEnd w:id="47"/>
    <w:p>
      <w:pPr>
        <w:jc w:val="both"/>
        <w:ind w:firstLine="1304"/>
        <w:spacing w:after="0" w:line="284" w:lineRule="auto"/>
        <w:tabs>
          <w:tab w:leader="none" w:pos="1984"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Person or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except to the extent that the indemnifying party is prejudiced in its ability to defend such action.</w:t>
      </w:r>
    </w:p>
    <w:p>
      <w:pPr>
        <w:spacing w:after="0" w:line="179" w:lineRule="exact"/>
        <w:rPr>
          <w:rFonts w:ascii="Arial" w:cs="Arial" w:eastAsia="Arial" w:hAnsi="Arial"/>
          <w:sz w:val="16"/>
          <w:szCs w:val="16"/>
          <w:color w:val="auto"/>
        </w:rPr>
      </w:pPr>
    </w:p>
    <w:p>
      <w:pPr>
        <w:ind w:firstLine="1304"/>
        <w:spacing w:after="0" w:line="268" w:lineRule="auto"/>
        <w:tabs>
          <w:tab w:leader="none" w:pos="198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The indemnification required by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made by periodic payments of the amount thereof during the course of the investigation or defense, as and when bills are received or Indemnified Damages are incurred.</w:t>
      </w:r>
    </w:p>
    <w:p>
      <w:pPr>
        <w:spacing w:after="0" w:line="185" w:lineRule="exact"/>
        <w:rPr>
          <w:rFonts w:ascii="Arial" w:cs="Arial" w:eastAsia="Arial" w:hAnsi="Arial"/>
          <w:sz w:val="18"/>
          <w:szCs w:val="18"/>
          <w:color w:val="auto"/>
        </w:rPr>
      </w:pPr>
    </w:p>
    <w:p>
      <w:pPr>
        <w:ind w:firstLine="1304"/>
        <w:spacing w:after="0" w:line="331" w:lineRule="auto"/>
        <w:tabs>
          <w:tab w:leader="none" w:pos="1906"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applicable law.</w:t>
      </w:r>
    </w:p>
    <w:p>
      <w:pPr>
        <w:spacing w:after="0" w:line="140" w:lineRule="exact"/>
        <w:rPr>
          <w:rFonts w:ascii="Arial" w:cs="Arial" w:eastAsia="Arial" w:hAnsi="Arial"/>
          <w:sz w:val="16"/>
          <w:szCs w:val="16"/>
          <w:color w:val="auto"/>
        </w:rPr>
      </w:pPr>
    </w:p>
    <w:p>
      <w:pPr>
        <w:ind w:left="1280" w:hanging="624"/>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6"/>
          <w:szCs w:val="16"/>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69" w:lineRule="exact"/>
        <w:rPr>
          <w:sz w:val="20"/>
          <w:szCs w:val="20"/>
          <w:color w:val="auto"/>
        </w:rPr>
      </w:pPr>
    </w:p>
    <w:p>
      <w:pPr>
        <w:ind w:left="1280" w:hanging="624"/>
        <w:spacing w:after="0"/>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REPORTS AND DISCLOSURE UNDER THE SECURITIES ACTS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Arial" w:cs="Arial" w:eastAsia="Arial" w:hAnsi="Arial"/>
          <w:sz w:val="18"/>
          <w:szCs w:val="18"/>
          <w:u w:val="single" w:color="auto"/>
          <w:color w:val="auto"/>
        </w:rPr>
        <w:t>Rule 144</w:t>
      </w:r>
      <w:r>
        <w:rPr>
          <w:rFonts w:ascii="Arial" w:cs="Arial" w:eastAsia="Arial" w:hAnsi="Arial"/>
          <w:sz w:val="18"/>
          <w:szCs w:val="18"/>
          <w:color w:val="auto"/>
        </w:rPr>
        <w:t>”), the Company agrees, at the Company’s sole expense, to:</w:t>
      </w:r>
    </w:p>
    <w:p>
      <w:pPr>
        <w:spacing w:after="0" w:line="194" w:lineRule="exact"/>
        <w:rPr>
          <w:sz w:val="20"/>
          <w:szCs w:val="20"/>
          <w:color w:val="auto"/>
        </w:rPr>
      </w:pPr>
    </w:p>
    <w:p>
      <w:pPr>
        <w:ind w:left="1900" w:hanging="596"/>
        <w:spacing w:after="0"/>
        <w:tabs>
          <w:tab w:leader="none" w:pos="1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 w:name="page49"/>
    <w:bookmarkEnd w:id="48"/>
    <w:p>
      <w:pPr>
        <w:jc w:val="both"/>
        <w:ind w:firstLine="1304"/>
        <w:spacing w:after="0" w:line="259" w:lineRule="auto"/>
        <w:tabs>
          <w:tab w:leader="none" w:pos="20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spacing w:after="0" w:line="193" w:lineRule="exact"/>
        <w:rPr>
          <w:rFonts w:ascii="Arial" w:cs="Arial" w:eastAsia="Arial" w:hAnsi="Arial"/>
          <w:sz w:val="18"/>
          <w:szCs w:val="18"/>
          <w:color w:val="auto"/>
        </w:rPr>
      </w:pPr>
    </w:p>
    <w:p>
      <w:pPr>
        <w:jc w:val="both"/>
        <w:ind w:firstLine="1304"/>
        <w:spacing w:after="0" w:line="298" w:lineRule="auto"/>
        <w:tabs>
          <w:tab w:leader="none" w:pos="203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furnish to the Investor so long as the Investor owns Registrable Securities, promptly upon request, (i) a written statement by the Company that it has complied with the reporting and or disclosure provisions of Rule 144,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w:t>
      </w:r>
    </w:p>
    <w:p>
      <w:pPr>
        <w:spacing w:after="0" w:line="166" w:lineRule="exact"/>
        <w:rPr>
          <w:rFonts w:ascii="Arial" w:cs="Arial" w:eastAsia="Arial" w:hAnsi="Arial"/>
          <w:sz w:val="16"/>
          <w:szCs w:val="16"/>
          <w:color w:val="auto"/>
        </w:rPr>
      </w:pPr>
    </w:p>
    <w:p>
      <w:pPr>
        <w:ind w:right="260" w:firstLine="1304"/>
        <w:spacing w:after="0" w:line="256" w:lineRule="auto"/>
        <w:tabs>
          <w:tab w:leader="none" w:pos="199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fully cooperate with Investor and Investor’s broker to effect such sale of securities pursuant to Rule 144.</w:t>
      </w:r>
    </w:p>
    <w:p>
      <w:pPr>
        <w:spacing w:after="0" w:line="197" w:lineRule="exact"/>
        <w:rPr>
          <w:sz w:val="20"/>
          <w:szCs w:val="20"/>
          <w:color w:val="auto"/>
        </w:rPr>
      </w:pPr>
    </w:p>
    <w:p>
      <w:pPr>
        <w:jc w:val="both"/>
        <w:ind w:firstLine="1296"/>
        <w:spacing w:after="0" w:line="306" w:lineRule="auto"/>
        <w:rPr>
          <w:sz w:val="20"/>
          <w:szCs w:val="20"/>
          <w:color w:val="auto"/>
        </w:rPr>
      </w:pPr>
      <w:r>
        <w:rPr>
          <w:rFonts w:ascii="Arial" w:cs="Arial" w:eastAsia="Arial" w:hAnsi="Arial"/>
          <w:sz w:val="16"/>
          <w:szCs w:val="16"/>
          <w:color w:val="auto"/>
        </w:rPr>
        <w:t xml:space="preserve">The Company agrees that damages may be an inadequate remedy for any breach of the terms and provisions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that Investor shall, whether or not it is pursuing any remedies at law, be entitled to equitable relief in the form of a preliminary or permanent injunction, without having to post any bond or other security, upon any breach or threatened breach of any such terms or provisions.</w:t>
      </w:r>
    </w:p>
    <w:p>
      <w:pPr>
        <w:spacing w:after="0" w:line="160"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shall not assign this Agreement or any rights or obligations hereunder without the prior written consent of the Investor. The Investor may not assign its rights under this Agreement without the written consent of the Company, other than to an affiliate of the Investor controlled by Jonathan Cope or Josh Scheinfeld.</w:t>
      </w:r>
    </w:p>
    <w:p>
      <w:pPr>
        <w:spacing w:after="0" w:line="194" w:lineRule="exact"/>
        <w:rPr>
          <w:sz w:val="20"/>
          <w:szCs w:val="20"/>
          <w:color w:val="auto"/>
        </w:rPr>
      </w:pPr>
    </w:p>
    <w:p>
      <w:pPr>
        <w:ind w:left="1360" w:hanging="704"/>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AMENDMENT OF REGISTRATION RIGHTS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85" w:lineRule="auto"/>
        <w:rPr>
          <w:sz w:val="20"/>
          <w:szCs w:val="20"/>
          <w:color w:val="auto"/>
        </w:rPr>
      </w:pPr>
      <w:r>
        <w:rPr>
          <w:rFonts w:ascii="Arial" w:cs="Arial" w:eastAsia="Arial" w:hAnsi="Arial"/>
          <w:sz w:val="16"/>
          <w:szCs w:val="16"/>
          <w:color w:val="auto"/>
        </w:rPr>
        <w:t>No provision of this Agreement may be amended or waived by the parties from and after the date that is one (1) Business Day immediately preceding the initial filing of the Registration Statement with the SEC. Subject to the immediately preceding sentence, no provision of this Agreement may be</w:t>
      </w:r>
    </w:p>
    <w:p>
      <w:pPr>
        <w:spacing w:after="0" w:line="1" w:lineRule="exact"/>
        <w:rPr>
          <w:sz w:val="20"/>
          <w:szCs w:val="20"/>
          <w:color w:val="auto"/>
        </w:rPr>
      </w:pPr>
    </w:p>
    <w:p>
      <w:pPr>
        <w:jc w:val="both"/>
        <w:ind w:firstLine="8"/>
        <w:spacing w:after="0" w:line="255" w:lineRule="auto"/>
        <w:tabs>
          <w:tab w:leader="none" w:pos="21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6"/>
        <w:spacing w:after="0" w:line="306" w:lineRule="auto"/>
        <w:rPr>
          <w:rFonts w:ascii="Arial" w:cs="Arial" w:eastAsia="Arial" w:hAnsi="Arial"/>
          <w:sz w:val="18"/>
          <w:szCs w:val="18"/>
          <w:color w:val="auto"/>
        </w:rPr>
      </w:pPr>
      <w:r>
        <w:rPr>
          <w:rFonts w:ascii="Arial" w:cs="Arial" w:eastAsia="Arial" w:hAnsi="Arial"/>
          <w:sz w:val="16"/>
          <w:szCs w:val="16"/>
          <w:color w:val="auto"/>
        </w:rPr>
        <w:t>a.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9" w:name="page50"/>
    <w:bookmarkEnd w:id="49"/>
    <w:p>
      <w:pPr>
        <w:jc w:val="both"/>
        <w:ind w:firstLine="1304"/>
        <w:spacing w:after="0" w:line="254" w:lineRule="auto"/>
        <w:tabs>
          <w:tab w:leader="none" w:pos="1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(1) Business Day after deposit with a nationally recognized overnight delivery service, in each case properly addressed to the party to receive the same. The addresses for such communications shall be: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650-577-3600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ssingh@vistagen.com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Shawn Singh, Chief Executive Officer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Disclosure Law Group, a Professional Corporation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655 West Broadway, Suite 870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900" w:type="dxa"/>
            <w:vAlign w:val="bottom"/>
          </w:tcPr>
          <w:p>
            <w:pPr>
              <w:ind w:left="640"/>
              <w:spacing w:after="0"/>
              <w:rPr>
                <w:sz w:val="20"/>
                <w:szCs w:val="20"/>
                <w:color w:val="auto"/>
              </w:rPr>
            </w:pPr>
            <w:r>
              <w:rPr>
                <w:rFonts w:ascii="Arial" w:cs="Arial" w:eastAsia="Arial" w:hAnsi="Arial"/>
                <w:sz w:val="18"/>
                <w:szCs w:val="18"/>
                <w:color w:val="auto"/>
              </w:rPr>
              <w:t>Telephone:</w:t>
            </w:r>
          </w:p>
        </w:tc>
        <w:tc>
          <w:tcPr>
            <w:tcW w:w="3300" w:type="dxa"/>
            <w:vAlign w:val="bottom"/>
            <w:gridSpan w:val="2"/>
          </w:tcPr>
          <w:p>
            <w:pPr>
              <w:jc w:val="right"/>
              <w:ind w:right="1712"/>
              <w:spacing w:after="0"/>
              <w:rPr>
                <w:sz w:val="20"/>
                <w:szCs w:val="20"/>
                <w:color w:val="auto"/>
              </w:rPr>
            </w:pPr>
            <w:r>
              <w:rPr>
                <w:rFonts w:ascii="Arial" w:cs="Arial" w:eastAsia="Arial" w:hAnsi="Arial"/>
                <w:sz w:val="18"/>
                <w:szCs w:val="18"/>
                <w:color w:val="auto"/>
              </w:rPr>
              <w:t>619.272.7063</w:t>
            </w:r>
          </w:p>
        </w:tc>
      </w:tr>
      <w:tr>
        <w:trPr>
          <w:trHeight w:val="216"/>
        </w:trPr>
        <w:tc>
          <w:tcPr>
            <w:tcW w:w="1900" w:type="dxa"/>
            <w:vAlign w:val="bottom"/>
          </w:tcPr>
          <w:p>
            <w:pPr>
              <w:ind w:left="640"/>
              <w:spacing w:after="0"/>
              <w:rPr>
                <w:sz w:val="20"/>
                <w:szCs w:val="20"/>
                <w:color w:val="auto"/>
              </w:rPr>
            </w:pPr>
            <w:r>
              <w:rPr>
                <w:rFonts w:ascii="Arial" w:cs="Arial" w:eastAsia="Arial" w:hAnsi="Arial"/>
                <w:sz w:val="18"/>
                <w:szCs w:val="18"/>
                <w:color w:val="auto"/>
              </w:rPr>
              <w:t>Facsimile:</w:t>
            </w:r>
          </w:p>
        </w:tc>
        <w:tc>
          <w:tcPr>
            <w:tcW w:w="3300" w:type="dxa"/>
            <w:vAlign w:val="bottom"/>
            <w:gridSpan w:val="2"/>
          </w:tcPr>
          <w:p>
            <w:pPr>
              <w:ind w:left="480"/>
              <w:spacing w:after="0"/>
              <w:rPr>
                <w:sz w:val="20"/>
                <w:szCs w:val="20"/>
                <w:color w:val="auto"/>
              </w:rPr>
            </w:pPr>
            <w:r>
              <w:rPr>
                <w:rFonts w:ascii="Arial" w:cs="Arial" w:eastAsia="Arial" w:hAnsi="Arial"/>
                <w:sz w:val="18"/>
                <w:szCs w:val="18"/>
                <w:color w:val="auto"/>
              </w:rPr>
              <w:t>619.330.2101</w:t>
            </w:r>
          </w:p>
        </w:tc>
      </w:tr>
      <w:tr>
        <w:trPr>
          <w:trHeight w:val="184"/>
        </w:trPr>
        <w:tc>
          <w:tcPr>
            <w:tcW w:w="1900" w:type="dxa"/>
            <w:vAlign w:val="bottom"/>
          </w:tcPr>
          <w:p>
            <w:pPr>
              <w:ind w:left="640"/>
              <w:spacing w:after="0" w:line="184" w:lineRule="exact"/>
              <w:rPr>
                <w:sz w:val="20"/>
                <w:szCs w:val="20"/>
                <w:color w:val="auto"/>
              </w:rPr>
            </w:pPr>
            <w:r>
              <w:rPr>
                <w:rFonts w:ascii="Arial" w:cs="Arial" w:eastAsia="Arial" w:hAnsi="Arial"/>
                <w:sz w:val="18"/>
                <w:szCs w:val="18"/>
                <w:color w:val="auto"/>
              </w:rPr>
              <w:t>E-</w:t>
            </w:r>
          </w:p>
        </w:tc>
        <w:tc>
          <w:tcPr>
            <w:tcW w:w="680" w:type="dxa"/>
            <w:vAlign w:val="bottom"/>
          </w:tcPr>
          <w:p>
            <w:pPr>
              <w:spacing w:after="0"/>
              <w:rPr>
                <w:sz w:val="15"/>
                <w:szCs w:val="15"/>
                <w:color w:val="auto"/>
              </w:rPr>
            </w:pPr>
          </w:p>
        </w:tc>
        <w:tc>
          <w:tcPr>
            <w:tcW w:w="2620" w:type="dxa"/>
            <w:vAlign w:val="bottom"/>
            <w:tcBorders>
              <w:bottom w:val="single" w:sz="8" w:color="0000FF"/>
            </w:tcBorders>
          </w:tcPr>
          <w:p>
            <w:pPr>
              <w:jc w:val="right"/>
              <w:spacing w:after="0" w:line="184" w:lineRule="exact"/>
              <w:rPr>
                <w:sz w:val="20"/>
                <w:szCs w:val="20"/>
                <w:color w:val="auto"/>
              </w:rPr>
            </w:pPr>
            <w:r>
              <w:rPr>
                <w:rFonts w:ascii="Arial" w:cs="Arial" w:eastAsia="Arial" w:hAnsi="Arial"/>
                <w:sz w:val="18"/>
                <w:szCs w:val="18"/>
                <w:color w:val="0000FF"/>
                <w:w w:val="88"/>
              </w:rPr>
              <w:t>jsudweeks@disclosurelawgroup.com</w:t>
            </w:r>
          </w:p>
        </w:tc>
      </w:tr>
      <w:tr>
        <w:trPr>
          <w:trHeight w:val="228"/>
        </w:trPr>
        <w:tc>
          <w:tcPr>
            <w:tcW w:w="1900" w:type="dxa"/>
            <w:vAlign w:val="bottom"/>
          </w:tcPr>
          <w:p>
            <w:pPr>
              <w:ind w:left="640"/>
              <w:spacing w:after="0"/>
              <w:rPr>
                <w:sz w:val="20"/>
                <w:szCs w:val="20"/>
                <w:color w:val="auto"/>
              </w:rPr>
            </w:pPr>
            <w:r>
              <w:rPr>
                <w:rFonts w:ascii="Arial" w:cs="Arial" w:eastAsia="Arial" w:hAnsi="Arial"/>
                <w:sz w:val="18"/>
                <w:szCs w:val="18"/>
                <w:color w:val="auto"/>
              </w:rPr>
              <w:t>mail:</w:t>
            </w:r>
          </w:p>
        </w:tc>
        <w:tc>
          <w:tcPr>
            <w:tcW w:w="6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2"/>
        </w:trPr>
        <w:tc>
          <w:tcPr>
            <w:tcW w:w="1900" w:type="dxa"/>
            <w:vAlign w:val="bottom"/>
          </w:tcPr>
          <w:p>
            <w:pPr>
              <w:ind w:left="640"/>
              <w:spacing w:after="0"/>
              <w:rPr>
                <w:sz w:val="20"/>
                <w:szCs w:val="20"/>
                <w:color w:val="auto"/>
              </w:rPr>
            </w:pPr>
            <w:r>
              <w:rPr>
                <w:rFonts w:ascii="Arial" w:cs="Arial" w:eastAsia="Arial" w:hAnsi="Arial"/>
                <w:sz w:val="18"/>
                <w:szCs w:val="18"/>
                <w:color w:val="auto"/>
              </w:rPr>
              <w:t>Attention:</w:t>
            </w:r>
          </w:p>
        </w:tc>
        <w:tc>
          <w:tcPr>
            <w:tcW w:w="3300" w:type="dxa"/>
            <w:vAlign w:val="bottom"/>
            <w:gridSpan w:val="2"/>
          </w:tcPr>
          <w:p>
            <w:pPr>
              <w:ind w:left="480"/>
              <w:spacing w:after="0"/>
              <w:rPr>
                <w:sz w:val="20"/>
                <w:szCs w:val="20"/>
                <w:color w:val="auto"/>
              </w:rPr>
            </w:pPr>
            <w:r>
              <w:rPr>
                <w:rFonts w:ascii="Arial" w:cs="Arial" w:eastAsia="Arial" w:hAnsi="Arial"/>
                <w:sz w:val="18"/>
                <w:szCs w:val="18"/>
                <w:color w:val="auto"/>
              </w:rPr>
              <w:t>Jessica R. Sudweeks, Esq.</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If to the Investor:</w:t>
            </w:r>
          </w:p>
        </w:tc>
        <w:tc>
          <w:tcPr>
            <w:tcW w:w="68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Lincoln Park Capital Fund,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 North Wells, Suite 410</w:t>
      </w:r>
    </w:p>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1520" w:type="dxa"/>
            <w:vAlign w:val="bottom"/>
          </w:tcPr>
          <w:p>
            <w:pPr>
              <w:spacing w:after="0"/>
              <w:rPr>
                <w:sz w:val="20"/>
                <w:szCs w:val="20"/>
                <w:color w:val="auto"/>
              </w:rPr>
            </w:pPr>
            <w:r>
              <w:rPr>
                <w:rFonts w:ascii="Arial" w:cs="Arial" w:eastAsia="Arial" w:hAnsi="Arial"/>
                <w:sz w:val="18"/>
                <w:szCs w:val="18"/>
                <w:color w:val="auto"/>
              </w:rPr>
              <w:t>Chicago, IL 60654</w:t>
            </w: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Telephone:</w:t>
            </w:r>
          </w:p>
        </w:tc>
        <w:tc>
          <w:tcPr>
            <w:tcW w:w="2300" w:type="dxa"/>
            <w:vAlign w:val="bottom"/>
            <w:gridSpan w:val="2"/>
          </w:tcPr>
          <w:p>
            <w:pPr>
              <w:jc w:val="right"/>
              <w:ind w:right="972"/>
              <w:spacing w:after="0"/>
              <w:rPr>
                <w:sz w:val="20"/>
                <w:szCs w:val="20"/>
                <w:color w:val="auto"/>
              </w:rPr>
            </w:pPr>
            <w:r>
              <w:rPr>
                <w:rFonts w:ascii="Arial" w:cs="Arial" w:eastAsia="Arial" w:hAnsi="Arial"/>
                <w:sz w:val="18"/>
                <w:szCs w:val="18"/>
                <w:color w:val="auto"/>
              </w:rPr>
              <w:t>312.822.9300</w:t>
            </w:r>
          </w:p>
        </w:tc>
        <w:tc>
          <w:tcPr>
            <w:tcW w:w="1740" w:type="dxa"/>
            <w:vAlign w:val="bottom"/>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Facsimile:</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312.822.9301</w:t>
            </w:r>
          </w:p>
        </w:tc>
        <w:tc>
          <w:tcPr>
            <w:tcW w:w="1740" w:type="dxa"/>
            <w:vAlign w:val="bottom"/>
          </w:tcPr>
          <w:p>
            <w:pPr>
              <w:spacing w:after="0"/>
              <w:rPr>
                <w:sz w:val="18"/>
                <w:szCs w:val="18"/>
                <w:color w:val="auto"/>
              </w:rPr>
            </w:pPr>
          </w:p>
        </w:tc>
      </w:tr>
      <w:tr>
        <w:trPr>
          <w:trHeight w:val="184"/>
        </w:trPr>
        <w:tc>
          <w:tcPr>
            <w:tcW w:w="1520" w:type="dxa"/>
            <w:vAlign w:val="bottom"/>
          </w:tcPr>
          <w:p>
            <w:pPr>
              <w:spacing w:after="0" w:line="184" w:lineRule="exact"/>
              <w:rPr>
                <w:sz w:val="20"/>
                <w:szCs w:val="20"/>
                <w:color w:val="auto"/>
              </w:rPr>
            </w:pPr>
            <w:r>
              <w:rPr>
                <w:rFonts w:ascii="Arial" w:cs="Arial" w:eastAsia="Arial" w:hAnsi="Arial"/>
                <w:sz w:val="18"/>
                <w:szCs w:val="18"/>
                <w:color w:val="auto"/>
              </w:rPr>
              <w:t>E-</w:t>
            </w:r>
          </w:p>
        </w:tc>
        <w:tc>
          <w:tcPr>
            <w:tcW w:w="420" w:type="dxa"/>
            <w:vAlign w:val="bottom"/>
          </w:tcPr>
          <w:p>
            <w:pPr>
              <w:spacing w:after="0"/>
              <w:rPr>
                <w:sz w:val="15"/>
                <w:szCs w:val="15"/>
                <w:color w:val="auto"/>
              </w:rPr>
            </w:pPr>
          </w:p>
        </w:tc>
        <w:tc>
          <w:tcPr>
            <w:tcW w:w="3620" w:type="dxa"/>
            <w:vAlign w:val="bottom"/>
            <w:gridSpan w:val="2"/>
          </w:tcPr>
          <w:p>
            <w:pPr>
              <w:spacing w:after="0" w:line="184" w:lineRule="exact"/>
              <w:rPr>
                <w:sz w:val="20"/>
                <w:szCs w:val="20"/>
                <w:color w:val="auto"/>
              </w:rPr>
            </w:pPr>
            <w:r>
              <w:rPr>
                <w:rFonts w:ascii="Arial" w:cs="Arial" w:eastAsia="Arial" w:hAnsi="Arial"/>
                <w:sz w:val="18"/>
                <w:szCs w:val="18"/>
                <w:color w:val="0000FF"/>
                <w:w w:val="89"/>
              </w:rPr>
              <w:t xml:space="preserve">jscheinfeld@lpcfunds.com </w:t>
            </w:r>
            <w:r>
              <w:rPr>
                <w:rFonts w:ascii="Arial" w:cs="Arial" w:eastAsia="Arial" w:hAnsi="Arial"/>
                <w:sz w:val="18"/>
                <w:szCs w:val="18"/>
                <w:color w:val="000000"/>
                <w:w w:val="89"/>
              </w:rPr>
              <w:t>or jcope@lpcfunds.com</w:t>
            </w:r>
          </w:p>
        </w:tc>
      </w:tr>
      <w:tr>
        <w:trPr>
          <w:trHeight w:val="228"/>
        </w:trPr>
        <w:tc>
          <w:tcPr>
            <w:tcW w:w="1520" w:type="dxa"/>
            <w:vAlign w:val="bottom"/>
          </w:tcPr>
          <w:p>
            <w:pPr>
              <w:spacing w:after="0"/>
              <w:rPr>
                <w:sz w:val="20"/>
                <w:szCs w:val="20"/>
                <w:color w:val="auto"/>
              </w:rPr>
            </w:pPr>
            <w:r>
              <w:rPr>
                <w:rFonts w:ascii="Arial" w:cs="Arial" w:eastAsia="Arial" w:hAnsi="Arial"/>
                <w:sz w:val="18"/>
                <w:szCs w:val="18"/>
                <w:color w:val="auto"/>
              </w:rPr>
              <w:t>mail:</w:t>
            </w:r>
          </w:p>
        </w:tc>
        <w:tc>
          <w:tcPr>
            <w:tcW w:w="420" w:type="dxa"/>
            <w:vAlign w:val="bottom"/>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rPr>
              <w:t>Attention:</w:t>
            </w:r>
          </w:p>
        </w:tc>
        <w:tc>
          <w:tcPr>
            <w:tcW w:w="4040" w:type="dxa"/>
            <w:vAlign w:val="bottom"/>
            <w:gridSpan w:val="3"/>
          </w:tcPr>
          <w:p>
            <w:pPr>
              <w:ind w:left="220"/>
              <w:spacing w:after="0"/>
              <w:rPr>
                <w:sz w:val="20"/>
                <w:szCs w:val="20"/>
                <w:color w:val="auto"/>
              </w:rPr>
            </w:pPr>
            <w:r>
              <w:rPr>
                <w:rFonts w:ascii="Arial" w:cs="Arial" w:eastAsia="Arial" w:hAnsi="Arial"/>
                <w:sz w:val="18"/>
                <w:szCs w:val="18"/>
                <w:color w:val="auto"/>
              </w:rPr>
              <w:t>Josh Scheinfeld or Jonathan Cope</w:t>
            </w: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 or service of process):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K&amp;L Gates,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200 S. Biscayne Blvd., Ste. 3900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Florida 33131</w:t>
      </w:r>
    </w:p>
    <w:p>
      <w:pPr>
        <w:spacing w:after="0" w:line="9" w:lineRule="exact"/>
        <w:rPr>
          <w:sz w:val="20"/>
          <w:szCs w:val="20"/>
          <w:color w:val="auto"/>
        </w:rPr>
      </w:pPr>
    </w:p>
    <w:p>
      <w:pPr>
        <w:ind w:left="1300"/>
        <w:spacing w:after="0"/>
        <w:tabs>
          <w:tab w:leader="none" w:pos="30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305.539.3306</w:t>
      </w:r>
    </w:p>
    <w:p>
      <w:pPr>
        <w:spacing w:after="0" w:line="9"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305.358.7095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clayton.parker@klgates.com</w:t>
      </w:r>
    </w:p>
    <w:p>
      <w:pPr>
        <w:spacing w:after="0" w:line="9" w:lineRule="exact"/>
        <w:rPr>
          <w:sz w:val="20"/>
          <w:szCs w:val="20"/>
          <w:color w:val="auto"/>
        </w:rPr>
      </w:pPr>
    </w:p>
    <w:p>
      <w:pPr>
        <w:ind w:left="1300"/>
        <w:spacing w:after="0"/>
        <w:tabs>
          <w:tab w:leader="none" w:pos="3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Clayton E. Parker, Esq.</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at such other address, email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facsimile machine or email account containing the time, date, recipient facsimile number or email address, as applicable, or (C) provided by a nationally recognized overnight delivery service, shall be rebuttable evidence of personal service, receipt by facsimile, email or receipt from a nationally recognized overnight delivery service in accordance with clause (i), (ii) or (iii) above,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 w:name="page51"/>
    <w:bookmarkEnd w:id="50"/>
    <w:p>
      <w:pPr>
        <w:jc w:val="both"/>
        <w:ind w:firstLine="1304"/>
        <w:spacing w:after="0" w:line="282" w:lineRule="auto"/>
        <w:tabs>
          <w:tab w:leader="none" w:pos="2204"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corporate laws of the State of Delaware shall govern all issues concerning the relative rights of the Company and its stockholders. All other questions concerning the construction, validity, enforcement and interpretation of this Agreement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the State of Illinois, County of Cook,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Arial" w:cs="Arial" w:eastAsia="Arial" w:hAnsi="Arial"/>
          <w:sz w:val="16"/>
          <w:szCs w:val="16"/>
          <w:b w:val="1"/>
          <w:bCs w:val="1"/>
          <w:color w:val="auto"/>
        </w:rPr>
        <w:t>EACH PARTY HEREBY IRREVOCABLY WAIVES ANY RIGHT IT MAY HAVE, AND</w:t>
      </w:r>
    </w:p>
    <w:p>
      <w:pPr>
        <w:spacing w:after="0" w:line="3"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AGREES NOT TO REQUEST, A JURY TRIAL FOR THE ADJUDICATION OF ANY DISPUTE HEREUNDER OR IN CONNECTION HEREWITH OR ARISING OUT OF THIS AGREEMENT OR ANY TRANSACTION CONTEMPLATED HEREBY.</w:t>
      </w:r>
    </w:p>
    <w:p>
      <w:pPr>
        <w:spacing w:after="0" w:line="193" w:lineRule="exact"/>
        <w:rPr>
          <w:rFonts w:ascii="Arial" w:cs="Arial" w:eastAsia="Arial" w:hAnsi="Arial"/>
          <w:sz w:val="16"/>
          <w:szCs w:val="16"/>
          <w:color w:val="auto"/>
        </w:rPr>
      </w:pPr>
    </w:p>
    <w:p>
      <w:pPr>
        <w:jc w:val="both"/>
        <w:ind w:firstLine="1304"/>
        <w:spacing w:after="0" w:line="256" w:lineRule="auto"/>
        <w:tabs>
          <w:tab w:leader="none" w:pos="20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Agreement and the Purchase Agreement constitute the entire agreement among the parties hereto with respect to the subject matter hereof and thereof. There are no restrictions, promises, warranties or undertakings, other than those set forth or referred to herein and therein. This Agreement and the Purchase Agreement supersede all prior agreements and understandings among the parties hereto with respect to the subject matter hereof and thereof.</w:t>
      </w:r>
    </w:p>
    <w:p>
      <w:pPr>
        <w:spacing w:after="0" w:line="196" w:lineRule="exact"/>
        <w:rPr>
          <w:rFonts w:ascii="Arial" w:cs="Arial" w:eastAsia="Arial" w:hAnsi="Arial"/>
          <w:sz w:val="18"/>
          <w:szCs w:val="18"/>
          <w:color w:val="auto"/>
        </w:rPr>
      </w:pPr>
    </w:p>
    <w:p>
      <w:pPr>
        <w:ind w:firstLine="1304"/>
        <w:spacing w:after="0" w:line="268" w:lineRule="auto"/>
        <w:tabs>
          <w:tab w:leader="none" w:pos="20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Subject to the requirements of </w:t>
      </w:r>
      <w:r>
        <w:rPr>
          <w:rFonts w:ascii="Arial" w:cs="Arial" w:eastAsia="Arial" w:hAnsi="Arial"/>
          <w:sz w:val="18"/>
          <w:szCs w:val="18"/>
          <w:u w:val="single" w:color="auto"/>
          <w:color w:val="auto"/>
        </w:rPr>
        <w:t>Section 9</w:t>
      </w:r>
      <w:r>
        <w:rPr>
          <w:rFonts w:ascii="Arial" w:cs="Arial" w:eastAsia="Arial" w:hAnsi="Arial"/>
          <w:sz w:val="18"/>
          <w:szCs w:val="18"/>
          <w:color w:val="auto"/>
        </w:rPr>
        <w:t>, this Agreement shall inure to the benefit of and be binding upon the successors and permitted assigns of each of the parties hereto.</w:t>
      </w:r>
    </w:p>
    <w:p>
      <w:pPr>
        <w:spacing w:after="0" w:line="185" w:lineRule="exact"/>
        <w:rPr>
          <w:rFonts w:ascii="Arial" w:cs="Arial" w:eastAsia="Arial" w:hAnsi="Arial"/>
          <w:sz w:val="18"/>
          <w:szCs w:val="18"/>
          <w:color w:val="auto"/>
        </w:rPr>
      </w:pPr>
    </w:p>
    <w:p>
      <w:pPr>
        <w:ind w:left="1880" w:hanging="576"/>
        <w:spacing w:after="0"/>
        <w:tabs>
          <w:tab w:leader="none" w:pos="1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only and shall not limit or otherwise affect the meaning hereof.</w:t>
      </w:r>
    </w:p>
    <w:p>
      <w:pPr>
        <w:spacing w:after="0" w:line="248" w:lineRule="exact"/>
        <w:rPr>
          <w:rFonts w:ascii="Arial" w:cs="Arial" w:eastAsia="Arial" w:hAnsi="Arial"/>
          <w:sz w:val="16"/>
          <w:szCs w:val="16"/>
          <w:color w:val="auto"/>
        </w:rPr>
      </w:pPr>
    </w:p>
    <w:p>
      <w:pPr>
        <w:jc w:val="both"/>
        <w:ind w:firstLine="1304"/>
        <w:spacing w:after="0" w:line="306" w:lineRule="auto"/>
        <w:tabs>
          <w:tab w:leader="none" w:pos="214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or by e-mail in a “.pdf” format data file of a copy of this Agreement bearing the signature of the party so delivering this Agreement.</w:t>
      </w:r>
    </w:p>
    <w:p>
      <w:pPr>
        <w:spacing w:after="0" w:line="160" w:lineRule="exact"/>
        <w:rPr>
          <w:rFonts w:ascii="Arial" w:cs="Arial" w:eastAsia="Arial" w:hAnsi="Arial"/>
          <w:sz w:val="16"/>
          <w:szCs w:val="16"/>
          <w:color w:val="auto"/>
        </w:rPr>
      </w:pPr>
    </w:p>
    <w:p>
      <w:pPr>
        <w:jc w:val="both"/>
        <w:ind w:firstLine="1304"/>
        <w:spacing w:after="0" w:line="259" w:lineRule="auto"/>
        <w:tabs>
          <w:tab w:leader="none" w:pos="19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93" w:lineRule="exact"/>
        <w:rPr>
          <w:rFonts w:ascii="Arial" w:cs="Arial" w:eastAsia="Arial" w:hAnsi="Arial"/>
          <w:sz w:val="18"/>
          <w:szCs w:val="18"/>
          <w:color w:val="auto"/>
        </w:rPr>
      </w:pPr>
    </w:p>
    <w:p>
      <w:pPr>
        <w:ind w:firstLine="1304"/>
        <w:spacing w:after="0" w:line="268" w:lineRule="auto"/>
        <w:tabs>
          <w:tab w:leader="none" w:pos="192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85" w:lineRule="exact"/>
        <w:rPr>
          <w:rFonts w:ascii="Arial" w:cs="Arial" w:eastAsia="Arial" w:hAnsi="Arial"/>
          <w:sz w:val="18"/>
          <w:szCs w:val="18"/>
          <w:color w:val="auto"/>
        </w:rPr>
      </w:pPr>
    </w:p>
    <w:p>
      <w:pPr>
        <w:ind w:firstLine="1304"/>
        <w:spacing w:after="0" w:line="268" w:lineRule="auto"/>
        <w:tabs>
          <w:tab w:leader="none" w:pos="19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395" w:lineRule="exact"/>
        <w:rPr>
          <w:rFonts w:ascii="Arial" w:cs="Arial" w:eastAsia="Arial" w:hAnsi="Arial"/>
          <w:sz w:val="18"/>
          <w:szCs w:val="18"/>
          <w:color w:val="auto"/>
        </w:rPr>
      </w:pPr>
    </w:p>
    <w:p>
      <w:pPr>
        <w:ind w:left="5260"/>
        <w:spacing w:after="0"/>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Registration Rights Agreement to be duly executed as of day and year first above written.</w:t>
      </w:r>
    </w:p>
    <w:p>
      <w:pPr>
        <w:sectPr>
          <w:pgSz w:w="11900" w:h="16838" w:orient="portrait"/>
          <w:cols w:equalWidth="0" w:num="1">
            <w:col w:w="10320"/>
          </w:cols>
          <w:pgMar w:left="980" w:top="773" w:right="5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4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Singh</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BUYER:</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LINCOLN PARK CAPITAL FUND, LLC</w:t>
      </w:r>
    </w:p>
    <w:p>
      <w:pPr>
        <w:spacing w:after="0" w:line="24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BY: LINCOLN PARK CAPITAL, LLC</w:t>
      </w:r>
    </w:p>
    <w:p>
      <w:pPr>
        <w:spacing w:after="0" w:line="23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Josh Scheinfeld</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Josh Scheinfeld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980" w:top="773" w:right="59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EFFECTIVENESS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REGISTRATION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810"/>
        <w:spacing w:after="0" w:line="290" w:lineRule="auto"/>
        <w:rPr>
          <w:sz w:val="20"/>
          <w:szCs w:val="20"/>
          <w:color w:val="auto"/>
        </w:rPr>
      </w:pPr>
      <w:r>
        <w:rPr>
          <w:rFonts w:ascii="Arial" w:cs="Arial" w:eastAsia="Arial" w:hAnsi="Arial"/>
          <w:sz w:val="16"/>
          <w:szCs w:val="16"/>
          <w:color w:val="auto"/>
        </w:rPr>
        <w:t>We are counsel to The VistaGen Therapeutics,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have represented the Company in connection with that certain Purchase Agreement, dated as of March 24, 2020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entered into by and between the Company and Lincoln Park Capital Fund, LLC (the “</w:t>
      </w:r>
      <w:r>
        <w:rPr>
          <w:rFonts w:ascii="Arial" w:cs="Arial" w:eastAsia="Arial" w:hAnsi="Arial"/>
          <w:sz w:val="16"/>
          <w:szCs w:val="16"/>
          <w:u w:val="single" w:color="auto"/>
          <w:color w:val="auto"/>
        </w:rPr>
        <w:t>Buyer</w:t>
      </w:r>
      <w:r>
        <w:rPr>
          <w:rFonts w:ascii="Arial" w:cs="Arial" w:eastAsia="Arial" w:hAnsi="Arial"/>
          <w:sz w:val="16"/>
          <w:szCs w:val="16"/>
          <w:color w:val="auto"/>
        </w:rPr>
        <w:t>”) pursuant to which, among other things, the Company has agreed to issue to the Buyer shares of the Company’s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an amount up to Ten Million Two Hundred Fifty Thousand Dollars ($10,250,000) (the “</w:t>
      </w:r>
      <w:r>
        <w:rPr>
          <w:rFonts w:ascii="Arial" w:cs="Arial" w:eastAsia="Arial" w:hAnsi="Arial"/>
          <w:sz w:val="16"/>
          <w:szCs w:val="16"/>
          <w:u w:val="single" w:color="auto"/>
          <w:color w:val="auto"/>
        </w:rPr>
        <w:t>Purchase Shares</w:t>
      </w:r>
      <w:r>
        <w:rPr>
          <w:rFonts w:ascii="Arial" w:cs="Arial" w:eastAsia="Arial" w:hAnsi="Arial"/>
          <w:sz w:val="16"/>
          <w:szCs w:val="16"/>
          <w:color w:val="auto"/>
        </w:rPr>
        <w:t>”), in accordance with the terms of the Purchase Agreement. In connection with the transactions contemplated by the Purchase Agreement, the Company has registered with the U.S. Securities &amp; Exchange Commission [__________] shares of Common Stock that may be issued and sold by the Company to the Buyer from time to time (the “</w:t>
      </w:r>
      <w:r>
        <w:rPr>
          <w:rFonts w:ascii="Arial" w:cs="Arial" w:eastAsia="Arial" w:hAnsi="Arial"/>
          <w:sz w:val="16"/>
          <w:szCs w:val="16"/>
          <w:u w:val="single" w:color="auto"/>
          <w:color w:val="auto"/>
        </w:rPr>
        <w:t>Purchase Shares</w:t>
      </w:r>
      <w:r>
        <w:rPr>
          <w:rFonts w:ascii="Arial" w:cs="Arial" w:eastAsia="Arial" w:hAnsi="Arial"/>
          <w:sz w:val="16"/>
          <w:szCs w:val="16"/>
          <w:color w:val="auto"/>
        </w:rPr>
        <w:t>”) and 750,000 shares of Common Stock as Commitment Shares (the “</w:t>
      </w:r>
      <w:r>
        <w:rPr>
          <w:rFonts w:ascii="Arial" w:cs="Arial" w:eastAsia="Arial" w:hAnsi="Arial"/>
          <w:sz w:val="16"/>
          <w:szCs w:val="16"/>
          <w:u w:val="single" w:color="auto"/>
          <w:color w:val="auto"/>
        </w:rPr>
        <w:t>Commitment Shares</w:t>
      </w:r>
      <w:r>
        <w:rPr>
          <w:rFonts w:ascii="Arial" w:cs="Arial" w:eastAsia="Arial" w:hAnsi="Arial"/>
          <w:sz w:val="16"/>
          <w:szCs w:val="16"/>
          <w:color w:val="auto"/>
        </w:rPr>
        <w:t>”).</w:t>
      </w:r>
    </w:p>
    <w:p>
      <w:pPr>
        <w:spacing w:after="0" w:line="172" w:lineRule="exact"/>
        <w:rPr>
          <w:sz w:val="20"/>
          <w:szCs w:val="20"/>
          <w:color w:val="auto"/>
        </w:rPr>
      </w:pPr>
    </w:p>
    <w:p>
      <w:pPr>
        <w:jc w:val="both"/>
        <w:ind w:firstLine="810"/>
        <w:spacing w:after="0" w:line="317" w:lineRule="auto"/>
        <w:rPr>
          <w:sz w:val="20"/>
          <w:szCs w:val="20"/>
          <w:color w:val="auto"/>
        </w:rPr>
      </w:pPr>
      <w:r>
        <w:rPr>
          <w:rFonts w:ascii="Arial" w:cs="Arial" w:eastAsia="Arial" w:hAnsi="Arial"/>
          <w:sz w:val="15"/>
          <w:szCs w:val="15"/>
          <w:color w:val="auto"/>
        </w:rPr>
        <w:t>Pursuant to the Purchase Agreement, the Company also has entered into a Registration Rights Agreement, dated as of March 24, 2020 with the Buyer (the “</w:t>
      </w: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 pursuant to which the Company agreed, among other things, to register the Purchase Shares and the Commitment Shares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In connection with the Company’s obligations under the Purchase Agreement and the Registration Rights Agreement, on [_____________], 2020, the Company filed a Registration Statement (File No. 333-[_________]) (the “</w:t>
      </w:r>
      <w:r>
        <w:rPr>
          <w:rFonts w:ascii="Arial" w:cs="Arial" w:eastAsia="Arial" w:hAnsi="Arial"/>
          <w:sz w:val="15"/>
          <w:szCs w:val="15"/>
          <w:u w:val="single" w:color="auto"/>
          <w:color w:val="auto"/>
        </w:rPr>
        <w:t>Registration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w:t>
      </w:r>
      <w:r>
        <w:rPr>
          <w:rFonts w:ascii="Arial" w:cs="Arial" w:eastAsia="Arial" w:hAnsi="Arial"/>
          <w:sz w:val="15"/>
          <w:szCs w:val="15"/>
          <w:color w:val="auto"/>
        </w:rPr>
        <w:t>”) with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relating to the resale of the Purchase Shares and the Commitment Shares.</w:t>
      </w:r>
    </w:p>
    <w:p>
      <w:pPr>
        <w:spacing w:after="0" w:line="15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connection with the foregoing, we advise you that a member of the SEC’s staff has advised us by telephone that the SEC has entered an order declaring the Registration Statement effective under the Securities Act at __:__ am/pm on _______ __, 2020, and we have no knowledge, based solely on our</w:t>
      </w:r>
    </w:p>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review of the Commission’s “Stop Orders” web page (http://sec.gov/litigation/stoporders.shtml), that any stop order suspending the Registration Statement’s effectiveness has been issued or that any proceedings for that purpose are pending before, or threatened by, the SEC, and the Purchase Shares and the Commitment Shares are available for resale under the Securities Act pursuant to the Registration Statement and may be issued without any restrictive legend.</w:t>
      </w:r>
    </w:p>
    <w:p>
      <w:pPr>
        <w:spacing w:after="0" w:line="37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[Company Counsel]</w:t>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By:____________________</w:t>
      </w:r>
    </w:p>
    <w:p>
      <w:pPr>
        <w:spacing w:after="0" w:line="225" w:lineRule="exact"/>
        <w:rPr>
          <w:sz w:val="20"/>
          <w:szCs w:val="20"/>
          <w:color w:val="auto"/>
        </w:rPr>
      </w:pPr>
    </w:p>
    <w:p>
      <w:pPr>
        <w:ind w:left="840" w:hanging="832"/>
        <w:spacing w:after="0"/>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Lincoln Park Capital Fund, LLC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Investor Furnished To The Company By The Investor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Expressly For Use In Connection With The Registration Statement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Lincoln Park Capital</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 of the date of the Purchase Agreement, Lincoln Park Capital Fund, LLC, beneficially owned the following shares of our common stock.</w:t>
      </w:r>
    </w:p>
    <w:p>
      <w:pPr>
        <w:spacing w:after="0" w:line="248"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854,966 free trading shares of common stock</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800,000 restricted shares of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warrant to purchase 1,000,000 shares of common stock, limited by a 9.99% beneficial ownership blocker</w:t>
      </w:r>
    </w:p>
    <w:p>
      <w:pPr>
        <w:spacing w:after="0" w:line="219" w:lineRule="exact"/>
        <w:rPr>
          <w:sz w:val="20"/>
          <w:szCs w:val="20"/>
          <w:color w:val="auto"/>
        </w:rPr>
      </w:pPr>
    </w:p>
    <w:p>
      <w:pPr>
        <w:jc w:val="both"/>
        <w:ind w:firstLine="810"/>
        <w:spacing w:after="0" w:line="298" w:lineRule="auto"/>
        <w:rPr>
          <w:sz w:val="20"/>
          <w:szCs w:val="20"/>
          <w:color w:val="auto"/>
        </w:rPr>
      </w:pPr>
      <w:r>
        <w:rPr>
          <w:rFonts w:ascii="Arial" w:cs="Arial" w:eastAsia="Arial" w:hAnsi="Arial"/>
          <w:sz w:val="16"/>
          <w:szCs w:val="16"/>
          <w:color w:val="auto"/>
        </w:rPr>
        <w:t>Josh Scheinfeld and Jonathan Cope, the Managing Members of Lincoln Park Capital, LLC, the manager of Lincoln Park Capital Fund,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Lincoln Park Capital, LLC is not a licensed broker dealer or an affiliate of a licensed broker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304598555 v3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94485" cy="1036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9448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Announces Common Stock Purchase Agreement for up to $10.25 Million</w:t>
      </w:r>
    </w:p>
    <w:p>
      <w:pPr>
        <w:spacing w:after="0" w:line="200" w:lineRule="exact"/>
        <w:rPr>
          <w:sz w:val="20"/>
          <w:szCs w:val="20"/>
          <w:color w:val="auto"/>
        </w:rPr>
      </w:pPr>
    </w:p>
    <w:p>
      <w:pPr>
        <w:spacing w:after="0" w:line="241" w:lineRule="exact"/>
        <w:rPr>
          <w:sz w:val="20"/>
          <w:szCs w:val="20"/>
          <w:color w:val="auto"/>
        </w:rPr>
      </w:pPr>
    </w:p>
    <w:p>
      <w:pPr>
        <w:jc w:val="both"/>
        <w:ind w:right="140"/>
        <w:spacing w:after="0" w:line="339" w:lineRule="auto"/>
        <w:rPr>
          <w:sz w:val="20"/>
          <w:szCs w:val="20"/>
          <w:color w:val="auto"/>
        </w:rPr>
      </w:pPr>
      <w:r>
        <w:rPr>
          <w:rFonts w:ascii="Arial" w:cs="Arial" w:eastAsia="Arial" w:hAnsi="Arial"/>
          <w:sz w:val="15"/>
          <w:szCs w:val="15"/>
          <w:b w:val="1"/>
          <w:bCs w:val="1"/>
          <w:color w:val="auto"/>
        </w:rPr>
        <w:t xml:space="preserve">SOUTH SAN FRANCISCO, Calif., March 25, 2020 </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0095DA"/>
        </w:rPr>
        <w:t>VistaGen Therapeutics</w:t>
      </w:r>
      <w:r>
        <w:rPr>
          <w:rFonts w:ascii="Arial" w:cs="Arial" w:eastAsia="Arial" w:hAnsi="Arial"/>
          <w:sz w:val="15"/>
          <w:szCs w:val="15"/>
          <w:b w:val="1"/>
          <w:bCs w:val="1"/>
          <w:color w:val="auto"/>
        </w:rPr>
        <w:t xml:space="preserve"> </w:t>
      </w:r>
      <w:r>
        <w:rPr>
          <w:rFonts w:ascii="Arial" w:cs="Arial" w:eastAsia="Arial" w:hAnsi="Arial"/>
          <w:sz w:val="15"/>
          <w:szCs w:val="15"/>
          <w:color w:val="auto"/>
        </w:rPr>
        <w:t>(NASDAQ: VTGN), a clinical-stage biopharmaceutical company developing</w:t>
      </w:r>
      <w:r>
        <w:rPr>
          <w:rFonts w:ascii="Arial" w:cs="Arial" w:eastAsia="Arial" w:hAnsi="Arial"/>
          <w:sz w:val="15"/>
          <w:szCs w:val="15"/>
          <w:b w:val="1"/>
          <w:bCs w:val="1"/>
          <w:color w:val="auto"/>
        </w:rPr>
        <w:t xml:space="preserve"> </w:t>
      </w:r>
      <w:r>
        <w:rPr>
          <w:rFonts w:ascii="Arial" w:cs="Arial" w:eastAsia="Arial" w:hAnsi="Arial"/>
          <w:sz w:val="15"/>
          <w:szCs w:val="15"/>
          <w:color w:val="auto"/>
        </w:rPr>
        <w:t>new generation medicines for anxiety, depression and central nervous system (CNS) diseases and disorders with high unmet medical need, today announced a common stock purchase agreement with Lincoln Park Capital Fund, LLC (LPC), a Chicago-based institutional investor, providing for up to $10.25 million.</w:t>
      </w:r>
    </w:p>
    <w:p>
      <w:pPr>
        <w:spacing w:after="0" w:line="13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agreement, at the Company’s request, LPC made an initial purchase of $250,000 of VistaGen’s common stock at $0.50 per share, representing a 33% premium to the previous day’s closing price. Going forward, subject to the terms and conditions of the agreement, VistaGen will have the option, but not any obligation, to sell to LPC up to an additional $10.0 million of its common stock over the next 24 months. VistaGen plans to use proceeds from the initial sale of common stock and subsequent sales under the agreement, if any, for general corporate purposes, including ongoing preparation for Phase 3 clinical development of PH94B neuroactive nasal spray for on-demand treatment of social anxiety disorder (SAD), and working capital.</w:t>
      </w:r>
    </w:p>
    <w:p>
      <w:pPr>
        <w:spacing w:after="0" w:line="16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“We are pleased to enter into this new financing agreement with Lincoln Park Capital, which has been a very supportive investor of VistaGen for many years. The agreement can provide flexible access to capital, at our discretion, to advance our anxiety and depression programs,” stated </w:t>
      </w:r>
      <w:r>
        <w:rPr>
          <w:rFonts w:ascii="Arial" w:cs="Arial" w:eastAsia="Arial" w:hAnsi="Arial"/>
          <w:sz w:val="18"/>
          <w:szCs w:val="18"/>
          <w:u w:val="single" w:color="auto"/>
          <w:color w:val="0095DA"/>
        </w:rPr>
        <w:t>Shawn Singh, Chief Executive</w:t>
      </w:r>
      <w:r>
        <w:rPr>
          <w:rFonts w:ascii="Arial" w:cs="Arial" w:eastAsia="Arial" w:hAnsi="Arial"/>
          <w:sz w:val="18"/>
          <w:szCs w:val="18"/>
          <w:color w:val="auto"/>
        </w:rPr>
        <w:t xml:space="preserve"> </w:t>
      </w:r>
      <w:r>
        <w:rPr>
          <w:rFonts w:ascii="Arial" w:cs="Arial" w:eastAsia="Arial" w:hAnsi="Arial"/>
          <w:sz w:val="18"/>
          <w:szCs w:val="18"/>
          <w:u w:val="single" w:color="auto"/>
          <w:color w:val="0095DA"/>
        </w:rPr>
        <w:t>Officer of VistaGen</w:t>
      </w:r>
      <w:r>
        <w:rPr>
          <w:rFonts w:ascii="Arial" w:cs="Arial" w:eastAsia="Arial" w:hAnsi="Arial"/>
          <w:sz w:val="18"/>
          <w:szCs w:val="18"/>
          <w:color w:val="000000"/>
        </w:rPr>
        <w:t>.</w:t>
      </w:r>
    </w:p>
    <w:p>
      <w:pPr>
        <w:spacing w:after="0" w:line="19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Mr. Singh continued, “The current COVID-19 pandemic has brought about worrisome fear, anxiety, depression and other endemic psychiatric conditions. Our team continues to push through this period with even greater determination and motivation to accomplish our core long-term and lasting goals focused on helping the millions of people worldwide who suffer with mental health challenges, especially in trying times such as these.”</w:t>
      </w:r>
    </w:p>
    <w:p>
      <w:pPr>
        <w:spacing w:after="0" w:line="16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After a registration statement relating to the transaction is filed with and declared effective by the U.S. Securities and Exchange Commission (SEC), VistaGen, at its sole discretion, will control the timing and amount of future sales of its common stock to LPC. LPC has no right to require any additional shares of common stock from VistaGen and LPC will be obligated to make purchases according to VistaGen's direction. There are no upper limits to the price LPC may be required pay to purchase common stock from VistaGen and the purchase price of the shares will be based on the prevailing market prices of VistaGen's shares of common stock at the time of each sale. LPC has agreed not to cause, or engage in any manner whatsoever, in any direct or indirect short selling or hedging of VistaGen's common stock. There are no limitations on the use of proceeds, and LPC has no rights of first refusal or participation rights. In consideration for entering into the purchase agreement, VistaGen has issued shares of common stock to LPC as a commitment fee. VistaGen maintains the right to terminate the agreement at any time, at its sole discretion, without any additional cost or penalty.</w:t>
      </w:r>
    </w:p>
    <w:p>
      <w:pPr>
        <w:spacing w:after="0" w:line="178"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A description of the common stock purchase agreement and related registration rights agreement is set forth in VistaGen's Current Report on Form 8-K filed today with the SEC. No financial advisory fees were paid, nor will any such fees be paid in the future, in connection with any transaction under the agreement.</w:t>
      </w:r>
    </w:p>
    <w:p>
      <w:pPr>
        <w:spacing w:after="0" w:line="141"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color w:val="auto"/>
        </w:rPr>
        <w:t>This press release does not constitute an offer to sell or the solicitation of an offer to buy the securities, nor shall there be any sale of the securities in any state in which such offer, solicitation or sale would be unlawful prior to the registration or qualification under the securities laws of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VistaGen Therapeutics is a multi-asset, clinical-stage biopharmaceutical company developing new generation medicines for anxiety, depression and other CNS-related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is focused on clinical-stage CNS drug candidates with a differentiated mechanism of action, an exceptional safety profile, and therapeutic potential in multiple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Lincoln Park Capital Fund, LLC (LPC)</w:t>
      </w:r>
    </w:p>
    <w:p>
      <w:pPr>
        <w:spacing w:after="0" w:line="2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 xml:space="preserve">LPC is a long-only institutional investor headquartered in Chicago, Illinois. LPC’s experienced professionals manage a portfolio of investments in public and private entities. These investments are in a wide range of companies and industries emphasizing life sciences and technology. LPC’s investments range from multi-year financial commitments to fund growth to special situation financings to long-term strategic capital offering companies’ flexibility and consistency. For more information, please visit </w:t>
      </w:r>
      <w:r>
        <w:rPr>
          <w:rFonts w:ascii="Arial" w:cs="Arial" w:eastAsia="Arial" w:hAnsi="Arial"/>
          <w:sz w:val="18"/>
          <w:szCs w:val="18"/>
          <w:u w:val="single" w:color="auto"/>
          <w:color w:val="0000FF"/>
        </w:rPr>
        <w:t>www.lpcfunds.com</w:t>
      </w:r>
      <w:r>
        <w:rPr>
          <w:rFonts w:ascii="Arial" w:cs="Arial" w:eastAsia="Arial" w:hAnsi="Arial"/>
          <w:sz w:val="18"/>
          <w:szCs w:val="18"/>
          <w:color w:val="auto"/>
          <w:highlight w:val="white"/>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This release contains various statements concerning VistaGen's future expectations, plans and prospects, including without limitation, our expectations regarding access to working capital and development and commercialization of our CNS drug candidates. In addition, statements concerning the Company’s future expectations may include statements regarding intellectual property and commercial protection of each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w:t>
      </w:r>
    </w:p>
    <w:p>
      <w:pPr>
        <w:spacing w:after="0" w:line="2" w:lineRule="exact"/>
        <w:rPr>
          <w:sz w:val="20"/>
          <w:szCs w:val="20"/>
          <w:color w:val="auto"/>
        </w:rPr>
      </w:pPr>
    </w:p>
    <w:p>
      <w:pPr>
        <w:ind w:right="20" w:firstLine="8"/>
        <w:spacing w:after="0" w:line="285" w:lineRule="auto"/>
        <w:tabs>
          <w:tab w:leader="none" w:pos="21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studies may not be repeated or observed future studies, and ongoing or future preclinical and clinical results may not support further development of, or be sufficient to gain regulatory approval to market any of our product candidates;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under the common stock purchase agreement with LPC or otherwise, to support our operations, including our ongoing nonclinical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lowerLetter"/>
      <w:start w:val="1"/>
    </w:lvl>
    <w:lvl w:ilvl="1">
      <w:lvlJc w:val="left"/>
      <w:lvlText w:val="(%2)"/>
      <w:numFmt w:val="lowerLetter"/>
      <w:start w:val="1"/>
    </w:lvl>
  </w:abstractNum>
  <w:abstractNum w:abstractNumId="3">
    <w:nsid w:val="3855585C"/>
    <w:multiLevelType w:val="hybridMultilevel"/>
    <w:lvl w:ilvl="0">
      <w:lvlJc w:val="left"/>
      <w:lvlText w:val="(%1)"/>
      <w:numFmt w:val="lowerLetter"/>
      <w:start w:val="9"/>
    </w:lvl>
    <w:lvl w:ilvl="1">
      <w:lvlJc w:val="left"/>
      <w:lvlText w:val="%2"/>
      <w:numFmt w:val="lowerLetter"/>
      <w:start w:val="1"/>
    </w:lvl>
  </w:abstractNum>
  <w:abstractNum w:abstractNumId="4">
    <w:nsid w:val="70A64E2A"/>
    <w:multiLevelType w:val="hybridMultilevel"/>
    <w:lvl w:ilvl="0">
      <w:lvlJc w:val="left"/>
      <w:lvlText w:val="%1"/>
      <w:numFmt w:val="upperLetter"/>
      <w:start w:val="1"/>
    </w:lvl>
    <w:lvl w:ilvl="1">
      <w:lvlJc w:val="left"/>
      <w:lvlText w:val="(%2)"/>
      <w:numFmt w:val="lowerLetter"/>
      <w:start w:val="5"/>
    </w:lvl>
  </w:abstractNum>
  <w:abstractNum w:abstractNumId="5">
    <w:nsid w:val="6A2342EC"/>
    <w:multiLevelType w:val="hybridMultilevel"/>
    <w:lvl w:ilvl="0">
      <w:lvlJc w:val="left"/>
      <w:lvlText w:val="(%1)"/>
      <w:numFmt w:val="upperLetter"/>
      <w:start w:val="25"/>
    </w:lvl>
    <w:lvl w:ilvl="1">
      <w:lvlJc w:val="left"/>
      <w:lvlText w:val="%2"/>
      <w:numFmt w:val="lowerLetter"/>
      <w:start w:val="1"/>
    </w:lvl>
  </w:abstractNum>
  <w:abstractNum w:abstractNumId="6">
    <w:nsid w:val="2A487CB0"/>
    <w:multiLevelType w:val="hybridMultilevel"/>
    <w:lvl w:ilvl="0">
      <w:lvlJc w:val="left"/>
      <w:lvlText w:val="(%1)"/>
      <w:numFmt w:val="lowerLetter"/>
      <w:start w:val="12"/>
    </w:lvl>
  </w:abstractNum>
  <w:abstractNum w:abstractNumId="7">
    <w:nsid w:val="1D4ED43B"/>
    <w:multiLevelType w:val="hybridMultilevel"/>
    <w:lvl w:ilvl="0">
      <w:lvlJc w:val="left"/>
      <w:lvlText w:val="(%1)"/>
      <w:numFmt w:val="lowerLetter"/>
      <w:start w:val="20"/>
    </w:lvl>
  </w:abstractNum>
  <w:abstractNum w:abstractNumId="8">
    <w:nsid w:val="725A06FB"/>
    <w:multiLevelType w:val="hybridMultilevel"/>
    <w:lvl w:ilvl="0">
      <w:lvlJc w:val="left"/>
      <w:lvlText w:val="(%1)"/>
      <w:numFmt w:val="lowerLetter"/>
      <w:start w:val="23"/>
    </w:lvl>
  </w:abstractNum>
  <w:abstractNum w:abstractNumId="9">
    <w:nsid w:val="2CD89A32"/>
    <w:multiLevelType w:val="hybridMultilevel"/>
    <w:lvl w:ilvl="0">
      <w:lvlJc w:val="left"/>
      <w:lvlText w:val="(%1)"/>
      <w:numFmt w:val="lowerLetter"/>
      <w:start w:val="27"/>
    </w:lvl>
  </w:abstractNum>
  <w:abstractNum w:abstractNumId="10">
    <w:nsid w:val="57E4CCAF"/>
    <w:multiLevelType w:val="hybridMultilevel"/>
    <w:lvl w:ilvl="0">
      <w:lvlJc w:val="left"/>
      <w:lvlText w:val="(%1)"/>
      <w:numFmt w:val="lowerLetter"/>
      <w:start w:val="33"/>
    </w:lvl>
  </w:abstractNum>
  <w:abstractNum w:abstractNumId="11">
    <w:nsid w:val="7A6D8D3C"/>
    <w:multiLevelType w:val="hybridMultilevel"/>
    <w:lvl w:ilvl="0">
      <w:lvlJc w:val="left"/>
      <w:lvlText w:val="(%1)"/>
      <w:numFmt w:val="lowerLetter"/>
      <w:start w:val="47"/>
    </w:lvl>
  </w:abstractNum>
  <w:abstractNum w:abstractNumId="12">
    <w:nsid w:val="4B588F54"/>
    <w:multiLevelType w:val="hybridMultilevel"/>
    <w:lvl w:ilvl="0">
      <w:lvlJc w:val="left"/>
      <w:lvlText w:val="(%1)"/>
      <w:numFmt w:val="lowerLetter"/>
      <w:start w:val="1"/>
    </w:lvl>
  </w:abstractNum>
  <w:abstractNum w:abstractNumId="13">
    <w:nsid w:val="542289EC"/>
    <w:multiLevelType w:val="hybridMultilevel"/>
    <w:lvl w:ilvl="0">
      <w:lvlJc w:val="left"/>
      <w:lvlText w:val="(%1)"/>
      <w:numFmt w:val="lowerLetter"/>
      <w:start w:val="3"/>
    </w:lvl>
  </w:abstractNum>
  <w:abstractNum w:abstractNumId="14">
    <w:nsid w:val="6DE91B18"/>
    <w:multiLevelType w:val="hybridMultilevel"/>
    <w:lvl w:ilvl="0">
      <w:lvlJc w:val="left"/>
      <w:lvlText w:val="%1"/>
      <w:numFmt w:val="decimal"/>
      <w:start w:val="1"/>
    </w:lvl>
    <w:lvl w:ilvl="1">
      <w:lvlJc w:val="left"/>
      <w:lvlText w:val="(%2)"/>
      <w:numFmt w:val="lowerLetter"/>
      <w:start w:val="4"/>
    </w:lvl>
  </w:abstractNum>
  <w:abstractNum w:abstractNumId="15">
    <w:nsid w:val="38437FDB"/>
    <w:multiLevelType w:val="hybridMultilevel"/>
    <w:lvl w:ilvl="0">
      <w:lvlJc w:val="left"/>
      <w:lvlText w:val="(%1)"/>
      <w:numFmt w:val="decimal"/>
      <w:start w:val="2"/>
    </w:lvl>
    <w:lvl w:ilvl="1">
      <w:lvlJc w:val="left"/>
      <w:lvlText w:val="%2"/>
      <w:numFmt w:val="lowerLetter"/>
      <w:start w:val="1"/>
    </w:lvl>
  </w:abstractNum>
  <w:abstractNum w:abstractNumId="16">
    <w:nsid w:val="7644A45C"/>
    <w:multiLevelType w:val="hybridMultilevel"/>
    <w:lvl w:ilvl="0">
      <w:lvlJc w:val="left"/>
      <w:lvlText w:val="(%1)"/>
      <w:numFmt w:val="lowerLetter"/>
      <w:start w:val="6"/>
    </w:lvl>
  </w:abstractNum>
  <w:abstractNum w:abstractNumId="17">
    <w:nsid w:val="32FFF902"/>
    <w:multiLevelType w:val="hybridMultilevel"/>
    <w:lvl w:ilvl="0">
      <w:lvlJc w:val="left"/>
      <w:lvlText w:val="%1."/>
      <w:numFmt w:val="decimal"/>
      <w:start w:val="3"/>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lowerLetter"/>
      <w:start w:val="3"/>
    </w:lvl>
  </w:abstractNum>
  <w:abstractNum w:abstractNumId="20">
    <w:nsid w:val="749ABB43"/>
    <w:multiLevelType w:val="hybridMultilevel"/>
    <w:lvl w:ilvl="0">
      <w:lvlJc w:val="left"/>
      <w:lvlText w:val="%1."/>
      <w:numFmt w:val="decimal"/>
      <w:start w:val="4"/>
    </w:lvl>
  </w:abstractNum>
  <w:abstractNum w:abstractNumId="21">
    <w:nsid w:val="3DC240FB"/>
    <w:multiLevelType w:val="hybridMultilevel"/>
    <w:lvl w:ilvl="0">
      <w:lvlJc w:val="left"/>
      <w:lvlText w:val="(%1)"/>
      <w:numFmt w:val="lowerLetter"/>
      <w:start w:val="1"/>
    </w:lvl>
  </w:abstractNum>
  <w:abstractNum w:abstractNumId="22">
    <w:nsid w:val="1BA026FA"/>
    <w:multiLevelType w:val="hybridMultilevel"/>
    <w:lvl w:ilvl="0">
      <w:lvlJc w:val="left"/>
      <w:lvlText w:val="(%1)"/>
      <w:numFmt w:val="lowerLetter"/>
      <w:start w:val="3"/>
    </w:lvl>
  </w:abstractNum>
  <w:abstractNum w:abstractNumId="23">
    <w:nsid w:val="79A1DEAA"/>
    <w:multiLevelType w:val="hybridMultilevel"/>
    <w:lvl w:ilvl="0">
      <w:lvlJc w:val="left"/>
      <w:lvlText w:val="(%1)"/>
      <w:numFmt w:val="lowerLetter"/>
      <w:start w:val="6"/>
    </w:lvl>
  </w:abstractNum>
  <w:abstractNum w:abstractNumId="24">
    <w:nsid w:val="75C6C33A"/>
    <w:multiLevelType w:val="hybridMultilevel"/>
    <w:lvl w:ilvl="0">
      <w:lvlJc w:val="left"/>
      <w:lvlText w:val="(%1)"/>
      <w:numFmt w:val="lowerLetter"/>
      <w:start w:val="11"/>
    </w:lvl>
  </w:abstractNum>
  <w:abstractNum w:abstractNumId="25">
    <w:nsid w:val="12E685FB"/>
    <w:multiLevelType w:val="hybridMultilevel"/>
    <w:lvl w:ilvl="0">
      <w:lvlJc w:val="left"/>
      <w:lvlText w:val="(%1)"/>
      <w:numFmt w:val="lowerLetter"/>
      <w:start w:val="17"/>
    </w:lvl>
  </w:abstractNum>
  <w:abstractNum w:abstractNumId="26">
    <w:nsid w:val="70C6A529"/>
    <w:multiLevelType w:val="hybridMultilevel"/>
    <w:lvl w:ilvl="0">
      <w:lvlJc w:val="left"/>
      <w:lvlText w:val="(%1)"/>
      <w:numFmt w:val="lowerLetter"/>
      <w:start w:val="21"/>
    </w:lvl>
  </w:abstractNum>
  <w:abstractNum w:abstractNumId="27">
    <w:nsid w:val="520EEDD1"/>
    <w:multiLevelType w:val="hybridMultilevel"/>
    <w:lvl w:ilvl="0">
      <w:lvlJc w:val="left"/>
      <w:lvlText w:val="(%1)"/>
      <w:numFmt w:val="lowerLetter"/>
      <w:start w:val="25"/>
    </w:lvl>
  </w:abstractNum>
  <w:abstractNum w:abstractNumId="28">
    <w:nsid w:val="374A3FE6"/>
    <w:multiLevelType w:val="hybridMultilevel"/>
    <w:lvl w:ilvl="0">
      <w:lvlJc w:val="left"/>
      <w:lvlText w:val="(%1)"/>
      <w:numFmt w:val="lowerLetter"/>
      <w:start w:val="27"/>
    </w:lvl>
  </w:abstractNum>
  <w:abstractNum w:abstractNumId="29">
    <w:nsid w:val="4F4EF005"/>
    <w:multiLevelType w:val="hybridMultilevel"/>
    <w:lvl w:ilvl="0">
      <w:lvlJc w:val="left"/>
      <w:lvlText w:val="%1"/>
      <w:numFmt w:val="lowerRoman"/>
      <w:start w:val="1"/>
    </w:lvl>
    <w:lvl w:ilvl="1">
      <w:lvlJc w:val="left"/>
      <w:lvlText w:val="(%2)"/>
      <w:numFmt w:val="lowerLetter"/>
      <w:start w:val="31"/>
    </w:lvl>
  </w:abstractNum>
  <w:abstractNum w:abstractNumId="30">
    <w:nsid w:val="23F9C13C"/>
    <w:multiLevelType w:val="hybridMultilevel"/>
    <w:lvl w:ilvl="0">
      <w:lvlJc w:val="left"/>
      <w:lvlText w:val="(%1)"/>
      <w:numFmt w:val="lowerRoman"/>
      <w:start w:val="8"/>
    </w:lvl>
    <w:lvl w:ilvl="1">
      <w:lvlJc w:val="left"/>
      <w:lvlText w:val="(%2)"/>
      <w:numFmt w:val="lowerLetter"/>
      <w:start w:val="31"/>
    </w:lvl>
  </w:abstractNum>
  <w:abstractNum w:abstractNumId="31">
    <w:nsid w:val="649BB77C"/>
    <w:multiLevelType w:val="hybridMultilevel"/>
    <w:lvl w:ilvl="0">
      <w:lvlJc w:val="left"/>
      <w:lvlText w:val="%1."/>
      <w:numFmt w:val="decimal"/>
      <w:start w:val="5"/>
    </w:lvl>
  </w:abstractNum>
  <w:abstractNum w:abstractNumId="32">
    <w:nsid w:val="275AC794"/>
    <w:multiLevelType w:val="hybridMultilevel"/>
    <w:lvl w:ilvl="0">
      <w:lvlJc w:val="left"/>
      <w:lvlText w:val="(%1)"/>
      <w:numFmt w:val="lowerLetter"/>
      <w:start w:val="1"/>
    </w:lvl>
  </w:abstractNum>
  <w:abstractNum w:abstractNumId="33">
    <w:nsid w:val="39386575"/>
    <w:multiLevelType w:val="hybridMultilevel"/>
    <w:lvl w:ilvl="0">
      <w:lvlJc w:val="left"/>
      <w:lvlText w:val="(%1)"/>
      <w:numFmt w:val="lowerLetter"/>
      <w:start w:val="3"/>
    </w:lvl>
  </w:abstractNum>
  <w:abstractNum w:abstractNumId="34">
    <w:nsid w:val="1CF10FD8"/>
    <w:multiLevelType w:val="hybridMultilevel"/>
    <w:lvl w:ilvl="0">
      <w:lvlJc w:val="left"/>
      <w:lvlText w:val="(%1)"/>
      <w:numFmt w:val="lowerLetter"/>
      <w:start w:val="7"/>
    </w:lvl>
  </w:abstractNum>
  <w:abstractNum w:abstractNumId="35">
    <w:nsid w:val="180115BE"/>
    <w:multiLevelType w:val="hybridMultilevel"/>
    <w:lvl w:ilvl="0">
      <w:lvlJc w:val="left"/>
      <w:lvlText w:val="%1"/>
      <w:numFmt w:val="lowerLetter"/>
      <w:start w:val="1"/>
    </w:lvl>
    <w:lvl w:ilvl="1">
      <w:lvlJc w:val="left"/>
      <w:lvlText w:val="(%2)"/>
      <w:numFmt w:val="lowerLetter"/>
      <w:start w:val="8"/>
    </w:lvl>
  </w:abstractNum>
  <w:abstractNum w:abstractNumId="36">
    <w:nsid w:val="235BA861"/>
    <w:multiLevelType w:val="hybridMultilevel"/>
    <w:lvl w:ilvl="0">
      <w:lvlJc w:val="left"/>
      <w:lvlText w:val="(%1)"/>
      <w:numFmt w:val="lowerLetter"/>
      <w:start w:val="9"/>
    </w:lvl>
    <w:lvl w:ilvl="1">
      <w:lvlJc w:val="left"/>
      <w:lvlText w:val="%2"/>
      <w:numFmt w:val="lowerLetter"/>
      <w:start w:val="1"/>
    </w:lvl>
  </w:abstractNum>
  <w:abstractNum w:abstractNumId="37">
    <w:nsid w:val="47398C89"/>
    <w:multiLevelType w:val="hybridMultilevel"/>
    <w:lvl w:ilvl="0">
      <w:lvlJc w:val="left"/>
      <w:lvlText w:val="(%1)"/>
      <w:numFmt w:val="lowerRoman"/>
      <w:start w:val="1"/>
    </w:lvl>
    <w:lvl w:ilvl="1">
      <w:lvlJc w:val="left"/>
      <w:lvlText w:val="%2."/>
      <w:numFmt w:val="decimal"/>
      <w:start w:val="6"/>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lowerLetter"/>
      <w:start w:val="1"/>
    </w:lvl>
    <w:lvl w:ilvl="1">
      <w:lvlJc w:val="left"/>
      <w:lvlText w:val="(%2)"/>
      <w:numFmt w:val="lowerLetter"/>
      <w:start w:val="2"/>
    </w:lvl>
  </w:abstractNum>
  <w:abstractNum w:abstractNumId="40">
    <w:nsid w:val="741226BB"/>
    <w:multiLevelType w:val="hybridMultilevel"/>
    <w:lvl w:ilvl="0">
      <w:lvlJc w:val="left"/>
      <w:lvlText w:val="(%1)"/>
      <w:numFmt w:val="lowerLetter"/>
      <w:start w:val="35"/>
    </w:lvl>
    <w:lvl w:ilvl="1">
      <w:lvlJc w:val="left"/>
      <w:lvlText w:val="%2"/>
      <w:numFmt w:val="lowerLetter"/>
      <w:start w:val="1"/>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11"/>
    </w:lvl>
  </w:abstractNum>
  <w:abstractNum w:abstractNumId="44">
    <w:nsid w:val="61574095"/>
    <w:multiLevelType w:val="hybridMultilevel"/>
    <w:lvl w:ilvl="0">
      <w:lvlJc w:val="left"/>
      <w:lvlText w:val="(%1)"/>
      <w:numFmt w:val="lowerRoman"/>
      <w:start w:val="2"/>
    </w:lvl>
  </w:abstractNum>
  <w:abstractNum w:abstractNumId="45">
    <w:nsid w:val="7E0C57B1"/>
    <w:multiLevelType w:val="hybridMultilevel"/>
    <w:lvl w:ilvl="0">
      <w:lvlJc w:val="left"/>
      <w:lvlText w:val="%1."/>
      <w:numFmt w:val="decimal"/>
      <w:start w:val="10"/>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decimal"/>
      <w:start w:val="1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decimal"/>
      <w:start w:val="12"/>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6"/>
    </w:lvl>
  </w:abstractNum>
  <w:abstractNum w:abstractNumId="52">
    <w:nsid w:val="1DBABF00"/>
    <w:multiLevelType w:val="hybridMultilevel"/>
    <w:lvl w:ilvl="0">
      <w:lvlJc w:val="left"/>
      <w:lvlText w:val="(%1)"/>
      <w:numFmt w:val="lowerLetter"/>
      <w:start w:val="7"/>
    </w:lvl>
  </w:abstractNum>
  <w:abstractNum w:abstractNumId="53">
    <w:nsid w:val="4AD084E9"/>
    <w:multiLevelType w:val="hybridMultilevel"/>
    <w:lvl w:ilvl="0">
      <w:lvlJc w:val="left"/>
      <w:lvlText w:val="(%1)"/>
      <w:numFmt w:val="lowerLetter"/>
      <w:start w:val="14"/>
    </w:lvl>
    <w:lvl w:ilvl="1">
      <w:lvlJc w:val="left"/>
      <w:lvlText w:val="**"/>
      <w:numFmt w:val="bullet"/>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4"/>
    </w:lvl>
  </w:abstractNum>
  <w:abstractNum w:abstractNumId="59">
    <w:nsid w:val="15014ACB"/>
    <w:multiLevelType w:val="hybridMultilevel"/>
    <w:lvl w:ilvl="0">
      <w:lvlJc w:val="left"/>
      <w:lvlText w:val="%1."/>
      <w:numFmt w:val="decimal"/>
      <w:start w:val="3"/>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Roman"/>
      <w:start w:val="1"/>
    </w:lvl>
    <w:lvl w:ilvl="1">
      <w:lvlJc w:val="left"/>
      <w:lvlText w:val="%2."/>
      <w:numFmt w:val="lowerLetter"/>
      <w:start w:val="5"/>
    </w:lvl>
  </w:abstractNum>
  <w:abstractNum w:abstractNumId="62">
    <w:nsid w:val="799D0247"/>
    <w:multiLevelType w:val="hybridMultilevel"/>
    <w:lvl w:ilvl="0">
      <w:lvlJc w:val="left"/>
      <w:lvlText w:val="(%1)"/>
      <w:numFmt w:val="lowerRoman"/>
      <w:start w:val="2"/>
    </w:lvl>
    <w:lvl w:ilvl="1">
      <w:lvlJc w:val="left"/>
      <w:lvlText w:val="%2."/>
      <w:numFmt w:val="lowerLetter"/>
      <w:start w:val="8"/>
    </w:lvl>
  </w:abstractNum>
  <w:abstractNum w:abstractNumId="63">
    <w:nsid w:val="6B94764"/>
    <w:multiLevelType w:val="hybridMultilevel"/>
    <w:lvl w:ilvl="0">
      <w:lvlJc w:val="left"/>
      <w:lvlText w:val="%1."/>
      <w:numFmt w:val="decimal"/>
      <w:start w:val="4"/>
    </w:lvl>
    <w:lvl w:ilvl="1">
      <w:lvlJc w:val="left"/>
      <w:lvlText w:val="%2."/>
      <w:numFmt w:val="lowerLetter"/>
      <w:start w:val="1"/>
    </w:lvl>
  </w:abstractNum>
  <w:abstractNum w:abstractNumId="64">
    <w:nsid w:val="42C296BD"/>
    <w:multiLevelType w:val="hybridMultilevel"/>
    <w:lvl w:ilvl="0">
      <w:lvlJc w:val="left"/>
      <w:lvlText w:val="%1."/>
      <w:numFmt w:val="decimal"/>
      <w:start w:val="6"/>
    </w:lvl>
    <w:lvl w:ilvl="1">
      <w:lvlJc w:val="left"/>
      <w:lvlText w:val="%2"/>
      <w:numFmt w:val="lowerLetter"/>
      <w:start w:val="1"/>
    </w:lvl>
  </w:abstractNum>
  <w:abstractNum w:abstractNumId="65">
    <w:nsid w:val="168E121F"/>
    <w:multiLevelType w:val="hybridMultilevel"/>
    <w:lvl w:ilvl="0">
      <w:lvlJc w:val="left"/>
      <w:lvlText w:val="%1."/>
      <w:numFmt w:val="lowerLetter"/>
      <w:start w:val="2"/>
    </w:lvl>
  </w:abstractNum>
  <w:abstractNum w:abstractNumId="66">
    <w:nsid w:val="1EBA5D23"/>
    <w:multiLevelType w:val="hybridMultilevel"/>
    <w:lvl w:ilvl="0">
      <w:lvlJc w:val="left"/>
      <w:lvlText w:val="%1"/>
      <w:numFmt w:val="decimal"/>
      <w:start w:val="1"/>
    </w:lvl>
    <w:lvl w:ilvl="1">
      <w:lvlJc w:val="left"/>
      <w:lvlText w:val="%2."/>
      <w:numFmt w:val="lowerLetter"/>
      <w:start w:val="3"/>
    </w:lvl>
  </w:abstractNum>
  <w:abstractNum w:abstractNumId="67">
    <w:nsid w:val="661E3F1E"/>
    <w:multiLevelType w:val="hybridMultilevel"/>
    <w:lvl w:ilvl="0">
      <w:lvlJc w:val="left"/>
      <w:lvlText w:val="%1."/>
      <w:numFmt w:val="decimal"/>
      <w:start w:val="7"/>
    </w:lvl>
    <w:lvl w:ilvl="1">
      <w:lvlJc w:val="left"/>
      <w:lvlText w:val="%2"/>
      <w:numFmt w:val="lowerLetter"/>
      <w:start w:val="1"/>
    </w:lvl>
  </w:abstractNum>
  <w:abstractNum w:abstractNumId="68">
    <w:nsid w:val="5DC79EA8"/>
    <w:multiLevelType w:val="hybridMultilevel"/>
    <w:lvl w:ilvl="0">
      <w:lvlJc w:val="left"/>
      <w:lvlText w:val="%1."/>
      <w:numFmt w:val="decimal"/>
      <w:start w:val="8"/>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2"/>
    </w:lvl>
  </w:abstractNum>
  <w:abstractNum w:abstractNumId="71">
    <w:nsid w:val="51D9C564"/>
    <w:multiLevelType w:val="hybridMultilevel"/>
    <w:lvl w:ilvl="0">
      <w:lvlJc w:val="left"/>
      <w:lvlText w:val="%1."/>
      <w:numFmt w:val="decimal"/>
      <w:start w:val="9"/>
    </w:lvl>
  </w:abstractNum>
  <w:abstractNum w:abstractNumId="72">
    <w:nsid w:val="613EFDC5"/>
    <w:multiLevelType w:val="hybridMultilevel"/>
    <w:lvl w:ilvl="0">
      <w:lvlJc w:val="left"/>
      <w:lvlText w:val="%1."/>
      <w:numFmt w:val="decimal"/>
      <w:start w:val="10"/>
    </w:lvl>
  </w:abstractNum>
  <w:abstractNum w:abstractNumId="73">
    <w:nsid w:val="BF72B14"/>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1"/>
    </w:lvl>
  </w:abstractNum>
  <w:abstractNum w:abstractNumId="74">
    <w:nsid w:val="11447B73"/>
    <w:multiLevelType w:val="hybridMultilevel"/>
    <w:lvl w:ilvl="0">
      <w:lvlJc w:val="left"/>
      <w:lvlText w:val="%1."/>
      <w:numFmt w:val="lowerLetter"/>
      <w:start w:val="2"/>
    </w:lvl>
  </w:abstractNum>
  <w:abstractNum w:abstractNumId="75">
    <w:nsid w:val="42963E5A"/>
    <w:multiLevelType w:val="hybridMultilevel"/>
    <w:lvl w:ilvl="0">
      <w:lvlJc w:val="left"/>
      <w:lvlText w:val="%1."/>
      <w:numFmt w:val="lowerLetter"/>
      <w:start w:val="3"/>
    </w:lvl>
    <w:lvl w:ilvl="1">
      <w:lvlJc w:val="left"/>
      <w:lvlText w:val="*"/>
      <w:numFmt w:val="bullet"/>
      <w:start w:val="1"/>
    </w:lvl>
  </w:abstractNum>
  <w:abstractNum w:abstractNumId="76">
    <w:nsid w:val="A0382C5"/>
    <w:multiLevelType w:val="hybridMultilevel"/>
    <w:lvl w:ilvl="0">
      <w:lvlJc w:val="left"/>
      <w:lvlText w:val="%1:"/>
      <w:numFmt w:val="lowerLetter"/>
      <w:start w:val="29"/>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2020-03-26T06:06:30Z</dcterms:created>
  <dcterms:modified xsi:type="dcterms:W3CDTF">2020-03-26T06:06:30Z</dcterms:modified>
</cp:coreProperties>
</file>