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October 28, 2022</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387"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000-54014</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3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20" w:space="720"/>
            <w:col w:w="3180" w:space="720"/>
            <w:col w:w="2700"/>
          </w:cols>
          <w:pgMar w:left="320" w:top="387" w:right="339" w:bottom="1440" w:gutter="0" w:footer="0" w:header="0"/>
          <w:type w:val="continuous"/>
        </w:sectPr>
      </w:pPr>
    </w:p>
    <w:p>
      <w:pPr>
        <w:spacing w:after="0" w:line="3"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94090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9"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387" w:right="339" w:bottom="1440" w:gutter="0" w:footer="0" w:header="0"/>
          <w:type w:val="continuous"/>
        </w:sectPr>
      </w:pPr>
    </w:p>
    <w:p>
      <w:pPr>
        <w:spacing w:after="0" w:line="21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4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42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2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1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VTGN</w:t>
            </w:r>
          </w:p>
        </w:tc>
        <w:tc>
          <w:tcPr>
            <w:tcW w:w="48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type w:val="continuous"/>
        </w:sectPr>
      </w:pPr>
    </w:p>
    <w:bookmarkStart w:id="1" w:name="page2"/>
    <w:bookmarkEnd w:id="1"/>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On October 28, 2022,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reconvened its 2022 Annual Meeting of Stockholders (the “</w:t>
      </w:r>
      <w:r>
        <w:rPr>
          <w:rFonts w:ascii="Times New Roman" w:cs="Times New Roman" w:eastAsia="Times New Roman" w:hAnsi="Times New Roman"/>
          <w:sz w:val="18"/>
          <w:szCs w:val="18"/>
          <w:i w:val="1"/>
          <w:iCs w:val="1"/>
          <w:color w:val="auto"/>
        </w:rPr>
        <w:t>Reconvened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to consider and vote on Proposal Nos. 5 and 6. The results of the voting at the Reconvened Annual Meeting are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Proposal No.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Approval of Discretionary Authorization to Implement a Reverse Stock Split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Votes</w:t>
            </w:r>
          </w:p>
        </w:tc>
        <w:tc>
          <w:tcPr>
            <w:tcW w:w="3300" w:type="dxa"/>
            <w:vAlign w:val="bottom"/>
            <w:tcBorders>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 w:type="dxa"/>
            <w:vAlign w:val="bottom"/>
          </w:tcPr>
          <w:p>
            <w:pPr>
              <w:spacing w:after="0"/>
              <w:rPr>
                <w:sz w:val="20"/>
                <w:szCs w:val="20"/>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80" w:type="dxa"/>
            <w:vAlign w:val="bottom"/>
          </w:tcPr>
          <w:p>
            <w:pPr>
              <w:spacing w:after="0"/>
              <w:rPr>
                <w:sz w:val="20"/>
                <w:szCs w:val="20"/>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0" w:type="dxa"/>
            <w:vAlign w:val="bottom"/>
          </w:tcPr>
          <w:p>
            <w:pPr>
              <w:spacing w:after="0"/>
              <w:rPr>
                <w:sz w:val="1"/>
                <w:szCs w:val="1"/>
                <w:color w:val="auto"/>
              </w:rPr>
            </w:pPr>
          </w:p>
        </w:tc>
      </w:tr>
      <w:tr>
        <w:trPr>
          <w:trHeight w:val="228"/>
        </w:trPr>
        <w:tc>
          <w:tcPr>
            <w:tcW w:w="1600" w:type="dxa"/>
            <w:vAlign w:val="bottom"/>
            <w:vMerge w:val="continue"/>
          </w:tcPr>
          <w:p>
            <w:pPr>
              <w:spacing w:after="0"/>
              <w:rPr>
                <w:sz w:val="19"/>
                <w:szCs w:val="19"/>
                <w:color w:val="auto"/>
              </w:rPr>
            </w:pPr>
          </w:p>
        </w:tc>
        <w:tc>
          <w:tcPr>
            <w:tcW w:w="330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104,229,120</w:t>
            </w:r>
          </w:p>
        </w:tc>
        <w:tc>
          <w:tcPr>
            <w:tcW w:w="380" w:type="dxa"/>
            <w:vAlign w:val="bottom"/>
          </w:tcPr>
          <w:p>
            <w:pPr>
              <w:spacing w:after="0"/>
              <w:rPr>
                <w:sz w:val="19"/>
                <w:szCs w:val="19"/>
                <w:color w:val="auto"/>
              </w:rPr>
            </w:pPr>
          </w:p>
        </w:tc>
        <w:tc>
          <w:tcPr>
            <w:tcW w:w="28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25,372,666</w:t>
            </w:r>
          </w:p>
        </w:tc>
        <w:tc>
          <w:tcPr>
            <w:tcW w:w="380" w:type="dxa"/>
            <w:vAlign w:val="bottom"/>
          </w:tcPr>
          <w:p>
            <w:pPr>
              <w:spacing w:after="0"/>
              <w:rPr>
                <w:sz w:val="19"/>
                <w:szCs w:val="19"/>
                <w:color w:val="auto"/>
              </w:rPr>
            </w:pPr>
          </w:p>
        </w:tc>
        <w:tc>
          <w:tcPr>
            <w:tcW w:w="2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4,016,453</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vote required to approve Proposal No. 5, discretionary authority for the Company’s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to have the option to implement a reverse stock split of the Company’s issued and outstanding shares of common stock, par value $0.001 per share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at a ratio of between 1-for-2 and 1-for-30 (the “</w:t>
      </w:r>
      <w:r>
        <w:rPr>
          <w:rFonts w:ascii="Times New Roman" w:cs="Times New Roman" w:eastAsia="Times New Roman" w:hAnsi="Times New Roman"/>
          <w:sz w:val="18"/>
          <w:szCs w:val="18"/>
          <w:i w:val="1"/>
          <w:iCs w:val="1"/>
          <w:color w:val="auto"/>
        </w:rPr>
        <w:t>Reverse Split</w:t>
      </w:r>
      <w:r>
        <w:rPr>
          <w:rFonts w:ascii="Times New Roman" w:cs="Times New Roman" w:eastAsia="Times New Roman" w:hAnsi="Times New Roman"/>
          <w:sz w:val="18"/>
          <w:szCs w:val="18"/>
          <w:color w:val="auto"/>
        </w:rPr>
        <w:t>”), with the exact ratio to be determined by the Board, and the filing of an amendment to the Company’s Restated and Amended Articles of Incorporation, as amended, with the Nevada Secretary of State to effect the Reverse Split at any time as the Board may deem necessary and advisable prior to October 14, 2023, the one-year anniversary of the initial date of the Company’s 2022 Annual Meeting of Stockholders (the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Reverse Split Authorization</w:t>
      </w:r>
      <w:r>
        <w:rPr>
          <w:rFonts w:ascii="Times New Roman" w:cs="Times New Roman" w:eastAsia="Times New Roman" w:hAnsi="Times New Roman"/>
          <w:sz w:val="18"/>
          <w:szCs w:val="18"/>
          <w:color w:val="auto"/>
        </w:rPr>
        <w:t>”), was the affirmative vote of a majority of the 206,836,945 outstanding shares of the Company’s Common Stock entitled to vote as of the record date for the Annual Meeting. Accordingly, stockholders approved the Reverse Split Authorization.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Proposal No.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Approval of an Amendment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Bylaws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Votes</w:t>
            </w:r>
          </w:p>
        </w:tc>
        <w:tc>
          <w:tcPr>
            <w:tcW w:w="310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80" w:type="dxa"/>
            <w:vAlign w:val="bottom"/>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0" w:type="dxa"/>
            <w:vAlign w:val="bottom"/>
          </w:tcPr>
          <w:p>
            <w:pPr>
              <w:spacing w:after="0"/>
              <w:rPr>
                <w:sz w:val="1"/>
                <w:szCs w:val="1"/>
                <w:color w:val="auto"/>
              </w:rPr>
            </w:pPr>
          </w:p>
        </w:tc>
      </w:tr>
      <w:tr>
        <w:trPr>
          <w:trHeight w:val="228"/>
        </w:trPr>
        <w:tc>
          <w:tcPr>
            <w:tcW w:w="1660" w:type="dxa"/>
            <w:vAlign w:val="bottom"/>
            <w:vMerge w:val="continue"/>
          </w:tcPr>
          <w:p>
            <w:pPr>
              <w:spacing w:after="0"/>
              <w:rPr>
                <w:sz w:val="19"/>
                <w:szCs w:val="19"/>
                <w:color w:val="auto"/>
              </w:rPr>
            </w:pPr>
          </w:p>
        </w:tc>
        <w:tc>
          <w:tcPr>
            <w:tcW w:w="31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65,592,186</w:t>
            </w:r>
          </w:p>
        </w:tc>
        <w:tc>
          <w:tcPr>
            <w:tcW w:w="380" w:type="dxa"/>
            <w:vAlign w:val="bottom"/>
          </w:tcPr>
          <w:p>
            <w:pPr>
              <w:spacing w:after="0"/>
              <w:rPr>
                <w:sz w:val="19"/>
                <w:szCs w:val="19"/>
                <w:color w:val="auto"/>
              </w:rPr>
            </w:pPr>
          </w:p>
        </w:tc>
        <w:tc>
          <w:tcPr>
            <w:tcW w:w="29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24,302,176</w:t>
            </w:r>
          </w:p>
        </w:tc>
        <w:tc>
          <w:tcPr>
            <w:tcW w:w="380" w:type="dxa"/>
            <w:vAlign w:val="bottom"/>
          </w:tcPr>
          <w:p>
            <w:pPr>
              <w:spacing w:after="0"/>
              <w:rPr>
                <w:sz w:val="19"/>
                <w:szCs w:val="19"/>
                <w:color w:val="auto"/>
              </w:rPr>
            </w:pPr>
          </w:p>
        </w:tc>
        <w:tc>
          <w:tcPr>
            <w:tcW w:w="26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3,454,611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vote required to approve Proposal No. 6 to amend the Company’s Second Amended and Restated Bylaws, as amended, to allow the Board in its sole discretion to determine, from time to time, the number of directors constituting the Board was the affirmative vote of a majority of the 206,836,945 outstanding shares of the Company’s Common Stock entitled to vote as of the record date for the Annual Meeting. Accordingly, stockholders did not approve Proposal No. 6.</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Details of the results of voting on Proposal Nos. 1 through 4, which voting occurred on October 14, 2022 at the initial commencement of the Annual Meeting, are available in the Current Report on Form 8-K filed by the Company on October 19, 2022. For more information about the foregoing proposals, please review the Company’s Proxy Statement, filed with the Securities and Exchange Commission on August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757555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66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2022</w:t>
            </w:r>
          </w:p>
        </w:tc>
        <w:tc>
          <w:tcPr>
            <w:tcW w:w="24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Shawn K. Singh</w:t>
            </w:r>
          </w:p>
        </w:tc>
      </w:tr>
      <w:tr>
        <w:trPr>
          <w:trHeight w:val="191"/>
        </w:trPr>
        <w:tc>
          <w:tcPr>
            <w:tcW w:w="35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Shawn K. Singh</w:t>
            </w:r>
          </w:p>
        </w:tc>
      </w:tr>
      <w:tr>
        <w:trPr>
          <w:trHeight w:val="234"/>
        </w:trPr>
        <w:tc>
          <w:tcPr>
            <w:tcW w:w="3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2022-10-28T16:24:25Z</dcterms:created>
  <dcterms:modified xsi:type="dcterms:W3CDTF">2022-10-28T16:24:25Z</dcterms:modified>
</cp:coreProperties>
</file>