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8k-11302011_101121.htm"/>
      <w:bookmarkStart w:id="1" w:name="ksform8k11302011_101121"/>
      <w:bookmarkStart w:id="2" w:name="form8k-11302011_101121.htm"/>
      <w:bookmarkStart w:id="3" w:name="ksform8k11302011_101121"/>
      <w:bookmarkEnd w:id="2"/>
      <w:bookmarkEnd w:id="3"/>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jc w:val="center"/>
        <w:rPr>
          <w:rFonts w:ascii="Times New Roman" w:hAnsi="Times New Roman"/>
          <w:b/>
          <w:sz w:val="17"/>
        </w:rPr>
      </w:pPr>
      <w:r>
        <w:rPr>
          <w:rFonts w:ascii="Times New Roman" w:hAnsi="Times New Roman"/>
          <w:b/>
          <w:sz w:val="17"/>
        </w:rPr>
        <w:t>UNITED STATES</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CURRENT REPORT</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Section 13 or 15(d) of the</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Exchange Act of 1934</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Date of report (Date of earliest event reported):  </w:t>
      </w:r>
      <w:r>
        <w:rPr>
          <w:rFonts w:ascii="Times New Roman" w:hAnsi="Times New Roman"/>
          <w:sz w:val="17"/>
          <w:u w:val="single"/>
        </w:rPr>
        <w:t>November 17, 2011</w:t>
      </w:r>
      <w:r>
        <w:rPr/>
        <w:t xml:space="preserve">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Commission File Number:  </w:t>
      </w:r>
      <w:r>
        <w:rPr>
          <w:rFonts w:ascii="Times New Roman" w:hAnsi="Times New Roman"/>
          <w:sz w:val="17"/>
          <w:u w:val="single"/>
        </w:rPr>
        <w:t xml:space="preserve">000-54014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b/>
          <w:sz w:val="24"/>
        </w:rPr>
        <w:t>VistaGen Therapeutics, Inc.</w:t>
      </w:r>
      <w:r>
        <w:rPr/>
        <w:br/>
      </w:r>
      <w:r>
        <w:rPr>
          <w:rFonts w:ascii="Times New Roman" w:hAnsi="Times New Roman"/>
          <w:sz w:val="17"/>
        </w:rPr>
        <w:t>(Exact name of small business issuer as specified in its charter)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296545"/>
                <wp:effectExtent l="0" t="0" r="0" b="0"/>
                <wp:wrapSquare wrapText="largest"/>
                <wp:docPr id="1" name="Frame1"/>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296545"/>
                <wp:effectExtent l="0" t="0" r="0" b="0"/>
                <wp:wrapSquare wrapText="largest"/>
                <wp:docPr id="2" name="Frame2"/>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25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v:textbox>
                <w10:wrap type="square" side="right"/>
              </v:rect>
            </w:pict>
          </mc:Fallback>
        </mc:AlternateConten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384 Oyster Point Blvd, No. 8, South San Francisco, California 94080</w:t>
      </w:r>
      <w:r>
        <w:rPr/>
        <w:br/>
      </w:r>
      <w:r>
        <w:rPr>
          <w:rFonts w:ascii="Times New Roman" w:hAnsi="Times New Roman"/>
          <w:sz w:val="17"/>
        </w:rPr>
        <w:t>(Address of principal executive offices)</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650-244-9997</w:t>
      </w:r>
      <w:r>
        <w:rPr/>
        <w:br/>
      </w:r>
      <w:r>
        <w:rPr>
          <w:rFonts w:ascii="Times New Roman" w:hAnsi="Times New Roman"/>
          <w:sz w:val="17"/>
        </w:rPr>
        <w:t>(Registrant's Telephone number)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Not Applicable</w:t>
      </w:r>
      <w:r>
        <w:rPr/>
        <w:br/>
      </w:r>
      <w:r>
        <w:rPr>
          <w:rFonts w:ascii="Times New Roman" w:hAnsi="Times New Roman"/>
          <w:sz w:val="17"/>
        </w:rPr>
        <w:t>(Former Name or Former Address, if Changed Since Last Report)</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17"/>
        </w:rPr>
        <w:t>Check the appropriate box below if the Form 8-K filing is intended to simultaneously satisfy the filing obligation of the registrant under any of the following provisions (see General Instruction A.2. below):</w:t>
      </w:r>
      <w:r>
        <w:rPr/>
        <w:t xml:space="preserve"> </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Written communications pursuant to Rule 425 under the Securities Act (17 CFR 230.425)</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Soliciting material pursuant to Rule 14a-12 under the Exchange Act (17 CFR 240.14a-12)</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14d-2(b) under the Exchange Act (17 CFR 240.14d-2(b))</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13e-4(c) under the Exchange Act (17 CFR 240.13e-4(c))</w:t>
      </w:r>
    </w:p>
    <w:p>
      <w:pPr>
        <w:pStyle w:val="TextBody"/>
        <w:spacing w:before="0" w:after="0"/>
        <w:jc w:val="center"/>
        <w:rPr/>
      </w:pPr>
      <w:r>
        <w:rPr/>
      </w:r>
    </w:p>
    <w:p>
      <w:pPr>
        <w:pStyle w:val="HorizontalLine"/>
        <w:pBdr>
          <w:bottom w:val="single" w:sz="6" w:space="0" w:color="808080"/>
        </w:pBdr>
        <w:jc w:val="center"/>
        <w:rPr/>
      </w:pPr>
      <w:r>
        <w:rPr/>
      </w:r>
    </w:p>
    <w:p>
      <w:pPr>
        <w:pStyle w:val="HorizontalLine"/>
        <w:pBdr>
          <w:bottom w:val="single" w:sz="24" w:space="0" w:color="808080"/>
        </w:pBdr>
        <w:jc w:val="center"/>
        <w:rPr/>
      </w:pPr>
      <w:r>
        <w:rPr/>
      </w:r>
      <w:r>
        <w:br w:type="page"/>
      </w:r>
    </w:p>
    <w:p>
      <w:pPr>
        <w:pStyle w:val="TextBody"/>
        <w:jc w:val="left"/>
        <w:rPr>
          <w:rFonts w:ascii="Times New Roman" w:hAnsi="Times New Roman"/>
          <w:b/>
          <w:sz w:val="17"/>
        </w:rPr>
      </w:pPr>
      <w:r>
        <w:rPr>
          <w:rFonts w:ascii="Times New Roman" w:hAnsi="Times New Roman"/>
          <w:b/>
          <w:sz w:val="17"/>
        </w:rPr>
        <w:t>Item 1.01 Entry into a Material Definitive Agreement.</w:t>
      </w:r>
    </w:p>
    <w:p>
      <w:pPr>
        <w:pStyle w:val="TextBody"/>
        <w:jc w:val="left"/>
        <w:rPr>
          <w:rFonts w:ascii="Times New Roman" w:hAnsi="Times New Roman"/>
          <w:sz w:val="17"/>
        </w:rPr>
      </w:pPr>
      <w:r>
        <w:rPr>
          <w:rFonts w:ascii="Times New Roman" w:hAnsi="Times New Roman"/>
          <w:sz w:val="17"/>
        </w:rPr>
        <w:t xml:space="preserve">On November 17, 2011, VistaGen Therapeutics, Inc. (the "Company") issued a press release, attached as Exhibit 99.1 to this Current Report on Form 8-K, which announced that the Company and University Health Network (Toronto) ("UHN"), under the direction of Dr. Gordon Keller, head of UHN's McEwen Centre for Regenerative Medicine, have expanded and extended their existing collaborative pluripotent stem cell research and development program through at least September 2017. </w:t>
        <w:br/>
        <w:br/>
        <w:t xml:space="preserve">The expanded sponsored research collaboration, the terms of which are set forth in Amendment No. 4 to Sponsored Research Collaboration Agreement, dated October 24, 2011 (the "Amendment"), includes five key programs that will further support the Company's core drug rescue initiatives and potential cell therapy applications. The Amendment, a copy of which is attached to this Current Report on Form 8-K as Exhibit 10.2, provides that UHN's research will include the development of stem cell-based drug discovery and drug rescue technologies, using mature cardiac, liver and pancreatic beta-islet, blood and cartilage cells. The program will also focus on large-scale production of these cell types, each derived from human-induced pluripotent stem cells (hiPS cells), which are potentially suitable for in vivo transplantation studies and cell therapy applications. </w:t>
        <w:br/>
        <w:br/>
        <w:t>Contemporaneous with the execution of the Amendment, the Company and UHN entered into License Agreement No. 1 (the "License Agreement"), a copy of which is attached to this Current Report on Form 8-K as Exhibit 10.1. Under the terms of the License Agreement, UHN granted the Company exclusive rights to use CD172A, a novel molecule that can be used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certain payments to UHN upon achievement of certain milestones set forth in the License Agreement, totaling $3.9 million, and to pay UHN royalties based on the receipt of revenue by the Company attributable to the licensed patents.</w:t>
      </w:r>
    </w:p>
    <w:p>
      <w:pPr>
        <w:pStyle w:val="TextBody"/>
        <w:jc w:val="left"/>
        <w:rPr>
          <w:rFonts w:ascii="Times New Roman" w:hAnsi="Times New Roman"/>
          <w:b/>
          <w:sz w:val="17"/>
        </w:rPr>
      </w:pPr>
      <w:r>
        <w:rPr>
          <w:rFonts w:ascii="Times New Roman" w:hAnsi="Times New Roman"/>
          <w:b/>
          <w:sz w:val="17"/>
        </w:rPr>
        <w:t>Item 9.01 Financial Statements and Exhibits.</w:t>
      </w:r>
    </w:p>
    <w:p>
      <w:pPr>
        <w:pStyle w:val="TextBody"/>
        <w:jc w:val="left"/>
        <w:rPr>
          <w:rFonts w:ascii="Times New Roman" w:hAnsi="Times New Roman"/>
          <w:sz w:val="17"/>
        </w:rPr>
      </w:pPr>
      <w:r>
        <w:rPr>
          <w:rFonts w:ascii="Times New Roman" w:hAnsi="Times New Roman"/>
          <w:sz w:val="17"/>
        </w:rPr>
        <w:t>See Exhibit Index.</w:t>
      </w:r>
    </w:p>
    <w:p>
      <w:pPr>
        <w:pStyle w:val="HorizontalLine"/>
        <w:pBdr>
          <w:bottom w:val="single" w:sz="12" w:space="0" w:color="808080"/>
        </w:pBdr>
        <w:jc w:val="center"/>
        <w:rPr/>
      </w:pPr>
      <w:r>
        <w:rPr/>
      </w:r>
      <w:r>
        <w:br w:type="page"/>
      </w:r>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SIGNATURES </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jc w:val="center"/>
        <w:rPr/>
      </w:pPr>
      <w:r>
        <w:rPr/>
        <w:t> </w:t>
      </w:r>
    </w:p>
    <w:p>
      <w:pPr>
        <w:pStyle w:val="TextBody"/>
        <w:ind w:left="0" w:right="0" w:hanging="0"/>
        <w:jc w:val="center"/>
        <w:rPr/>
      </w:pPr>
      <w:r>
        <w:rPr/>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750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3175000" cy="175260"/>
                        </a:xfrm>
                        <a:prstGeom prst="rect"/>
                      </wps:spPr>
                      <wps:txbx>
                        <w:txbxContent>
                          <w:p>
                            <w:pPr>
                              <w:pStyle w:val="TextBody"/>
                              <w:spacing w:before="0" w:after="283"/>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75000" cy="530225"/>
                <wp:effectExtent l="0" t="0" r="0" b="0"/>
                <wp:wrapSquare wrapText="largest"/>
                <wp:docPr id="4" name="Frame4"/>
                <a:graphic xmlns:a="http://schemas.openxmlformats.org/drawingml/2006/main">
                  <a:graphicData uri="http://schemas.microsoft.com/office/word/2010/wordprocessingShape">
                    <wps:wsp>
                      <wps:cNvSpPr txBox="1"/>
                      <wps:spPr>
                        <a:xfrm>
                          <a:off x="0" y="0"/>
                          <a:ext cx="3175000" cy="530225"/>
                        </a:xfrm>
                        <a:prstGeom prst="rect"/>
                      </wps:spPr>
                      <wps:txb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7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v:textbox>
                <w10:wrap type="square" side="right"/>
              </v:rect>
            </w:pict>
          </mc:Fallback>
        </mc:AlternateContent>
      </w:r>
    </w:p>
    <w:p>
      <w:pPr>
        <w:pStyle w:val="HorizontalLine"/>
        <w:pBdr>
          <w:bottom w:val="single" w:sz="12" w:space="0" w:color="808080"/>
        </w:pBdr>
        <w:jc w:val="center"/>
        <w:rPr/>
      </w:pPr>
      <w:r>
        <w:rPr/>
      </w:r>
      <w:r>
        <w:br w:type="page"/>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121285"/>
                <wp:effectExtent l="0" t="0" r="0" b="0"/>
                <wp:wrapTopAndBottom/>
                <wp:docPr id="5" name="Frame5"/>
                <a:graphic xmlns:a="http://schemas.openxmlformats.org/drawingml/2006/main">
                  <a:graphicData uri="http://schemas.microsoft.com/office/word/2010/wordprocessingShape">
                    <wps:wsp>
                      <wps:cNvSpPr txBox="1"/>
                      <wps:spPr>
                        <a:xfrm>
                          <a:off x="0" y="0"/>
                          <a:ext cx="3175000" cy="121285"/>
                        </a:xfrm>
                        <a:prstGeom prst="rect"/>
                      </wps:spPr>
                      <wps:txb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November 30, 2011</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November 30, 2011</w:t>
                      </w:r>
                    </w:p>
                  </w:txbxContent>
                </v:textbox>
                <w10:wrap type="topAndBottom"/>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1359535"/>
                <wp:effectExtent l="0" t="0" r="0" b="0"/>
                <wp:wrapTopAndBottom/>
                <wp:docPr id="6" name="Frame6"/>
                <a:graphic xmlns:a="http://schemas.openxmlformats.org/drawingml/2006/main">
                  <a:graphicData uri="http://schemas.microsoft.com/office/word/2010/wordprocessingShape">
                    <wps:wsp>
                      <wps:cNvSpPr txBox="1"/>
                      <wps:spPr>
                        <a:xfrm>
                          <a:off x="0" y="0"/>
                          <a:ext cx="3175000" cy="1359535"/>
                        </a:xfrm>
                        <a:prstGeom prst="rect"/>
                      </wps:spPr>
                      <wps:txb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7.0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v:textbox>
                <w10:wrap type="topAndBottom"/>
              </v:rect>
            </w:pict>
          </mc:Fallback>
        </mc:AlternateContent>
      </w:r>
    </w:p>
    <w:p>
      <w:pPr>
        <w:pStyle w:val="TextBody"/>
        <w:spacing w:before="0" w:after="0"/>
        <w:jc w:val="center"/>
        <w:rPr>
          <w:rFonts w:ascii="Times New Roman" w:hAnsi="Times New Roman"/>
          <w:b/>
          <w:sz w:val="17"/>
        </w:rPr>
      </w:pPr>
      <w:r>
        <w:rPr>
          <w:rFonts w:ascii="Times New Roman" w:hAnsi="Times New Roman"/>
          <w:b/>
          <w:sz w:val="17"/>
        </w:rPr>
        <w:t>Exhibit Index</w:t>
      </w: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1040"/>
        <w:gridCol w:w="312"/>
        <w:gridCol w:w="8853"/>
      </w:tblGrid>
      <w:tr>
        <w:trPr/>
        <w:tc>
          <w:tcPr>
            <w:tcW w:w="1040"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Exhibit No.</w:t>
            </w:r>
          </w:p>
          <w:p>
            <w:pPr>
              <w:pStyle w:val="HorizontalLine"/>
              <w:pBdr>
                <w:bottom w:val="single" w:sz="12" w:space="0" w:color="808080"/>
              </w:pBdr>
              <w:spacing w:before="0" w:after="283"/>
              <w:rPr/>
            </w:pPr>
            <w:r>
              <w:rPr/>
            </w:r>
          </w:p>
        </w:tc>
        <w:tc>
          <w:tcPr>
            <w:tcW w:w="312"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Description</w:t>
            </w:r>
          </w:p>
          <w:p>
            <w:pPr>
              <w:pStyle w:val="HorizontalLine"/>
              <w:pBdr>
                <w:bottom w:val="single" w:sz="12" w:space="0" w:color="808080"/>
              </w:pBdr>
              <w:spacing w:before="0" w:after="283"/>
              <w:rPr/>
            </w:pPr>
            <w:r>
              <w:rPr/>
            </w:r>
          </w:p>
        </w:tc>
      </w:tr>
      <w:tr>
        <w:trPr/>
        <w:tc>
          <w:tcPr>
            <w:tcW w:w="104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EX-10.1</w:t>
            </w:r>
          </w:p>
        </w:tc>
        <w:tc>
          <w:tcPr>
            <w:tcW w:w="312"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License Agreement between University Health Network and VistaGen Therapeutics, Inc.</w:t>
            </w:r>
          </w:p>
        </w:tc>
      </w:tr>
      <w:tr>
        <w:trPr/>
        <w:tc>
          <w:tcPr>
            <w:tcW w:w="104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EX-10.2</w:t>
            </w:r>
          </w:p>
        </w:tc>
        <w:tc>
          <w:tcPr>
            <w:tcW w:w="312"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Amendment No. 4 to Sponsored Research Collaboration Agreement</w:t>
            </w:r>
          </w:p>
        </w:tc>
      </w:tr>
      <w:tr>
        <w:trPr/>
        <w:tc>
          <w:tcPr>
            <w:tcW w:w="104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EX-99.1</w:t>
            </w:r>
          </w:p>
        </w:tc>
        <w:tc>
          <w:tcPr>
            <w:tcW w:w="312"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Press Release</w:t>
            </w:r>
          </w:p>
        </w:tc>
      </w:tr>
    </w:tbl>
    <w:p>
      <w:pPr>
        <w:pStyle w:val="TextBody"/>
        <w:spacing w:before="0" w:after="0"/>
        <w:ind w:left="0" w:right="0" w:hanging="0"/>
        <w:jc w:val="center"/>
        <w:rPr>
          <w:rFonts w:ascii="Times New Roman" w:hAnsi="Times New Roman"/>
          <w:sz w:val="20"/>
        </w:rPr>
      </w:pPr>
      <w:r>
        <w:br w:type="page"/>
      </w:r>
      <w:bookmarkStart w:id="4" w:name="ex10-11302011_101124.htm"/>
      <w:bookmarkStart w:id="5" w:name="ksex1011302011_101124"/>
      <w:bookmarkEnd w:id="4"/>
      <w:bookmarkEnd w:id="5"/>
      <w:r>
        <w:rPr>
          <w:rFonts w:ascii="Times New Roman" w:hAnsi="Times New Roman"/>
          <w:sz w:val="20"/>
        </w:rPr>
        <w:t>LICENSE AGREEMENT NUMBER 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dated as of October 24, 2011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between</w:t>
      </w:r>
    </w:p>
    <w:p>
      <w:pPr>
        <w:pStyle w:val="TextBody"/>
        <w:spacing w:before="0" w:after="0"/>
        <w:ind w:left="0" w:right="0" w:hanging="0"/>
        <w:jc w:val="both"/>
        <w:rPr/>
      </w:pPr>
      <w:r>
        <w:rPr/>
        <w:t> </w:t>
      </w:r>
    </w:p>
    <w:p>
      <w:pPr>
        <w:pStyle w:val="TextBody"/>
        <w:spacing w:before="0" w:after="0"/>
        <w:ind w:left="0" w:right="0" w:hanging="0"/>
        <w:jc w:val="center"/>
        <w:rPr/>
      </w:pPr>
      <w:r>
        <w:rPr/>
        <w:t xml:space="preserve">  </w:t>
      </w:r>
      <w:r>
        <w:rPr>
          <w:rFonts w:ascii="Times New Roman" w:hAnsi="Times New Roman"/>
          <w:sz w:val="20"/>
        </w:rPr>
        <w:t>UNIVERSITY HEALTH NETWORK (as "Licensor")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and</w:t>
      </w:r>
    </w:p>
    <w:p>
      <w:pPr>
        <w:pStyle w:val="TextBody"/>
        <w:spacing w:before="0" w:after="0"/>
        <w:ind w:left="0" w:right="0" w:hanging="0"/>
        <w:jc w:val="both"/>
        <w:rPr/>
      </w:pPr>
      <w:r>
        <w:rPr/>
        <w:t> </w:t>
      </w:r>
    </w:p>
    <w:p>
      <w:pPr>
        <w:pStyle w:val="TextBody"/>
        <w:spacing w:before="0" w:after="0"/>
        <w:ind w:left="0" w:right="0" w:hanging="0"/>
        <w:jc w:val="center"/>
        <w:rPr/>
      </w:pPr>
      <w:r>
        <w:rPr/>
        <w:t xml:space="preserve">  </w:t>
      </w:r>
      <w:r>
        <w:rPr>
          <w:rFonts w:ascii="Times New Roman" w:hAnsi="Times New Roman"/>
          <w:sz w:val="20"/>
        </w:rPr>
        <w:t>VISTAGEN THERAPEUTICS, INC. (as "Licensee")</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TABLE OF CONTENTS</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1.</w:t>
      </w:r>
      <w:bookmarkStart w:id="6" w:name="TAB2"/>
      <w:bookmarkEnd w:id="6"/>
      <w:r>
        <w:rPr>
          <w:color w:val="000000"/>
          <w:spacing w:val="180"/>
        </w:rPr>
        <w:t xml:space="preserve">   </w:t>
      </w:r>
      <w:r>
        <w:rPr>
          <w:rFonts w:ascii="Times New Roman" w:hAnsi="Times New Roman"/>
          <w:sz w:val="20"/>
        </w:rPr>
        <w:t>DEFINITIONS</w:t>
      </w:r>
    </w:p>
    <w:p>
      <w:pPr>
        <w:pStyle w:val="TextBody"/>
        <w:spacing w:before="0" w:after="0"/>
        <w:ind w:left="0" w:right="0" w:hanging="0"/>
        <w:jc w:val="both"/>
        <w:rPr/>
      </w:pPr>
      <w:r>
        <w:rPr>
          <w:rFonts w:ascii="Times New Roman" w:hAnsi="Times New Roman"/>
          <w:sz w:val="20"/>
        </w:rPr>
        <w:t>2.</w:t>
      </w:r>
      <w:bookmarkStart w:id="7" w:name="TAB21"/>
      <w:bookmarkEnd w:id="7"/>
      <w:r>
        <w:rPr>
          <w:color w:val="000000"/>
          <w:spacing w:val="180"/>
        </w:rPr>
        <w:t xml:space="preserve">   </w:t>
      </w:r>
      <w:r>
        <w:rPr>
          <w:rFonts w:ascii="Times New Roman" w:hAnsi="Times New Roman"/>
          <w:sz w:val="20"/>
        </w:rPr>
        <w:t>REPRESENTATIONS AND WARRANTIES</w:t>
      </w:r>
    </w:p>
    <w:p>
      <w:pPr>
        <w:pStyle w:val="TextBody"/>
        <w:spacing w:before="0" w:after="0"/>
        <w:ind w:left="0" w:right="0" w:hanging="0"/>
        <w:jc w:val="both"/>
        <w:rPr/>
      </w:pPr>
      <w:bookmarkStart w:id="8" w:name="TAB24"/>
      <w:bookmarkEnd w:id="8"/>
      <w:r>
        <w:rPr>
          <w:spacing w:val="180"/>
        </w:rPr>
        <w:t>   </w:t>
      </w:r>
      <w:bookmarkStart w:id="9" w:name="TAB23"/>
      <w:bookmarkEnd w:id="9"/>
      <w:r>
        <w:rPr>
          <w:spacing w:val="180"/>
        </w:rPr>
        <w:t>   </w:t>
      </w:r>
      <w:r>
        <w:rPr/>
        <w:t> </w:t>
      </w:r>
      <w:r>
        <w:rPr>
          <w:rFonts w:ascii="Times New Roman" w:hAnsi="Times New Roman"/>
          <w:sz w:val="20"/>
        </w:rPr>
        <w:t>2.1</w:t>
      </w:r>
      <w:bookmarkStart w:id="10" w:name="TAB22"/>
      <w:bookmarkEnd w:id="10"/>
      <w:r>
        <w:rPr>
          <w:color w:val="000000"/>
          <w:spacing w:val="180"/>
        </w:rPr>
        <w:t> </w:t>
      </w:r>
      <w:r>
        <w:rPr>
          <w:rFonts w:ascii="Times New Roman" w:hAnsi="Times New Roman"/>
          <w:sz w:val="20"/>
        </w:rPr>
        <w:t>Mutual Representations and Warranties</w:t>
      </w:r>
    </w:p>
    <w:p>
      <w:pPr>
        <w:pStyle w:val="TextBody"/>
        <w:spacing w:before="0" w:after="0"/>
        <w:ind w:left="0" w:right="0" w:hanging="0"/>
        <w:jc w:val="both"/>
        <w:rPr/>
      </w:pPr>
      <w:bookmarkStart w:id="11" w:name="TAB27"/>
      <w:bookmarkEnd w:id="11"/>
      <w:r>
        <w:rPr>
          <w:spacing w:val="180"/>
        </w:rPr>
        <w:t>   </w:t>
      </w:r>
      <w:bookmarkStart w:id="12" w:name="TAB26"/>
      <w:bookmarkEnd w:id="12"/>
      <w:r>
        <w:rPr>
          <w:spacing w:val="180"/>
        </w:rPr>
        <w:t>   </w:t>
      </w:r>
      <w:r>
        <w:rPr/>
        <w:t> </w:t>
      </w:r>
      <w:r>
        <w:rPr>
          <w:rFonts w:ascii="Times New Roman" w:hAnsi="Times New Roman"/>
          <w:sz w:val="20"/>
        </w:rPr>
        <w:t>2.2</w:t>
      </w:r>
      <w:bookmarkStart w:id="13" w:name="TAB25"/>
      <w:bookmarkEnd w:id="13"/>
      <w:r>
        <w:rPr>
          <w:color w:val="000000"/>
          <w:spacing w:val="180"/>
        </w:rPr>
        <w:t> </w:t>
      </w:r>
      <w:r>
        <w:rPr>
          <w:rFonts w:ascii="Times New Roman" w:hAnsi="Times New Roman"/>
          <w:sz w:val="20"/>
        </w:rPr>
        <w:t>Licensor Representations and Warranties</w:t>
      </w:r>
    </w:p>
    <w:p>
      <w:pPr>
        <w:pStyle w:val="TextBody"/>
        <w:spacing w:before="0" w:after="0"/>
        <w:ind w:left="0" w:right="0" w:hanging="0"/>
        <w:jc w:val="both"/>
        <w:rPr>
          <w:rFonts w:ascii="Times New Roman" w:hAnsi="Times New Roman"/>
          <w:sz w:val="20"/>
        </w:rPr>
      </w:pPr>
      <w:r>
        <w:rPr>
          <w:rFonts w:ascii="Times New Roman" w:hAnsi="Times New Roman"/>
          <w:sz w:val="20"/>
        </w:rPr>
        <w:t>3.          LICENSE GRANT</w:t>
      </w:r>
    </w:p>
    <w:p>
      <w:pPr>
        <w:pStyle w:val="TextBody"/>
        <w:spacing w:before="0" w:after="0"/>
        <w:ind w:left="0" w:right="0" w:hanging="0"/>
        <w:jc w:val="both"/>
        <w:rPr/>
      </w:pPr>
      <w:bookmarkStart w:id="14" w:name="TAB210"/>
      <w:bookmarkEnd w:id="14"/>
      <w:r>
        <w:rPr>
          <w:spacing w:val="180"/>
        </w:rPr>
        <w:t>   </w:t>
      </w:r>
      <w:bookmarkStart w:id="15" w:name="TAB29"/>
      <w:bookmarkEnd w:id="15"/>
      <w:r>
        <w:rPr>
          <w:spacing w:val="180"/>
        </w:rPr>
        <w:t>   </w:t>
      </w:r>
      <w:r>
        <w:rPr/>
        <w:t> </w:t>
      </w:r>
      <w:r>
        <w:rPr>
          <w:rFonts w:ascii="Times New Roman" w:hAnsi="Times New Roman"/>
          <w:sz w:val="20"/>
        </w:rPr>
        <w:t>3.1</w:t>
      </w:r>
      <w:bookmarkStart w:id="16" w:name="TAB28"/>
      <w:bookmarkEnd w:id="16"/>
      <w:r>
        <w:rPr>
          <w:color w:val="000000"/>
          <w:spacing w:val="180"/>
        </w:rPr>
        <w:t> </w:t>
      </w:r>
      <w:r>
        <w:rPr>
          <w:rFonts w:ascii="Times New Roman" w:hAnsi="Times New Roman"/>
          <w:sz w:val="20"/>
        </w:rPr>
        <w:t>Licensed IP</w:t>
      </w:r>
    </w:p>
    <w:p>
      <w:pPr>
        <w:pStyle w:val="TextBody"/>
        <w:spacing w:before="0" w:after="0"/>
        <w:ind w:left="0" w:right="0" w:hanging="0"/>
        <w:jc w:val="both"/>
        <w:rPr/>
      </w:pPr>
      <w:bookmarkStart w:id="17" w:name="TAB213"/>
      <w:bookmarkEnd w:id="17"/>
      <w:r>
        <w:rPr>
          <w:spacing w:val="180"/>
        </w:rPr>
        <w:t>   </w:t>
      </w:r>
      <w:bookmarkStart w:id="18" w:name="TAB212"/>
      <w:bookmarkEnd w:id="18"/>
      <w:r>
        <w:rPr>
          <w:spacing w:val="180"/>
        </w:rPr>
        <w:t>   </w:t>
      </w:r>
      <w:r>
        <w:rPr/>
        <w:t> </w:t>
      </w:r>
      <w:r>
        <w:rPr>
          <w:rFonts w:ascii="Times New Roman" w:hAnsi="Times New Roman"/>
          <w:sz w:val="20"/>
        </w:rPr>
        <w:t>3.2</w:t>
      </w:r>
      <w:bookmarkStart w:id="19" w:name="TAB211"/>
      <w:bookmarkEnd w:id="19"/>
      <w:r>
        <w:rPr>
          <w:color w:val="000000"/>
          <w:spacing w:val="180"/>
        </w:rPr>
        <w:t> </w:t>
      </w:r>
      <w:r>
        <w:rPr>
          <w:rFonts w:ascii="Times New Roman" w:hAnsi="Times New Roman"/>
          <w:sz w:val="20"/>
        </w:rPr>
        <w:t>Availability of the Licensed IP</w:t>
      </w:r>
    </w:p>
    <w:p>
      <w:pPr>
        <w:pStyle w:val="TextBody"/>
        <w:spacing w:before="0" w:after="0"/>
        <w:ind w:left="0" w:right="0" w:hanging="0"/>
        <w:jc w:val="both"/>
        <w:rPr/>
      </w:pPr>
      <w:bookmarkStart w:id="20" w:name="TAB216"/>
      <w:bookmarkEnd w:id="20"/>
      <w:r>
        <w:rPr>
          <w:spacing w:val="180"/>
        </w:rPr>
        <w:t>   </w:t>
      </w:r>
      <w:bookmarkStart w:id="21" w:name="TAB215"/>
      <w:bookmarkEnd w:id="21"/>
      <w:r>
        <w:rPr>
          <w:spacing w:val="180"/>
        </w:rPr>
        <w:t>   </w:t>
      </w:r>
      <w:r>
        <w:rPr/>
        <w:t> </w:t>
      </w:r>
      <w:r>
        <w:rPr>
          <w:rFonts w:ascii="Times New Roman" w:hAnsi="Times New Roman"/>
          <w:sz w:val="20"/>
        </w:rPr>
        <w:t>3.3</w:t>
      </w:r>
      <w:bookmarkStart w:id="22" w:name="TAB214"/>
      <w:bookmarkEnd w:id="22"/>
      <w:r>
        <w:rPr>
          <w:color w:val="000000"/>
          <w:spacing w:val="180"/>
        </w:rPr>
        <w:t> </w:t>
      </w:r>
      <w:r>
        <w:rPr>
          <w:rFonts w:ascii="Times New Roman" w:hAnsi="Times New Roman"/>
          <w:sz w:val="20"/>
        </w:rPr>
        <w:t>Reserved Right</w:t>
      </w:r>
    </w:p>
    <w:p>
      <w:pPr>
        <w:pStyle w:val="TextBody"/>
        <w:spacing w:before="0" w:after="0"/>
        <w:ind w:left="0" w:right="0" w:hanging="0"/>
        <w:jc w:val="both"/>
        <w:rPr>
          <w:rFonts w:ascii="Times New Roman" w:hAnsi="Times New Roman"/>
          <w:sz w:val="20"/>
        </w:rPr>
      </w:pPr>
      <w:r>
        <w:rPr>
          <w:rFonts w:ascii="Times New Roman" w:hAnsi="Times New Roman"/>
          <w:sz w:val="20"/>
        </w:rPr>
        <w:t>4.          FINANCIAL CONSIDERATIONS</w:t>
      </w:r>
    </w:p>
    <w:p>
      <w:pPr>
        <w:pStyle w:val="TextBody"/>
        <w:spacing w:before="0" w:after="0"/>
        <w:ind w:left="0" w:right="0" w:hanging="0"/>
        <w:jc w:val="both"/>
        <w:rPr/>
      </w:pPr>
      <w:bookmarkStart w:id="23" w:name="TAB219"/>
      <w:bookmarkEnd w:id="23"/>
      <w:r>
        <w:rPr>
          <w:spacing w:val="180"/>
        </w:rPr>
        <w:t>   </w:t>
      </w:r>
      <w:bookmarkStart w:id="24" w:name="TAB218"/>
      <w:bookmarkEnd w:id="24"/>
      <w:r>
        <w:rPr>
          <w:spacing w:val="180"/>
        </w:rPr>
        <w:t>   </w:t>
      </w:r>
      <w:r>
        <w:rPr/>
        <w:t> </w:t>
      </w:r>
      <w:r>
        <w:rPr>
          <w:rFonts w:ascii="Times New Roman" w:hAnsi="Times New Roman"/>
          <w:sz w:val="20"/>
        </w:rPr>
        <w:t>4.1</w:t>
      </w:r>
      <w:bookmarkStart w:id="25" w:name="TAB217"/>
      <w:bookmarkEnd w:id="25"/>
      <w:r>
        <w:rPr>
          <w:color w:val="000000"/>
          <w:spacing w:val="180"/>
        </w:rPr>
        <w:t> </w:t>
      </w:r>
      <w:r>
        <w:rPr>
          <w:rFonts w:ascii="Times New Roman" w:hAnsi="Times New Roman"/>
          <w:sz w:val="20"/>
        </w:rPr>
        <w:t>Development-Based Mi lestone Payments</w:t>
      </w:r>
    </w:p>
    <w:p>
      <w:pPr>
        <w:pStyle w:val="TextBody"/>
        <w:spacing w:before="0" w:after="0"/>
        <w:ind w:left="0" w:right="0" w:hanging="0"/>
        <w:jc w:val="both"/>
        <w:rPr/>
      </w:pPr>
      <w:bookmarkStart w:id="26" w:name="TAB222"/>
      <w:bookmarkEnd w:id="26"/>
      <w:r>
        <w:rPr>
          <w:spacing w:val="180"/>
        </w:rPr>
        <w:t>   </w:t>
      </w:r>
      <w:bookmarkStart w:id="27" w:name="TAB221"/>
      <w:bookmarkEnd w:id="27"/>
      <w:r>
        <w:rPr>
          <w:spacing w:val="180"/>
        </w:rPr>
        <w:t>   </w:t>
      </w:r>
      <w:r>
        <w:rPr/>
        <w:t> </w:t>
      </w:r>
      <w:r>
        <w:rPr>
          <w:rFonts w:ascii="Times New Roman" w:hAnsi="Times New Roman"/>
          <w:sz w:val="20"/>
        </w:rPr>
        <w:t>4.2</w:t>
      </w:r>
      <w:bookmarkStart w:id="28" w:name="TAB220"/>
      <w:bookmarkEnd w:id="28"/>
      <w:r>
        <w:rPr>
          <w:color w:val="000000"/>
          <w:spacing w:val="180"/>
        </w:rPr>
        <w:t> </w:t>
      </w:r>
      <w:r>
        <w:rPr>
          <w:rFonts w:ascii="Times New Roman" w:hAnsi="Times New Roman"/>
          <w:sz w:val="20"/>
        </w:rPr>
        <w:t>Royalties</w:t>
      </w:r>
    </w:p>
    <w:p>
      <w:pPr>
        <w:pStyle w:val="TextBody"/>
        <w:spacing w:before="0" w:after="0"/>
        <w:ind w:left="0" w:right="0" w:hanging="0"/>
        <w:jc w:val="both"/>
        <w:rPr>
          <w:rFonts w:ascii="Times New Roman" w:hAnsi="Times New Roman"/>
          <w:sz w:val="20"/>
        </w:rPr>
      </w:pPr>
      <w:r>
        <w:rPr>
          <w:rFonts w:ascii="Times New Roman" w:hAnsi="Times New Roman"/>
          <w:sz w:val="20"/>
        </w:rPr>
        <w:t>5.          ROYALTY REPORTS, PAYMENTS, AND ACCOUNTING</w:t>
      </w:r>
    </w:p>
    <w:p>
      <w:pPr>
        <w:pStyle w:val="TextBody"/>
        <w:spacing w:before="0" w:after="0"/>
        <w:ind w:left="0" w:right="0" w:hanging="0"/>
        <w:jc w:val="both"/>
        <w:rPr/>
      </w:pPr>
      <w:bookmarkStart w:id="29" w:name="TAB225"/>
      <w:bookmarkEnd w:id="29"/>
      <w:r>
        <w:rPr>
          <w:spacing w:val="180"/>
        </w:rPr>
        <w:t>   </w:t>
      </w:r>
      <w:bookmarkStart w:id="30" w:name="TAB224"/>
      <w:bookmarkEnd w:id="30"/>
      <w:r>
        <w:rPr>
          <w:spacing w:val="180"/>
        </w:rPr>
        <w:t>   </w:t>
      </w:r>
      <w:r>
        <w:rPr/>
        <w:t> </w:t>
      </w:r>
      <w:r>
        <w:rPr>
          <w:rFonts w:ascii="Times New Roman" w:hAnsi="Times New Roman"/>
          <w:sz w:val="20"/>
        </w:rPr>
        <w:t>5.1</w:t>
      </w:r>
      <w:bookmarkStart w:id="31" w:name="TAB223"/>
      <w:bookmarkEnd w:id="31"/>
      <w:r>
        <w:rPr>
          <w:color w:val="000000"/>
          <w:spacing w:val="180"/>
        </w:rPr>
        <w:t> </w:t>
      </w:r>
      <w:r>
        <w:rPr>
          <w:rFonts w:ascii="Times New Roman" w:hAnsi="Times New Roman"/>
          <w:sz w:val="20"/>
        </w:rPr>
        <w:t>Royalty Reports</w:t>
      </w:r>
    </w:p>
    <w:p>
      <w:pPr>
        <w:pStyle w:val="TextBody"/>
        <w:spacing w:before="0" w:after="0"/>
        <w:ind w:left="0" w:right="0" w:hanging="0"/>
        <w:jc w:val="both"/>
        <w:rPr/>
      </w:pPr>
      <w:bookmarkStart w:id="32" w:name="TAB228"/>
      <w:bookmarkEnd w:id="32"/>
      <w:r>
        <w:rPr>
          <w:spacing w:val="180"/>
        </w:rPr>
        <w:t>   </w:t>
      </w:r>
      <w:bookmarkStart w:id="33" w:name="TAB227"/>
      <w:bookmarkEnd w:id="33"/>
      <w:r>
        <w:rPr>
          <w:spacing w:val="180"/>
        </w:rPr>
        <w:t>   </w:t>
      </w:r>
      <w:r>
        <w:rPr/>
        <w:t> </w:t>
      </w:r>
      <w:r>
        <w:rPr>
          <w:rFonts w:ascii="Times New Roman" w:hAnsi="Times New Roman"/>
          <w:sz w:val="20"/>
        </w:rPr>
        <w:t>5.2</w:t>
      </w:r>
      <w:bookmarkStart w:id="34" w:name="TAB226"/>
      <w:bookmarkEnd w:id="34"/>
      <w:r>
        <w:rPr>
          <w:color w:val="000000"/>
          <w:spacing w:val="180"/>
        </w:rPr>
        <w:t> </w:t>
      </w:r>
      <w:r>
        <w:rPr>
          <w:rFonts w:ascii="Times New Roman" w:hAnsi="Times New Roman"/>
          <w:sz w:val="20"/>
        </w:rPr>
        <w:t>Payment Terms</w:t>
      </w:r>
    </w:p>
    <w:p>
      <w:pPr>
        <w:pStyle w:val="TextBody"/>
        <w:spacing w:before="0" w:after="0"/>
        <w:ind w:left="0" w:right="0" w:hanging="0"/>
        <w:jc w:val="both"/>
        <w:rPr/>
      </w:pPr>
      <w:bookmarkStart w:id="35" w:name="TAB231"/>
      <w:bookmarkEnd w:id="35"/>
      <w:r>
        <w:rPr>
          <w:spacing w:val="180"/>
        </w:rPr>
        <w:t>   </w:t>
      </w:r>
      <w:bookmarkStart w:id="36" w:name="TAB230"/>
      <w:bookmarkEnd w:id="36"/>
      <w:r>
        <w:rPr>
          <w:spacing w:val="180"/>
        </w:rPr>
        <w:t>   </w:t>
      </w:r>
      <w:r>
        <w:rPr/>
        <w:t> </w:t>
      </w:r>
      <w:r>
        <w:rPr>
          <w:rFonts w:ascii="Times New Roman" w:hAnsi="Times New Roman"/>
          <w:sz w:val="20"/>
        </w:rPr>
        <w:t>5.3</w:t>
      </w:r>
      <w:bookmarkStart w:id="37" w:name="TAB229"/>
      <w:bookmarkEnd w:id="37"/>
      <w:r>
        <w:rPr>
          <w:color w:val="000000"/>
          <w:spacing w:val="180"/>
        </w:rPr>
        <w:t> </w:t>
      </w:r>
      <w:r>
        <w:rPr>
          <w:rFonts w:ascii="Times New Roman" w:hAnsi="Times New Roman"/>
          <w:sz w:val="20"/>
        </w:rPr>
        <w:t>Audits</w:t>
      </w:r>
    </w:p>
    <w:p>
      <w:pPr>
        <w:pStyle w:val="TextBody"/>
        <w:spacing w:before="0" w:after="0"/>
        <w:ind w:left="0" w:right="0" w:hanging="0"/>
        <w:jc w:val="both"/>
        <w:rPr>
          <w:rFonts w:ascii="Times New Roman" w:hAnsi="Times New Roman"/>
          <w:sz w:val="20"/>
        </w:rPr>
      </w:pPr>
      <w:r>
        <w:rPr>
          <w:rFonts w:ascii="Times New Roman" w:hAnsi="Times New Roman"/>
          <w:sz w:val="20"/>
        </w:rPr>
        <w:t>6.          RESEARCH AND DEVELOPMENT OBLIGATIONS</w:t>
      </w:r>
    </w:p>
    <w:p>
      <w:pPr>
        <w:pStyle w:val="TextBody"/>
        <w:spacing w:before="0" w:after="0"/>
        <w:ind w:left="0" w:right="0" w:hanging="0"/>
        <w:jc w:val="both"/>
        <w:rPr/>
      </w:pPr>
      <w:bookmarkStart w:id="38" w:name="TAB234"/>
      <w:bookmarkEnd w:id="38"/>
      <w:r>
        <w:rPr>
          <w:spacing w:val="180"/>
        </w:rPr>
        <w:t>   </w:t>
      </w:r>
      <w:bookmarkStart w:id="39" w:name="TAB233"/>
      <w:bookmarkEnd w:id="39"/>
      <w:r>
        <w:rPr>
          <w:spacing w:val="180"/>
        </w:rPr>
        <w:t>   </w:t>
      </w:r>
      <w:r>
        <w:rPr/>
        <w:t> </w:t>
      </w:r>
      <w:r>
        <w:rPr>
          <w:rFonts w:ascii="Times New Roman" w:hAnsi="Times New Roman"/>
          <w:sz w:val="20"/>
        </w:rPr>
        <w:t>6.1</w:t>
      </w:r>
      <w:bookmarkStart w:id="40" w:name="TAB232"/>
      <w:bookmarkEnd w:id="40"/>
      <w:r>
        <w:rPr>
          <w:color w:val="000000"/>
          <w:spacing w:val="180"/>
        </w:rPr>
        <w:t> </w:t>
      </w:r>
      <w:r>
        <w:rPr>
          <w:rFonts w:ascii="Times New Roman" w:hAnsi="Times New Roman"/>
          <w:sz w:val="20"/>
        </w:rPr>
        <w:t>Research and Development Efforts</w:t>
      </w:r>
    </w:p>
    <w:p>
      <w:pPr>
        <w:pStyle w:val="TextBody"/>
        <w:spacing w:before="0" w:after="0"/>
        <w:ind w:left="0" w:right="0" w:hanging="0"/>
        <w:jc w:val="both"/>
        <w:rPr/>
      </w:pPr>
      <w:bookmarkStart w:id="41" w:name="TAB237"/>
      <w:bookmarkEnd w:id="41"/>
      <w:r>
        <w:rPr>
          <w:spacing w:val="180"/>
        </w:rPr>
        <w:t>   </w:t>
      </w:r>
      <w:bookmarkStart w:id="42" w:name="TAB236"/>
      <w:bookmarkEnd w:id="42"/>
      <w:r>
        <w:rPr>
          <w:spacing w:val="180"/>
        </w:rPr>
        <w:t>   </w:t>
      </w:r>
      <w:r>
        <w:rPr/>
        <w:t> </w:t>
      </w:r>
      <w:r>
        <w:rPr>
          <w:rFonts w:ascii="Times New Roman" w:hAnsi="Times New Roman"/>
          <w:sz w:val="20"/>
        </w:rPr>
        <w:t>6.2</w:t>
      </w:r>
      <w:bookmarkStart w:id="43" w:name="TAB235"/>
      <w:bookmarkEnd w:id="43"/>
      <w:r>
        <w:rPr>
          <w:color w:val="000000"/>
          <w:spacing w:val="180"/>
        </w:rPr>
        <w:t> </w:t>
      </w:r>
      <w:r>
        <w:rPr>
          <w:rFonts w:ascii="Times New Roman" w:hAnsi="Times New Roman"/>
          <w:sz w:val="20"/>
        </w:rPr>
        <w:t>R&amp;D Plan</w:t>
      </w:r>
    </w:p>
    <w:p>
      <w:pPr>
        <w:pStyle w:val="TextBody"/>
        <w:spacing w:before="0" w:after="0"/>
        <w:ind w:left="0" w:right="0" w:hanging="0"/>
        <w:jc w:val="both"/>
        <w:rPr/>
      </w:pPr>
      <w:bookmarkStart w:id="44" w:name="TAB240"/>
      <w:bookmarkEnd w:id="44"/>
      <w:r>
        <w:rPr>
          <w:spacing w:val="180"/>
        </w:rPr>
        <w:t>   </w:t>
      </w:r>
      <w:bookmarkStart w:id="45" w:name="TAB239"/>
      <w:bookmarkEnd w:id="45"/>
      <w:r>
        <w:rPr>
          <w:spacing w:val="180"/>
        </w:rPr>
        <w:t>   </w:t>
      </w:r>
      <w:r>
        <w:rPr/>
        <w:t> </w:t>
      </w:r>
      <w:r>
        <w:rPr>
          <w:rFonts w:ascii="Times New Roman" w:hAnsi="Times New Roman"/>
          <w:sz w:val="20"/>
        </w:rPr>
        <w:t>6.3</w:t>
      </w:r>
      <w:bookmarkStart w:id="46" w:name="TAB238"/>
      <w:bookmarkEnd w:id="46"/>
      <w:r>
        <w:rPr>
          <w:color w:val="000000"/>
          <w:spacing w:val="180"/>
        </w:rPr>
        <w:t> </w:t>
      </w:r>
      <w:r>
        <w:rPr>
          <w:rFonts w:ascii="Times New Roman" w:hAnsi="Times New Roman"/>
          <w:sz w:val="20"/>
        </w:rPr>
        <w:t>Records</w:t>
      </w:r>
    </w:p>
    <w:p>
      <w:pPr>
        <w:pStyle w:val="TextBody"/>
        <w:spacing w:before="0" w:after="0"/>
        <w:ind w:left="0" w:right="0" w:hanging="0"/>
        <w:jc w:val="both"/>
        <w:rPr/>
      </w:pPr>
      <w:bookmarkStart w:id="47" w:name="TAB243"/>
      <w:bookmarkEnd w:id="47"/>
      <w:r>
        <w:rPr>
          <w:spacing w:val="180"/>
        </w:rPr>
        <w:t>   </w:t>
      </w:r>
      <w:bookmarkStart w:id="48" w:name="TAB242"/>
      <w:bookmarkEnd w:id="48"/>
      <w:r>
        <w:rPr>
          <w:spacing w:val="180"/>
        </w:rPr>
        <w:t>   </w:t>
      </w:r>
      <w:r>
        <w:rPr/>
        <w:t> </w:t>
      </w:r>
      <w:r>
        <w:rPr>
          <w:rFonts w:ascii="Times New Roman" w:hAnsi="Times New Roman"/>
          <w:sz w:val="20"/>
        </w:rPr>
        <w:t>6.4</w:t>
      </w:r>
      <w:bookmarkStart w:id="49" w:name="TAB241"/>
      <w:bookmarkEnd w:id="49"/>
      <w:r>
        <w:rPr>
          <w:color w:val="000000"/>
          <w:spacing w:val="180"/>
        </w:rPr>
        <w:t> </w:t>
      </w:r>
      <w:r>
        <w:rPr>
          <w:rFonts w:ascii="Times New Roman" w:hAnsi="Times New Roman"/>
          <w:sz w:val="20"/>
        </w:rPr>
        <w:t>Reports</w:t>
      </w:r>
    </w:p>
    <w:p>
      <w:pPr>
        <w:pStyle w:val="TextBody"/>
        <w:spacing w:before="0" w:after="0"/>
        <w:ind w:left="0" w:right="0" w:hanging="0"/>
        <w:jc w:val="both"/>
        <w:rPr>
          <w:rFonts w:ascii="Times New Roman" w:hAnsi="Times New Roman"/>
          <w:sz w:val="20"/>
        </w:rPr>
      </w:pPr>
      <w:r>
        <w:rPr>
          <w:rFonts w:ascii="Times New Roman" w:hAnsi="Times New Roman"/>
          <w:sz w:val="20"/>
        </w:rPr>
        <w:t>7.          CONFIDENTIALITY</w:t>
      </w:r>
    </w:p>
    <w:p>
      <w:pPr>
        <w:pStyle w:val="TextBody"/>
        <w:spacing w:before="0" w:after="0"/>
        <w:ind w:left="0" w:right="0" w:hanging="0"/>
        <w:jc w:val="both"/>
        <w:rPr/>
      </w:pPr>
      <w:bookmarkStart w:id="50" w:name="TAB246"/>
      <w:bookmarkEnd w:id="50"/>
      <w:r>
        <w:rPr>
          <w:spacing w:val="180"/>
        </w:rPr>
        <w:t>   </w:t>
      </w:r>
      <w:bookmarkStart w:id="51" w:name="TAB245"/>
      <w:bookmarkEnd w:id="51"/>
      <w:r>
        <w:rPr>
          <w:spacing w:val="180"/>
        </w:rPr>
        <w:t>   </w:t>
      </w:r>
      <w:r>
        <w:rPr/>
        <w:t> </w:t>
      </w:r>
      <w:r>
        <w:rPr>
          <w:rFonts w:ascii="Times New Roman" w:hAnsi="Times New Roman"/>
          <w:sz w:val="20"/>
        </w:rPr>
        <w:t>7.1</w:t>
      </w:r>
      <w:bookmarkStart w:id="52" w:name="TAB244"/>
      <w:bookmarkEnd w:id="52"/>
      <w:r>
        <w:rPr>
          <w:color w:val="000000"/>
          <w:spacing w:val="180"/>
        </w:rPr>
        <w:t> </w:t>
      </w:r>
      <w:r>
        <w:rPr>
          <w:rFonts w:ascii="Times New Roman" w:hAnsi="Times New Roman"/>
          <w:sz w:val="20"/>
        </w:rPr>
        <w:t>Confidential Information</w:t>
      </w:r>
    </w:p>
    <w:p>
      <w:pPr>
        <w:pStyle w:val="TextBody"/>
        <w:spacing w:before="0" w:after="0"/>
        <w:ind w:left="0" w:right="0" w:hanging="0"/>
        <w:jc w:val="both"/>
        <w:rPr/>
      </w:pPr>
      <w:bookmarkStart w:id="53" w:name="TAB249"/>
      <w:bookmarkEnd w:id="53"/>
      <w:r>
        <w:rPr>
          <w:spacing w:val="180"/>
        </w:rPr>
        <w:t>   </w:t>
      </w:r>
      <w:bookmarkStart w:id="54" w:name="TAB248"/>
      <w:bookmarkEnd w:id="54"/>
      <w:r>
        <w:rPr>
          <w:spacing w:val="180"/>
        </w:rPr>
        <w:t>   </w:t>
      </w:r>
      <w:r>
        <w:rPr/>
        <w:t> </w:t>
      </w:r>
      <w:r>
        <w:rPr>
          <w:rFonts w:ascii="Times New Roman" w:hAnsi="Times New Roman"/>
          <w:sz w:val="20"/>
        </w:rPr>
        <w:t>7.2</w:t>
      </w:r>
      <w:bookmarkStart w:id="55" w:name="TAB247"/>
      <w:bookmarkEnd w:id="55"/>
      <w:r>
        <w:rPr>
          <w:color w:val="000000"/>
          <w:spacing w:val="180"/>
        </w:rPr>
        <w:t> </w:t>
      </w:r>
      <w:r>
        <w:rPr>
          <w:rFonts w:ascii="Times New Roman" w:hAnsi="Times New Roman"/>
          <w:sz w:val="20"/>
        </w:rPr>
        <w:t>Terms of this Agreement</w:t>
      </w:r>
    </w:p>
    <w:p>
      <w:pPr>
        <w:pStyle w:val="TextBody"/>
        <w:spacing w:before="0" w:after="0"/>
        <w:ind w:left="0" w:right="0" w:hanging="0"/>
        <w:jc w:val="both"/>
        <w:rPr>
          <w:rFonts w:ascii="Times New Roman" w:hAnsi="Times New Roman"/>
          <w:sz w:val="20"/>
        </w:rPr>
      </w:pPr>
      <w:r>
        <w:rPr>
          <w:rFonts w:ascii="Times New Roman" w:hAnsi="Times New Roman"/>
          <w:sz w:val="20"/>
        </w:rPr>
        <w:t>8.          PATENTS</w:t>
      </w:r>
    </w:p>
    <w:p>
      <w:pPr>
        <w:pStyle w:val="TextBody"/>
        <w:spacing w:before="0" w:after="0"/>
        <w:ind w:left="0" w:right="0" w:hanging="0"/>
        <w:jc w:val="both"/>
        <w:rPr/>
      </w:pPr>
      <w:bookmarkStart w:id="56" w:name="TAB252"/>
      <w:bookmarkEnd w:id="56"/>
      <w:r>
        <w:rPr>
          <w:spacing w:val="180"/>
        </w:rPr>
        <w:t>   </w:t>
      </w:r>
      <w:bookmarkStart w:id="57" w:name="TAB251"/>
      <w:bookmarkEnd w:id="57"/>
      <w:r>
        <w:rPr>
          <w:spacing w:val="180"/>
        </w:rPr>
        <w:t>   </w:t>
      </w:r>
      <w:r>
        <w:rPr/>
        <w:t> </w:t>
      </w:r>
      <w:r>
        <w:rPr>
          <w:rFonts w:ascii="Times New Roman" w:hAnsi="Times New Roman"/>
          <w:sz w:val="20"/>
        </w:rPr>
        <w:t>8.1</w:t>
      </w:r>
      <w:bookmarkStart w:id="58" w:name="TAB250"/>
      <w:bookmarkEnd w:id="58"/>
      <w:r>
        <w:rPr>
          <w:color w:val="000000"/>
          <w:spacing w:val="180"/>
        </w:rPr>
        <w:t> </w:t>
      </w:r>
      <w:r>
        <w:rPr>
          <w:rFonts w:ascii="Times New Roman" w:hAnsi="Times New Roman"/>
          <w:sz w:val="20"/>
        </w:rPr>
        <w:t>Patent Prosecution and Maintenance</w:t>
      </w:r>
    </w:p>
    <w:p>
      <w:pPr>
        <w:pStyle w:val="TextBody"/>
        <w:spacing w:before="0" w:after="0"/>
        <w:ind w:left="0" w:right="0" w:hanging="0"/>
        <w:jc w:val="both"/>
        <w:rPr/>
      </w:pPr>
      <w:bookmarkStart w:id="59" w:name="TAB255"/>
      <w:bookmarkEnd w:id="59"/>
      <w:r>
        <w:rPr>
          <w:spacing w:val="180"/>
        </w:rPr>
        <w:t>   </w:t>
      </w:r>
      <w:bookmarkStart w:id="60" w:name="TAB254"/>
      <w:bookmarkEnd w:id="60"/>
      <w:r>
        <w:rPr>
          <w:spacing w:val="180"/>
        </w:rPr>
        <w:t>   </w:t>
      </w:r>
      <w:r>
        <w:rPr/>
        <w:t> </w:t>
      </w:r>
      <w:r>
        <w:rPr>
          <w:rFonts w:ascii="Times New Roman" w:hAnsi="Times New Roman"/>
          <w:sz w:val="20"/>
        </w:rPr>
        <w:t>8.2</w:t>
      </w:r>
      <w:bookmarkStart w:id="61" w:name="TAB253"/>
      <w:bookmarkEnd w:id="61"/>
      <w:r>
        <w:rPr>
          <w:color w:val="000000"/>
          <w:spacing w:val="180"/>
        </w:rPr>
        <w:t> </w:t>
      </w:r>
      <w:r>
        <w:rPr>
          <w:rFonts w:ascii="Times New Roman" w:hAnsi="Times New Roman"/>
          <w:sz w:val="20"/>
        </w:rPr>
        <w:t>Notification of Infringement</w:t>
      </w:r>
    </w:p>
    <w:p>
      <w:pPr>
        <w:pStyle w:val="TextBody"/>
        <w:spacing w:before="0" w:after="0"/>
        <w:ind w:left="0" w:right="0" w:hanging="0"/>
        <w:jc w:val="both"/>
        <w:rPr/>
      </w:pPr>
      <w:bookmarkStart w:id="62" w:name="TAB258"/>
      <w:bookmarkEnd w:id="62"/>
      <w:r>
        <w:rPr>
          <w:spacing w:val="180"/>
        </w:rPr>
        <w:t>   </w:t>
      </w:r>
      <w:bookmarkStart w:id="63" w:name="TAB257"/>
      <w:bookmarkEnd w:id="63"/>
      <w:r>
        <w:rPr>
          <w:spacing w:val="180"/>
        </w:rPr>
        <w:t>   </w:t>
      </w:r>
      <w:r>
        <w:rPr/>
        <w:t> </w:t>
      </w:r>
      <w:r>
        <w:rPr>
          <w:rFonts w:ascii="Times New Roman" w:hAnsi="Times New Roman"/>
          <w:sz w:val="20"/>
        </w:rPr>
        <w:t>8.3</w:t>
      </w:r>
      <w:bookmarkStart w:id="64" w:name="TAB256"/>
      <w:bookmarkEnd w:id="64"/>
      <w:r>
        <w:rPr>
          <w:color w:val="000000"/>
          <w:spacing w:val="180"/>
        </w:rPr>
        <w:t> </w:t>
      </w:r>
      <w:r>
        <w:rPr>
          <w:rFonts w:ascii="Times New Roman" w:hAnsi="Times New Roman"/>
          <w:sz w:val="20"/>
        </w:rPr>
        <w:t>Enforcement of Patent Rights</w:t>
      </w:r>
    </w:p>
    <w:p>
      <w:pPr>
        <w:pStyle w:val="TextBody"/>
        <w:spacing w:before="0" w:after="0"/>
        <w:ind w:left="0" w:right="0" w:hanging="0"/>
        <w:jc w:val="both"/>
        <w:rPr/>
      </w:pPr>
      <w:bookmarkStart w:id="65" w:name="TAB261"/>
      <w:bookmarkEnd w:id="65"/>
      <w:r>
        <w:rPr>
          <w:spacing w:val="180"/>
        </w:rPr>
        <w:t>   </w:t>
      </w:r>
      <w:bookmarkStart w:id="66" w:name="TAB260"/>
      <w:bookmarkEnd w:id="66"/>
      <w:r>
        <w:rPr>
          <w:spacing w:val="180"/>
        </w:rPr>
        <w:t>   </w:t>
      </w:r>
      <w:r>
        <w:rPr/>
        <w:t> </w:t>
      </w:r>
      <w:r>
        <w:rPr>
          <w:rFonts w:ascii="Times New Roman" w:hAnsi="Times New Roman"/>
          <w:sz w:val="20"/>
        </w:rPr>
        <w:t>8.4</w:t>
      </w:r>
      <w:bookmarkStart w:id="67" w:name="TAB259"/>
      <w:bookmarkEnd w:id="67"/>
      <w:r>
        <w:rPr>
          <w:color w:val="000000"/>
          <w:spacing w:val="180"/>
        </w:rPr>
        <w:t> </w:t>
      </w:r>
      <w:r>
        <w:rPr>
          <w:rFonts w:ascii="Times New Roman" w:hAnsi="Times New Roman"/>
          <w:sz w:val="20"/>
        </w:rPr>
        <w:t>Cooperation</w:t>
      </w:r>
    </w:p>
    <w:p>
      <w:pPr>
        <w:pStyle w:val="TextBody"/>
        <w:spacing w:before="0" w:after="0"/>
        <w:ind w:left="0" w:right="0" w:hanging="0"/>
        <w:jc w:val="both"/>
        <w:rPr>
          <w:rFonts w:ascii="Times New Roman" w:hAnsi="Times New Roman"/>
          <w:sz w:val="20"/>
        </w:rPr>
      </w:pPr>
      <w:r>
        <w:rPr>
          <w:rFonts w:ascii="Times New Roman" w:hAnsi="Times New Roman"/>
          <w:sz w:val="20"/>
        </w:rPr>
        <w:t>9.          TERMINATION</w:t>
      </w:r>
    </w:p>
    <w:p>
      <w:pPr>
        <w:pStyle w:val="TextBody"/>
        <w:spacing w:before="0" w:after="0"/>
        <w:ind w:left="0" w:right="0" w:hanging="0"/>
        <w:jc w:val="both"/>
        <w:rPr/>
      </w:pPr>
      <w:bookmarkStart w:id="68" w:name="TAB264"/>
      <w:bookmarkEnd w:id="68"/>
      <w:r>
        <w:rPr>
          <w:spacing w:val="180"/>
        </w:rPr>
        <w:t>   </w:t>
      </w:r>
      <w:bookmarkStart w:id="69" w:name="TAB263"/>
      <w:bookmarkEnd w:id="69"/>
      <w:r>
        <w:rPr>
          <w:spacing w:val="180"/>
        </w:rPr>
        <w:t>   </w:t>
      </w:r>
      <w:r>
        <w:rPr/>
        <w:t> </w:t>
      </w:r>
      <w:r>
        <w:rPr>
          <w:rFonts w:ascii="Times New Roman" w:hAnsi="Times New Roman"/>
          <w:sz w:val="20"/>
        </w:rPr>
        <w:t>9.1</w:t>
      </w:r>
      <w:bookmarkStart w:id="70" w:name="TAB262"/>
      <w:bookmarkEnd w:id="70"/>
      <w:r>
        <w:rPr>
          <w:color w:val="000000"/>
          <w:spacing w:val="180"/>
        </w:rPr>
        <w:t> </w:t>
      </w:r>
      <w:r>
        <w:rPr>
          <w:rFonts w:ascii="Times New Roman" w:hAnsi="Times New Roman"/>
          <w:sz w:val="20"/>
        </w:rPr>
        <w:t>Expiration</w:t>
      </w:r>
    </w:p>
    <w:p>
      <w:pPr>
        <w:pStyle w:val="TextBody"/>
        <w:spacing w:before="0" w:after="0"/>
        <w:ind w:left="0" w:right="0" w:hanging="0"/>
        <w:jc w:val="both"/>
        <w:rPr/>
      </w:pPr>
      <w:bookmarkStart w:id="71" w:name="TAB267"/>
      <w:bookmarkEnd w:id="71"/>
      <w:r>
        <w:rPr>
          <w:spacing w:val="180"/>
        </w:rPr>
        <w:t>   </w:t>
      </w:r>
      <w:bookmarkStart w:id="72" w:name="TAB266"/>
      <w:bookmarkEnd w:id="72"/>
      <w:r>
        <w:rPr>
          <w:spacing w:val="180"/>
        </w:rPr>
        <w:t>   </w:t>
      </w:r>
      <w:r>
        <w:rPr/>
        <w:t> </w:t>
      </w:r>
      <w:r>
        <w:rPr>
          <w:rFonts w:ascii="Times New Roman" w:hAnsi="Times New Roman"/>
          <w:sz w:val="20"/>
        </w:rPr>
        <w:t>9.2</w:t>
      </w:r>
      <w:bookmarkStart w:id="73" w:name="TAB265"/>
      <w:bookmarkEnd w:id="73"/>
      <w:r>
        <w:rPr>
          <w:color w:val="000000"/>
          <w:spacing w:val="180"/>
        </w:rPr>
        <w:t> </w:t>
      </w:r>
      <w:r>
        <w:rPr>
          <w:rFonts w:ascii="Times New Roman" w:hAnsi="Times New Roman"/>
          <w:sz w:val="20"/>
        </w:rPr>
        <w:t>Termination by Mutual Consent</w:t>
      </w:r>
    </w:p>
    <w:p>
      <w:pPr>
        <w:pStyle w:val="TextBody"/>
        <w:spacing w:before="0" w:after="0"/>
        <w:ind w:left="0" w:right="0" w:hanging="0"/>
        <w:jc w:val="both"/>
        <w:rPr/>
      </w:pPr>
      <w:bookmarkStart w:id="74" w:name="TAB270"/>
      <w:bookmarkEnd w:id="74"/>
      <w:r>
        <w:rPr>
          <w:spacing w:val="180"/>
        </w:rPr>
        <w:t>   </w:t>
      </w:r>
      <w:bookmarkStart w:id="75" w:name="TAB269"/>
      <w:bookmarkEnd w:id="75"/>
      <w:r>
        <w:rPr>
          <w:spacing w:val="180"/>
        </w:rPr>
        <w:t>   </w:t>
      </w:r>
      <w:r>
        <w:rPr/>
        <w:t> </w:t>
      </w:r>
      <w:r>
        <w:rPr>
          <w:rFonts w:ascii="Times New Roman" w:hAnsi="Times New Roman"/>
          <w:sz w:val="20"/>
        </w:rPr>
        <w:t>9.3</w:t>
      </w:r>
      <w:bookmarkStart w:id="76" w:name="TAB268"/>
      <w:bookmarkEnd w:id="76"/>
      <w:r>
        <w:rPr>
          <w:color w:val="000000"/>
          <w:spacing w:val="180"/>
        </w:rPr>
        <w:t> </w:t>
      </w:r>
      <w:r>
        <w:rPr>
          <w:rFonts w:ascii="Times New Roman" w:hAnsi="Times New Roman"/>
          <w:sz w:val="20"/>
        </w:rPr>
        <w:t>Termination by Licensee</w:t>
      </w:r>
    </w:p>
    <w:p>
      <w:pPr>
        <w:pStyle w:val="TextBody"/>
        <w:spacing w:before="0" w:after="0"/>
        <w:ind w:left="0" w:right="0" w:hanging="0"/>
        <w:jc w:val="both"/>
        <w:rPr/>
      </w:pPr>
      <w:bookmarkStart w:id="77" w:name="TAB273"/>
      <w:bookmarkEnd w:id="77"/>
      <w:r>
        <w:rPr>
          <w:spacing w:val="180"/>
        </w:rPr>
        <w:t>   </w:t>
      </w:r>
      <w:bookmarkStart w:id="78" w:name="TAB272"/>
      <w:bookmarkEnd w:id="78"/>
      <w:r>
        <w:rPr>
          <w:spacing w:val="180"/>
        </w:rPr>
        <w:t>   </w:t>
      </w:r>
      <w:r>
        <w:rPr/>
        <w:t> </w:t>
      </w:r>
      <w:r>
        <w:rPr>
          <w:rFonts w:ascii="Times New Roman" w:hAnsi="Times New Roman"/>
          <w:sz w:val="20"/>
        </w:rPr>
        <w:t>9.4</w:t>
      </w:r>
      <w:bookmarkStart w:id="79" w:name="TAB271"/>
      <w:bookmarkEnd w:id="79"/>
      <w:r>
        <w:rPr>
          <w:color w:val="000000"/>
          <w:spacing w:val="180"/>
        </w:rPr>
        <w:t> </w:t>
      </w:r>
      <w:r>
        <w:rPr>
          <w:rFonts w:ascii="Times New Roman" w:hAnsi="Times New Roman"/>
          <w:sz w:val="20"/>
        </w:rPr>
        <w:t>Termination for Cause</w:t>
      </w:r>
    </w:p>
    <w:p>
      <w:pPr>
        <w:pStyle w:val="TextBody"/>
        <w:spacing w:before="0" w:after="0"/>
        <w:ind w:left="0" w:right="0" w:hanging="0"/>
        <w:jc w:val="both"/>
        <w:rPr/>
      </w:pPr>
      <w:bookmarkStart w:id="80" w:name="TAB276"/>
      <w:bookmarkEnd w:id="80"/>
      <w:r>
        <w:rPr>
          <w:spacing w:val="180"/>
        </w:rPr>
        <w:t>   </w:t>
      </w:r>
      <w:bookmarkStart w:id="81" w:name="TAB275"/>
      <w:bookmarkEnd w:id="81"/>
      <w:r>
        <w:rPr>
          <w:spacing w:val="180"/>
        </w:rPr>
        <w:t>   </w:t>
      </w:r>
      <w:r>
        <w:rPr/>
        <w:t> </w:t>
      </w:r>
      <w:r>
        <w:rPr>
          <w:rFonts w:ascii="Times New Roman" w:hAnsi="Times New Roman"/>
          <w:sz w:val="20"/>
        </w:rPr>
        <w:t>9.5</w:t>
      </w:r>
      <w:bookmarkStart w:id="82" w:name="TAB274"/>
      <w:bookmarkEnd w:id="82"/>
      <w:r>
        <w:rPr>
          <w:color w:val="000000"/>
          <w:spacing w:val="180"/>
        </w:rPr>
        <w:t> </w:t>
      </w:r>
      <w:r>
        <w:rPr>
          <w:rFonts w:ascii="Times New Roman" w:hAnsi="Times New Roman"/>
          <w:sz w:val="20"/>
        </w:rPr>
        <w:t>Termination Upon Licensee Insolvency</w:t>
      </w:r>
    </w:p>
    <w:p>
      <w:pPr>
        <w:pStyle w:val="TextBody"/>
        <w:spacing w:before="0" w:after="0"/>
        <w:ind w:left="0" w:right="0" w:hanging="0"/>
        <w:jc w:val="both"/>
        <w:rPr/>
      </w:pPr>
      <w:bookmarkStart w:id="83" w:name="TAB279"/>
      <w:bookmarkEnd w:id="83"/>
      <w:r>
        <w:rPr>
          <w:spacing w:val="180"/>
        </w:rPr>
        <w:t>   </w:t>
      </w:r>
      <w:bookmarkStart w:id="84" w:name="TAB278"/>
      <w:bookmarkEnd w:id="84"/>
      <w:r>
        <w:rPr>
          <w:spacing w:val="180"/>
        </w:rPr>
        <w:t>   </w:t>
      </w:r>
      <w:r>
        <w:rPr/>
        <w:t> </w:t>
      </w:r>
      <w:r>
        <w:rPr>
          <w:rFonts w:ascii="Times New Roman" w:hAnsi="Times New Roman"/>
          <w:sz w:val="20"/>
        </w:rPr>
        <w:t>9.6</w:t>
      </w:r>
      <w:bookmarkStart w:id="85" w:name="TAB277"/>
      <w:bookmarkEnd w:id="85"/>
      <w:r>
        <w:rPr>
          <w:color w:val="000000"/>
          <w:spacing w:val="180"/>
        </w:rPr>
        <w:t> </w:t>
      </w:r>
      <w:r>
        <w:rPr>
          <w:rFonts w:ascii="Times New Roman" w:hAnsi="Times New Roman"/>
          <w:sz w:val="20"/>
        </w:rPr>
        <w:t>Effect of Expiration or Termination</w:t>
      </w:r>
    </w:p>
    <w:p>
      <w:pPr>
        <w:pStyle w:val="TextBody"/>
        <w:spacing w:before="0" w:after="0"/>
        <w:ind w:left="0" w:right="0" w:hanging="0"/>
        <w:jc w:val="both"/>
        <w:rPr>
          <w:rFonts w:ascii="Times New Roman" w:hAnsi="Times New Roman"/>
          <w:sz w:val="20"/>
        </w:rPr>
      </w:pPr>
      <w:r>
        <w:rPr>
          <w:rFonts w:ascii="Times New Roman" w:hAnsi="Times New Roman"/>
          <w:sz w:val="20"/>
        </w:rPr>
        <w:t>10.         INDEMNIFICATION</w:t>
      </w:r>
    </w:p>
    <w:p>
      <w:pPr>
        <w:pStyle w:val="TextBody"/>
        <w:spacing w:before="0" w:after="0"/>
        <w:ind w:left="0" w:right="0" w:hanging="0"/>
        <w:jc w:val="both"/>
        <w:rPr/>
      </w:pPr>
      <w:bookmarkStart w:id="86" w:name="TAB282"/>
      <w:bookmarkEnd w:id="86"/>
      <w:r>
        <w:rPr>
          <w:spacing w:val="180"/>
        </w:rPr>
        <w:t>   </w:t>
      </w:r>
      <w:bookmarkStart w:id="87" w:name="TAB281"/>
      <w:bookmarkEnd w:id="87"/>
      <w:r>
        <w:rPr>
          <w:spacing w:val="180"/>
        </w:rPr>
        <w:t>   </w:t>
      </w:r>
      <w:r>
        <w:rPr/>
        <w:t> </w:t>
      </w:r>
      <w:r>
        <w:rPr>
          <w:rFonts w:ascii="Times New Roman" w:hAnsi="Times New Roman"/>
          <w:sz w:val="20"/>
        </w:rPr>
        <w:t>10.1</w:t>
      </w:r>
      <w:bookmarkStart w:id="88" w:name="TAB280"/>
      <w:bookmarkEnd w:id="88"/>
      <w:r>
        <w:rPr>
          <w:color w:val="000000"/>
          <w:spacing w:val="180"/>
        </w:rPr>
        <w:t> </w:t>
      </w:r>
      <w:r>
        <w:rPr>
          <w:rFonts w:ascii="Times New Roman" w:hAnsi="Times New Roman"/>
          <w:sz w:val="20"/>
        </w:rPr>
        <w:t>Indemnification</w:t>
      </w:r>
    </w:p>
    <w:p>
      <w:pPr>
        <w:pStyle w:val="TextBody"/>
        <w:spacing w:before="0" w:after="0"/>
        <w:ind w:left="0" w:right="0" w:hanging="0"/>
        <w:jc w:val="both"/>
        <w:rPr/>
      </w:pPr>
      <w:bookmarkStart w:id="89" w:name="TAB285"/>
      <w:bookmarkEnd w:id="89"/>
      <w:r>
        <w:rPr>
          <w:spacing w:val="180"/>
        </w:rPr>
        <w:t>   </w:t>
      </w:r>
      <w:bookmarkStart w:id="90" w:name="TAB284"/>
      <w:bookmarkEnd w:id="90"/>
      <w:r>
        <w:rPr>
          <w:spacing w:val="180"/>
        </w:rPr>
        <w:t>   </w:t>
      </w:r>
      <w:r>
        <w:rPr/>
        <w:t> </w:t>
      </w:r>
      <w:r>
        <w:rPr>
          <w:rFonts w:ascii="Times New Roman" w:hAnsi="Times New Roman"/>
          <w:sz w:val="20"/>
        </w:rPr>
        <w:t>10.2</w:t>
      </w:r>
      <w:bookmarkStart w:id="91" w:name="TAB283"/>
      <w:bookmarkEnd w:id="91"/>
      <w:r>
        <w:rPr>
          <w:color w:val="000000"/>
          <w:spacing w:val="180"/>
        </w:rPr>
        <w:t> </w:t>
      </w:r>
      <w:r>
        <w:rPr>
          <w:rFonts w:ascii="Times New Roman" w:hAnsi="Times New Roman"/>
          <w:sz w:val="20"/>
        </w:rPr>
        <w:t>Procedure</w:t>
      </w:r>
    </w:p>
    <w:p>
      <w:pPr>
        <w:pStyle w:val="TextBody"/>
        <w:spacing w:before="0" w:after="0"/>
        <w:ind w:left="0" w:right="0" w:hanging="0"/>
        <w:jc w:val="both"/>
        <w:rPr/>
      </w:pPr>
      <w:bookmarkStart w:id="92" w:name="TAB288"/>
      <w:bookmarkEnd w:id="92"/>
      <w:r>
        <w:rPr>
          <w:spacing w:val="180"/>
        </w:rPr>
        <w:t>   </w:t>
      </w:r>
      <w:bookmarkStart w:id="93" w:name="TAB287"/>
      <w:bookmarkEnd w:id="93"/>
      <w:r>
        <w:rPr>
          <w:spacing w:val="180"/>
        </w:rPr>
        <w:t>   </w:t>
      </w:r>
      <w:r>
        <w:rPr/>
        <w:t> </w:t>
      </w:r>
      <w:r>
        <w:rPr>
          <w:rFonts w:ascii="Times New Roman" w:hAnsi="Times New Roman"/>
          <w:sz w:val="20"/>
        </w:rPr>
        <w:t>10.3</w:t>
      </w:r>
      <w:bookmarkStart w:id="94" w:name="TAB286"/>
      <w:bookmarkEnd w:id="94"/>
      <w:r>
        <w:rPr>
          <w:color w:val="000000"/>
          <w:spacing w:val="180"/>
        </w:rPr>
        <w:t> </w:t>
      </w:r>
      <w:r>
        <w:rPr>
          <w:rFonts w:ascii="Times New Roman" w:hAnsi="Times New Roman"/>
          <w:sz w:val="20"/>
        </w:rPr>
        <w:t>Insurance</w:t>
      </w:r>
    </w:p>
    <w:p>
      <w:pPr>
        <w:pStyle w:val="TextBody"/>
        <w:spacing w:before="0" w:after="0"/>
        <w:ind w:left="0" w:right="0" w:hanging="0"/>
        <w:jc w:val="both"/>
        <w:rPr/>
      </w:pPr>
      <w:bookmarkStart w:id="95" w:name="TAB290"/>
      <w:bookmarkEnd w:id="95"/>
      <w:r>
        <w:rPr>
          <w:spacing w:val="180"/>
        </w:rPr>
        <w:t>   </w:t>
      </w:r>
      <w:bookmarkStart w:id="96" w:name="TAB289"/>
      <w:bookmarkEnd w:id="96"/>
      <w:r>
        <w:rPr>
          <w:spacing w:val="180"/>
        </w:rPr>
        <w:t>   </w:t>
      </w:r>
      <w:r>
        <w:rPr/>
        <w:t> </w:t>
      </w:r>
      <w:r>
        <w:rPr>
          <w:rFonts w:ascii="Times New Roman" w:hAnsi="Times New Roman"/>
          <w:sz w:val="20"/>
        </w:rPr>
        <w:t>10.4 Certificates of Insurance</w:t>
      </w:r>
    </w:p>
    <w:p>
      <w:pPr>
        <w:pStyle w:val="TextBody"/>
        <w:spacing w:before="0" w:after="0"/>
        <w:ind w:left="0" w:right="0" w:hanging="0"/>
        <w:jc w:val="both"/>
        <w:rPr/>
      </w:pPr>
      <w:bookmarkStart w:id="97" w:name="TAB293"/>
      <w:bookmarkEnd w:id="97"/>
      <w:r>
        <w:rPr>
          <w:spacing w:val="180"/>
        </w:rPr>
        <w:t>   </w:t>
      </w:r>
      <w:bookmarkStart w:id="98" w:name="TAB292"/>
      <w:bookmarkEnd w:id="98"/>
      <w:r>
        <w:rPr>
          <w:spacing w:val="180"/>
        </w:rPr>
        <w:t>   </w:t>
      </w:r>
      <w:r>
        <w:rPr/>
        <w:t> </w:t>
      </w:r>
      <w:r>
        <w:rPr>
          <w:rFonts w:ascii="Times New Roman" w:hAnsi="Times New Roman"/>
          <w:sz w:val="20"/>
        </w:rPr>
        <w:t>10.5</w:t>
      </w:r>
      <w:bookmarkStart w:id="99" w:name="TAB291"/>
      <w:bookmarkEnd w:id="99"/>
      <w:r>
        <w:rPr>
          <w:color w:val="000000"/>
          <w:spacing w:val="180"/>
        </w:rPr>
        <w:t> </w:t>
      </w:r>
      <w:r>
        <w:rPr>
          <w:rFonts w:ascii="Times New Roman" w:hAnsi="Times New Roman"/>
          <w:sz w:val="20"/>
        </w:rPr>
        <w:t>Notice of Cancellation or Expiration</w:t>
      </w:r>
    </w:p>
    <w:p>
      <w:pPr>
        <w:pStyle w:val="TextBody"/>
        <w:spacing w:before="0" w:after="0"/>
        <w:ind w:left="0" w:right="0" w:hanging="0"/>
        <w:jc w:val="both"/>
        <w:rPr/>
      </w:pPr>
      <w:r>
        <w:rPr>
          <w:rFonts w:ascii="Times New Roman" w:hAnsi="Times New Roman"/>
          <w:sz w:val="20"/>
        </w:rPr>
        <w:t>11.</w:t>
      </w:r>
      <w:bookmarkStart w:id="100" w:name="TAB294"/>
      <w:bookmarkEnd w:id="100"/>
      <w:r>
        <w:rPr>
          <w:color w:val="000000"/>
          <w:spacing w:val="180"/>
        </w:rPr>
        <w:t xml:space="preserve">   </w:t>
      </w:r>
      <w:r>
        <w:rPr>
          <w:rFonts w:ascii="Times New Roman" w:hAnsi="Times New Roman"/>
          <w:sz w:val="20"/>
        </w:rPr>
        <w:t>FORCE MAJEURE</w:t>
      </w:r>
    </w:p>
    <w:p>
      <w:pPr>
        <w:pStyle w:val="TextBody"/>
        <w:spacing w:before="0" w:after="0"/>
        <w:ind w:left="0" w:right="0" w:hanging="0"/>
        <w:jc w:val="both"/>
        <w:rPr/>
      </w:pPr>
      <w:r>
        <w:rPr>
          <w:rFonts w:ascii="Times New Roman" w:hAnsi="Times New Roman"/>
          <w:sz w:val="20"/>
        </w:rPr>
        <w:t>12.</w:t>
      </w:r>
      <w:bookmarkStart w:id="101" w:name="TAB295"/>
      <w:bookmarkEnd w:id="101"/>
      <w:r>
        <w:rPr>
          <w:color w:val="000000"/>
          <w:spacing w:val="180"/>
        </w:rPr>
        <w:t xml:space="preserve">   </w:t>
      </w:r>
      <w:r>
        <w:rPr>
          <w:rFonts w:ascii="Times New Roman" w:hAnsi="Times New Roman"/>
          <w:sz w:val="20"/>
        </w:rPr>
        <w:t>GENERAL PROVISIONS</w:t>
      </w:r>
    </w:p>
    <w:p>
      <w:pPr>
        <w:pStyle w:val="TextBody"/>
        <w:spacing w:before="0" w:after="0"/>
        <w:ind w:left="0" w:right="0" w:hanging="0"/>
        <w:jc w:val="both"/>
        <w:rPr/>
      </w:pPr>
      <w:bookmarkStart w:id="102" w:name="TAB298"/>
      <w:bookmarkEnd w:id="102"/>
      <w:r>
        <w:rPr>
          <w:spacing w:val="180"/>
        </w:rPr>
        <w:t>   </w:t>
      </w:r>
      <w:bookmarkStart w:id="103" w:name="TAB297"/>
      <w:bookmarkEnd w:id="103"/>
      <w:r>
        <w:rPr>
          <w:spacing w:val="180"/>
        </w:rPr>
        <w:t>   </w:t>
      </w:r>
      <w:r>
        <w:rPr/>
        <w:t> </w:t>
      </w:r>
      <w:r>
        <w:rPr>
          <w:rFonts w:ascii="Times New Roman" w:hAnsi="Times New Roman"/>
          <w:sz w:val="20"/>
        </w:rPr>
        <w:t>12.1</w:t>
      </w:r>
      <w:bookmarkStart w:id="104" w:name="TAB296"/>
      <w:bookmarkEnd w:id="104"/>
      <w:r>
        <w:rPr>
          <w:color w:val="000000"/>
          <w:spacing w:val="180"/>
        </w:rPr>
        <w:t> </w:t>
      </w:r>
      <w:r>
        <w:rPr>
          <w:rFonts w:ascii="Times New Roman" w:hAnsi="Times New Roman"/>
          <w:sz w:val="20"/>
        </w:rPr>
        <w:t>Notices</w:t>
      </w:r>
    </w:p>
    <w:p>
      <w:pPr>
        <w:pStyle w:val="TextBody"/>
        <w:spacing w:before="0" w:after="0"/>
        <w:ind w:left="0" w:right="0" w:hanging="0"/>
        <w:jc w:val="both"/>
        <w:rPr/>
      </w:pPr>
      <w:bookmarkStart w:id="105" w:name="TAB2101"/>
      <w:bookmarkEnd w:id="105"/>
      <w:r>
        <w:rPr>
          <w:spacing w:val="180"/>
        </w:rPr>
        <w:t>   </w:t>
      </w:r>
      <w:bookmarkStart w:id="106" w:name="TAB2100"/>
      <w:bookmarkEnd w:id="106"/>
      <w:r>
        <w:rPr>
          <w:spacing w:val="180"/>
        </w:rPr>
        <w:t>   </w:t>
      </w:r>
      <w:r>
        <w:rPr/>
        <w:t> </w:t>
      </w:r>
      <w:r>
        <w:rPr>
          <w:rFonts w:ascii="Times New Roman" w:hAnsi="Times New Roman"/>
          <w:sz w:val="20"/>
        </w:rPr>
        <w:t>12.2</w:t>
      </w:r>
      <w:bookmarkStart w:id="107" w:name="TAB299"/>
      <w:bookmarkEnd w:id="107"/>
      <w:r>
        <w:rPr>
          <w:color w:val="000000"/>
          <w:spacing w:val="180"/>
        </w:rPr>
        <w:t> </w:t>
      </w:r>
      <w:r>
        <w:rPr>
          <w:rFonts w:ascii="Times New Roman" w:hAnsi="Times New Roman"/>
          <w:sz w:val="20"/>
        </w:rPr>
        <w:t>Further Representations, Warranties &amp; Liability</w:t>
      </w:r>
    </w:p>
    <w:p>
      <w:pPr>
        <w:pStyle w:val="TextBody"/>
        <w:spacing w:before="0" w:after="0"/>
        <w:ind w:left="0" w:right="0" w:hanging="0"/>
        <w:jc w:val="both"/>
        <w:rPr/>
      </w:pPr>
      <w:bookmarkStart w:id="108" w:name="TAB2104"/>
      <w:bookmarkEnd w:id="108"/>
      <w:r>
        <w:rPr>
          <w:spacing w:val="180"/>
        </w:rPr>
        <w:t>   </w:t>
      </w:r>
      <w:bookmarkStart w:id="109" w:name="TAB2103"/>
      <w:bookmarkEnd w:id="109"/>
      <w:r>
        <w:rPr>
          <w:spacing w:val="180"/>
        </w:rPr>
        <w:t>   </w:t>
      </w:r>
      <w:r>
        <w:rPr/>
        <w:t> </w:t>
      </w:r>
      <w:r>
        <w:rPr>
          <w:rFonts w:ascii="Times New Roman" w:hAnsi="Times New Roman"/>
          <w:sz w:val="20"/>
        </w:rPr>
        <w:t>12.3</w:t>
      </w:r>
      <w:bookmarkStart w:id="110" w:name="TAB2102"/>
      <w:bookmarkEnd w:id="110"/>
      <w:r>
        <w:rPr>
          <w:color w:val="000000"/>
          <w:spacing w:val="180"/>
        </w:rPr>
        <w:t> </w:t>
      </w:r>
      <w:r>
        <w:rPr>
          <w:rFonts w:ascii="Times New Roman" w:hAnsi="Times New Roman"/>
          <w:sz w:val="20"/>
        </w:rPr>
        <w:t>Dispute Resolution</w:t>
      </w:r>
    </w:p>
    <w:p>
      <w:pPr>
        <w:pStyle w:val="TextBody"/>
        <w:spacing w:before="0" w:after="0"/>
        <w:ind w:left="0" w:right="0" w:hanging="0"/>
        <w:jc w:val="both"/>
        <w:rPr/>
      </w:pPr>
      <w:bookmarkStart w:id="111" w:name="TAB2107"/>
      <w:bookmarkEnd w:id="111"/>
      <w:r>
        <w:rPr>
          <w:spacing w:val="180"/>
        </w:rPr>
        <w:t>   </w:t>
      </w:r>
      <w:bookmarkStart w:id="112" w:name="TAB2106"/>
      <w:bookmarkEnd w:id="112"/>
      <w:r>
        <w:rPr>
          <w:spacing w:val="180"/>
        </w:rPr>
        <w:t>   </w:t>
      </w:r>
      <w:r>
        <w:rPr/>
        <w:t> </w:t>
      </w:r>
      <w:r>
        <w:rPr>
          <w:rFonts w:ascii="Times New Roman" w:hAnsi="Times New Roman"/>
          <w:sz w:val="20"/>
        </w:rPr>
        <w:t>12.4</w:t>
      </w:r>
      <w:bookmarkStart w:id="113" w:name="TAB2105"/>
      <w:bookmarkEnd w:id="113"/>
      <w:r>
        <w:rPr>
          <w:color w:val="000000"/>
          <w:spacing w:val="180"/>
        </w:rPr>
        <w:t> </w:t>
      </w:r>
      <w:r>
        <w:rPr>
          <w:rFonts w:ascii="Times New Roman" w:hAnsi="Times New Roman"/>
          <w:sz w:val="20"/>
        </w:rPr>
        <w:t>Assignme</w:t>
      </w:r>
    </w:p>
    <w:p>
      <w:pPr>
        <w:pStyle w:val="TextBody"/>
        <w:spacing w:before="0" w:after="0"/>
        <w:ind w:left="0" w:right="0" w:hanging="0"/>
        <w:jc w:val="both"/>
        <w:rPr/>
      </w:pPr>
      <w:bookmarkStart w:id="114" w:name="TAB2110"/>
      <w:bookmarkEnd w:id="114"/>
      <w:r>
        <w:rPr>
          <w:spacing w:val="180"/>
        </w:rPr>
        <w:t>   </w:t>
      </w:r>
      <w:bookmarkStart w:id="115" w:name="TAB2109"/>
      <w:bookmarkEnd w:id="115"/>
      <w:r>
        <w:rPr>
          <w:spacing w:val="180"/>
        </w:rPr>
        <w:t>   </w:t>
      </w:r>
      <w:r>
        <w:rPr/>
        <w:t> </w:t>
      </w:r>
      <w:r>
        <w:rPr>
          <w:rFonts w:ascii="Times New Roman" w:hAnsi="Times New Roman"/>
          <w:sz w:val="20"/>
        </w:rPr>
        <w:t>12.5</w:t>
      </w:r>
      <w:bookmarkStart w:id="116" w:name="TAB2108"/>
      <w:bookmarkEnd w:id="116"/>
      <w:r>
        <w:rPr>
          <w:color w:val="000000"/>
          <w:spacing w:val="180"/>
        </w:rPr>
        <w:t> </w:t>
      </w:r>
      <w:r>
        <w:rPr>
          <w:rFonts w:ascii="Times New Roman" w:hAnsi="Times New Roman"/>
          <w:sz w:val="20"/>
        </w:rPr>
        <w:t>Waivers and Amendments</w:t>
      </w:r>
    </w:p>
    <w:p>
      <w:pPr>
        <w:pStyle w:val="TextBody"/>
        <w:spacing w:before="0" w:after="0"/>
        <w:ind w:left="0" w:right="0" w:hanging="0"/>
        <w:jc w:val="both"/>
        <w:rPr/>
      </w:pPr>
      <w:bookmarkStart w:id="117" w:name="TAB2113"/>
      <w:bookmarkEnd w:id="117"/>
      <w:r>
        <w:rPr>
          <w:spacing w:val="180"/>
        </w:rPr>
        <w:t>   </w:t>
      </w:r>
      <w:bookmarkStart w:id="118" w:name="TAB2112"/>
      <w:bookmarkEnd w:id="118"/>
      <w:r>
        <w:rPr>
          <w:spacing w:val="180"/>
        </w:rPr>
        <w:t>   </w:t>
      </w:r>
      <w:r>
        <w:rPr/>
        <w:t> </w:t>
      </w:r>
      <w:r>
        <w:rPr>
          <w:rFonts w:ascii="Times New Roman" w:hAnsi="Times New Roman"/>
          <w:sz w:val="20"/>
        </w:rPr>
        <w:t>12.6</w:t>
      </w:r>
      <w:bookmarkStart w:id="119" w:name="TAB2111"/>
      <w:bookmarkEnd w:id="119"/>
      <w:r>
        <w:rPr>
          <w:color w:val="000000"/>
          <w:spacing w:val="180"/>
        </w:rPr>
        <w:t> </w:t>
      </w:r>
      <w:r>
        <w:rPr>
          <w:rFonts w:ascii="Times New Roman" w:hAnsi="Times New Roman"/>
          <w:sz w:val="20"/>
        </w:rPr>
        <w:t>Entire Agreement</w:t>
      </w:r>
    </w:p>
    <w:p>
      <w:pPr>
        <w:pStyle w:val="TextBody"/>
        <w:spacing w:before="0" w:after="0"/>
        <w:ind w:left="0" w:right="0" w:hanging="0"/>
        <w:jc w:val="both"/>
        <w:rPr/>
      </w:pPr>
      <w:bookmarkStart w:id="120" w:name="TAB2116"/>
      <w:bookmarkEnd w:id="120"/>
      <w:r>
        <w:rPr>
          <w:spacing w:val="180"/>
        </w:rPr>
        <w:t>   </w:t>
      </w:r>
      <w:bookmarkStart w:id="121" w:name="TAB2115"/>
      <w:bookmarkEnd w:id="121"/>
      <w:r>
        <w:rPr>
          <w:spacing w:val="180"/>
        </w:rPr>
        <w:t>   </w:t>
      </w:r>
      <w:r>
        <w:rPr/>
        <w:t> </w:t>
      </w:r>
      <w:r>
        <w:rPr>
          <w:rFonts w:ascii="Times New Roman" w:hAnsi="Times New Roman"/>
          <w:sz w:val="20"/>
        </w:rPr>
        <w:t>12.7</w:t>
      </w:r>
      <w:bookmarkStart w:id="122" w:name="TAB2114"/>
      <w:bookmarkEnd w:id="122"/>
      <w:r>
        <w:rPr>
          <w:color w:val="000000"/>
          <w:spacing w:val="180"/>
        </w:rPr>
        <w:t> </w:t>
      </w:r>
      <w:r>
        <w:rPr>
          <w:rFonts w:ascii="Times New Roman" w:hAnsi="Times New Roman"/>
          <w:sz w:val="20"/>
        </w:rPr>
        <w:t>Severability</w:t>
      </w:r>
    </w:p>
    <w:p>
      <w:pPr>
        <w:pStyle w:val="TextBody"/>
        <w:spacing w:before="0" w:after="0"/>
        <w:ind w:left="0" w:right="0" w:hanging="0"/>
        <w:jc w:val="both"/>
        <w:rPr/>
      </w:pPr>
      <w:bookmarkStart w:id="123" w:name="TAB2119"/>
      <w:bookmarkEnd w:id="123"/>
      <w:r>
        <w:rPr>
          <w:spacing w:val="180"/>
        </w:rPr>
        <w:t>   </w:t>
      </w:r>
      <w:bookmarkStart w:id="124" w:name="TAB2118"/>
      <w:bookmarkEnd w:id="124"/>
      <w:r>
        <w:rPr>
          <w:spacing w:val="180"/>
        </w:rPr>
        <w:t>   </w:t>
      </w:r>
      <w:r>
        <w:rPr/>
        <w:t> </w:t>
      </w:r>
      <w:r>
        <w:rPr>
          <w:rFonts w:ascii="Times New Roman" w:hAnsi="Times New Roman"/>
          <w:sz w:val="20"/>
        </w:rPr>
        <w:t>12.8</w:t>
      </w:r>
      <w:bookmarkStart w:id="125" w:name="TAB2117"/>
      <w:bookmarkEnd w:id="125"/>
      <w:r>
        <w:rPr>
          <w:color w:val="000000"/>
          <w:spacing w:val="180"/>
        </w:rPr>
        <w:t> </w:t>
      </w:r>
      <w:r>
        <w:rPr>
          <w:rFonts w:ascii="Times New Roman" w:hAnsi="Times New Roman"/>
          <w:sz w:val="20"/>
        </w:rPr>
        <w:t>Waiver</w:t>
      </w:r>
    </w:p>
    <w:p>
      <w:pPr>
        <w:pStyle w:val="TextBody"/>
        <w:spacing w:before="0" w:after="0"/>
        <w:ind w:left="0" w:right="0" w:hanging="0"/>
        <w:jc w:val="both"/>
        <w:rPr/>
      </w:pPr>
      <w:bookmarkStart w:id="126" w:name="TAB2122"/>
      <w:bookmarkEnd w:id="126"/>
      <w:r>
        <w:rPr>
          <w:spacing w:val="180"/>
        </w:rPr>
        <w:t>   </w:t>
      </w:r>
      <w:bookmarkStart w:id="127" w:name="TAB2121"/>
      <w:bookmarkEnd w:id="127"/>
      <w:r>
        <w:rPr>
          <w:spacing w:val="180"/>
        </w:rPr>
        <w:t>   </w:t>
      </w:r>
      <w:r>
        <w:rPr/>
        <w:t> </w:t>
      </w:r>
      <w:r>
        <w:rPr>
          <w:rFonts w:ascii="Times New Roman" w:hAnsi="Times New Roman"/>
          <w:sz w:val="20"/>
        </w:rPr>
        <w:t>12.9</w:t>
      </w:r>
      <w:bookmarkStart w:id="128" w:name="TAB2120"/>
      <w:bookmarkEnd w:id="128"/>
      <w:r>
        <w:rPr>
          <w:color w:val="000000"/>
          <w:spacing w:val="180"/>
        </w:rPr>
        <w:t> </w:t>
      </w:r>
      <w:r>
        <w:rPr>
          <w:rFonts w:ascii="Times New Roman" w:hAnsi="Times New Roman"/>
          <w:sz w:val="20"/>
        </w:rPr>
        <w:t>Counterparts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29" w:name="PGBRK"/>
      <w:bookmarkStart w:id="130" w:name="PGBRK"/>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1" w:name="FTR"/>
      <w:bookmarkStart w:id="132" w:name="FTR"/>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3" w:name="GLFTR"/>
      <w:bookmarkEnd w:id="1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4" w:name="PN"/>
      <w:bookmarkEnd w:id="13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5" w:name="HDR"/>
      <w:bookmarkStart w:id="136" w:name="HDR"/>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7" w:name="GLHDR"/>
      <w:bookmarkEnd w:id="1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LICENSE AGREEMENT</w:t>
      </w:r>
    </w:p>
    <w:p>
      <w:pPr>
        <w:pStyle w:val="TextBody"/>
        <w:spacing w:before="0" w:after="0"/>
        <w:ind w:left="0" w:right="0" w:hanging="0"/>
        <w:jc w:val="both"/>
        <w:rPr/>
      </w:pPr>
      <w:r>
        <w:rPr/>
        <w:t> </w:t>
      </w:r>
    </w:p>
    <w:p>
      <w:pPr>
        <w:pStyle w:val="TextBody"/>
        <w:spacing w:before="0" w:after="0"/>
        <w:ind w:left="0" w:right="0" w:hanging="0"/>
        <w:jc w:val="both"/>
        <w:rPr/>
      </w:pPr>
      <w:bookmarkStart w:id="138" w:name="TAB2123"/>
      <w:bookmarkEnd w:id="138"/>
      <w:r>
        <w:rPr>
          <w:spacing w:val="180"/>
        </w:rPr>
        <w:t>   </w:t>
      </w:r>
      <w:r>
        <w:rPr/>
        <w:t> </w:t>
      </w:r>
      <w:r>
        <w:rPr>
          <w:rFonts w:ascii="Times New Roman" w:hAnsi="Times New Roman"/>
          <w:sz w:val="20"/>
        </w:rPr>
        <w:t>THIS LICENSE AGREEMENT NUMBER 1 (this "Agreement") is dated as of October 24, 201.1 (the "</w:t>
      </w:r>
      <w:r>
        <w:rPr>
          <w:rFonts w:ascii="Times New Roman" w:hAnsi="Times New Roman"/>
          <w:sz w:val="20"/>
          <w:u w:val="single"/>
        </w:rPr>
        <w:t>Effective Date</w:t>
      </w:r>
      <w:r>
        <w:rPr>
          <w:rFonts w:ascii="Times New Roman" w:hAnsi="Times New Roman"/>
          <w:sz w:val="20"/>
        </w:rPr>
        <w:t>"), and is entered into by and between (i) University Health Network, an Ontario corporation, incorporated under the Toronto Hospital Act 1997 ("</w:t>
      </w:r>
      <w:r>
        <w:rPr>
          <w:rFonts w:ascii="Times New Roman" w:hAnsi="Times New Roman"/>
          <w:sz w:val="20"/>
          <w:u w:val="single"/>
        </w:rPr>
        <w:t>Licensor</w:t>
      </w:r>
      <w:r>
        <w:rPr>
          <w:rFonts w:ascii="Times New Roman" w:hAnsi="Times New Roman"/>
          <w:sz w:val="20"/>
        </w:rPr>
        <w:t>"), having a research office at 610 University Avenue, Suite 7-504, Toronto, Ontario, Canada M5G2M9, and (ii)VistaGen Therapeutics, Inc., a Nevada corporation ("</w:t>
      </w:r>
      <w:r>
        <w:rPr>
          <w:rFonts w:ascii="Times New Roman" w:hAnsi="Times New Roman"/>
          <w:sz w:val="20"/>
          <w:u w:val="single"/>
        </w:rPr>
        <w:t>Licensee"</w:t>
      </w:r>
      <w:r>
        <w:rPr>
          <w:rFonts w:ascii="Times New Roman" w:hAnsi="Times New Roman"/>
          <w:sz w:val="20"/>
        </w:rPr>
        <w:t>), having a place of business at 384 Oyster Point Boulevard, Suite 8, South San Francisco, California 94080.</w:t>
      </w:r>
    </w:p>
    <w:p>
      <w:pPr>
        <w:pStyle w:val="TextBody"/>
        <w:spacing w:before="0" w:after="0"/>
        <w:ind w:left="0" w:right="0" w:hanging="0"/>
        <w:jc w:val="both"/>
        <w:rPr/>
      </w:pPr>
      <w:r>
        <w:rPr/>
        <w:t> </w:t>
      </w:r>
    </w:p>
    <w:p>
      <w:pPr>
        <w:pStyle w:val="TextBody"/>
        <w:spacing w:before="0" w:after="0"/>
        <w:ind w:left="0" w:right="0" w:hanging="0"/>
        <w:jc w:val="both"/>
        <w:rPr/>
      </w:pPr>
      <w:bookmarkStart w:id="139" w:name="TAB2124"/>
      <w:bookmarkEnd w:id="139"/>
      <w:r>
        <w:rPr>
          <w:spacing w:val="180"/>
        </w:rPr>
        <w:t>   </w:t>
      </w:r>
      <w:r>
        <w:rPr/>
        <w:t> </w:t>
      </w:r>
      <w:r>
        <w:rPr>
          <w:rFonts w:ascii="Times New Roman" w:hAnsi="Times New Roman"/>
          <w:sz w:val="20"/>
        </w:rPr>
        <w:t>WHEREAS, Licensor owns or has rights in the Licensed IP (as defined in Exhibit B).</w:t>
      </w:r>
    </w:p>
    <w:p>
      <w:pPr>
        <w:pStyle w:val="TextBody"/>
        <w:spacing w:before="0" w:after="0"/>
        <w:ind w:left="0" w:right="0" w:hanging="0"/>
        <w:jc w:val="both"/>
        <w:rPr/>
      </w:pPr>
      <w:r>
        <w:rPr/>
        <w:t> </w:t>
      </w:r>
    </w:p>
    <w:p>
      <w:pPr>
        <w:pStyle w:val="TextBody"/>
        <w:spacing w:before="0" w:after="0"/>
        <w:ind w:left="0" w:right="0" w:hanging="0"/>
        <w:jc w:val="both"/>
        <w:rPr/>
      </w:pPr>
      <w:bookmarkStart w:id="140" w:name="TAB2125"/>
      <w:bookmarkEnd w:id="140"/>
      <w:r>
        <w:rPr>
          <w:spacing w:val="180"/>
        </w:rPr>
        <w:t>   </w:t>
      </w:r>
      <w:r>
        <w:rPr/>
        <w:t> </w:t>
      </w:r>
      <w:r>
        <w:rPr>
          <w:rFonts w:ascii="Times New Roman" w:hAnsi="Times New Roman"/>
          <w:sz w:val="20"/>
        </w:rPr>
        <w:t>WHEREAS, Licensee desires to obtain an exclusive license under Licensor's rights in the Technology on the terms and conditions set forth below.</w:t>
      </w:r>
    </w:p>
    <w:p>
      <w:pPr>
        <w:pStyle w:val="TextBody"/>
        <w:spacing w:before="0" w:after="0"/>
        <w:ind w:left="0" w:right="0" w:hanging="0"/>
        <w:jc w:val="both"/>
        <w:rPr/>
      </w:pPr>
      <w:r>
        <w:rPr/>
        <w:t> </w:t>
      </w:r>
    </w:p>
    <w:p>
      <w:pPr>
        <w:pStyle w:val="TextBody"/>
        <w:spacing w:before="0" w:after="0"/>
        <w:ind w:left="0" w:right="0" w:hanging="0"/>
        <w:jc w:val="both"/>
        <w:rPr/>
      </w:pPr>
      <w:bookmarkStart w:id="141" w:name="TAB2126"/>
      <w:bookmarkEnd w:id="141"/>
      <w:r>
        <w:rPr>
          <w:spacing w:val="180"/>
        </w:rPr>
        <w:t>   </w:t>
      </w:r>
      <w:r>
        <w:rPr/>
        <w:t> </w:t>
      </w:r>
      <w:r>
        <w:rPr>
          <w:rFonts w:ascii="Times New Roman" w:hAnsi="Times New Roman"/>
          <w:sz w:val="20"/>
        </w:rPr>
        <w:t>NOW, THEREFORE, in consideration of the foregoing premises and the mutual covenants herein contained, the parties hereby agree as follows:</w:t>
      </w:r>
    </w:p>
    <w:p>
      <w:pPr>
        <w:pStyle w:val="TextBody"/>
        <w:spacing w:before="0" w:after="0"/>
        <w:ind w:left="0" w:right="0" w:hanging="0"/>
        <w:jc w:val="both"/>
        <w:rPr/>
      </w:pPr>
      <w:r>
        <w:rPr/>
        <w:t> </w:t>
      </w:r>
    </w:p>
    <w:p>
      <w:pPr>
        <w:pStyle w:val="TextBody"/>
        <w:spacing w:before="0" w:after="0"/>
        <w:ind w:left="0" w:right="0" w:hanging="0"/>
        <w:jc w:val="both"/>
        <w:rPr/>
      </w:pPr>
      <w:bookmarkStart w:id="142" w:name="TAB2128"/>
      <w:bookmarkEnd w:id="142"/>
      <w:r>
        <w:rPr>
          <w:spacing w:val="180"/>
        </w:rPr>
        <w:t>   </w:t>
      </w:r>
      <w:r>
        <w:rPr/>
        <w:t> </w:t>
      </w:r>
      <w:r>
        <w:rPr>
          <w:rFonts w:ascii="Times New Roman" w:hAnsi="Times New Roman"/>
          <w:sz w:val="20"/>
        </w:rPr>
        <w:t>1.</w:t>
      </w:r>
      <w:bookmarkStart w:id="143" w:name="TAB2127"/>
      <w:bookmarkEnd w:id="143"/>
      <w:r>
        <w:rPr>
          <w:color w:val="000000"/>
          <w:spacing w:val="180"/>
        </w:rPr>
        <w:t> </w:t>
      </w:r>
      <w:r>
        <w:rPr>
          <w:rFonts w:ascii="Times New Roman" w:hAnsi="Times New Roman"/>
          <w:sz w:val="20"/>
          <w:u w:val="single"/>
        </w:rPr>
        <w:t>DEFINITIONS</w:t>
      </w:r>
    </w:p>
    <w:p>
      <w:pPr>
        <w:pStyle w:val="TextBody"/>
        <w:spacing w:before="0" w:after="0"/>
        <w:ind w:left="0" w:right="0" w:hanging="0"/>
        <w:jc w:val="both"/>
        <w:rPr/>
      </w:pPr>
      <w:r>
        <w:rPr/>
        <w:t> </w:t>
      </w:r>
    </w:p>
    <w:p>
      <w:pPr>
        <w:pStyle w:val="TextBody"/>
        <w:spacing w:before="0" w:after="0"/>
        <w:ind w:left="0" w:right="0" w:hanging="0"/>
        <w:jc w:val="both"/>
        <w:rPr/>
      </w:pPr>
      <w:bookmarkStart w:id="144" w:name="TAB2129"/>
      <w:bookmarkEnd w:id="144"/>
      <w:r>
        <w:rPr>
          <w:spacing w:val="180"/>
        </w:rPr>
        <w:t>   </w:t>
      </w:r>
      <w:r>
        <w:rPr/>
        <w:t> </w:t>
      </w:r>
      <w:r>
        <w:rPr>
          <w:rFonts w:ascii="Times New Roman" w:hAnsi="Times New Roman"/>
          <w:sz w:val="20"/>
        </w:rPr>
        <w:t>For purposes of this Agreement, the terms defined in Exhibit A shall have the defined meanings set forth in Exhibit A. Unless otherwise noted, all dollar amounts are quoted in US dollars.</w:t>
      </w:r>
    </w:p>
    <w:p>
      <w:pPr>
        <w:pStyle w:val="TextBody"/>
        <w:spacing w:before="0" w:after="0"/>
        <w:ind w:left="0" w:right="0" w:hanging="0"/>
        <w:jc w:val="both"/>
        <w:rPr/>
      </w:pPr>
      <w:r>
        <w:rPr/>
        <w:t> </w:t>
      </w:r>
    </w:p>
    <w:p>
      <w:pPr>
        <w:pStyle w:val="TextBody"/>
        <w:spacing w:before="0" w:after="0"/>
        <w:ind w:left="0" w:right="0" w:hanging="0"/>
        <w:jc w:val="both"/>
        <w:rPr/>
      </w:pPr>
      <w:bookmarkStart w:id="145" w:name="TAB2131"/>
      <w:bookmarkEnd w:id="145"/>
      <w:r>
        <w:rPr>
          <w:spacing w:val="180"/>
        </w:rPr>
        <w:t>   </w:t>
      </w:r>
      <w:r>
        <w:rPr/>
        <w:t> </w:t>
      </w:r>
      <w:r>
        <w:rPr>
          <w:rFonts w:ascii="Times New Roman" w:hAnsi="Times New Roman"/>
          <w:sz w:val="20"/>
        </w:rPr>
        <w:t>2.</w:t>
      </w:r>
      <w:bookmarkStart w:id="146" w:name="TAB2130"/>
      <w:bookmarkEnd w:id="146"/>
      <w:r>
        <w:rPr>
          <w:color w:val="000000"/>
          <w:spacing w:val="180"/>
        </w:rPr>
        <w:t> </w:t>
      </w:r>
      <w:r>
        <w:rPr>
          <w:rFonts w:ascii="Times New Roman" w:hAnsi="Times New Roman"/>
          <w:sz w:val="20"/>
          <w:u w:val="single"/>
        </w:rPr>
        <w:t>REPRESENTATIONS AND WARRANTIES</w:t>
      </w:r>
    </w:p>
    <w:p>
      <w:pPr>
        <w:pStyle w:val="TextBody"/>
        <w:spacing w:before="0" w:after="0"/>
        <w:ind w:left="0" w:right="0" w:hanging="0"/>
        <w:jc w:val="both"/>
        <w:rPr/>
      </w:pPr>
      <w:r>
        <w:rPr/>
        <w:t> </w:t>
      </w:r>
    </w:p>
    <w:p>
      <w:pPr>
        <w:pStyle w:val="TextBody"/>
        <w:spacing w:before="0" w:after="0"/>
        <w:ind w:left="0" w:right="0" w:hanging="0"/>
        <w:jc w:val="both"/>
        <w:rPr/>
      </w:pPr>
      <w:bookmarkStart w:id="147" w:name="TAB2133"/>
      <w:bookmarkEnd w:id="147"/>
      <w:r>
        <w:rPr>
          <w:spacing w:val="180"/>
        </w:rPr>
        <w:t>   </w:t>
      </w:r>
      <w:bookmarkStart w:id="148" w:name="TAB2132"/>
      <w:bookmarkEnd w:id="148"/>
      <w:r>
        <w:rPr>
          <w:spacing w:val="180"/>
        </w:rPr>
        <w:t>   </w:t>
      </w:r>
      <w:r>
        <w:rPr/>
        <w:t> </w:t>
      </w:r>
      <w:r>
        <w:rPr>
          <w:rFonts w:ascii="Times New Roman" w:hAnsi="Times New Roman"/>
          <w:sz w:val="20"/>
        </w:rPr>
        <w:t>2.1     </w:t>
      </w:r>
      <w:r>
        <w:rPr>
          <w:rFonts w:ascii="Times New Roman" w:hAnsi="Times New Roman"/>
          <w:sz w:val="20"/>
          <w:u w:val="single"/>
        </w:rPr>
        <w:t>Mutual Representations and Warranties</w:t>
      </w:r>
      <w:r>
        <w:rPr>
          <w:rFonts w:ascii="Times New Roman" w:hAnsi="Times New Roman"/>
          <w:sz w:val="20"/>
        </w:rPr>
        <w:t>. Each Party hereby represents and warrants to the other Party as follows:</w:t>
      </w:r>
    </w:p>
    <w:p>
      <w:pPr>
        <w:pStyle w:val="TextBody"/>
        <w:spacing w:before="0" w:after="0"/>
        <w:ind w:left="0" w:right="0" w:hanging="0"/>
        <w:jc w:val="both"/>
        <w:rPr/>
      </w:pPr>
      <w:r>
        <w:rPr/>
        <w:t> </w:t>
      </w:r>
    </w:p>
    <w:p>
      <w:pPr>
        <w:pStyle w:val="TextBody"/>
        <w:spacing w:before="0" w:after="0"/>
        <w:ind w:left="0" w:right="0" w:hanging="0"/>
        <w:jc w:val="both"/>
        <w:rPr/>
      </w:pPr>
      <w:bookmarkStart w:id="149" w:name="TAB2137"/>
      <w:bookmarkEnd w:id="149"/>
      <w:r>
        <w:rPr>
          <w:spacing w:val="180"/>
        </w:rPr>
        <w:t>   </w:t>
      </w:r>
      <w:bookmarkStart w:id="150" w:name="TAB2136"/>
      <w:bookmarkEnd w:id="150"/>
      <w:r>
        <w:rPr>
          <w:spacing w:val="180"/>
        </w:rPr>
        <w:t>   </w:t>
      </w:r>
      <w:bookmarkStart w:id="151" w:name="TAB2135"/>
      <w:bookmarkEnd w:id="151"/>
      <w:r>
        <w:rPr>
          <w:spacing w:val="180"/>
        </w:rPr>
        <w:t>   </w:t>
      </w:r>
      <w:r>
        <w:rPr/>
        <w:t> </w:t>
      </w:r>
      <w:r>
        <w:rPr>
          <w:rFonts w:ascii="Times New Roman" w:hAnsi="Times New Roman"/>
          <w:sz w:val="20"/>
        </w:rPr>
        <w:t>2.1.1</w:t>
      </w:r>
      <w:bookmarkStart w:id="152" w:name="TAB2134"/>
      <w:bookmarkEnd w:id="152"/>
      <w:r>
        <w:rPr>
          <w:color w:val="000000"/>
          <w:spacing w:val="180"/>
        </w:rPr>
        <w:t> </w:t>
      </w:r>
      <w:r>
        <w:rPr>
          <w:rFonts w:ascii="Times New Roman" w:hAnsi="Times New Roman"/>
          <w:sz w:val="20"/>
        </w:rPr>
        <w:t>Such Party is a corporation duly organized, validly existing and in good standing under the laws of the state, province or country in which it is incorporated.</w:t>
      </w:r>
    </w:p>
    <w:p>
      <w:pPr>
        <w:pStyle w:val="TextBody"/>
        <w:spacing w:before="0" w:after="0"/>
        <w:ind w:left="0" w:right="0" w:hanging="0"/>
        <w:jc w:val="both"/>
        <w:rPr/>
      </w:pPr>
      <w:r>
        <w:rPr/>
        <w:t> </w:t>
      </w:r>
    </w:p>
    <w:p>
      <w:pPr>
        <w:pStyle w:val="TextBody"/>
        <w:spacing w:before="0" w:after="0"/>
        <w:ind w:left="0" w:right="0" w:hanging="0"/>
        <w:jc w:val="both"/>
        <w:rPr/>
      </w:pPr>
      <w:bookmarkStart w:id="153" w:name="TAB2141"/>
      <w:bookmarkEnd w:id="153"/>
      <w:r>
        <w:rPr>
          <w:spacing w:val="180"/>
        </w:rPr>
        <w:t>   </w:t>
      </w:r>
      <w:bookmarkStart w:id="154" w:name="TAB2140"/>
      <w:bookmarkEnd w:id="154"/>
      <w:r>
        <w:rPr>
          <w:spacing w:val="180"/>
        </w:rPr>
        <w:t>   </w:t>
      </w:r>
      <w:bookmarkStart w:id="155" w:name="TAB2139"/>
      <w:bookmarkEnd w:id="155"/>
      <w:r>
        <w:rPr>
          <w:spacing w:val="180"/>
        </w:rPr>
        <w:t>   </w:t>
      </w:r>
      <w:r>
        <w:rPr/>
        <w:t> </w:t>
      </w:r>
      <w:r>
        <w:rPr>
          <w:rFonts w:ascii="Times New Roman" w:hAnsi="Times New Roman"/>
          <w:sz w:val="20"/>
        </w:rPr>
        <w:t>2.1.2</w:t>
      </w:r>
      <w:bookmarkStart w:id="156" w:name="TAB2138"/>
      <w:bookmarkEnd w:id="156"/>
      <w:r>
        <w:rPr>
          <w:color w:val="000000"/>
          <w:spacing w:val="180"/>
        </w:rPr>
        <w:t> </w:t>
      </w:r>
      <w:r>
        <w:rPr>
          <w:rFonts w:ascii="Times New Roman" w:hAnsi="Times New Roman"/>
          <w:sz w:val="20"/>
        </w:rPr>
        <w:t>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pStyle w:val="TextBody"/>
        <w:spacing w:before="0" w:after="0"/>
        <w:ind w:left="0" w:right="0" w:hanging="0"/>
        <w:jc w:val="both"/>
        <w:rPr/>
      </w:pPr>
      <w:r>
        <w:rPr/>
        <w:t> </w:t>
      </w:r>
    </w:p>
    <w:p>
      <w:pPr>
        <w:pStyle w:val="TextBody"/>
        <w:spacing w:before="0" w:after="0"/>
        <w:ind w:left="0" w:right="0" w:hanging="0"/>
        <w:jc w:val="both"/>
        <w:rPr/>
      </w:pPr>
      <w:bookmarkStart w:id="157" w:name="TAB2144"/>
      <w:bookmarkStart w:id="158" w:name="TAB2145"/>
      <w:bookmarkEnd w:id="157"/>
      <w:bookmarkEnd w:id="158"/>
      <w:r>
        <w:rPr>
          <w:spacing w:val="180"/>
        </w:rPr>
        <w:t>       </w:t>
      </w:r>
      <w:bookmarkStart w:id="159" w:name="TAB2143"/>
      <w:bookmarkEnd w:id="159"/>
      <w:r>
        <w:rPr>
          <w:spacing w:val="180"/>
        </w:rPr>
        <w:t>   </w:t>
      </w:r>
      <w:r>
        <w:rPr/>
        <w:t> </w:t>
      </w:r>
      <w:r>
        <w:rPr>
          <w:rFonts w:ascii="Times New Roman" w:hAnsi="Times New Roman"/>
          <w:sz w:val="20"/>
        </w:rPr>
        <w:t>2.1.3</w:t>
      </w:r>
      <w:bookmarkStart w:id="160" w:name="TAB2142"/>
      <w:bookmarkEnd w:id="160"/>
      <w:r>
        <w:rPr>
          <w:color w:val="000000"/>
          <w:spacing w:val="180"/>
        </w:rPr>
        <w:t> </w:t>
      </w:r>
      <w:r>
        <w:rPr>
          <w:rFonts w:ascii="Times New Roman" w:hAnsi="Times New Roman"/>
          <w:sz w:val="20"/>
        </w:rPr>
        <w:t>All necessary consents, approvals and authorizations of all governmental authorities and other Persons required to be obtained by such Party in connection with this Agreement have been obtained.</w:t>
      </w:r>
    </w:p>
    <w:p>
      <w:pPr>
        <w:pStyle w:val="TextBody"/>
        <w:spacing w:before="0" w:after="0"/>
        <w:ind w:left="0" w:right="0" w:hanging="0"/>
        <w:jc w:val="both"/>
        <w:rPr/>
      </w:pPr>
      <w:r>
        <w:rPr/>
        <w:t> </w:t>
      </w:r>
    </w:p>
    <w:p>
      <w:pPr>
        <w:pStyle w:val="TextBody"/>
        <w:spacing w:before="0" w:after="0"/>
        <w:ind w:left="0" w:right="0" w:hanging="0"/>
        <w:jc w:val="both"/>
        <w:rPr/>
      </w:pPr>
      <w:bookmarkStart w:id="161" w:name="TAB2148"/>
      <w:bookmarkStart w:id="162" w:name="TAB2149"/>
      <w:bookmarkEnd w:id="161"/>
      <w:bookmarkEnd w:id="162"/>
      <w:r>
        <w:rPr>
          <w:spacing w:val="180"/>
        </w:rPr>
        <w:t>       </w:t>
      </w:r>
      <w:bookmarkStart w:id="163" w:name="TAB2147"/>
      <w:bookmarkEnd w:id="163"/>
      <w:r>
        <w:rPr>
          <w:spacing w:val="180"/>
        </w:rPr>
        <w:t>   </w:t>
      </w:r>
      <w:r>
        <w:rPr/>
        <w:t> </w:t>
      </w:r>
      <w:r>
        <w:rPr>
          <w:rFonts w:ascii="Times New Roman" w:hAnsi="Times New Roman"/>
          <w:sz w:val="20"/>
        </w:rPr>
        <w:t>2.1.4</w:t>
      </w:r>
      <w:bookmarkStart w:id="164" w:name="TAB2146"/>
      <w:bookmarkEnd w:id="164"/>
      <w:r>
        <w:rPr>
          <w:color w:val="000000"/>
          <w:spacing w:val="180"/>
        </w:rPr>
        <w:t> </w:t>
      </w:r>
      <w:r>
        <w:rPr>
          <w:rFonts w:ascii="Times New Roman" w:hAnsi="Times New Roman"/>
          <w:sz w:val="20"/>
        </w:rPr>
        <w:t>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pStyle w:val="TextBody"/>
        <w:spacing w:before="0" w:after="0"/>
        <w:ind w:left="0" w:right="0" w:hanging="0"/>
        <w:jc w:val="both"/>
        <w:rPr/>
      </w:pPr>
      <w:r>
        <w:rPr/>
        <w:t> </w:t>
      </w:r>
    </w:p>
    <w:p>
      <w:pPr>
        <w:pStyle w:val="TextBody"/>
        <w:spacing w:before="0" w:after="0"/>
        <w:ind w:left="0" w:right="0" w:hanging="0"/>
        <w:jc w:val="both"/>
        <w:rPr/>
      </w:pPr>
      <w:bookmarkStart w:id="165" w:name="TAB2151"/>
      <w:bookmarkEnd w:id="165"/>
      <w:r>
        <w:rPr>
          <w:spacing w:val="180"/>
        </w:rPr>
        <w:t>   </w:t>
      </w:r>
      <w:bookmarkStart w:id="166" w:name="TAB2150"/>
      <w:bookmarkEnd w:id="166"/>
      <w:r>
        <w:rPr>
          <w:spacing w:val="180"/>
        </w:rPr>
        <w:t>   </w:t>
      </w:r>
      <w:r>
        <w:rPr/>
        <w:t> </w:t>
      </w:r>
      <w:r>
        <w:rPr>
          <w:rFonts w:ascii="Times New Roman" w:hAnsi="Times New Roman"/>
          <w:sz w:val="20"/>
        </w:rPr>
        <w:t>2.2    </w:t>
      </w:r>
      <w:r>
        <w:rPr>
          <w:rFonts w:ascii="Times New Roman" w:hAnsi="Times New Roman"/>
          <w:sz w:val="20"/>
          <w:u w:val="single"/>
        </w:rPr>
        <w:t>Licensor Representations and Warranties</w:t>
      </w:r>
      <w:r>
        <w:rPr>
          <w:rFonts w:ascii="Times New Roman" w:hAnsi="Times New Roman"/>
          <w:sz w:val="20"/>
        </w:rPr>
        <w:t>. Licensor hereby represents and warrants to Licensee that, as of the Effective Date, Licensor, to the best of its knowledge, (a) is the sole owner of the Licensed IP, and (b) other than as noted in Exhibit C, has not granted to any Third Party any license or other interest in the Licensed IP, and (c) is not aware of any Third Party patent, patent application or other intellectual property rights (other than any inventions identified as prior art in the patents or patent applications licensed to Licensee hereunder) that would be infringed (i) by practicing any process or method or by making, using or selling any composition which is claimed or disclosed in the Licensed IP, or (ii) by making, using or selling Licensed Products (but only to the extent that the making, using or selling of Licensed Products is covered by Licensed IP), and (d) is not aware of any infringement or misappropriation by a Third Party of the Licensed IP. Notwithstanding the foregoing, Licensor is under no duty, obligation or requirement to perform or conduct any legal inquiry or other search, analyses or assessment pertaining to patentability, validity, infringement and/or legal status in respect of any Licensed IP and Licensed Patents.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67" w:name="PGBRK1"/>
      <w:bookmarkStart w:id="168" w:name="PGBRK1"/>
      <w:bookmarkEnd w:id="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69" w:name="FTR1"/>
      <w:bookmarkStart w:id="170" w:name="FTR1"/>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1" w:name="GLFTR1"/>
      <w:bookmarkEnd w:id="1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2" w:name="PN1"/>
      <w:bookmarkEnd w:id="17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73" w:name="HDR1"/>
      <w:bookmarkStart w:id="174" w:name="HDR1"/>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5" w:name="GLHDR1"/>
      <w:bookmarkEnd w:id="1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bookmarkStart w:id="176" w:name="TAB2152"/>
      <w:bookmarkEnd w:id="176"/>
      <w:r>
        <w:rPr>
          <w:spacing w:val="180"/>
        </w:rPr>
        <w:t>   </w:t>
      </w:r>
      <w:r>
        <w:rPr/>
        <w:t> </w:t>
      </w:r>
      <w:r>
        <w:rPr>
          <w:rFonts w:ascii="Times New Roman" w:hAnsi="Times New Roman"/>
          <w:sz w:val="20"/>
        </w:rPr>
        <w:t>3.          </w:t>
      </w:r>
      <w:r>
        <w:rPr>
          <w:rFonts w:ascii="Times New Roman" w:hAnsi="Times New Roman"/>
          <w:sz w:val="20"/>
          <w:u w:val="single"/>
        </w:rPr>
        <w:t>LICENSE GRANT</w:t>
      </w:r>
    </w:p>
    <w:p>
      <w:pPr>
        <w:pStyle w:val="TextBody"/>
        <w:spacing w:before="0" w:after="0"/>
        <w:ind w:left="0" w:right="0" w:hanging="0"/>
        <w:jc w:val="both"/>
        <w:rPr/>
      </w:pPr>
      <w:r>
        <w:rPr/>
        <w:t> </w:t>
      </w:r>
    </w:p>
    <w:p>
      <w:pPr>
        <w:pStyle w:val="TextBody"/>
        <w:spacing w:before="0" w:after="0"/>
        <w:ind w:left="0" w:right="0" w:hanging="0"/>
        <w:jc w:val="both"/>
        <w:rPr/>
      </w:pPr>
      <w:bookmarkStart w:id="177" w:name="TAB2155"/>
      <w:bookmarkEnd w:id="177"/>
      <w:r>
        <w:rPr>
          <w:spacing w:val="180"/>
        </w:rPr>
        <w:t>   </w:t>
      </w:r>
      <w:bookmarkStart w:id="178" w:name="TAB2154"/>
      <w:bookmarkEnd w:id="178"/>
      <w:r>
        <w:rPr>
          <w:spacing w:val="180"/>
        </w:rPr>
        <w:t>   </w:t>
      </w:r>
      <w:r>
        <w:rPr/>
        <w:t> </w:t>
      </w:r>
      <w:r>
        <w:rPr>
          <w:rFonts w:ascii="Times New Roman" w:hAnsi="Times New Roman"/>
          <w:sz w:val="20"/>
        </w:rPr>
        <w:t>3.1</w:t>
      </w:r>
      <w:bookmarkStart w:id="179" w:name="TAB2153"/>
      <w:bookmarkEnd w:id="179"/>
      <w:r>
        <w:rPr>
          <w:color w:val="000000"/>
          <w:spacing w:val="180"/>
        </w:rPr>
        <w:t> </w:t>
      </w:r>
      <w:r>
        <w:rPr>
          <w:rFonts w:ascii="Times New Roman" w:hAnsi="Times New Roman"/>
          <w:sz w:val="20"/>
          <w:u w:val="single"/>
        </w:rPr>
        <w:t>Licensed IP</w:t>
      </w:r>
      <w:r>
        <w:rPr>
          <w:rFonts w:ascii="Times New Roman" w:hAnsi="Times New Roman"/>
          <w:sz w:val="20"/>
        </w:rPr>
        <w:t>. Subject to Section 3.3, Licensor hereby grants to Licensee an exclusive license (with the right to grant sublicenses through multiple tiers) under the Licensed IP to conduct research and to develop, make, have made, use, offer for sale, sell and import Licensed Products, worldwide and for all fields of use. Licensee shall promptly provide to Licensor a copy of any Sublicense Agreement. The grant of any such Sublicense Agreement will not relieve Licensee of its obligations under this Agreement.</w:t>
      </w:r>
    </w:p>
    <w:p>
      <w:pPr>
        <w:pStyle w:val="TextBody"/>
        <w:spacing w:before="0" w:after="0"/>
        <w:ind w:left="0" w:right="0" w:hanging="0"/>
        <w:jc w:val="both"/>
        <w:rPr/>
      </w:pPr>
      <w:r>
        <w:rPr/>
        <w:t> </w:t>
      </w:r>
    </w:p>
    <w:p>
      <w:pPr>
        <w:pStyle w:val="TextBody"/>
        <w:spacing w:before="0" w:after="0"/>
        <w:ind w:left="0" w:right="0" w:hanging="0"/>
        <w:jc w:val="both"/>
        <w:rPr/>
      </w:pPr>
      <w:bookmarkStart w:id="180" w:name="TAB2158"/>
      <w:bookmarkEnd w:id="180"/>
      <w:r>
        <w:rPr>
          <w:spacing w:val="180"/>
        </w:rPr>
        <w:t>   </w:t>
      </w:r>
      <w:bookmarkStart w:id="181" w:name="TAB2157"/>
      <w:bookmarkEnd w:id="181"/>
      <w:r>
        <w:rPr>
          <w:spacing w:val="180"/>
        </w:rPr>
        <w:t>   </w:t>
      </w:r>
      <w:r>
        <w:rPr/>
        <w:t> </w:t>
      </w:r>
      <w:r>
        <w:rPr>
          <w:rFonts w:ascii="Times New Roman" w:hAnsi="Times New Roman"/>
          <w:sz w:val="20"/>
        </w:rPr>
        <w:t>3.2</w:t>
      </w:r>
      <w:bookmarkStart w:id="182" w:name="TAB2156"/>
      <w:bookmarkEnd w:id="182"/>
      <w:r>
        <w:rPr>
          <w:color w:val="000000"/>
          <w:spacing w:val="180"/>
        </w:rPr>
        <w:t> </w:t>
      </w:r>
      <w:r>
        <w:rPr>
          <w:rFonts w:ascii="Times New Roman" w:hAnsi="Times New Roman"/>
          <w:sz w:val="20"/>
          <w:u w:val="single"/>
        </w:rPr>
        <w:t>Availability of the Licensed IP</w:t>
      </w:r>
      <w:r>
        <w:rPr>
          <w:rFonts w:ascii="Times New Roman" w:hAnsi="Times New Roman"/>
          <w:sz w:val="20"/>
        </w:rPr>
        <w:t>. Within ten (10) days of the Effective Date, Licensor shall provide Licensee with a copy of all information and documents available to Licensor relating to the filing and prosecution of patent applications encompassing the Licensed IP.</w:t>
      </w:r>
    </w:p>
    <w:p>
      <w:pPr>
        <w:pStyle w:val="TextBody"/>
        <w:spacing w:before="0" w:after="0"/>
        <w:ind w:left="0" w:right="0" w:hanging="0"/>
        <w:jc w:val="both"/>
        <w:rPr/>
      </w:pPr>
      <w:r>
        <w:rPr/>
        <w:t> </w:t>
      </w:r>
    </w:p>
    <w:p>
      <w:pPr>
        <w:pStyle w:val="TextBody"/>
        <w:spacing w:before="0" w:after="0"/>
        <w:ind w:left="0" w:right="0" w:hanging="0"/>
        <w:jc w:val="both"/>
        <w:rPr/>
      </w:pPr>
      <w:bookmarkStart w:id="183" w:name="TAB2161"/>
      <w:bookmarkEnd w:id="183"/>
      <w:r>
        <w:rPr>
          <w:spacing w:val="180"/>
        </w:rPr>
        <w:t>   </w:t>
      </w:r>
      <w:bookmarkStart w:id="184" w:name="TAB2160"/>
      <w:bookmarkEnd w:id="184"/>
      <w:r>
        <w:rPr>
          <w:spacing w:val="180"/>
        </w:rPr>
        <w:t>   </w:t>
      </w:r>
      <w:r>
        <w:rPr/>
        <w:t> </w:t>
      </w:r>
      <w:r>
        <w:rPr>
          <w:rFonts w:ascii="Times New Roman" w:hAnsi="Times New Roman"/>
          <w:sz w:val="20"/>
        </w:rPr>
        <w:t>3.3</w:t>
      </w:r>
      <w:bookmarkStart w:id="185" w:name="TAB2159"/>
      <w:bookmarkEnd w:id="185"/>
      <w:r>
        <w:rPr>
          <w:color w:val="000000"/>
          <w:spacing w:val="180"/>
        </w:rPr>
        <w:t> </w:t>
      </w:r>
      <w:r>
        <w:rPr>
          <w:rFonts w:ascii="Times New Roman" w:hAnsi="Times New Roman"/>
          <w:sz w:val="20"/>
          <w:u w:val="single"/>
        </w:rPr>
        <w:t>Reserved Right</w:t>
      </w:r>
      <w:r>
        <w:rPr>
          <w:rFonts w:ascii="Times New Roman" w:hAnsi="Times New Roman"/>
          <w:sz w:val="20"/>
        </w:rPr>
        <w:t>. Licensor reserves and retains the non-exclusive, sublicenseable right to use the Licensed IP for non-commercial research purposes and/or academic educational purposes, without any financial obligation to Licensee for so using the Licensed IP.</w:t>
      </w:r>
    </w:p>
    <w:p>
      <w:pPr>
        <w:pStyle w:val="TextBody"/>
        <w:spacing w:before="0" w:after="0"/>
        <w:ind w:left="0" w:right="0" w:hanging="0"/>
        <w:jc w:val="both"/>
        <w:rPr/>
      </w:pPr>
      <w:r>
        <w:rPr/>
        <w:t> </w:t>
      </w:r>
    </w:p>
    <w:p>
      <w:pPr>
        <w:pStyle w:val="TextBody"/>
        <w:spacing w:before="0" w:after="0"/>
        <w:ind w:left="0" w:right="0" w:hanging="0"/>
        <w:jc w:val="both"/>
        <w:rPr/>
      </w:pPr>
      <w:bookmarkStart w:id="186" w:name="TAB2162"/>
      <w:bookmarkEnd w:id="186"/>
      <w:r>
        <w:rPr>
          <w:spacing w:val="180"/>
        </w:rPr>
        <w:t>   </w:t>
      </w:r>
      <w:r>
        <w:rPr/>
        <w:t> </w:t>
      </w:r>
      <w:r>
        <w:rPr>
          <w:rFonts w:ascii="Times New Roman" w:hAnsi="Times New Roman"/>
          <w:sz w:val="20"/>
        </w:rPr>
        <w:t>4.          </w:t>
      </w:r>
      <w:r>
        <w:rPr>
          <w:rFonts w:ascii="Times New Roman" w:hAnsi="Times New Roman"/>
          <w:sz w:val="20"/>
          <w:u w:val="single"/>
        </w:rPr>
        <w:t>FINANCIAL CONSIDERATIONS</w:t>
      </w:r>
    </w:p>
    <w:p>
      <w:pPr>
        <w:pStyle w:val="TextBody"/>
        <w:spacing w:before="0" w:after="0"/>
        <w:ind w:left="0" w:right="0" w:hanging="0"/>
        <w:jc w:val="both"/>
        <w:rPr/>
      </w:pPr>
      <w:r>
        <w:rPr/>
        <w:t> </w:t>
      </w:r>
    </w:p>
    <w:p>
      <w:pPr>
        <w:pStyle w:val="TextBody"/>
        <w:spacing w:before="0" w:after="0"/>
        <w:ind w:left="0" w:right="0" w:hanging="0"/>
        <w:jc w:val="both"/>
        <w:rPr/>
      </w:pPr>
      <w:bookmarkStart w:id="187" w:name="TAB2164"/>
      <w:bookmarkEnd w:id="187"/>
      <w:r>
        <w:rPr>
          <w:spacing w:val="180"/>
        </w:rPr>
        <w:t>   </w:t>
      </w:r>
      <w:bookmarkStart w:id="188" w:name="TAB2163"/>
      <w:bookmarkEnd w:id="188"/>
      <w:r>
        <w:rPr>
          <w:spacing w:val="180"/>
        </w:rPr>
        <w:t>   </w:t>
      </w:r>
      <w:r>
        <w:rPr/>
        <w:t> </w:t>
      </w:r>
      <w:r>
        <w:rPr>
          <w:rFonts w:ascii="Times New Roman" w:hAnsi="Times New Roman"/>
          <w:sz w:val="20"/>
        </w:rPr>
        <w:t>4.1     </w:t>
      </w:r>
      <w:r>
        <w:rPr>
          <w:rFonts w:ascii="Times New Roman" w:hAnsi="Times New Roman"/>
          <w:sz w:val="20"/>
          <w:u w:val="single"/>
        </w:rPr>
        <w:t>Development-Based Milestone Payments</w:t>
      </w:r>
      <w:r>
        <w:rPr>
          <w:rFonts w:ascii="Times New Roman" w:hAnsi="Times New Roman"/>
          <w:sz w:val="20"/>
        </w:rPr>
        <w:t>. At such time as Licensee (or its Affiliates or Sublicensees) achieve a Milestone Event as described below for a specific Licensed Product, Licensee shall pay to Licensor the Milestone Payment specified below. The specified milestone payment shall be made within thirty (30) days after the occurrence of the Milestone Event.</w:t>
      </w:r>
    </w:p>
    <w:p>
      <w:pPr>
        <w:pStyle w:val="TextBody"/>
        <w:spacing w:before="0" w:after="0"/>
        <w:ind w:left="0" w:right="0" w:hanging="0"/>
        <w:jc w:val="both"/>
        <w:rPr/>
      </w:pPr>
      <w:r>
        <w:rPr/>
        <w:t> </w:t>
      </w:r>
    </w:p>
    <w:p>
      <w:pPr>
        <w:pStyle w:val="TextBody"/>
        <w:spacing w:before="0" w:after="0"/>
        <w:ind w:left="0" w:right="0" w:hanging="0"/>
        <w:jc w:val="both"/>
        <w:rPr/>
      </w:pPr>
      <w:bookmarkStart w:id="189" w:name="TAB2167"/>
      <w:bookmarkEnd w:id="189"/>
      <w:r>
        <w:rPr>
          <w:spacing w:val="180"/>
        </w:rPr>
        <w:t>   </w:t>
      </w:r>
      <w:r>
        <w:rPr/>
        <w:t> </w:t>
      </w:r>
      <w:r>
        <w:rPr>
          <w:rFonts w:ascii="Times New Roman" w:hAnsi="Times New Roman"/>
          <w:sz w:val="20"/>
        </w:rPr>
        <w:t>A.</w:t>
      </w:r>
      <w:bookmarkStart w:id="190" w:name="TAB2166"/>
      <w:bookmarkEnd w:id="190"/>
      <w:r>
        <w:rPr>
          <w:spacing w:val="180"/>
        </w:rPr>
        <w:t> </w:t>
      </w:r>
      <w:bookmarkStart w:id="191" w:name="TAB2165"/>
      <w:bookmarkEnd w:id="191"/>
      <w:r>
        <w:rPr>
          <w:spacing w:val="180"/>
        </w:rPr>
        <w:t> </w:t>
      </w:r>
      <w:r>
        <w:rPr>
          <w:rFonts w:ascii="Times New Roman" w:hAnsi="Times New Roman"/>
          <w:sz w:val="20"/>
          <w:u w:val="single"/>
        </w:rPr>
        <w:t xml:space="preserve">"Milestone Event" for Therapeutic-Related Licensed Product *     </w:t>
      </w:r>
      <w:r>
        <w:rPr>
          <w:rFonts w:ascii="times new roman" w:hAnsi="times new roman"/>
          <w:sz w:val="20"/>
          <w:u w:val="single"/>
        </w:rPr>
        <w:t>"Milestone Payment" fUSS)</w:t>
      </w:r>
    </w:p>
    <w:p>
      <w:pPr>
        <w:pStyle w:val="TextBody"/>
        <w:spacing w:before="0" w:after="0"/>
        <w:ind w:left="0" w:right="0" w:hanging="0"/>
        <w:jc w:val="both"/>
        <w:rPr/>
      </w:pPr>
      <w:r>
        <w:rPr/>
        <w:t> </w:t>
      </w:r>
    </w:p>
    <w:p>
      <w:pPr>
        <w:pStyle w:val="TextBody"/>
        <w:spacing w:before="0" w:after="0"/>
        <w:ind w:left="0" w:right="0" w:hanging="0"/>
        <w:jc w:val="both"/>
        <w:rPr/>
      </w:pPr>
      <w:bookmarkStart w:id="192" w:name="TAB2168"/>
      <w:bookmarkEnd w:id="192"/>
      <w:r>
        <w:rPr>
          <w:spacing w:val="180"/>
        </w:rPr>
        <w:t>   </w:t>
      </w:r>
      <w:r>
        <w:rPr/>
        <w:t xml:space="preserve">   </w:t>
      </w:r>
      <w:r>
        <w:rPr>
          <w:rFonts w:ascii="Times New Roman" w:hAnsi="Times New Roman"/>
          <w:sz w:val="20"/>
        </w:rPr>
        <w:t>(1)  Acceptance by FDA (first country) of filing of IND                  $150,000</w:t>
      </w:r>
    </w:p>
    <w:p>
      <w:pPr>
        <w:pStyle w:val="TextBody"/>
        <w:spacing w:before="0" w:after="0"/>
        <w:ind w:left="0" w:right="0" w:hanging="0"/>
        <w:jc w:val="both"/>
        <w:rPr/>
      </w:pPr>
      <w:r>
        <w:rPr/>
        <w:t> </w:t>
      </w:r>
    </w:p>
    <w:p>
      <w:pPr>
        <w:pStyle w:val="TextBody"/>
        <w:spacing w:before="0" w:after="0"/>
        <w:ind w:left="0" w:right="0" w:hanging="0"/>
        <w:jc w:val="both"/>
        <w:rPr/>
      </w:pPr>
      <w:bookmarkStart w:id="193" w:name="TAB2169"/>
      <w:bookmarkEnd w:id="193"/>
      <w:r>
        <w:rPr>
          <w:spacing w:val="180"/>
        </w:rPr>
        <w:t>   </w:t>
      </w:r>
      <w:r>
        <w:rPr/>
        <w:t xml:space="preserve">   </w:t>
      </w:r>
      <w:r>
        <w:rPr>
          <w:rFonts w:ascii="Times New Roman" w:hAnsi="Times New Roman"/>
          <w:sz w:val="20"/>
        </w:rPr>
        <w:t>(2) First patient enrolled for Phase II Clinical Trial                          $250,000</w:t>
      </w:r>
    </w:p>
    <w:p>
      <w:pPr>
        <w:pStyle w:val="TextBody"/>
        <w:spacing w:before="0" w:after="0"/>
        <w:ind w:left="0" w:right="0" w:hanging="0"/>
        <w:jc w:val="both"/>
        <w:rPr/>
      </w:pPr>
      <w:r>
        <w:rPr/>
        <w:t> </w:t>
      </w:r>
    </w:p>
    <w:p>
      <w:pPr>
        <w:pStyle w:val="TextBody"/>
        <w:spacing w:before="0" w:after="0"/>
        <w:ind w:left="0" w:right="0" w:hanging="0"/>
        <w:jc w:val="both"/>
        <w:rPr/>
      </w:pPr>
      <w:bookmarkStart w:id="194" w:name="TAB2170"/>
      <w:bookmarkEnd w:id="194"/>
      <w:r>
        <w:rPr>
          <w:spacing w:val="180"/>
        </w:rPr>
        <w:t>   </w:t>
      </w:r>
      <w:r>
        <w:rPr/>
        <w:t xml:space="preserve">   </w:t>
      </w:r>
      <w:r>
        <w:rPr>
          <w:rFonts w:ascii="Times New Roman" w:hAnsi="Times New Roman"/>
          <w:sz w:val="20"/>
        </w:rPr>
        <w:t>(3)  First patient enrolled for Phase HI Clinical Trial                        $1,500,000</w:t>
      </w:r>
    </w:p>
    <w:p>
      <w:pPr>
        <w:pStyle w:val="TextBody"/>
        <w:spacing w:before="0" w:after="0"/>
        <w:ind w:left="0" w:right="0" w:hanging="0"/>
        <w:jc w:val="both"/>
        <w:rPr/>
      </w:pPr>
      <w:r>
        <w:rPr/>
        <w:t> </w:t>
      </w:r>
    </w:p>
    <w:p>
      <w:pPr>
        <w:pStyle w:val="TextBody"/>
        <w:spacing w:before="0" w:after="0"/>
        <w:ind w:left="0" w:right="0" w:hanging="0"/>
        <w:jc w:val="both"/>
        <w:rPr/>
      </w:pPr>
      <w:bookmarkStart w:id="195" w:name="TAB2171"/>
      <w:bookmarkEnd w:id="195"/>
      <w:r>
        <w:rPr>
          <w:spacing w:val="180"/>
        </w:rPr>
        <w:t>   </w:t>
      </w:r>
      <w:r>
        <w:rPr/>
        <w:t xml:space="preserve">   </w:t>
      </w:r>
      <w:r>
        <w:rPr>
          <w:rFonts w:ascii="Times New Roman" w:hAnsi="Times New Roman"/>
          <w:sz w:val="20"/>
        </w:rPr>
        <w:t>(4) FDA (First country) Final Approval of NDA for Licensed Product         $2,000,000</w:t>
      </w:r>
    </w:p>
    <w:p>
      <w:pPr>
        <w:pStyle w:val="TextBody"/>
        <w:spacing w:before="0" w:after="0"/>
        <w:ind w:left="0" w:right="0" w:hanging="0"/>
        <w:jc w:val="both"/>
        <w:rPr/>
      </w:pPr>
      <w:r>
        <w:rPr/>
      </w:r>
    </w:p>
    <w:p>
      <w:pPr>
        <w:pStyle w:val="TextBody"/>
        <w:spacing w:before="0" w:after="0"/>
        <w:ind w:left="0" w:right="0" w:hanging="0"/>
        <w:jc w:val="both"/>
        <w:rPr/>
      </w:pPr>
      <w:bookmarkStart w:id="196" w:name="TAB2172"/>
      <w:bookmarkEnd w:id="196"/>
      <w:r>
        <w:rPr>
          <w:spacing w:val="180"/>
        </w:rPr>
        <w:t>   </w:t>
      </w:r>
      <w:r>
        <w:rPr/>
        <w:t> </w:t>
      </w:r>
      <w:r>
        <w:rPr>
          <w:rFonts w:ascii="Times New Roman" w:hAnsi="Times New Roman"/>
          <w:sz w:val="20"/>
        </w:rPr>
        <w:t xml:space="preserve">B. </w:t>
      </w:r>
      <w:r>
        <w:rPr>
          <w:rFonts w:ascii="Times New Roman" w:hAnsi="Times New Roman"/>
          <w:sz w:val="20"/>
          <w:u w:val="single"/>
        </w:rPr>
        <w:t>"Milestone Event" for Service-Related Licensed Product      "Milestone  Payment" OJSS)</w:t>
      </w:r>
    </w:p>
    <w:p>
      <w:pPr>
        <w:pStyle w:val="TextBody"/>
        <w:spacing w:before="0" w:after="0"/>
        <w:ind w:left="0" w:right="0" w:hanging="0"/>
        <w:jc w:val="both"/>
        <w:rPr/>
      </w:pPr>
      <w:r>
        <w:rPr/>
      </w:r>
    </w:p>
    <w:p>
      <w:pPr>
        <w:pStyle w:val="TextBody"/>
        <w:spacing w:before="0" w:after="0"/>
        <w:ind w:left="0" w:right="0" w:hanging="0"/>
        <w:jc w:val="both"/>
        <w:rPr/>
      </w:pPr>
      <w:bookmarkStart w:id="197" w:name="TAB2173"/>
      <w:bookmarkEnd w:id="197"/>
      <w:r>
        <w:rPr>
          <w:spacing w:val="180"/>
        </w:rPr>
        <w:t>   </w:t>
      </w:r>
      <w:r>
        <w:rPr/>
        <w:t xml:space="preserve">   </w:t>
      </w:r>
      <w:r>
        <w:rPr>
          <w:rFonts w:ascii="Times New Roman" w:hAnsi="Times New Roman"/>
          <w:sz w:val="20"/>
        </w:rPr>
        <w:t>(1)  First anniversary of execution of an agreement in respect of (in whole or in part) a Service-Related Licensed Product.        $50,000 **</w:t>
      </w:r>
    </w:p>
    <w:p>
      <w:pPr>
        <w:pStyle w:val="TextBody"/>
        <w:spacing w:before="0" w:after="0"/>
        <w:ind w:left="0" w:right="0" w:hanging="0"/>
        <w:jc w:val="both"/>
        <w:rPr/>
      </w:pPr>
      <w:r>
        <w:rPr/>
        <w:t> </w:t>
      </w:r>
    </w:p>
    <w:p>
      <w:pPr>
        <w:pStyle w:val="TextBody"/>
        <w:spacing w:before="0" w:after="0"/>
        <w:ind w:left="360" w:right="0" w:hanging="0"/>
        <w:jc w:val="both"/>
        <w:rPr/>
      </w:pPr>
      <w:bookmarkStart w:id="198" w:name="TAB2174"/>
      <w:bookmarkEnd w:id="198"/>
      <w:r>
        <w:rPr>
          <w:spacing w:val="180"/>
        </w:rPr>
        <w:t>   </w:t>
      </w:r>
      <w:r>
        <w:rPr/>
        <w:t> </w:t>
      </w:r>
      <w:r>
        <w:rPr>
          <w:rFonts w:ascii="Times New Roman" w:hAnsi="Times New Roman"/>
          <w:sz w:val="20"/>
        </w:rPr>
        <w:t>For the purpose of this Section 4.1 "</w:t>
      </w:r>
      <w:r>
        <w:rPr>
          <w:rFonts w:ascii="Times New Roman" w:hAnsi="Times New Roman"/>
          <w:sz w:val="20"/>
          <w:u w:val="single"/>
        </w:rPr>
        <w:t>Final Approval</w:t>
      </w:r>
      <w:r>
        <w:rPr>
          <w:rFonts w:ascii="Times New Roman" w:hAnsi="Times New Roman"/>
          <w:sz w:val="20"/>
        </w:rPr>
        <w:t>" shall mean approval by the FDA for marketing a Therapeutic-Related Licensed Product that is not conditioned on any other event (or if an approval is conditioned upon an event, then the occurrence of that event), provided, however, such other events shall specifically not include FDA requirements to conduct post marketing studies and any requirement for such post marketing studies shall not be deemed to delay the Final Approval.</w:t>
      </w:r>
    </w:p>
    <w:p>
      <w:pPr>
        <w:pStyle w:val="TextBody"/>
        <w:spacing w:before="0" w:after="0"/>
        <w:ind w:left="360" w:right="0" w:hanging="0"/>
        <w:jc w:val="both"/>
        <w:rPr/>
      </w:pPr>
      <w:r>
        <w:rPr/>
        <w:t> </w:t>
      </w:r>
    </w:p>
    <w:p>
      <w:pPr>
        <w:pStyle w:val="TextBody"/>
        <w:spacing w:before="0" w:after="0"/>
        <w:ind w:left="360" w:right="0" w:hanging="0"/>
        <w:jc w:val="both"/>
        <w:rPr/>
      </w:pPr>
      <w:bookmarkStart w:id="199" w:name="TAB2175"/>
      <w:bookmarkEnd w:id="199"/>
      <w:r>
        <w:rPr>
          <w:spacing w:val="180"/>
        </w:rPr>
        <w:t>   </w:t>
      </w:r>
      <w:r>
        <w:rPr/>
        <w:t> </w:t>
      </w:r>
      <w:r>
        <w:rPr>
          <w:rFonts w:ascii="Times New Roman" w:hAnsi="Times New Roman"/>
          <w:sz w:val="20"/>
        </w:rPr>
        <w:t>* Once a Milestone Payment has been made for a specific Licensed Product, if there are later modifications, improvements, reformulations, combinations, or other changes using the same molecule which constitutes said Licensed Product (i.e., a "</w:t>
      </w:r>
      <w:r>
        <w:rPr>
          <w:rFonts w:ascii="Times New Roman" w:hAnsi="Times New Roman"/>
          <w:sz w:val="20"/>
          <w:u w:val="single"/>
        </w:rPr>
        <w:t>Related Product</w:t>
      </w:r>
      <w:r>
        <w:rPr>
          <w:rFonts w:ascii="Times New Roman" w:hAnsi="Times New Roman"/>
          <w:sz w:val="20"/>
        </w:rPr>
        <w:t>"), then no duplicate Milestone Payment will be owed when that Related Product achieves the same Milestone Event for which the Milestone Payment was previously made for said specific Licensed Product. Similarly, if there is a failure in product development, resulting in the substitution or replacement of the failed molecule with a new molecule, to the extent that a Milestone Event had previously been achieved by the failed molecule and the corresponding Milestone Payment paid, then no duplicate Milestone Payment will be owed when the new molecule achieves the same Milestone Event for which the Milestone Payment was previously made for the failed molecule.</w:t>
      </w:r>
    </w:p>
    <w:p>
      <w:pPr>
        <w:pStyle w:val="TextBody"/>
        <w:spacing w:before="0" w:after="0"/>
        <w:ind w:left="360" w:right="0" w:hanging="0"/>
        <w:jc w:val="both"/>
        <w:rPr/>
      </w:pPr>
      <w:r>
        <w:rPr/>
        <w:t> </w:t>
      </w:r>
    </w:p>
    <w:p>
      <w:pPr>
        <w:pStyle w:val="TextBody"/>
        <w:spacing w:before="0" w:after="0"/>
        <w:ind w:left="360" w:right="0" w:hanging="0"/>
        <w:jc w:val="both"/>
        <w:rPr/>
      </w:pPr>
      <w:bookmarkStart w:id="200" w:name="TAB2176"/>
      <w:bookmarkEnd w:id="200"/>
      <w:r>
        <w:rPr>
          <w:spacing w:val="180"/>
        </w:rPr>
        <w:t>   </w:t>
      </w:r>
      <w:r>
        <w:rPr/>
        <w:t> </w:t>
      </w:r>
      <w:r>
        <w:rPr>
          <w:rFonts w:ascii="Times New Roman" w:hAnsi="Times New Roman"/>
          <w:sz w:val="20"/>
        </w:rPr>
        <w:t>** But not more than 10% of the annual revenues received from said agreement, continuing annually until the cumulative aggregate of said 10% payments reach $50,000.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201" w:name="PGBRK2"/>
      <w:bookmarkStart w:id="202" w:name="PGBRK2"/>
      <w:bookmarkEnd w:id="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203" w:name="FTR2"/>
      <w:bookmarkStart w:id="204" w:name="FTR2"/>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5" w:name="GLFTR2"/>
      <w:bookmarkEnd w:id="2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6" w:name="PN2"/>
      <w:bookmarkEnd w:id="20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207" w:name="HDR2"/>
      <w:bookmarkStart w:id="208" w:name="HDR2"/>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9" w:name="GLHDR2"/>
      <w:bookmarkEnd w:id="2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bookmarkStart w:id="210" w:name="TAB2178"/>
      <w:bookmarkEnd w:id="210"/>
      <w:r>
        <w:rPr>
          <w:spacing w:val="180"/>
        </w:rPr>
        <w:t>   </w:t>
      </w:r>
      <w:bookmarkStart w:id="211" w:name="TAB2177"/>
      <w:bookmarkEnd w:id="211"/>
      <w:r>
        <w:rPr>
          <w:spacing w:val="180"/>
        </w:rPr>
        <w:t>   </w:t>
      </w:r>
      <w:r>
        <w:rPr/>
        <w:t> </w:t>
      </w:r>
      <w:r>
        <w:rPr>
          <w:rFonts w:ascii="Times New Roman" w:hAnsi="Times New Roman"/>
          <w:sz w:val="20"/>
        </w:rPr>
        <w:t xml:space="preserve">4.2  </w:t>
      </w:r>
      <w:r>
        <w:rPr>
          <w:rFonts w:ascii="Times New Roman" w:hAnsi="Times New Roman"/>
          <w:sz w:val="20"/>
          <w:u w:val="single"/>
        </w:rPr>
        <w:t>Royalties</w:t>
      </w:r>
      <w:r>
        <w:rPr>
          <w:rFonts w:ascii="Times New Roman" w:hAnsi="Times New Roman"/>
          <w:sz w:val="20"/>
        </w:rPr>
        <w:t>.</w:t>
      </w:r>
    </w:p>
    <w:p>
      <w:pPr>
        <w:pStyle w:val="TextBody"/>
        <w:spacing w:before="0" w:after="0"/>
        <w:ind w:left="0" w:right="0" w:hanging="0"/>
        <w:jc w:val="both"/>
        <w:rPr/>
      </w:pPr>
      <w:r>
        <w:rPr/>
      </w:r>
    </w:p>
    <w:p>
      <w:pPr>
        <w:pStyle w:val="TextBody"/>
        <w:spacing w:before="0" w:after="0"/>
        <w:ind w:left="0" w:right="0" w:hanging="0"/>
        <w:jc w:val="both"/>
        <w:rPr/>
      </w:pPr>
      <w:r>
        <w:rPr/>
        <w:t> </w:t>
      </w:r>
    </w:p>
    <w:p>
      <w:pPr>
        <w:pStyle w:val="TextBody"/>
        <w:spacing w:before="0" w:after="0"/>
        <w:ind w:left="0" w:right="0" w:hanging="0"/>
        <w:jc w:val="both"/>
        <w:rPr/>
      </w:pPr>
      <w:bookmarkStart w:id="212" w:name="TAB2181"/>
      <w:bookmarkEnd w:id="212"/>
      <w:r>
        <w:rPr>
          <w:spacing w:val="180"/>
        </w:rPr>
        <w:t>   </w:t>
      </w:r>
      <w:bookmarkStart w:id="213" w:name="TAB2180"/>
      <w:bookmarkEnd w:id="213"/>
      <w:r>
        <w:rPr>
          <w:spacing w:val="180"/>
        </w:rPr>
        <w:t>   </w:t>
      </w:r>
      <w:bookmarkStart w:id="214" w:name="TAB2179"/>
      <w:bookmarkEnd w:id="214"/>
      <w:r>
        <w:rPr>
          <w:spacing w:val="180"/>
        </w:rPr>
        <w:t>   </w:t>
      </w:r>
      <w:r>
        <w:rPr/>
        <w:t> </w:t>
      </w:r>
      <w:r>
        <w:rPr>
          <w:rFonts w:ascii="Times New Roman" w:hAnsi="Times New Roman"/>
          <w:sz w:val="20"/>
        </w:rPr>
        <w:t>4.2.1   </w:t>
      </w:r>
      <w:r>
        <w:rPr>
          <w:rFonts w:ascii="Times New Roman" w:hAnsi="Times New Roman"/>
          <w:sz w:val="20"/>
          <w:u w:val="single"/>
        </w:rPr>
        <w:t>Royalty Rate</w:t>
      </w:r>
      <w:r>
        <w:rPr>
          <w:rFonts w:ascii="Times New Roman" w:hAnsi="Times New Roman"/>
          <w:sz w:val="20"/>
        </w:rPr>
        <w:t>. Licensee shall pay to Licensor three percent (3%) of the first $25 million of Revenues received by Licensee or its Affiliates, and two percent (2%) of all additional Revenues received by Licensee or its Affiliates, subject to reductions pursuant to Sections 4.2.2 and 4.2.3.</w:t>
      </w:r>
    </w:p>
    <w:p>
      <w:pPr>
        <w:pStyle w:val="TextBody"/>
        <w:spacing w:before="0" w:after="0"/>
        <w:ind w:left="0" w:right="0" w:hanging="0"/>
        <w:jc w:val="both"/>
        <w:rPr/>
      </w:pPr>
      <w:r>
        <w:rPr/>
        <w:t> </w:t>
      </w:r>
    </w:p>
    <w:p>
      <w:pPr>
        <w:pStyle w:val="TextBody"/>
        <w:spacing w:before="0" w:after="0"/>
        <w:ind w:left="0" w:right="0" w:hanging="0"/>
        <w:jc w:val="both"/>
        <w:rPr/>
      </w:pPr>
      <w:bookmarkStart w:id="215" w:name="TAB2185"/>
      <w:bookmarkEnd w:id="215"/>
      <w:r>
        <w:rPr>
          <w:spacing w:val="180"/>
        </w:rPr>
        <w:t>   </w:t>
      </w:r>
      <w:bookmarkStart w:id="216" w:name="TAB2184"/>
      <w:bookmarkEnd w:id="216"/>
      <w:r>
        <w:rPr>
          <w:spacing w:val="180"/>
        </w:rPr>
        <w:t>   </w:t>
      </w:r>
      <w:bookmarkStart w:id="217" w:name="TAB2183"/>
      <w:bookmarkEnd w:id="217"/>
      <w:r>
        <w:rPr>
          <w:spacing w:val="180"/>
        </w:rPr>
        <w:t>   </w:t>
      </w:r>
      <w:r>
        <w:rPr/>
        <w:t> </w:t>
      </w:r>
      <w:r>
        <w:rPr>
          <w:rFonts w:ascii="Times New Roman" w:hAnsi="Times New Roman"/>
          <w:sz w:val="20"/>
        </w:rPr>
        <w:t>4.2.2</w:t>
      </w:r>
      <w:bookmarkStart w:id="218" w:name="TAB2182"/>
      <w:bookmarkEnd w:id="218"/>
      <w:r>
        <w:rPr>
          <w:color w:val="000000"/>
          <w:spacing w:val="180"/>
        </w:rPr>
        <w:t> </w:t>
      </w:r>
      <w:r>
        <w:rPr>
          <w:rFonts w:ascii="Times New Roman" w:hAnsi="Times New Roman"/>
          <w:sz w:val="20"/>
          <w:u w:val="single"/>
        </w:rPr>
        <w:t>Third Party Royalties</w:t>
      </w:r>
      <w:r>
        <w:rPr>
          <w:rFonts w:ascii="Times New Roman" w:hAnsi="Times New Roman"/>
          <w:sz w:val="20"/>
        </w:rPr>
        <w:t xml:space="preserve">. If Licensee or its Affiliates is required to pay royalties to any Third Party that are, in the opinion of an independent patent attorney (reasonably acceptable to both parties), necessary to practice the inventions claimed in the Licensed IP, then Licensee shall have the right to credit such Third Party royalty payments against the royalties owing to Licensor under Section 4.2.1;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credits shall not reduce the amount of the royalties payable to Licensor under Section 4.2.1 above by more than fifty percent (50%).</w:t>
      </w:r>
    </w:p>
    <w:p>
      <w:pPr>
        <w:pStyle w:val="TextBody"/>
        <w:spacing w:before="0" w:after="0"/>
        <w:ind w:left="0" w:right="0" w:hanging="0"/>
        <w:jc w:val="both"/>
        <w:rPr/>
      </w:pPr>
      <w:r>
        <w:rPr/>
        <w:t> </w:t>
      </w:r>
    </w:p>
    <w:p>
      <w:pPr>
        <w:pStyle w:val="TextBody"/>
        <w:spacing w:before="0" w:after="0"/>
        <w:ind w:left="0" w:right="0" w:hanging="0"/>
        <w:jc w:val="both"/>
        <w:rPr/>
      </w:pPr>
      <w:bookmarkStart w:id="219" w:name="TAB2189"/>
      <w:bookmarkEnd w:id="219"/>
      <w:r>
        <w:rPr>
          <w:spacing w:val="180"/>
        </w:rPr>
        <w:t>   </w:t>
      </w:r>
      <w:bookmarkStart w:id="220" w:name="TAB2188"/>
      <w:bookmarkEnd w:id="220"/>
      <w:r>
        <w:rPr>
          <w:spacing w:val="180"/>
        </w:rPr>
        <w:t>   </w:t>
      </w:r>
      <w:bookmarkStart w:id="221" w:name="TAB2187"/>
      <w:bookmarkEnd w:id="221"/>
      <w:r>
        <w:rPr>
          <w:spacing w:val="180"/>
        </w:rPr>
        <w:t>   </w:t>
      </w:r>
      <w:r>
        <w:rPr/>
        <w:t> </w:t>
      </w:r>
      <w:r>
        <w:rPr>
          <w:rFonts w:ascii="Times New Roman" w:hAnsi="Times New Roman"/>
          <w:sz w:val="20"/>
        </w:rPr>
        <w:t>4.2.3</w:t>
      </w:r>
      <w:bookmarkStart w:id="222" w:name="TAB2186"/>
      <w:bookmarkEnd w:id="222"/>
      <w:r>
        <w:rPr>
          <w:color w:val="000000"/>
          <w:spacing w:val="180"/>
        </w:rPr>
        <w:t> </w:t>
      </w:r>
      <w:r>
        <w:rPr>
          <w:rFonts w:ascii="Times New Roman" w:hAnsi="Times New Roman"/>
          <w:sz w:val="20"/>
          <w:u w:val="single"/>
        </w:rPr>
        <w:t>Combination Products</w:t>
      </w:r>
      <w:r>
        <w:rPr>
          <w:rFonts w:ascii="Times New Roman" w:hAnsi="Times New Roman"/>
          <w:sz w:val="20"/>
        </w:rPr>
        <w:t>. If a Product consists of (i) components that are covered by Licensor's Valid Claims, plus (ii) additional active pharmaceutical agents, or functional components reasonable necessary for formulation or delivery of the Product that are not covered by a Valid Claim, but that are covered by a valid claim of a Third Party patent, then for purposes of the royalty payments under Section 4.2.1, the Revenues shall be equitably allocated between the components covered by Licensor's Valid Claim and the components covered by the Third Party patent, with only the portion of Revenues allocated to Licensor's Valid Claims being used for purposes of the royalty calculation in Section 4.2.1 for such combination Product. To the extent the parties are unable to agree on the equitable allocation described above, any dispute shall be resolved in accordance with Section 12.3 of this Agreement. Notwithstanding the aforementioned, the foregoing allocation shall not reduce the amount of the royalties payable to Licensor under Section 4.2.1 above by more than fifty percent (50%).</w:t>
      </w:r>
    </w:p>
    <w:p>
      <w:pPr>
        <w:pStyle w:val="TextBody"/>
        <w:spacing w:before="0" w:after="0"/>
        <w:ind w:left="0" w:right="0" w:hanging="0"/>
        <w:jc w:val="both"/>
        <w:rPr/>
      </w:pPr>
      <w:r>
        <w:rPr/>
        <w:t> </w:t>
      </w:r>
    </w:p>
    <w:p>
      <w:pPr>
        <w:pStyle w:val="TextBody"/>
        <w:spacing w:before="0" w:after="0"/>
        <w:ind w:left="0" w:right="0" w:hanging="0"/>
        <w:jc w:val="both"/>
        <w:rPr/>
      </w:pPr>
      <w:bookmarkStart w:id="223" w:name="TAB2190"/>
      <w:bookmarkEnd w:id="223"/>
      <w:r>
        <w:rPr>
          <w:spacing w:val="180"/>
        </w:rPr>
        <w:t>   </w:t>
      </w:r>
      <w:r>
        <w:rPr/>
        <w:t> </w:t>
      </w:r>
      <w:r>
        <w:rPr>
          <w:rFonts w:ascii="Times New Roman" w:hAnsi="Times New Roman"/>
          <w:sz w:val="20"/>
        </w:rPr>
        <w:t>5.      </w:t>
      </w:r>
      <w:r>
        <w:rPr>
          <w:rFonts w:ascii="Times New Roman" w:hAnsi="Times New Roman"/>
          <w:sz w:val="20"/>
          <w:u w:val="single"/>
        </w:rPr>
        <w:t>ROYALTY REPORTS. PAYMENTS. AND ACCOUNTING</w:t>
      </w:r>
    </w:p>
    <w:p>
      <w:pPr>
        <w:pStyle w:val="TextBody"/>
        <w:spacing w:before="0" w:after="0"/>
        <w:ind w:left="0" w:right="0" w:hanging="0"/>
        <w:jc w:val="both"/>
        <w:rPr/>
      </w:pPr>
      <w:r>
        <w:rPr/>
        <w:t> </w:t>
      </w:r>
    </w:p>
    <w:p>
      <w:pPr>
        <w:pStyle w:val="TextBody"/>
        <w:spacing w:before="0" w:after="0"/>
        <w:ind w:left="0" w:right="0" w:hanging="0"/>
        <w:jc w:val="both"/>
        <w:rPr/>
      </w:pPr>
      <w:bookmarkStart w:id="224" w:name="TAB2193"/>
      <w:bookmarkEnd w:id="224"/>
      <w:r>
        <w:rPr>
          <w:spacing w:val="180"/>
        </w:rPr>
        <w:t>   </w:t>
      </w:r>
      <w:bookmarkStart w:id="225" w:name="TAB2192"/>
      <w:bookmarkEnd w:id="225"/>
      <w:r>
        <w:rPr>
          <w:spacing w:val="180"/>
        </w:rPr>
        <w:t>   </w:t>
      </w:r>
      <w:r>
        <w:rPr/>
        <w:t> </w:t>
      </w:r>
      <w:r>
        <w:rPr>
          <w:rFonts w:ascii="Times New Roman" w:hAnsi="Times New Roman"/>
          <w:sz w:val="20"/>
        </w:rPr>
        <w:t>5.1</w:t>
      </w:r>
      <w:bookmarkStart w:id="226" w:name="TAB2191"/>
      <w:bookmarkEnd w:id="226"/>
      <w:r>
        <w:rPr>
          <w:color w:val="000000"/>
          <w:spacing w:val="180"/>
        </w:rPr>
        <w:t> </w:t>
      </w:r>
      <w:r>
        <w:rPr>
          <w:rFonts w:ascii="Times New Roman" w:hAnsi="Times New Roman"/>
          <w:sz w:val="20"/>
          <w:u w:val="single"/>
        </w:rPr>
        <w:t>Royalty Reports</w:t>
      </w:r>
      <w:r>
        <w:rPr>
          <w:rFonts w:ascii="Times New Roman" w:hAnsi="Times New Roman"/>
          <w:sz w:val="20"/>
        </w:rPr>
        <w:t>. Within sixty (60) days after the end of each calendar quarter during the term of this Agreement following the receipt by Licensee or its Affiliates of Revenues, Licensee shall furnish to Licensor a quarterly written report showing in reasonably specific detail (a) the calculation of Revenues for such quarter; and (b) the calculation of the royalties that shall have accrued based upon such Revenues.</w:t>
      </w:r>
    </w:p>
    <w:p>
      <w:pPr>
        <w:pStyle w:val="TextBody"/>
        <w:spacing w:before="0" w:after="0"/>
        <w:ind w:left="0" w:right="0" w:hanging="0"/>
        <w:jc w:val="both"/>
        <w:rPr/>
      </w:pPr>
      <w:r>
        <w:rPr/>
        <w:t> </w:t>
      </w:r>
    </w:p>
    <w:p>
      <w:pPr>
        <w:pStyle w:val="TextBody"/>
        <w:spacing w:before="0" w:after="0"/>
        <w:ind w:left="0" w:right="0" w:hanging="0"/>
        <w:jc w:val="both"/>
        <w:rPr/>
      </w:pPr>
      <w:bookmarkStart w:id="227" w:name="TAB2196"/>
      <w:bookmarkEnd w:id="227"/>
      <w:r>
        <w:rPr>
          <w:spacing w:val="180"/>
        </w:rPr>
        <w:t>   </w:t>
      </w:r>
      <w:bookmarkStart w:id="228" w:name="TAB2195"/>
      <w:bookmarkEnd w:id="228"/>
      <w:r>
        <w:rPr>
          <w:spacing w:val="180"/>
        </w:rPr>
        <w:t>   </w:t>
      </w:r>
      <w:r>
        <w:rPr/>
        <w:t> </w:t>
      </w:r>
      <w:r>
        <w:rPr>
          <w:rFonts w:ascii="Times New Roman" w:hAnsi="Times New Roman"/>
          <w:sz w:val="20"/>
        </w:rPr>
        <w:t>5.2</w:t>
      </w:r>
      <w:bookmarkStart w:id="229" w:name="TAB2194"/>
      <w:bookmarkEnd w:id="229"/>
      <w:r>
        <w:rPr>
          <w:color w:val="000000"/>
          <w:spacing w:val="180"/>
        </w:rPr>
        <w:t> </w:t>
      </w:r>
      <w:r>
        <w:rPr>
          <w:rFonts w:ascii="Times New Roman" w:hAnsi="Times New Roman"/>
          <w:sz w:val="20"/>
          <w:u w:val="single"/>
        </w:rPr>
        <w:t>Payment Terms</w:t>
      </w:r>
      <w:r>
        <w:rPr>
          <w:rFonts w:ascii="Times New Roman" w:hAnsi="Times New Roman"/>
          <w:sz w:val="20"/>
        </w:rPr>
        <w:t>. Royalties shown to have accrued by each royalty report provided for under Section 5.1 above shall be due on the date such royalty report is due.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230" w:name="PGBRK3"/>
      <w:bookmarkStart w:id="231" w:name="PGBRK3"/>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232" w:name="FTR3"/>
      <w:bookmarkStart w:id="233" w:name="FTR3"/>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4" w:name="GLFTR3"/>
      <w:bookmarkEnd w:id="2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5" w:name="PN3"/>
      <w:bookmarkEnd w:id="23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236" w:name="HDR3"/>
      <w:bookmarkStart w:id="237" w:name="HDR3"/>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8" w:name="GLHDR3"/>
      <w:bookmarkEnd w:id="2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bookmarkStart w:id="239" w:name="TAB2198"/>
      <w:bookmarkEnd w:id="239"/>
      <w:r>
        <w:rPr>
          <w:spacing w:val="180"/>
        </w:rPr>
        <w:t>   </w:t>
      </w:r>
      <w:r>
        <w:rPr/>
        <w:t> </w:t>
      </w:r>
      <w:r>
        <w:rPr>
          <w:rFonts w:ascii="Times New Roman" w:hAnsi="Times New Roman"/>
          <w:sz w:val="20"/>
        </w:rPr>
        <w:t>5.3</w:t>
      </w:r>
      <w:bookmarkStart w:id="240" w:name="TAB2197"/>
      <w:bookmarkEnd w:id="240"/>
      <w:r>
        <w:rPr>
          <w:color w:val="000000"/>
          <w:spacing w:val="180"/>
        </w:rPr>
        <w:t> </w:t>
      </w:r>
      <w:r>
        <w:rPr>
          <w:rFonts w:ascii="Times New Roman" w:hAnsi="Times New Roman"/>
          <w:sz w:val="20"/>
          <w:u w:val="single"/>
        </w:rPr>
        <w:t>Audits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pPr>
      <w:bookmarkStart w:id="241" w:name="TAB2201"/>
      <w:bookmarkEnd w:id="241"/>
      <w:r>
        <w:rPr>
          <w:spacing w:val="180"/>
        </w:rPr>
        <w:t>   </w:t>
      </w:r>
      <w:bookmarkStart w:id="242" w:name="TAB2200"/>
      <w:bookmarkEnd w:id="242"/>
      <w:r>
        <w:rPr>
          <w:spacing w:val="180"/>
        </w:rPr>
        <w:t>   </w:t>
      </w:r>
      <w:bookmarkStart w:id="243" w:name="TAB2199"/>
      <w:bookmarkEnd w:id="243"/>
      <w:r>
        <w:rPr>
          <w:spacing w:val="180"/>
        </w:rPr>
        <w:t>   </w:t>
      </w:r>
      <w:r>
        <w:rPr/>
        <w:t> </w:t>
      </w:r>
      <w:r>
        <w:rPr>
          <w:rFonts w:ascii="Times New Roman" w:hAnsi="Times New Roman"/>
          <w:sz w:val="20"/>
        </w:rPr>
        <w:t>5.3.1   Upon the written request of Licensor and not more than once in each calendar year, Licensee and its Affiliates shall permit an independent certified public accounting firm of nationally recognized standing selected by Licensor and reasonably acceptable to Licensee, at Licensor's expense, to have access during normal business hours to such of the financial records of Licensee and its Affiliates as may be reasonably necessary to verify the accuracy of the payment reports hereunder for the eight (8) calendar quarters immediately prior to the date of such request (other than records for which Licensor has already conducted an audit under this Section).</w:t>
      </w:r>
    </w:p>
    <w:p>
      <w:pPr>
        <w:pStyle w:val="TextBody"/>
        <w:spacing w:before="0" w:after="0"/>
        <w:ind w:left="0" w:right="0" w:hanging="0"/>
        <w:jc w:val="both"/>
        <w:rPr/>
      </w:pPr>
      <w:r>
        <w:rPr/>
        <w:t> </w:t>
      </w:r>
    </w:p>
    <w:p>
      <w:pPr>
        <w:pStyle w:val="TextBody"/>
        <w:spacing w:before="0" w:after="0"/>
        <w:ind w:left="0" w:right="0" w:hanging="0"/>
        <w:jc w:val="both"/>
        <w:rPr/>
      </w:pPr>
      <w:bookmarkStart w:id="244" w:name="TAB2205"/>
      <w:bookmarkEnd w:id="244"/>
      <w:r>
        <w:rPr>
          <w:spacing w:val="180"/>
        </w:rPr>
        <w:t>   </w:t>
      </w:r>
      <w:bookmarkStart w:id="245" w:name="TAB2204"/>
      <w:bookmarkEnd w:id="245"/>
      <w:r>
        <w:rPr>
          <w:spacing w:val="180"/>
        </w:rPr>
        <w:t>   </w:t>
      </w:r>
      <w:bookmarkStart w:id="246" w:name="TAB2203"/>
      <w:bookmarkEnd w:id="246"/>
      <w:r>
        <w:rPr>
          <w:spacing w:val="180"/>
        </w:rPr>
        <w:t>   </w:t>
      </w:r>
      <w:r>
        <w:rPr/>
        <w:t> </w:t>
      </w:r>
      <w:r>
        <w:rPr>
          <w:rFonts w:ascii="Times New Roman" w:hAnsi="Times New Roman"/>
          <w:sz w:val="20"/>
        </w:rPr>
        <w:t>5.3.2</w:t>
      </w:r>
      <w:bookmarkStart w:id="247" w:name="TAB2202"/>
      <w:bookmarkEnd w:id="247"/>
      <w:r>
        <w:rPr>
          <w:color w:val="000000"/>
          <w:spacing w:val="180"/>
        </w:rPr>
        <w:t> </w:t>
      </w:r>
      <w:r>
        <w:rPr>
          <w:rFonts w:ascii="Times New Roman" w:hAnsi="Times New Roman"/>
          <w:sz w:val="20"/>
        </w:rPr>
        <w:t>If such accounting firm concludes that additional amounts were owed during the audited period, Licensee shall pay such additional amounts within thirty (30) days after the date Licensor delivers to Licensee such accounting firm's written report so concluding. The fees charged by such accounting firm shall be paid by Licensor; provided, however, if the audit discloses that the royalties paid by Licensee for such period were more than seven percent (7%) below the royalties actually due and payable for such period, then Licensee shall pay the reasonable fees and expenses charged by such accounting firm.</w:t>
      </w:r>
    </w:p>
    <w:p>
      <w:pPr>
        <w:pStyle w:val="TextBody"/>
        <w:spacing w:before="0" w:after="0"/>
        <w:ind w:left="0" w:right="0" w:hanging="0"/>
        <w:jc w:val="both"/>
        <w:rPr/>
      </w:pPr>
      <w:r>
        <w:rPr/>
        <w:t> </w:t>
      </w:r>
    </w:p>
    <w:p>
      <w:pPr>
        <w:pStyle w:val="TextBody"/>
        <w:spacing w:before="0" w:after="0"/>
        <w:ind w:left="0" w:right="0" w:hanging="0"/>
        <w:jc w:val="both"/>
        <w:rPr/>
      </w:pPr>
      <w:bookmarkStart w:id="248" w:name="TAB2209"/>
      <w:bookmarkEnd w:id="248"/>
      <w:r>
        <w:rPr>
          <w:spacing w:val="180"/>
        </w:rPr>
        <w:t>   </w:t>
      </w:r>
      <w:bookmarkStart w:id="249" w:name="TAB2208"/>
      <w:bookmarkEnd w:id="249"/>
      <w:r>
        <w:rPr>
          <w:spacing w:val="180"/>
        </w:rPr>
        <w:t>   </w:t>
      </w:r>
      <w:bookmarkStart w:id="250" w:name="TAB2207"/>
      <w:bookmarkEnd w:id="250"/>
      <w:r>
        <w:rPr>
          <w:spacing w:val="180"/>
        </w:rPr>
        <w:t>   </w:t>
      </w:r>
      <w:r>
        <w:rPr/>
        <w:t> </w:t>
      </w:r>
      <w:r>
        <w:rPr>
          <w:rFonts w:ascii="Times New Roman" w:hAnsi="Times New Roman"/>
          <w:sz w:val="20"/>
        </w:rPr>
        <w:t>5.3.3</w:t>
      </w:r>
      <w:bookmarkStart w:id="251" w:name="TAB2206"/>
      <w:bookmarkEnd w:id="251"/>
      <w:r>
        <w:rPr>
          <w:color w:val="000000"/>
          <w:spacing w:val="180"/>
        </w:rPr>
        <w:t> </w:t>
      </w:r>
      <w:r>
        <w:rPr>
          <w:rFonts w:ascii="Times New Roman" w:hAnsi="Times New Roman"/>
          <w:sz w:val="20"/>
        </w:rPr>
        <w:t>Licensor shall cause its accounting firm to retain all financial information subject to review under this Section 5.3 in strict confidence; provided, however, that Licensee shall have the right to require that such accounting firm, prior to conducting such audit, enter into an appropriate non-disclosure agreement with Licensee regarding such financial information. The accounting firm shall disclose to Licensor only whether the reports are correct or not and the amount of any discrepancy. No other information shall be shared. Licensor shall treat all such financial information as Licensee's Confidential Information</w:t>
      </w:r>
    </w:p>
    <w:p>
      <w:pPr>
        <w:pStyle w:val="TextBody"/>
        <w:spacing w:before="0" w:after="0"/>
        <w:ind w:left="0" w:right="0" w:hanging="0"/>
        <w:jc w:val="both"/>
        <w:rPr/>
      </w:pPr>
      <w:r>
        <w:rPr/>
        <w:t> </w:t>
      </w:r>
    </w:p>
    <w:p>
      <w:pPr>
        <w:pStyle w:val="TextBody"/>
        <w:spacing w:before="0" w:after="0"/>
        <w:ind w:left="0" w:right="0" w:hanging="0"/>
        <w:jc w:val="both"/>
        <w:rPr/>
      </w:pPr>
      <w:bookmarkStart w:id="252" w:name="TAB2210"/>
      <w:bookmarkEnd w:id="252"/>
      <w:r>
        <w:rPr>
          <w:spacing w:val="180"/>
        </w:rPr>
        <w:t>   </w:t>
      </w:r>
      <w:r>
        <w:rPr/>
        <w:t> </w:t>
      </w:r>
      <w:r>
        <w:rPr>
          <w:rFonts w:ascii="Times New Roman" w:hAnsi="Times New Roman"/>
          <w:sz w:val="20"/>
        </w:rPr>
        <w:t>6.      </w:t>
      </w:r>
      <w:r>
        <w:rPr>
          <w:rFonts w:ascii="Times New Roman" w:hAnsi="Times New Roman"/>
          <w:sz w:val="20"/>
          <w:u w:val="single"/>
        </w:rPr>
        <w:t>RESEARCH AND DEVELOPMENT OBLIGATIONS</w:t>
      </w:r>
    </w:p>
    <w:p>
      <w:pPr>
        <w:pStyle w:val="TextBody"/>
        <w:spacing w:before="0" w:after="0"/>
        <w:ind w:left="0" w:right="0" w:hanging="0"/>
        <w:jc w:val="both"/>
        <w:rPr/>
      </w:pPr>
      <w:r>
        <w:rPr/>
        <w:t> </w:t>
      </w:r>
    </w:p>
    <w:p>
      <w:pPr>
        <w:pStyle w:val="TextBody"/>
        <w:spacing w:before="0" w:after="0"/>
        <w:ind w:left="0" w:right="0" w:hanging="0"/>
        <w:jc w:val="both"/>
        <w:rPr/>
      </w:pPr>
      <w:bookmarkStart w:id="253" w:name="TAB2213"/>
      <w:bookmarkEnd w:id="253"/>
      <w:r>
        <w:rPr>
          <w:spacing w:val="180"/>
        </w:rPr>
        <w:t>   </w:t>
      </w:r>
      <w:bookmarkStart w:id="254" w:name="TAB2212"/>
      <w:bookmarkEnd w:id="254"/>
      <w:r>
        <w:rPr>
          <w:spacing w:val="180"/>
        </w:rPr>
        <w:t>   </w:t>
      </w:r>
      <w:r>
        <w:rPr/>
        <w:t> </w:t>
      </w:r>
      <w:r>
        <w:rPr>
          <w:rFonts w:ascii="Times New Roman" w:hAnsi="Times New Roman"/>
          <w:sz w:val="20"/>
        </w:rPr>
        <w:t>6.1</w:t>
      </w:r>
      <w:bookmarkStart w:id="255" w:name="TAB2211"/>
      <w:bookmarkEnd w:id="255"/>
      <w:r>
        <w:rPr>
          <w:color w:val="000000"/>
          <w:spacing w:val="180"/>
        </w:rPr>
        <w:t> </w:t>
      </w:r>
      <w:r>
        <w:rPr>
          <w:rFonts w:ascii="Times New Roman" w:hAnsi="Times New Roman"/>
          <w:sz w:val="20"/>
          <w:u w:val="single"/>
        </w:rPr>
        <w:t>Research and Development Efforts</w:t>
      </w:r>
      <w:r>
        <w:rPr>
          <w:rFonts w:ascii="Times New Roman" w:hAnsi="Times New Roman"/>
          <w:sz w:val="20"/>
        </w:rPr>
        <w:t>. Licensee (together with its Affiliates and Sublicensees) shall use its commercially reasonable efforts to conduct such research, development and preclinical and human clinical trials as Licensee reasonably determines are necessary or desirable to obtain regulatory approval to manufacture and market such Licensed Products as Licensee reasonably determines are commercially feasible; and Licensee (together with its Affiliates and Sublicensees) shall use its commercially reasonable efforts to obtain regulatory approval to market, and following approval to commence marketing and to market each such Licensed Product as Licensee reasonably determines are commercially feasible.</w:t>
      </w:r>
    </w:p>
    <w:p>
      <w:pPr>
        <w:pStyle w:val="TextBody"/>
        <w:spacing w:before="0" w:after="0"/>
        <w:ind w:left="0" w:right="0" w:hanging="0"/>
        <w:jc w:val="both"/>
        <w:rPr/>
      </w:pPr>
      <w:r>
        <w:rPr/>
        <w:t> </w:t>
      </w:r>
    </w:p>
    <w:p>
      <w:pPr>
        <w:pStyle w:val="TextBody"/>
        <w:spacing w:before="0" w:after="0"/>
        <w:ind w:left="0" w:right="0" w:hanging="0"/>
        <w:jc w:val="both"/>
        <w:rPr/>
      </w:pPr>
      <w:bookmarkStart w:id="256" w:name="TAB2216"/>
      <w:bookmarkEnd w:id="256"/>
      <w:r>
        <w:rPr>
          <w:spacing w:val="180"/>
        </w:rPr>
        <w:t>   </w:t>
      </w:r>
      <w:bookmarkStart w:id="257" w:name="TAB2215"/>
      <w:bookmarkEnd w:id="257"/>
      <w:r>
        <w:rPr>
          <w:spacing w:val="180"/>
        </w:rPr>
        <w:t>   </w:t>
      </w:r>
      <w:r>
        <w:rPr/>
        <w:t> </w:t>
      </w:r>
      <w:r>
        <w:rPr>
          <w:rFonts w:ascii="Times New Roman" w:hAnsi="Times New Roman"/>
          <w:sz w:val="20"/>
        </w:rPr>
        <w:t>6.2</w:t>
      </w:r>
      <w:bookmarkStart w:id="258" w:name="TAB2214"/>
      <w:bookmarkEnd w:id="258"/>
      <w:r>
        <w:rPr>
          <w:color w:val="000000"/>
          <w:spacing w:val="180"/>
        </w:rPr>
        <w:t> </w:t>
      </w:r>
      <w:r>
        <w:rPr>
          <w:rFonts w:ascii="Times New Roman" w:hAnsi="Times New Roman"/>
          <w:sz w:val="20"/>
          <w:u w:val="single"/>
        </w:rPr>
        <w:t>R&amp;D Plan</w:t>
      </w:r>
      <w:r>
        <w:rPr>
          <w:rFonts w:ascii="Times New Roman" w:hAnsi="Times New Roman"/>
          <w:sz w:val="20"/>
        </w:rPr>
        <w:t>. Within three (3) months after the Effective Date, Licensee shall furnish to Licensor a copy of Licensee's Research and Development Plan ("</w:t>
      </w:r>
      <w:r>
        <w:rPr>
          <w:rFonts w:ascii="Times New Roman" w:hAnsi="Times New Roman"/>
          <w:sz w:val="20"/>
          <w:u w:val="single"/>
        </w:rPr>
        <w:t>R&amp;D Plan</w:t>
      </w:r>
      <w:r>
        <w:rPr>
          <w:rFonts w:ascii="Times New Roman" w:hAnsi="Times New Roman"/>
          <w:sz w:val="20"/>
        </w:rPr>
        <w:t>") for Licensed Products; and a status and progress report as to Licensee's implementation of the R&amp;D Plan shall be furnished to Licensor annually thereafter, together with an update for the R&amp;D Plan for the next year. The parties acknowledge that the R&amp;D Plan will represent the optimal and desired goals and timeline for development of the Licensed Products, and that there is no guarantee of achieving the goals within said timeline.</w:t>
      </w:r>
    </w:p>
    <w:p>
      <w:pPr>
        <w:pStyle w:val="TextBody"/>
        <w:spacing w:before="0" w:after="0"/>
        <w:ind w:left="0" w:right="0" w:hanging="0"/>
        <w:jc w:val="both"/>
        <w:rPr/>
      </w:pPr>
      <w:r>
        <w:rPr/>
        <w:t> </w:t>
      </w:r>
    </w:p>
    <w:p>
      <w:pPr>
        <w:pStyle w:val="TextBody"/>
        <w:spacing w:before="0" w:after="0"/>
        <w:ind w:left="0" w:right="0" w:hanging="0"/>
        <w:jc w:val="both"/>
        <w:rPr/>
      </w:pPr>
      <w:bookmarkStart w:id="259" w:name="TAB2219"/>
      <w:bookmarkEnd w:id="259"/>
      <w:r>
        <w:rPr>
          <w:spacing w:val="180"/>
        </w:rPr>
        <w:t>   </w:t>
      </w:r>
      <w:bookmarkStart w:id="260" w:name="TAB2218"/>
      <w:bookmarkEnd w:id="260"/>
      <w:r>
        <w:rPr>
          <w:spacing w:val="180"/>
        </w:rPr>
        <w:t>   </w:t>
      </w:r>
      <w:r>
        <w:rPr/>
        <w:t> </w:t>
      </w:r>
      <w:r>
        <w:rPr>
          <w:rFonts w:ascii="Times New Roman" w:hAnsi="Times New Roman"/>
          <w:sz w:val="20"/>
        </w:rPr>
        <w:t>6.3</w:t>
      </w:r>
      <w:bookmarkStart w:id="261" w:name="TAB2217"/>
      <w:bookmarkEnd w:id="261"/>
      <w:r>
        <w:rPr>
          <w:color w:val="000000"/>
          <w:spacing w:val="180"/>
        </w:rPr>
        <w:t> </w:t>
      </w:r>
      <w:r>
        <w:rPr>
          <w:rFonts w:ascii="Times New Roman" w:hAnsi="Times New Roman"/>
          <w:sz w:val="20"/>
          <w:u w:val="single"/>
        </w:rPr>
        <w:t>Records</w:t>
      </w:r>
      <w:r>
        <w:rPr>
          <w:rFonts w:ascii="Times New Roman" w:hAnsi="Times New Roman"/>
          <w:sz w:val="20"/>
        </w:rPr>
        <w:t>. Licensee shall maintain records, in sufficient detail and in good scientific manner, which shall reflect all work done and results achieved in the performance of its research and development regarding the Licensed Products.</w:t>
      </w:r>
    </w:p>
    <w:p>
      <w:pPr>
        <w:pStyle w:val="TextBody"/>
        <w:spacing w:before="0" w:after="0"/>
        <w:ind w:left="0" w:right="0" w:hanging="0"/>
        <w:jc w:val="both"/>
        <w:rPr/>
      </w:pPr>
      <w:r>
        <w:rPr/>
        <w:t> </w:t>
      </w:r>
    </w:p>
    <w:p>
      <w:pPr>
        <w:pStyle w:val="TextBody"/>
        <w:spacing w:before="0" w:after="0"/>
        <w:ind w:left="0" w:right="0" w:hanging="0"/>
        <w:jc w:val="both"/>
        <w:rPr/>
      </w:pPr>
      <w:bookmarkStart w:id="262" w:name="TAB2222"/>
      <w:bookmarkEnd w:id="262"/>
      <w:r>
        <w:rPr>
          <w:spacing w:val="180"/>
        </w:rPr>
        <w:t>   </w:t>
      </w:r>
      <w:bookmarkStart w:id="263" w:name="TAB2221"/>
      <w:bookmarkEnd w:id="263"/>
      <w:r>
        <w:rPr>
          <w:spacing w:val="180"/>
        </w:rPr>
        <w:t>   </w:t>
      </w:r>
      <w:r>
        <w:rPr/>
        <w:t> </w:t>
      </w:r>
      <w:r>
        <w:rPr>
          <w:rFonts w:ascii="Times New Roman" w:hAnsi="Times New Roman"/>
          <w:sz w:val="20"/>
        </w:rPr>
        <w:t>6.4</w:t>
      </w:r>
      <w:bookmarkStart w:id="264" w:name="TAB2220"/>
      <w:bookmarkEnd w:id="264"/>
      <w:r>
        <w:rPr>
          <w:color w:val="000000"/>
          <w:spacing w:val="180"/>
        </w:rPr>
        <w:t> </w:t>
      </w:r>
      <w:r>
        <w:rPr>
          <w:rFonts w:ascii="Times New Roman" w:hAnsi="Times New Roman"/>
          <w:sz w:val="20"/>
          <w:u w:val="single"/>
        </w:rPr>
        <w:t>Reports</w:t>
      </w:r>
      <w:r>
        <w:rPr>
          <w:rFonts w:ascii="Times New Roman" w:hAnsi="Times New Roman"/>
          <w:sz w:val="20"/>
        </w:rPr>
        <w:t>. By April 1 of each calendar year during the term of this Agreement, Licensee shall prepare and deliver to Licensor a written summary report which shall describe (a) the research performed to date employing the Licensed IP, (b) the progress of the development, and testing of Licensed Products in clinical trials, and (c) the status of obtaining regulatory approvals to market Licensed Products.</w:t>
      </w:r>
    </w:p>
    <w:p>
      <w:pPr>
        <w:pStyle w:val="TextBody"/>
        <w:spacing w:before="0" w:after="0"/>
        <w:ind w:left="0" w:right="0" w:hanging="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265" w:name="PGBRK4"/>
      <w:bookmarkStart w:id="266" w:name="PGBRK4"/>
      <w:bookmarkEnd w:id="2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267" w:name="FTR4"/>
      <w:bookmarkStart w:id="268" w:name="FTR4"/>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9" w:name="GLFTR4"/>
      <w:bookmarkEnd w:id="2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0" w:name="PN4"/>
      <w:bookmarkEnd w:id="27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271" w:name="HDR4"/>
      <w:bookmarkStart w:id="272" w:name="HDR4"/>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3" w:name="GLHDR4"/>
      <w:bookmarkEnd w:id="2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bookmarkStart w:id="274" w:name="TAB2223"/>
      <w:bookmarkEnd w:id="274"/>
      <w:r>
        <w:rPr>
          <w:spacing w:val="180"/>
        </w:rPr>
        <w:t>   </w:t>
      </w:r>
      <w:r>
        <w:rPr/>
        <w:t> </w:t>
      </w:r>
      <w:r>
        <w:rPr>
          <w:rFonts w:ascii="Times New Roman" w:hAnsi="Times New Roman"/>
          <w:sz w:val="20"/>
        </w:rPr>
        <w:t xml:space="preserve">7. </w:t>
      </w:r>
      <w:r>
        <w:rPr>
          <w:rFonts w:ascii="Times New Roman" w:hAnsi="Times New Roman"/>
          <w:sz w:val="20"/>
          <w:u w:val="single"/>
        </w:rPr>
        <w:t>CONFIDENTIALITY</w:t>
      </w:r>
    </w:p>
    <w:p>
      <w:pPr>
        <w:pStyle w:val="TextBody"/>
        <w:spacing w:before="0" w:after="0"/>
        <w:ind w:left="0" w:right="0" w:hanging="0"/>
        <w:jc w:val="both"/>
        <w:rPr/>
      </w:pPr>
      <w:r>
        <w:rPr/>
        <w:t> </w:t>
      </w:r>
    </w:p>
    <w:p>
      <w:pPr>
        <w:pStyle w:val="TextBody"/>
        <w:spacing w:before="0" w:after="0"/>
        <w:ind w:left="0" w:right="0" w:hanging="0"/>
        <w:jc w:val="both"/>
        <w:rPr/>
      </w:pPr>
      <w:bookmarkStart w:id="275" w:name="TAB2226"/>
      <w:bookmarkEnd w:id="275"/>
      <w:r>
        <w:rPr>
          <w:spacing w:val="180"/>
        </w:rPr>
        <w:t>   </w:t>
      </w:r>
      <w:bookmarkStart w:id="276" w:name="TAB2225"/>
      <w:bookmarkEnd w:id="276"/>
      <w:r>
        <w:rPr>
          <w:spacing w:val="180"/>
        </w:rPr>
        <w:t>   </w:t>
      </w:r>
      <w:r>
        <w:rPr/>
        <w:t> </w:t>
      </w:r>
      <w:r>
        <w:rPr>
          <w:rFonts w:ascii="Times New Roman" w:hAnsi="Times New Roman"/>
          <w:sz w:val="20"/>
        </w:rPr>
        <w:t>7.1</w:t>
      </w:r>
      <w:bookmarkStart w:id="277" w:name="TAB2224"/>
      <w:bookmarkEnd w:id="277"/>
      <w:r>
        <w:rPr>
          <w:color w:val="000000"/>
          <w:spacing w:val="180"/>
        </w:rPr>
        <w:t> </w:t>
      </w:r>
      <w:r>
        <w:rPr>
          <w:rFonts w:ascii="Times New Roman" w:hAnsi="Times New Roman"/>
          <w:sz w:val="20"/>
          <w:u w:val="single"/>
        </w:rPr>
        <w:t>Confidential Information</w:t>
      </w:r>
      <w:r>
        <w:rPr>
          <w:rFonts w:ascii="Times New Roman" w:hAnsi="Times New Roman"/>
          <w:sz w:val="20"/>
        </w:rPr>
        <w:t>. The reports finished by Licensee to Licensor pursuant to Sections 4, 5 and 6 shall be treated as Licensee's Confidential Information. During the term of this Agreement, and for a period of five (5) years following the expiration or earlier termination hereof, Licensor shall maintain in confidence all Confidential Information of Licensee that is disclosed to Licensor, and shall not use, disclose or grant the use of the Confidential Information except on a need-to-know basis to those directors, officers, employees and agents, to the extent such disclosure is reasonably necessary in connection with exercising its rights under this Agreement.</w:t>
      </w:r>
    </w:p>
    <w:p>
      <w:pPr>
        <w:pStyle w:val="TextBody"/>
        <w:spacing w:before="0" w:after="0"/>
        <w:ind w:left="0" w:right="0" w:hanging="0"/>
        <w:jc w:val="both"/>
        <w:rPr/>
      </w:pPr>
      <w:r>
        <w:rPr/>
        <w:t> </w:t>
      </w:r>
    </w:p>
    <w:p>
      <w:pPr>
        <w:pStyle w:val="TextBody"/>
        <w:spacing w:before="0" w:after="0"/>
        <w:ind w:left="0" w:right="0" w:hanging="0"/>
        <w:jc w:val="both"/>
        <w:rPr/>
      </w:pPr>
      <w:bookmarkStart w:id="278" w:name="TAB2229"/>
      <w:bookmarkEnd w:id="278"/>
      <w:r>
        <w:rPr>
          <w:spacing w:val="180"/>
        </w:rPr>
        <w:t>   </w:t>
      </w:r>
      <w:bookmarkStart w:id="279" w:name="TAB2228"/>
      <w:bookmarkEnd w:id="279"/>
      <w:r>
        <w:rPr>
          <w:spacing w:val="180"/>
        </w:rPr>
        <w:t>   </w:t>
      </w:r>
      <w:r>
        <w:rPr/>
        <w:t> </w:t>
      </w:r>
      <w:r>
        <w:rPr>
          <w:rFonts w:ascii="Times New Roman" w:hAnsi="Times New Roman"/>
          <w:sz w:val="20"/>
        </w:rPr>
        <w:t>7.2</w:t>
      </w:r>
      <w:bookmarkStart w:id="280" w:name="TAB2227"/>
      <w:bookmarkEnd w:id="280"/>
      <w:r>
        <w:rPr>
          <w:color w:val="000000"/>
          <w:spacing w:val="180"/>
        </w:rPr>
        <w:t> </w:t>
      </w:r>
      <w:r>
        <w:rPr>
          <w:rFonts w:ascii="Times New Roman" w:hAnsi="Times New Roman"/>
          <w:sz w:val="20"/>
          <w:u w:val="single"/>
        </w:rPr>
        <w:t>Terms of this Agreement</w:t>
      </w:r>
      <w:r>
        <w:rPr>
          <w:rFonts w:ascii="Times New Roman" w:hAnsi="Times New Roman"/>
          <w:sz w:val="20"/>
        </w:rPr>
        <w:t>. Except as otherwise required by applicable laws, Licensor and Licensee shall not disclose any terms or conditions of this Agreement to any Third Party without the prior consent of the other Party. Notwithstanding the foregoing, Licensor may disclose the existence of this Agreement and the general nature of the Licensed IP covered by this Agreement (without disclosing any financial terms); and Licensee may disclose the term of this Agreement to any existing or prospective investor or business associate who has a need to know, subject to a customary confidentiality agreement.</w:t>
      </w:r>
    </w:p>
    <w:p>
      <w:pPr>
        <w:pStyle w:val="TextBody"/>
        <w:spacing w:before="0" w:after="0"/>
        <w:ind w:left="0" w:right="0" w:hanging="0"/>
        <w:jc w:val="both"/>
        <w:rPr/>
      </w:pPr>
      <w:r>
        <w:rPr/>
        <w:t> </w:t>
      </w:r>
    </w:p>
    <w:p>
      <w:pPr>
        <w:pStyle w:val="TextBody"/>
        <w:spacing w:before="0" w:after="0"/>
        <w:ind w:left="0" w:right="0" w:hanging="0"/>
        <w:jc w:val="both"/>
        <w:rPr/>
      </w:pPr>
      <w:bookmarkStart w:id="281" w:name="TAB2230"/>
      <w:bookmarkEnd w:id="281"/>
      <w:r>
        <w:rPr>
          <w:spacing w:val="180"/>
        </w:rPr>
        <w:t>   </w:t>
      </w:r>
      <w:r>
        <w:rPr/>
        <w:t> </w:t>
      </w:r>
      <w:r>
        <w:rPr>
          <w:rFonts w:ascii="Times New Roman" w:hAnsi="Times New Roman"/>
          <w:sz w:val="20"/>
        </w:rPr>
        <w:t xml:space="preserve">8. </w:t>
      </w:r>
      <w:r>
        <w:rPr>
          <w:rFonts w:ascii="Times New Roman" w:hAnsi="Times New Roman"/>
          <w:sz w:val="20"/>
          <w:u w:val="single"/>
        </w:rPr>
        <w:t>PATENTS</w:t>
      </w:r>
    </w:p>
    <w:p>
      <w:pPr>
        <w:pStyle w:val="TextBody"/>
        <w:spacing w:before="0" w:after="0"/>
        <w:ind w:left="0" w:right="0" w:hanging="0"/>
        <w:jc w:val="both"/>
        <w:rPr/>
      </w:pPr>
      <w:r>
        <w:rPr/>
        <w:t> </w:t>
      </w:r>
    </w:p>
    <w:p>
      <w:pPr>
        <w:pStyle w:val="TextBody"/>
        <w:spacing w:before="0" w:after="0"/>
        <w:ind w:left="0" w:right="0" w:hanging="0"/>
        <w:jc w:val="both"/>
        <w:rPr/>
      </w:pPr>
      <w:bookmarkStart w:id="282" w:name="TAB2233"/>
      <w:bookmarkEnd w:id="282"/>
      <w:r>
        <w:rPr>
          <w:spacing w:val="180"/>
        </w:rPr>
        <w:t>   </w:t>
      </w:r>
      <w:bookmarkStart w:id="283" w:name="TAB2232"/>
      <w:bookmarkEnd w:id="283"/>
      <w:r>
        <w:rPr>
          <w:spacing w:val="180"/>
        </w:rPr>
        <w:t>   </w:t>
      </w:r>
      <w:r>
        <w:rPr/>
        <w:t> </w:t>
      </w:r>
      <w:r>
        <w:rPr>
          <w:rFonts w:ascii="Times New Roman" w:hAnsi="Times New Roman"/>
          <w:sz w:val="20"/>
        </w:rPr>
        <w:t>8.1</w:t>
      </w:r>
      <w:bookmarkStart w:id="284" w:name="TAB2231"/>
      <w:bookmarkEnd w:id="284"/>
      <w:r>
        <w:rPr>
          <w:color w:val="000000"/>
          <w:spacing w:val="180"/>
        </w:rPr>
        <w:t> </w:t>
      </w:r>
      <w:r>
        <w:rPr>
          <w:rFonts w:ascii="Times New Roman" w:hAnsi="Times New Roman"/>
          <w:sz w:val="20"/>
          <w:u w:val="single"/>
        </w:rPr>
        <w:t>Patent Prosecution and Maintenance</w:t>
      </w:r>
      <w:r>
        <w:rPr>
          <w:rFonts w:ascii="Times New Roman" w:hAnsi="Times New Roman"/>
          <w:sz w:val="20"/>
        </w:rPr>
        <w:t>. Licensee shall have the right to control, at its sole cost, the preparation, filing, prosecution, defense in post-grant and/or post-issuance administrative procedures, and maintenance of all patents and patent applications in respect of Licensed Patents in the Territory and shall be solely responsible for all costs incurred in the preparation, filing, prosecution and maintenance of such patents and patent applications from the Effective Date through the termination of this Agreement. All such applications in respect of Licensed Patents shall be filed in the name of Licensor. Licensee shall give Licensor an opportunity to review and comment on the text of each patent application subject to this Section 8.1 before filing, and shall supply Licensor with a copy of such patent application as filed, together with notice of its filing date and serial number. Licensor shall cooperate with Licensee, execute all lawful papers and instruments and make all rightful oaths and declarations as may be necessary in the preparation, prosecution and maintenance of all patents and other filings referred to in this Section 8.1. If Licensee, in its sole discretion, decides to abandon the preparation, filing, prosecution or maintenance of any patent or patent application in respect of Licensed Patents, then Licensee shall notify Licensor in writing thereof and following the date of such notice (a) Licensor shall be responsible for and shall control, at its sole cost, the preparation, filing, prosecution and maintenance of such patents and patent applications, and</w:t>
      </w:r>
    </w:p>
    <w:p>
      <w:pPr>
        <w:pStyle w:val="TextBody"/>
        <w:spacing w:before="0" w:after="0"/>
        <w:ind w:left="0" w:right="0" w:hanging="0"/>
        <w:jc w:val="both"/>
        <w:rPr>
          <w:rFonts w:ascii="Times New Roman" w:hAnsi="Times New Roman"/>
          <w:sz w:val="20"/>
        </w:rPr>
      </w:pPr>
      <w:r>
        <w:rPr>
          <w:rFonts w:ascii="Times New Roman" w:hAnsi="Times New Roman"/>
          <w:sz w:val="20"/>
        </w:rPr>
        <w:t>(b) Licensee shall thereafter have no license under this Agreement to such patent or patent application.</w:t>
      </w:r>
    </w:p>
    <w:p>
      <w:pPr>
        <w:pStyle w:val="TextBody"/>
        <w:spacing w:before="0" w:after="0"/>
        <w:ind w:left="0" w:right="0" w:hanging="0"/>
        <w:jc w:val="both"/>
        <w:rPr/>
      </w:pPr>
      <w:r>
        <w:rPr/>
        <w:t> </w:t>
      </w:r>
    </w:p>
    <w:p>
      <w:pPr>
        <w:pStyle w:val="TextBody"/>
        <w:spacing w:before="0" w:after="0"/>
        <w:ind w:left="0" w:right="0" w:hanging="0"/>
        <w:jc w:val="both"/>
        <w:rPr/>
      </w:pPr>
      <w:bookmarkStart w:id="285" w:name="TAB2236"/>
      <w:bookmarkEnd w:id="285"/>
      <w:r>
        <w:rPr>
          <w:spacing w:val="180"/>
        </w:rPr>
        <w:t>   </w:t>
      </w:r>
      <w:bookmarkStart w:id="286" w:name="TAB2235"/>
      <w:bookmarkEnd w:id="286"/>
      <w:r>
        <w:rPr>
          <w:spacing w:val="180"/>
        </w:rPr>
        <w:t>   </w:t>
      </w:r>
      <w:r>
        <w:rPr/>
        <w:t> </w:t>
      </w:r>
      <w:r>
        <w:rPr>
          <w:rFonts w:ascii="Times New Roman" w:hAnsi="Times New Roman"/>
          <w:sz w:val="20"/>
        </w:rPr>
        <w:t>8.2</w:t>
      </w:r>
      <w:bookmarkStart w:id="287" w:name="TAB2234"/>
      <w:bookmarkEnd w:id="287"/>
      <w:r>
        <w:rPr>
          <w:color w:val="000000"/>
          <w:spacing w:val="180"/>
        </w:rPr>
        <w:t> </w:t>
      </w:r>
      <w:r>
        <w:rPr>
          <w:rFonts w:ascii="Times New Roman" w:hAnsi="Times New Roman"/>
          <w:sz w:val="20"/>
          <w:u w:val="single"/>
        </w:rPr>
        <w:t>Notification of Infringement</w:t>
      </w:r>
      <w:r>
        <w:rPr>
          <w:rFonts w:ascii="Times New Roman" w:hAnsi="Times New Roman"/>
          <w:sz w:val="20"/>
        </w:rPr>
        <w:t>, Each Party shall notify the other Party of any substantial infringement known to such Party of any Licensed Patents and shall provide the other Party with the available evidence, if any, of such infringement.</w:t>
      </w:r>
    </w:p>
    <w:p>
      <w:pPr>
        <w:pStyle w:val="TextBody"/>
        <w:spacing w:before="0" w:after="0"/>
        <w:ind w:left="0" w:right="0" w:hanging="0"/>
        <w:jc w:val="both"/>
        <w:rPr/>
      </w:pPr>
      <w:r>
        <w:rPr/>
        <w:t> </w:t>
      </w:r>
    </w:p>
    <w:p>
      <w:pPr>
        <w:pStyle w:val="TextBody"/>
        <w:spacing w:before="0" w:after="0"/>
        <w:ind w:left="0" w:right="0" w:hanging="0"/>
        <w:jc w:val="both"/>
        <w:rPr/>
      </w:pPr>
      <w:bookmarkStart w:id="288" w:name="TAB2239"/>
      <w:bookmarkEnd w:id="288"/>
      <w:r>
        <w:rPr>
          <w:spacing w:val="180"/>
        </w:rPr>
        <w:t>   </w:t>
      </w:r>
      <w:bookmarkStart w:id="289" w:name="TAB2238"/>
      <w:bookmarkEnd w:id="289"/>
      <w:r>
        <w:rPr>
          <w:spacing w:val="180"/>
        </w:rPr>
        <w:t>   </w:t>
      </w:r>
      <w:r>
        <w:rPr/>
        <w:t> </w:t>
      </w:r>
      <w:r>
        <w:rPr>
          <w:rFonts w:ascii="Times New Roman" w:hAnsi="Times New Roman"/>
          <w:sz w:val="20"/>
        </w:rPr>
        <w:t>8.3</w:t>
      </w:r>
      <w:bookmarkStart w:id="290" w:name="TAB2237"/>
      <w:bookmarkEnd w:id="290"/>
      <w:r>
        <w:rPr>
          <w:color w:val="000000"/>
          <w:spacing w:val="180"/>
        </w:rPr>
        <w:t> </w:t>
      </w:r>
      <w:r>
        <w:rPr>
          <w:rFonts w:ascii="Times New Roman" w:hAnsi="Times New Roman"/>
          <w:sz w:val="20"/>
          <w:u w:val="single"/>
        </w:rPr>
        <w:t>Enforcement of Patent Rights</w:t>
      </w:r>
      <w:r>
        <w:rPr>
          <w:rFonts w:ascii="Times New Roman" w:hAnsi="Times New Roman"/>
          <w:sz w:val="20"/>
        </w:rPr>
        <w:t>. Licensee, at its sole expense, shall have the right to determine the appropriate course of action to enforce Licensed Patents or otherwise abate the infringement thereof, to take (or refrain from taking) appropriate action to enforce Licensed Patents, to defend any declaratory judgments seeking to invalidate or hold the Licensed Patents unenforceable, to control any litigation or other enforcement action and to enter into, or permit, the settlement of any such litigation, declaratory judgments or other enforcement action with respect to Licensed Patents, in each case in Licensee's own name and, if necessary for standing purposes, in the name of Licensor and shall consider, in good faith, the interests of Licensor in so doing. If Licensee does not, within six (6) months after receipt of notice from Licensor, abate the infringement or file suit to enforce the Licensed Patents against at least one infringing Party, Licensor shall have the right to take whatever action it deems appropriate to enforce the Licensed Patents; provided, however, that, within thirty (30) days after receipt of notice of Licensor's intent to file such suit, Licensee shall have the right to jointly prosecute such suit and to fund up to</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291" w:name="PGBRK5"/>
      <w:bookmarkStart w:id="292" w:name="PGBRK5"/>
      <w:bookmarkEnd w:id="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293" w:name="FTR5"/>
      <w:bookmarkStart w:id="294" w:name="FTR5"/>
      <w:bookmarkEnd w:id="2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5" w:name="GLFTR5"/>
      <w:bookmarkEnd w:id="2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6" w:name="PN5"/>
      <w:bookmarkEnd w:id="29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297" w:name="HDR5"/>
      <w:bookmarkStart w:id="298" w:name="HDR5"/>
      <w:bookmarkEnd w:id="2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9" w:name="GLHDR5"/>
      <w:bookmarkEnd w:id="2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one-half the costs of such suit. The Party controlling any such joint enforcement action shall not settle the action or otherwise consent to an adverse judgment in such joint action that diminishes the rights or interests of the non-controlling Party without the prior written consent of the other Party. All monies recovered upon the final judgment or settlement of any such suit to enforce the Licensed Patents shall be shared in relation to the damages (including attorneys' fees and expenses for the enforcement action) incurred by each Party as a result of such infringement; and such recovery shall not be treated as Revenues for purposes of Section 4.2.1. Notwithstanding the foregoing, to the extent any part of the recovery includes a reasonable royalty payable to Licensee, such royalty amounts shall be deemed Revenue on which Licensee will pay a royalty to Licensor in accordance with Section 4.2.1.</w:t>
      </w:r>
    </w:p>
    <w:p>
      <w:pPr>
        <w:pStyle w:val="TextBody"/>
        <w:spacing w:before="0" w:after="0"/>
        <w:ind w:left="0" w:right="0" w:hanging="0"/>
        <w:jc w:val="both"/>
        <w:rPr/>
      </w:pPr>
      <w:r>
        <w:rPr/>
        <w:t> </w:t>
      </w:r>
    </w:p>
    <w:p>
      <w:pPr>
        <w:pStyle w:val="TextBody"/>
        <w:spacing w:before="0" w:after="0"/>
        <w:ind w:left="0" w:right="0" w:hanging="0"/>
        <w:jc w:val="both"/>
        <w:rPr/>
      </w:pPr>
      <w:bookmarkStart w:id="300" w:name="TAB2241"/>
      <w:bookmarkEnd w:id="300"/>
      <w:r>
        <w:rPr>
          <w:spacing w:val="180"/>
        </w:rPr>
        <w:t>   </w:t>
      </w:r>
      <w:bookmarkStart w:id="301" w:name="TAB2240"/>
      <w:bookmarkEnd w:id="301"/>
      <w:r>
        <w:rPr>
          <w:spacing w:val="180"/>
        </w:rPr>
        <w:t>   </w:t>
      </w:r>
      <w:r>
        <w:rPr/>
        <w:t> </w:t>
      </w:r>
      <w:r>
        <w:rPr>
          <w:rFonts w:ascii="Times New Roman" w:hAnsi="Times New Roman"/>
          <w:sz w:val="20"/>
        </w:rPr>
        <w:t>8.4    </w:t>
      </w:r>
      <w:r>
        <w:rPr>
          <w:rFonts w:ascii="Times New Roman" w:hAnsi="Times New Roman"/>
          <w:sz w:val="20"/>
          <w:u w:val="single"/>
        </w:rPr>
        <w:t>Cooperation</w:t>
      </w:r>
      <w:r>
        <w:rPr>
          <w:rFonts w:ascii="Times New Roman" w:hAnsi="Times New Roman"/>
          <w:sz w:val="20"/>
        </w:rPr>
        <w:t>. In any suit to enforce and/or defend the Licensed Patents pursuant to this Section 8, the Party not in control of such suit shall, at the request and expense of the controlling Party, reasonably cooperate and, to the extent possible, have its employees testify when requested and make available relevant records, papers, information, samples, specimens, and the like.</w:t>
      </w:r>
    </w:p>
    <w:p>
      <w:pPr>
        <w:pStyle w:val="TextBody"/>
        <w:spacing w:before="0" w:after="0"/>
        <w:ind w:left="0" w:right="0" w:hanging="0"/>
        <w:jc w:val="both"/>
        <w:rPr/>
      </w:pPr>
      <w:r>
        <w:rPr/>
        <w:t> </w:t>
      </w:r>
    </w:p>
    <w:p>
      <w:pPr>
        <w:pStyle w:val="TextBody"/>
        <w:spacing w:before="0" w:after="0"/>
        <w:ind w:left="0" w:right="0" w:hanging="0"/>
        <w:jc w:val="both"/>
        <w:rPr/>
      </w:pPr>
      <w:bookmarkStart w:id="302" w:name="TAB2242"/>
      <w:bookmarkEnd w:id="302"/>
      <w:r>
        <w:rPr>
          <w:spacing w:val="180"/>
        </w:rPr>
        <w:t>   </w:t>
      </w:r>
      <w:r>
        <w:rPr/>
        <w:t> </w:t>
      </w:r>
      <w:r>
        <w:rPr>
          <w:rFonts w:ascii="Times New Roman" w:hAnsi="Times New Roman"/>
          <w:sz w:val="20"/>
        </w:rPr>
        <w:t xml:space="preserve">9. </w:t>
      </w:r>
      <w:r>
        <w:rPr>
          <w:rFonts w:ascii="Times New Roman" w:hAnsi="Times New Roman"/>
          <w:sz w:val="20"/>
          <w:u w:val="single"/>
        </w:rPr>
        <w:t>TERMINATION</w:t>
      </w:r>
    </w:p>
    <w:p>
      <w:pPr>
        <w:pStyle w:val="TextBody"/>
        <w:spacing w:before="0" w:after="0"/>
        <w:ind w:left="0" w:right="0" w:hanging="0"/>
        <w:jc w:val="both"/>
        <w:rPr/>
      </w:pPr>
      <w:r>
        <w:rPr/>
        <w:t> </w:t>
      </w:r>
    </w:p>
    <w:p>
      <w:pPr>
        <w:pStyle w:val="TextBody"/>
        <w:spacing w:before="0" w:after="0"/>
        <w:ind w:left="0" w:right="0" w:hanging="0"/>
        <w:jc w:val="both"/>
        <w:rPr/>
      </w:pPr>
      <w:bookmarkStart w:id="303" w:name="TAB2245"/>
      <w:bookmarkEnd w:id="303"/>
      <w:r>
        <w:rPr>
          <w:spacing w:val="180"/>
        </w:rPr>
        <w:t>   </w:t>
      </w:r>
      <w:bookmarkStart w:id="304" w:name="TAB2244"/>
      <w:bookmarkEnd w:id="304"/>
      <w:r>
        <w:rPr>
          <w:spacing w:val="180"/>
        </w:rPr>
        <w:t>   </w:t>
      </w:r>
      <w:r>
        <w:rPr/>
        <w:t> </w:t>
      </w:r>
      <w:r>
        <w:rPr>
          <w:rFonts w:ascii="Times New Roman" w:hAnsi="Times New Roman"/>
          <w:sz w:val="20"/>
        </w:rPr>
        <w:t>9.1</w:t>
      </w:r>
      <w:bookmarkStart w:id="305" w:name="TAB2243"/>
      <w:bookmarkEnd w:id="305"/>
      <w:r>
        <w:rPr>
          <w:color w:val="000000"/>
          <w:spacing w:val="180"/>
        </w:rPr>
        <w:t> </w:t>
      </w:r>
      <w:r>
        <w:rPr>
          <w:rFonts w:ascii="Times New Roman" w:hAnsi="Times New Roman"/>
          <w:sz w:val="20"/>
          <w:u w:val="single"/>
        </w:rPr>
        <w:t>Expiration</w:t>
      </w:r>
      <w:r>
        <w:rPr>
          <w:rFonts w:ascii="Times New Roman" w:hAnsi="Times New Roman"/>
          <w:sz w:val="20"/>
        </w:rPr>
        <w:t>. Subject to Sections 9.3 and 9.4 below, this Agreement shall expire on the expiration of Licensee's obligation to make payments to Licensor under Section 4 above. The license grant under Section 3.1 shall be effective at all times prior to such expiration.</w:t>
      </w:r>
    </w:p>
    <w:p>
      <w:pPr>
        <w:pStyle w:val="TextBody"/>
        <w:spacing w:before="0" w:after="0"/>
        <w:ind w:left="0" w:right="0" w:hanging="0"/>
        <w:jc w:val="both"/>
        <w:rPr/>
      </w:pPr>
      <w:r>
        <w:rPr/>
        <w:t> </w:t>
      </w:r>
    </w:p>
    <w:p>
      <w:pPr>
        <w:pStyle w:val="TextBody"/>
        <w:spacing w:before="0" w:after="0"/>
        <w:ind w:left="0" w:right="0" w:hanging="0"/>
        <w:jc w:val="both"/>
        <w:rPr/>
      </w:pPr>
      <w:bookmarkStart w:id="306" w:name="TAB2248"/>
      <w:bookmarkEnd w:id="306"/>
      <w:r>
        <w:rPr>
          <w:spacing w:val="180"/>
        </w:rPr>
        <w:t>   </w:t>
      </w:r>
      <w:bookmarkStart w:id="307" w:name="TAB2247"/>
      <w:bookmarkEnd w:id="307"/>
      <w:r>
        <w:rPr>
          <w:spacing w:val="180"/>
        </w:rPr>
        <w:t>   </w:t>
      </w:r>
      <w:r>
        <w:rPr/>
        <w:t> </w:t>
      </w:r>
      <w:r>
        <w:rPr>
          <w:rFonts w:ascii="Times New Roman" w:hAnsi="Times New Roman"/>
          <w:sz w:val="20"/>
        </w:rPr>
        <w:t>9.2</w:t>
      </w:r>
      <w:bookmarkStart w:id="308" w:name="TAB2246"/>
      <w:bookmarkEnd w:id="308"/>
      <w:r>
        <w:rPr>
          <w:color w:val="000000"/>
          <w:spacing w:val="180"/>
        </w:rPr>
        <w:t> </w:t>
      </w:r>
      <w:r>
        <w:rPr>
          <w:rFonts w:ascii="Times New Roman" w:hAnsi="Times New Roman"/>
          <w:sz w:val="20"/>
          <w:u w:val="single"/>
        </w:rPr>
        <w:t>Termination by Mutual Consent</w:t>
      </w:r>
      <w:r>
        <w:rPr>
          <w:rFonts w:ascii="Times New Roman" w:hAnsi="Times New Roman"/>
          <w:sz w:val="20"/>
        </w:rPr>
        <w:t>. The Parties may terminate this Agreement at any time by mutual consent, which consent shall be evidenced by a written agreement or other such documentation duly executed by both Parties.</w:t>
      </w:r>
    </w:p>
    <w:p>
      <w:pPr>
        <w:pStyle w:val="TextBody"/>
        <w:spacing w:before="0" w:after="0"/>
        <w:ind w:left="0" w:right="0" w:hanging="0"/>
        <w:jc w:val="both"/>
        <w:rPr/>
      </w:pPr>
      <w:r>
        <w:rPr/>
        <w:t> </w:t>
      </w:r>
    </w:p>
    <w:p>
      <w:pPr>
        <w:pStyle w:val="TextBody"/>
        <w:spacing w:before="0" w:after="0"/>
        <w:ind w:left="0" w:right="0" w:hanging="0"/>
        <w:jc w:val="both"/>
        <w:rPr/>
      </w:pPr>
      <w:bookmarkStart w:id="309" w:name="TAB2251"/>
      <w:bookmarkEnd w:id="309"/>
      <w:r>
        <w:rPr>
          <w:spacing w:val="180"/>
        </w:rPr>
        <w:t>   </w:t>
      </w:r>
      <w:bookmarkStart w:id="310" w:name="TAB2250"/>
      <w:bookmarkEnd w:id="310"/>
      <w:r>
        <w:rPr>
          <w:spacing w:val="180"/>
        </w:rPr>
        <w:t>   </w:t>
      </w:r>
      <w:r>
        <w:rPr/>
        <w:t> </w:t>
      </w:r>
      <w:r>
        <w:rPr>
          <w:rFonts w:ascii="Times New Roman" w:hAnsi="Times New Roman"/>
          <w:sz w:val="20"/>
        </w:rPr>
        <w:t>9.3</w:t>
      </w:r>
      <w:bookmarkStart w:id="311" w:name="TAB2249"/>
      <w:bookmarkEnd w:id="311"/>
      <w:r>
        <w:rPr>
          <w:color w:val="000000"/>
          <w:spacing w:val="180"/>
        </w:rPr>
        <w:t> </w:t>
      </w:r>
      <w:r>
        <w:rPr>
          <w:rFonts w:ascii="Times New Roman" w:hAnsi="Times New Roman"/>
          <w:sz w:val="20"/>
          <w:u w:val="single"/>
        </w:rPr>
        <w:t>Termination by Licensee</w:t>
      </w:r>
      <w:r>
        <w:rPr>
          <w:rFonts w:ascii="Times New Roman" w:hAnsi="Times New Roman"/>
          <w:sz w:val="20"/>
        </w:rPr>
        <w:t>. Licensee may terminate this Agreement, in its sole discretion, upon thirty (30) days prior written notice to Licensor, provided, however, Licensee shall remain liable for any payments accrued under this Agreement prior to the date of termination.</w:t>
      </w:r>
    </w:p>
    <w:p>
      <w:pPr>
        <w:pStyle w:val="TextBody"/>
        <w:spacing w:before="0" w:after="0"/>
        <w:ind w:left="0" w:right="0" w:hanging="0"/>
        <w:jc w:val="both"/>
        <w:rPr/>
      </w:pPr>
      <w:r>
        <w:rPr/>
        <w:t> </w:t>
      </w:r>
    </w:p>
    <w:p>
      <w:pPr>
        <w:pStyle w:val="TextBody"/>
        <w:spacing w:before="0" w:after="0"/>
        <w:ind w:left="0" w:right="0" w:hanging="0"/>
        <w:jc w:val="both"/>
        <w:rPr/>
      </w:pPr>
      <w:bookmarkStart w:id="312" w:name="TAB2254"/>
      <w:bookmarkEnd w:id="312"/>
      <w:r>
        <w:rPr>
          <w:spacing w:val="180"/>
        </w:rPr>
        <w:t>   </w:t>
      </w:r>
      <w:bookmarkStart w:id="313" w:name="TAB2253"/>
      <w:bookmarkEnd w:id="313"/>
      <w:r>
        <w:rPr>
          <w:spacing w:val="180"/>
        </w:rPr>
        <w:t>   </w:t>
      </w:r>
      <w:r>
        <w:rPr/>
        <w:t> </w:t>
      </w:r>
      <w:r>
        <w:rPr>
          <w:rFonts w:ascii="Times New Roman" w:hAnsi="Times New Roman"/>
          <w:sz w:val="20"/>
        </w:rPr>
        <w:t>9.4</w:t>
      </w:r>
      <w:bookmarkStart w:id="314" w:name="TAB2252"/>
      <w:bookmarkEnd w:id="314"/>
      <w:r>
        <w:rPr>
          <w:color w:val="000000"/>
          <w:spacing w:val="180"/>
        </w:rPr>
        <w:t> </w:t>
      </w:r>
      <w:r>
        <w:rPr>
          <w:rFonts w:ascii="Times New Roman" w:hAnsi="Times New Roman"/>
          <w:sz w:val="20"/>
          <w:u w:val="single"/>
        </w:rPr>
        <w:t>Termination for Cause</w:t>
      </w:r>
      <w:r>
        <w:rPr>
          <w:rFonts w:ascii="Times New Roman" w:hAnsi="Times New Roman"/>
          <w:sz w:val="20"/>
        </w:rPr>
        <w:t>. Except as otherwise provided in Section 11, Licensor may terminate this Agreement upon or after the breach of any material provision of this Agreement by Licensee, if Licensee has not cured such breach within ninety (90) days after receipt of express written notice thereof by Licensor; provided, however, if any default is not capable of being cured within such ninety (90) day period and Licensee is diligently undertaking to cure such default as soon as commercially feasible thereafter under the circumstances, Licensor shall have no right to terminate this Agreement.</w:t>
      </w:r>
    </w:p>
    <w:p>
      <w:pPr>
        <w:pStyle w:val="TextBody"/>
        <w:spacing w:before="0" w:after="0"/>
        <w:ind w:left="0" w:right="0" w:hanging="0"/>
        <w:jc w:val="both"/>
        <w:rPr/>
      </w:pPr>
      <w:r>
        <w:rPr/>
        <w:t> </w:t>
      </w:r>
    </w:p>
    <w:p>
      <w:pPr>
        <w:pStyle w:val="TextBody"/>
        <w:spacing w:before="0" w:after="0"/>
        <w:ind w:left="0" w:right="0" w:hanging="0"/>
        <w:jc w:val="both"/>
        <w:rPr/>
      </w:pPr>
      <w:bookmarkStart w:id="315" w:name="TAB2257"/>
      <w:bookmarkEnd w:id="315"/>
      <w:r>
        <w:rPr>
          <w:spacing w:val="180"/>
        </w:rPr>
        <w:t>   </w:t>
      </w:r>
      <w:bookmarkStart w:id="316" w:name="TAB2256"/>
      <w:bookmarkEnd w:id="316"/>
      <w:r>
        <w:rPr>
          <w:spacing w:val="180"/>
        </w:rPr>
        <w:t>   </w:t>
      </w:r>
      <w:r>
        <w:rPr/>
        <w:t> </w:t>
      </w:r>
      <w:r>
        <w:rPr>
          <w:rFonts w:ascii="Times New Roman" w:hAnsi="Times New Roman"/>
          <w:sz w:val="20"/>
        </w:rPr>
        <w:t>9.5</w:t>
      </w:r>
      <w:bookmarkStart w:id="317" w:name="TAB2255"/>
      <w:bookmarkEnd w:id="317"/>
      <w:r>
        <w:rPr>
          <w:color w:val="000000"/>
          <w:spacing w:val="180"/>
        </w:rPr>
        <w:t> </w:t>
      </w:r>
      <w:r>
        <w:rPr>
          <w:rFonts w:ascii="Times New Roman" w:hAnsi="Times New Roman"/>
          <w:sz w:val="20"/>
        </w:rPr>
        <w:t>Termination Upon Licensee Insolvency. This Agreement shall terminate at least one day prior to the occurrence of any of the following events: (i) the Licensee files a voluntary petition in bankruptcy or insolvency or shall petition for reorganization under the bankruptcy law, or makes a general assignment for the benefit of creditors, or otherwise acknowledges insolvency or is adjudged bankrupt; (ii) the Licensee consents to an involuntary petition in bankruptcy or if a receiving order is given against it under any applicable bankruptcy/insolvency law in a jurisdiction; (iii) the appointment of a receiver or other similar representative for the Licensee by a court of competent jurisdiction; or (iv) Licensee fails to carry on business in the normal course.</w:t>
      </w:r>
    </w:p>
    <w:p>
      <w:pPr>
        <w:pStyle w:val="TextBody"/>
        <w:spacing w:before="0" w:after="0"/>
        <w:ind w:left="0" w:right="0" w:hanging="0"/>
        <w:jc w:val="both"/>
        <w:rPr/>
      </w:pPr>
      <w:r>
        <w:rPr/>
        <w:t> </w:t>
      </w:r>
    </w:p>
    <w:p>
      <w:pPr>
        <w:pStyle w:val="TextBody"/>
        <w:spacing w:before="0" w:after="0"/>
        <w:ind w:left="0" w:right="0" w:hanging="0"/>
        <w:jc w:val="both"/>
        <w:rPr/>
      </w:pPr>
      <w:bookmarkStart w:id="318" w:name="TAB2260"/>
      <w:bookmarkEnd w:id="318"/>
      <w:r>
        <w:rPr>
          <w:spacing w:val="180"/>
        </w:rPr>
        <w:t>   </w:t>
      </w:r>
      <w:bookmarkStart w:id="319" w:name="TAB2259"/>
      <w:bookmarkEnd w:id="319"/>
      <w:r>
        <w:rPr>
          <w:spacing w:val="180"/>
        </w:rPr>
        <w:t>   </w:t>
      </w:r>
      <w:r>
        <w:rPr/>
        <w:t> </w:t>
      </w:r>
      <w:r>
        <w:rPr>
          <w:rFonts w:ascii="Times New Roman" w:hAnsi="Times New Roman"/>
          <w:sz w:val="20"/>
        </w:rPr>
        <w:t>9.6</w:t>
      </w:r>
      <w:bookmarkStart w:id="320" w:name="TAB2258"/>
      <w:bookmarkEnd w:id="320"/>
      <w:r>
        <w:rPr>
          <w:color w:val="000000"/>
          <w:spacing w:val="180"/>
        </w:rPr>
        <w:t> </w:t>
      </w:r>
      <w:r>
        <w:rPr>
          <w:rFonts w:ascii="Times New Roman" w:hAnsi="Times New Roman"/>
          <w:sz w:val="20"/>
          <w:u w:val="single"/>
        </w:rPr>
        <w:t>Effect of Expiration or Termination</w:t>
      </w:r>
      <w:r>
        <w:rPr>
          <w:rFonts w:ascii="Times New Roman" w:hAnsi="Times New Roman"/>
          <w:sz w:val="20"/>
        </w:rPr>
        <w:t>. Expiration or termination of this Agreement shall not relieve the Parties of any obligation accruing prior to such expiration or termination, and the provisions of Sections 1, 2, 5,7, 9.1, 9.6,10 and 12 shall survive the expiration or termination of this Agreement. Upon any termination of this Agreement, Licensor shall grant a direct license to any sublicense of Licensee hereunder having the same scope as such sublicense and on terms and conditions no less favorable to such Sublicensee than the terms and conditions of this Agreement, provided that such Sublicensee is not in default of any applicable obligations under this Agreement and agrees in writing to be bound by the terms and conditions of such direct license. Upon any termination of this Agreement, for a period of six (6) months thereafter, Licensee (and its Affiliates and Sublicensees) shall continue to be entitled to finish production of any Products which were in process at the time of termination, and Licensee (and its Affiliates and Sublicensees) shall be entitled to sell all Products which were in inventory or in process at the time of termination, so long as Licensee (and its Affiliates and Sublicensees) continues to make the reports and pay the scheduled royalties for said sales as set forth in this Agreement.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321" w:name="PGBRK6"/>
      <w:bookmarkStart w:id="322" w:name="PGBRK6"/>
      <w:bookmarkEnd w:id="3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23" w:name="FTR6"/>
      <w:bookmarkStart w:id="324" w:name="FTR6"/>
      <w:bookmarkEnd w:id="3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5" w:name="GLFTR6"/>
      <w:bookmarkEnd w:id="3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26" w:name="PN6"/>
      <w:bookmarkEnd w:id="32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27" w:name="HDR6"/>
      <w:bookmarkStart w:id="328" w:name="HDR6"/>
      <w:bookmarkEnd w:id="3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9" w:name="GLHDR6"/>
      <w:bookmarkEnd w:id="3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bookmarkStart w:id="330" w:name="TAB2261"/>
      <w:bookmarkEnd w:id="330"/>
      <w:r>
        <w:rPr>
          <w:spacing w:val="180"/>
        </w:rPr>
        <w:t>   </w:t>
      </w:r>
      <w:r>
        <w:rPr/>
        <w:t> </w:t>
      </w:r>
      <w:r>
        <w:rPr>
          <w:rFonts w:ascii="Times New Roman" w:hAnsi="Times New Roman"/>
          <w:sz w:val="20"/>
        </w:rPr>
        <w:t xml:space="preserve">10. </w:t>
      </w:r>
      <w:r>
        <w:rPr>
          <w:rFonts w:ascii="Times New Roman" w:hAnsi="Times New Roman"/>
          <w:sz w:val="20"/>
          <w:u w:val="single"/>
        </w:rPr>
        <w:t>INDEMNIFICATION</w:t>
      </w:r>
    </w:p>
    <w:p>
      <w:pPr>
        <w:pStyle w:val="TextBody"/>
        <w:spacing w:before="0" w:after="0"/>
        <w:ind w:left="0" w:right="0" w:hanging="0"/>
        <w:jc w:val="both"/>
        <w:rPr/>
      </w:pPr>
      <w:r>
        <w:rPr/>
        <w:t> </w:t>
      </w:r>
    </w:p>
    <w:p>
      <w:pPr>
        <w:pStyle w:val="TextBody"/>
        <w:spacing w:before="0" w:after="0"/>
        <w:ind w:left="0" w:right="0" w:hanging="0"/>
        <w:jc w:val="both"/>
        <w:rPr/>
      </w:pPr>
      <w:bookmarkStart w:id="331" w:name="TAB2264"/>
      <w:bookmarkEnd w:id="331"/>
      <w:r>
        <w:rPr>
          <w:spacing w:val="180"/>
        </w:rPr>
        <w:t>   </w:t>
      </w:r>
      <w:bookmarkStart w:id="332" w:name="TAB2263"/>
      <w:bookmarkEnd w:id="332"/>
      <w:r>
        <w:rPr>
          <w:spacing w:val="180"/>
        </w:rPr>
        <w:t>   </w:t>
      </w:r>
      <w:r>
        <w:rPr/>
        <w:t> </w:t>
      </w:r>
      <w:r>
        <w:rPr>
          <w:rFonts w:ascii="Times New Roman" w:hAnsi="Times New Roman"/>
          <w:sz w:val="20"/>
        </w:rPr>
        <w:t>10.1</w:t>
      </w:r>
      <w:bookmarkStart w:id="333" w:name="TAB2262"/>
      <w:bookmarkEnd w:id="333"/>
      <w:r>
        <w:rPr>
          <w:color w:val="000000"/>
          <w:spacing w:val="180"/>
        </w:rPr>
        <w:t xml:space="preserve">  </w:t>
      </w:r>
      <w:r>
        <w:rPr>
          <w:rFonts w:ascii="Times New Roman" w:hAnsi="Times New Roman"/>
          <w:sz w:val="20"/>
          <w:u w:val="single"/>
        </w:rPr>
        <w:t>Indemnification</w:t>
      </w:r>
      <w:r>
        <w:rPr>
          <w:rFonts w:ascii="Times New Roman" w:hAnsi="Times New Roman"/>
          <w:sz w:val="20"/>
        </w:rPr>
        <w:t>. Licensee shall defend, indemnify and hold Licensor (which for purposes of clarity, is recognized to include, without limitation, its directors, officers, employees, research trainees, students and agents) harmless from all losses, liabilities, damages and expenses (including attorneys' fees and costs) incurred as a result of any claim, demand, action or proceeding arising out of any breach of this Agreement by Licensee, any damages or personal injury resulting from the use, application of, distribution, sale or other exploitation of the Licensed IP, Licensed Patents and the Licensed Product by Licensee, its Affiliates or Sublicensees, or the gross negligence or willful misconduct of Licensee in the performance of its obligations under this Agreement, except in each case to the extent arising from the gross negligence or willful misconduct of Licensor or the breach of this Agreement by Licensor.</w:t>
      </w:r>
    </w:p>
    <w:p>
      <w:pPr>
        <w:pStyle w:val="TextBody"/>
        <w:spacing w:before="0" w:after="0"/>
        <w:ind w:left="0" w:right="0" w:hanging="0"/>
        <w:jc w:val="both"/>
        <w:rPr/>
      </w:pPr>
      <w:r>
        <w:rPr/>
        <w:t> </w:t>
      </w:r>
    </w:p>
    <w:p>
      <w:pPr>
        <w:pStyle w:val="TextBody"/>
        <w:spacing w:before="0" w:after="0"/>
        <w:ind w:left="0" w:right="0" w:hanging="0"/>
        <w:jc w:val="both"/>
        <w:rPr/>
      </w:pPr>
      <w:bookmarkStart w:id="334" w:name="TAB2267"/>
      <w:bookmarkEnd w:id="334"/>
      <w:r>
        <w:rPr>
          <w:spacing w:val="180"/>
        </w:rPr>
        <w:t>   </w:t>
      </w:r>
      <w:bookmarkStart w:id="335" w:name="TAB2266"/>
      <w:bookmarkEnd w:id="335"/>
      <w:r>
        <w:rPr>
          <w:spacing w:val="180"/>
        </w:rPr>
        <w:t>   </w:t>
      </w:r>
      <w:r>
        <w:rPr/>
        <w:t> </w:t>
      </w:r>
      <w:r>
        <w:rPr>
          <w:rFonts w:ascii="Times New Roman" w:hAnsi="Times New Roman"/>
          <w:sz w:val="20"/>
        </w:rPr>
        <w:t>10.2</w:t>
      </w:r>
      <w:bookmarkStart w:id="336" w:name="TAB2265"/>
      <w:bookmarkEnd w:id="336"/>
      <w:r>
        <w:rPr>
          <w:color w:val="000000"/>
          <w:spacing w:val="180"/>
        </w:rPr>
        <w:t>  </w:t>
      </w:r>
      <w:r>
        <w:rPr>
          <w:rFonts w:ascii="Times New Roman" w:hAnsi="Times New Roman"/>
          <w:sz w:val="20"/>
          <w:u w:val="single"/>
        </w:rPr>
        <w:t>Procedure</w:t>
      </w:r>
      <w:r>
        <w:rPr>
          <w:rFonts w:ascii="Times New Roman" w:hAnsi="Times New Roman"/>
          <w:sz w:val="20"/>
        </w:rPr>
        <w:t>. Licensor promptly shall notify Licensee of any liability or action in respect of which Licensor intends to claim such indemnification, and Licensee shall have the right to assume the defense thereof with counsel selected by Licensee. The indemnity agreement in this Section 10 shall not apply to amounts paid in settlement of any loss, claim, damage, liability or action if such settlement is effected without the consent of Licensee, which consent shall not be withheld unreasonably. The failure to deliver notice to Licensee within a reasonable time after the commencement of any such action, if prejudicial to its ability to defend such action, shall relieve Licensee of any liability to Licensor under this Section 10, but the omission so to deliver notice to Licensee will not relieve it of any liability that it may have to Licensor otherwise than under this Section 10. Licensor under this Section 10, its employees and agents, shall cooperate fully with Licensee and its legal representatives in the investigation and defense of any action, claim or liability covered by this indemnification.</w:t>
      </w:r>
    </w:p>
    <w:p>
      <w:pPr>
        <w:pStyle w:val="TextBody"/>
        <w:spacing w:before="0" w:after="0"/>
        <w:ind w:left="0" w:right="0" w:hanging="0"/>
        <w:jc w:val="both"/>
        <w:rPr/>
      </w:pPr>
      <w:r>
        <w:rPr/>
        <w:t> </w:t>
      </w:r>
    </w:p>
    <w:p>
      <w:pPr>
        <w:pStyle w:val="TextBody"/>
        <w:spacing w:before="0" w:after="0"/>
        <w:ind w:left="0" w:right="0" w:hanging="0"/>
        <w:jc w:val="both"/>
        <w:rPr/>
      </w:pPr>
      <w:bookmarkStart w:id="337" w:name="TAB2269"/>
      <w:bookmarkEnd w:id="337"/>
      <w:r>
        <w:rPr>
          <w:spacing w:val="180"/>
        </w:rPr>
        <w:t>   </w:t>
      </w:r>
      <w:bookmarkStart w:id="338" w:name="TAB2268"/>
      <w:bookmarkEnd w:id="338"/>
      <w:r>
        <w:rPr>
          <w:spacing w:val="180"/>
        </w:rPr>
        <w:t>   </w:t>
      </w:r>
      <w:r>
        <w:rPr/>
        <w:t> </w:t>
      </w:r>
      <w:r>
        <w:rPr>
          <w:rFonts w:ascii="Times New Roman" w:hAnsi="Times New Roman"/>
          <w:sz w:val="20"/>
        </w:rPr>
        <w:t>10.3         </w:t>
      </w:r>
      <w:r>
        <w:rPr>
          <w:rFonts w:ascii="Times New Roman" w:hAnsi="Times New Roman"/>
          <w:sz w:val="20"/>
          <w:u w:val="single"/>
        </w:rPr>
        <w:t>Insurance</w:t>
      </w:r>
      <w:r>
        <w:rPr>
          <w:rFonts w:ascii="Times New Roman" w:hAnsi="Times New Roman"/>
          <w:sz w:val="20"/>
        </w:rPr>
        <w:t>. During the term of this Agreement, Licensee shall maintain at its own expense:</w:t>
      </w:r>
    </w:p>
    <w:p>
      <w:pPr>
        <w:pStyle w:val="TextBody"/>
        <w:spacing w:before="0" w:after="0"/>
        <w:ind w:left="0" w:right="0" w:hanging="0"/>
        <w:jc w:val="both"/>
        <w:rPr/>
      </w:pPr>
      <w:r>
        <w:rPr/>
        <w:t> </w:t>
      </w:r>
    </w:p>
    <w:p>
      <w:pPr>
        <w:pStyle w:val="TextBody"/>
        <w:spacing w:before="0" w:after="0"/>
        <w:ind w:left="0" w:right="0" w:hanging="0"/>
        <w:jc w:val="both"/>
        <w:rPr/>
      </w:pPr>
      <w:bookmarkStart w:id="339" w:name="TAB2273"/>
      <w:bookmarkEnd w:id="339"/>
      <w:r>
        <w:rPr>
          <w:spacing w:val="180"/>
        </w:rPr>
        <w:t>   </w:t>
      </w:r>
      <w:bookmarkStart w:id="340" w:name="TAB2272"/>
      <w:bookmarkEnd w:id="340"/>
      <w:r>
        <w:rPr>
          <w:spacing w:val="180"/>
        </w:rPr>
        <w:t>   </w:t>
      </w:r>
      <w:bookmarkStart w:id="341" w:name="TAB2271"/>
      <w:bookmarkEnd w:id="341"/>
      <w:r>
        <w:rPr>
          <w:spacing w:val="180"/>
        </w:rPr>
        <w:t>   </w:t>
      </w:r>
      <w:r>
        <w:rPr/>
        <w:t> </w:t>
      </w:r>
      <w:r>
        <w:rPr>
          <w:rFonts w:ascii="Times New Roman" w:hAnsi="Times New Roman"/>
          <w:sz w:val="20"/>
        </w:rPr>
        <w:t>10.3.1</w:t>
      </w:r>
      <w:bookmarkStart w:id="342" w:name="TAB2270"/>
      <w:bookmarkEnd w:id="342"/>
      <w:r>
        <w:rPr>
          <w:color w:val="000000"/>
          <w:spacing w:val="180"/>
        </w:rPr>
        <w:t> </w:t>
      </w:r>
      <w:r>
        <w:rPr>
          <w:rFonts w:ascii="Times New Roman" w:hAnsi="Times New Roman"/>
          <w:sz w:val="20"/>
        </w:rPr>
        <w:t>Comprehensive general liability insurance for claims for damages arising from bodily injury (including death) and property damages caused by, or arising out of, acts or omissions of its employees, in such amounts as are customary and reasonable in the Licensee's industry.</w:t>
      </w:r>
    </w:p>
    <w:p>
      <w:pPr>
        <w:pStyle w:val="TextBody"/>
        <w:spacing w:before="0" w:after="0"/>
        <w:ind w:left="0" w:right="0" w:hanging="0"/>
        <w:jc w:val="both"/>
        <w:rPr/>
      </w:pPr>
      <w:r>
        <w:rPr/>
        <w:t> </w:t>
      </w:r>
    </w:p>
    <w:p>
      <w:pPr>
        <w:pStyle w:val="TextBody"/>
        <w:spacing w:before="0" w:after="0"/>
        <w:ind w:left="0" w:right="0" w:hanging="0"/>
        <w:jc w:val="both"/>
        <w:rPr/>
      </w:pPr>
      <w:bookmarkStart w:id="343" w:name="TAB2277"/>
      <w:bookmarkEnd w:id="343"/>
      <w:r>
        <w:rPr>
          <w:spacing w:val="180"/>
        </w:rPr>
        <w:t>   </w:t>
      </w:r>
      <w:bookmarkStart w:id="344" w:name="TAB2276"/>
      <w:bookmarkEnd w:id="344"/>
      <w:r>
        <w:rPr>
          <w:spacing w:val="180"/>
        </w:rPr>
        <w:t>   </w:t>
      </w:r>
      <w:bookmarkStart w:id="345" w:name="TAB2275"/>
      <w:bookmarkEnd w:id="345"/>
      <w:r>
        <w:rPr>
          <w:spacing w:val="180"/>
        </w:rPr>
        <w:t>   </w:t>
      </w:r>
      <w:r>
        <w:rPr/>
        <w:t> </w:t>
      </w:r>
      <w:r>
        <w:rPr>
          <w:rFonts w:ascii="Times New Roman" w:hAnsi="Times New Roman"/>
          <w:sz w:val="20"/>
        </w:rPr>
        <w:t>10.3.2</w:t>
      </w:r>
      <w:bookmarkStart w:id="346" w:name="TAB2274"/>
      <w:bookmarkEnd w:id="346"/>
      <w:r>
        <w:rPr>
          <w:color w:val="000000"/>
          <w:spacing w:val="180"/>
        </w:rPr>
        <w:t> </w:t>
      </w:r>
      <w:r>
        <w:rPr>
          <w:rFonts w:ascii="Times New Roman" w:hAnsi="Times New Roman"/>
          <w:sz w:val="20"/>
        </w:rPr>
        <w:t>Product liability insurance in such amounts as are customary and reasonable in the Licensee's industry.</w:t>
      </w:r>
    </w:p>
    <w:p>
      <w:pPr>
        <w:pStyle w:val="TextBody"/>
        <w:spacing w:before="0" w:after="0"/>
        <w:ind w:left="0" w:right="0" w:hanging="0"/>
        <w:jc w:val="both"/>
        <w:rPr/>
      </w:pPr>
      <w:r>
        <w:rPr/>
        <w:t> </w:t>
      </w:r>
    </w:p>
    <w:p>
      <w:pPr>
        <w:pStyle w:val="TextBody"/>
        <w:spacing w:before="0" w:after="0"/>
        <w:ind w:left="0" w:right="0" w:hanging="0"/>
        <w:jc w:val="both"/>
        <w:rPr/>
      </w:pPr>
      <w:bookmarkStart w:id="347" w:name="TAB2281"/>
      <w:bookmarkEnd w:id="347"/>
      <w:r>
        <w:rPr>
          <w:spacing w:val="180"/>
        </w:rPr>
        <w:t>   </w:t>
      </w:r>
      <w:bookmarkStart w:id="348" w:name="TAB2280"/>
      <w:bookmarkEnd w:id="348"/>
      <w:r>
        <w:rPr>
          <w:spacing w:val="180"/>
        </w:rPr>
        <w:t>   </w:t>
      </w:r>
      <w:bookmarkStart w:id="349" w:name="TAB2279"/>
      <w:bookmarkEnd w:id="349"/>
      <w:r>
        <w:rPr>
          <w:spacing w:val="180"/>
        </w:rPr>
        <w:t>   </w:t>
      </w:r>
      <w:r>
        <w:rPr/>
        <w:t> </w:t>
      </w:r>
      <w:r>
        <w:rPr>
          <w:rFonts w:ascii="Times New Roman" w:hAnsi="Times New Roman"/>
          <w:sz w:val="20"/>
        </w:rPr>
        <w:t>10.3.3</w:t>
      </w:r>
      <w:bookmarkStart w:id="350" w:name="TAB2278"/>
      <w:bookmarkEnd w:id="350"/>
      <w:r>
        <w:rPr>
          <w:color w:val="000000"/>
          <w:spacing w:val="180"/>
        </w:rPr>
        <w:t> </w:t>
      </w:r>
      <w:r>
        <w:rPr>
          <w:rFonts w:ascii="Times New Roman" w:hAnsi="Times New Roman"/>
          <w:sz w:val="20"/>
        </w:rPr>
        <w:t>Maintenance of such insurance coverage shall not relieve Licensee of any responsibility under this Agreement for damage in excess of the insurance limits.</w:t>
      </w:r>
    </w:p>
    <w:p>
      <w:pPr>
        <w:pStyle w:val="TextBody"/>
        <w:spacing w:before="0" w:after="0"/>
        <w:ind w:left="0" w:right="0" w:hanging="0"/>
        <w:jc w:val="both"/>
        <w:rPr/>
      </w:pPr>
      <w:r>
        <w:rPr/>
        <w:t> </w:t>
      </w:r>
    </w:p>
    <w:p>
      <w:pPr>
        <w:pStyle w:val="TextBody"/>
        <w:spacing w:before="0" w:after="0"/>
        <w:ind w:left="0" w:right="0" w:hanging="0"/>
        <w:jc w:val="both"/>
        <w:rPr/>
      </w:pPr>
      <w:bookmarkStart w:id="351" w:name="TAB2284"/>
      <w:bookmarkEnd w:id="351"/>
      <w:r>
        <w:rPr>
          <w:spacing w:val="180"/>
        </w:rPr>
        <w:t>   </w:t>
      </w:r>
      <w:bookmarkStart w:id="352" w:name="TAB2283"/>
      <w:bookmarkEnd w:id="352"/>
      <w:r>
        <w:rPr>
          <w:spacing w:val="180"/>
        </w:rPr>
        <w:t>   </w:t>
      </w:r>
      <w:r>
        <w:rPr/>
        <w:t> </w:t>
      </w:r>
      <w:r>
        <w:rPr>
          <w:rFonts w:ascii="Times New Roman" w:hAnsi="Times New Roman"/>
          <w:sz w:val="20"/>
        </w:rPr>
        <w:t>10.4</w:t>
      </w:r>
      <w:bookmarkStart w:id="353" w:name="TAB2282"/>
      <w:bookmarkEnd w:id="353"/>
      <w:r>
        <w:rPr>
          <w:color w:val="000000"/>
          <w:spacing w:val="180"/>
        </w:rPr>
        <w:t> </w:t>
      </w:r>
      <w:r>
        <w:rPr>
          <w:rFonts w:ascii="Times New Roman" w:hAnsi="Times New Roman"/>
          <w:sz w:val="20"/>
          <w:u w:val="single"/>
        </w:rPr>
        <w:t>Certificates of Insurance.</w:t>
      </w:r>
      <w:r>
        <w:rPr>
          <w:rFonts w:ascii="Times New Roman" w:hAnsi="Times New Roman"/>
          <w:sz w:val="20"/>
        </w:rPr>
        <w:t xml:space="preserve"> Licensee shall furnish or cause to be furnished to Licensor a certificate of such insurance promptly upon request by Licensor. Each such certificate shall name Licensor an additional named insured.</w:t>
      </w:r>
    </w:p>
    <w:p>
      <w:pPr>
        <w:pStyle w:val="TextBody"/>
        <w:spacing w:before="0" w:after="0"/>
        <w:ind w:left="0" w:right="0" w:hanging="0"/>
        <w:jc w:val="both"/>
        <w:rPr/>
      </w:pPr>
      <w:r>
        <w:rPr/>
        <w:t> </w:t>
      </w:r>
    </w:p>
    <w:p>
      <w:pPr>
        <w:pStyle w:val="TextBody"/>
        <w:spacing w:before="0" w:after="0"/>
        <w:ind w:left="0" w:right="0" w:hanging="0"/>
        <w:jc w:val="both"/>
        <w:rPr/>
      </w:pPr>
      <w:bookmarkStart w:id="354" w:name="TAB2287"/>
      <w:bookmarkEnd w:id="354"/>
      <w:r>
        <w:rPr>
          <w:spacing w:val="180"/>
        </w:rPr>
        <w:t>   </w:t>
      </w:r>
      <w:bookmarkStart w:id="355" w:name="TAB2286"/>
      <w:bookmarkEnd w:id="355"/>
      <w:r>
        <w:rPr>
          <w:spacing w:val="180"/>
        </w:rPr>
        <w:t>   </w:t>
      </w:r>
      <w:r>
        <w:rPr/>
        <w:t> </w:t>
      </w:r>
      <w:r>
        <w:rPr>
          <w:rFonts w:ascii="Times New Roman" w:hAnsi="Times New Roman"/>
          <w:sz w:val="20"/>
        </w:rPr>
        <w:t>10.5</w:t>
      </w:r>
      <w:bookmarkStart w:id="356" w:name="TAB2285"/>
      <w:bookmarkEnd w:id="356"/>
      <w:r>
        <w:rPr>
          <w:color w:val="000000"/>
          <w:spacing w:val="180"/>
        </w:rPr>
        <w:t> </w:t>
      </w:r>
      <w:r>
        <w:rPr>
          <w:rFonts w:ascii="Times New Roman" w:hAnsi="Times New Roman"/>
          <w:sz w:val="20"/>
          <w:u w:val="single"/>
        </w:rPr>
        <w:t>Notice of Cancellation or Expiration.</w:t>
      </w:r>
      <w:r>
        <w:rPr>
          <w:rFonts w:ascii="Times New Roman" w:hAnsi="Times New Roman"/>
          <w:sz w:val="20"/>
        </w:rPr>
        <w:t xml:space="preserve"> Any such insurance policy shall provide that the insurer will give Licensor at least sixty (60) days prior written notice of any impending cancellation, nonrenewal, expiration, or reduction in coverage of the insurance.</w:t>
      </w:r>
    </w:p>
    <w:p>
      <w:pPr>
        <w:pStyle w:val="TextBody"/>
        <w:spacing w:before="0" w:after="0"/>
        <w:ind w:left="0" w:right="0" w:hanging="0"/>
        <w:jc w:val="both"/>
        <w:rPr/>
      </w:pPr>
      <w:r>
        <w:rPr/>
        <w:t> </w:t>
      </w:r>
    </w:p>
    <w:p>
      <w:pPr>
        <w:pStyle w:val="TextBody"/>
        <w:spacing w:before="0" w:after="0"/>
        <w:ind w:left="0" w:right="0" w:hanging="0"/>
        <w:jc w:val="both"/>
        <w:rPr/>
      </w:pPr>
      <w:bookmarkStart w:id="357" w:name="TAB2289"/>
      <w:bookmarkEnd w:id="357"/>
      <w:r>
        <w:rPr>
          <w:spacing w:val="180"/>
        </w:rPr>
        <w:t>   </w:t>
      </w:r>
      <w:r>
        <w:rPr/>
        <w:t> </w:t>
      </w:r>
      <w:r>
        <w:rPr>
          <w:rFonts w:ascii="Times New Roman" w:hAnsi="Times New Roman"/>
          <w:sz w:val="20"/>
        </w:rPr>
        <w:t>11.</w:t>
      </w:r>
      <w:bookmarkStart w:id="358" w:name="TAB2288"/>
      <w:bookmarkEnd w:id="358"/>
      <w:r>
        <w:rPr>
          <w:color w:val="000000"/>
          <w:spacing w:val="180"/>
        </w:rPr>
        <w:t> </w:t>
      </w:r>
      <w:r>
        <w:rPr>
          <w:rFonts w:ascii="Times New Roman" w:hAnsi="Times New Roman"/>
          <w:sz w:val="20"/>
          <w:u w:val="single"/>
        </w:rPr>
        <w:t>FORCE MAJEURE</w:t>
      </w:r>
    </w:p>
    <w:p>
      <w:pPr>
        <w:pStyle w:val="TextBody"/>
        <w:spacing w:before="0" w:after="0"/>
        <w:ind w:left="0" w:right="0" w:hanging="0"/>
        <w:jc w:val="both"/>
        <w:rPr/>
      </w:pPr>
      <w:r>
        <w:rPr/>
        <w:t> </w:t>
      </w:r>
    </w:p>
    <w:p>
      <w:pPr>
        <w:pStyle w:val="TextBody"/>
        <w:spacing w:before="0" w:after="0"/>
        <w:ind w:left="0" w:right="0" w:hanging="0"/>
        <w:jc w:val="both"/>
        <w:rPr/>
      </w:pPr>
      <w:bookmarkStart w:id="359" w:name="TAB2290"/>
      <w:bookmarkEnd w:id="359"/>
      <w:r>
        <w:rPr>
          <w:spacing w:val="180"/>
        </w:rPr>
        <w:t>   </w:t>
      </w:r>
      <w:r>
        <w:rPr/>
        <w:t> </w:t>
      </w:r>
      <w:r>
        <w:rPr>
          <w:rFonts w:ascii="Times New Roman" w:hAnsi="Times New Roman"/>
          <w:sz w:val="20"/>
        </w:rPr>
        <w:t>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Force Majeure events.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360" w:name="PGBRK7"/>
      <w:bookmarkStart w:id="361" w:name="PGBRK7"/>
      <w:bookmarkEnd w:id="3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62" w:name="FTR7"/>
      <w:bookmarkStart w:id="363" w:name="FTR7"/>
      <w:bookmarkEnd w:id="3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4" w:name="GLFTR7"/>
      <w:bookmarkEnd w:id="3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5" w:name="PN7"/>
      <w:bookmarkEnd w:id="36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66" w:name="HDR7"/>
      <w:bookmarkStart w:id="367" w:name="HDR7"/>
      <w:bookmarkEnd w:id="3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8" w:name="GLHDR7"/>
      <w:bookmarkEnd w:id="3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bookmarkStart w:id="369" w:name="TAB2292"/>
      <w:bookmarkEnd w:id="369"/>
      <w:r>
        <w:rPr>
          <w:spacing w:val="180"/>
        </w:rPr>
        <w:t>   </w:t>
      </w:r>
      <w:r>
        <w:rPr/>
        <w:t> </w:t>
      </w:r>
      <w:r>
        <w:rPr>
          <w:rFonts w:ascii="Times New Roman" w:hAnsi="Times New Roman"/>
          <w:sz w:val="20"/>
        </w:rPr>
        <w:t>12.</w:t>
      </w:r>
      <w:bookmarkStart w:id="370" w:name="TAB2291"/>
      <w:bookmarkEnd w:id="370"/>
      <w:r>
        <w:rPr>
          <w:color w:val="000000"/>
          <w:spacing w:val="180"/>
        </w:rPr>
        <w:t> </w:t>
      </w:r>
      <w:r>
        <w:rPr>
          <w:rFonts w:ascii="Times New Roman" w:hAnsi="Times New Roman"/>
          <w:sz w:val="20"/>
          <w:u w:val="single"/>
        </w:rPr>
        <w:t>GENERAL PROVISIONS</w:t>
      </w:r>
    </w:p>
    <w:p>
      <w:pPr>
        <w:pStyle w:val="TextBody"/>
        <w:spacing w:before="0" w:after="0"/>
        <w:ind w:left="0" w:right="0" w:hanging="0"/>
        <w:jc w:val="both"/>
        <w:rPr/>
      </w:pPr>
      <w:r>
        <w:rPr/>
        <w:t> </w:t>
      </w:r>
    </w:p>
    <w:p>
      <w:pPr>
        <w:pStyle w:val="TextBody"/>
        <w:spacing w:before="0" w:after="0"/>
        <w:ind w:left="0" w:right="0" w:hanging="0"/>
        <w:jc w:val="both"/>
        <w:rPr/>
      </w:pPr>
      <w:bookmarkStart w:id="371" w:name="TAB2294"/>
      <w:bookmarkEnd w:id="371"/>
      <w:r>
        <w:rPr>
          <w:spacing w:val="180"/>
        </w:rPr>
        <w:t>   </w:t>
      </w:r>
      <w:bookmarkStart w:id="372" w:name="TAB2293"/>
      <w:bookmarkEnd w:id="372"/>
      <w:r>
        <w:rPr>
          <w:spacing w:val="180"/>
        </w:rPr>
        <w:t>   </w:t>
      </w:r>
      <w:r>
        <w:rPr/>
        <w:t> </w:t>
      </w:r>
      <w:r>
        <w:rPr>
          <w:rFonts w:ascii="Times New Roman" w:hAnsi="Times New Roman"/>
          <w:sz w:val="20"/>
        </w:rPr>
        <w:t>12.1   </w:t>
      </w:r>
      <w:r>
        <w:rPr>
          <w:rFonts w:ascii="Times New Roman" w:hAnsi="Times New Roman"/>
          <w:sz w:val="20"/>
          <w:u w:val="single"/>
        </w:rPr>
        <w:t>Notices</w:t>
      </w:r>
      <w:r>
        <w:rPr>
          <w:rFonts w:ascii="Times New Roman" w:hAnsi="Times New Roman"/>
          <w:sz w:val="20"/>
        </w:rPr>
        <w:t>. Any consent, notice or report required or permitted to be given or made under this Agreement by one Party to the other Party shall be in writing, delivered by any available means to such other Party at its address indicated below, or to such other address as the addressee shall have last furnished in writing to the addressor and shall be effective upon receipt by the addressee.</w:t>
      </w:r>
    </w:p>
    <w:p>
      <w:pPr>
        <w:pStyle w:val="TextBody"/>
        <w:spacing w:before="0" w:after="0"/>
        <w:ind w:left="0" w:right="0" w:hanging="0"/>
        <w:jc w:val="both"/>
        <w:rPr/>
      </w:pPr>
      <w:r>
        <w:rPr/>
        <w:t> </w:t>
      </w:r>
    </w:p>
    <w:p>
      <w:pPr>
        <w:pStyle w:val="TextBody"/>
        <w:spacing w:before="0" w:after="0"/>
        <w:ind w:left="1260" w:right="0" w:hanging="0"/>
        <w:jc w:val="both"/>
        <w:rPr>
          <w:rFonts w:ascii="Times New Roman" w:hAnsi="Times New Roman"/>
          <w:sz w:val="20"/>
        </w:rPr>
      </w:pPr>
      <w:r>
        <w:rPr>
          <w:rFonts w:ascii="Times New Roman" w:hAnsi="Times New Roman"/>
          <w:sz w:val="20"/>
        </w:rPr>
        <w:t xml:space="preserve">If to Licensor: </w:t>
      </w:r>
    </w:p>
    <w:p>
      <w:pPr>
        <w:pStyle w:val="TextBody"/>
        <w:spacing w:before="0" w:after="0"/>
        <w:ind w:left="1260" w:right="0" w:hanging="0"/>
        <w:jc w:val="both"/>
        <w:rPr/>
      </w:pPr>
      <w:r>
        <w:rPr/>
        <w:t> </w:t>
      </w:r>
    </w:p>
    <w:p>
      <w:pPr>
        <w:pStyle w:val="TextBody"/>
        <w:spacing w:before="0" w:after="0"/>
        <w:ind w:left="1260" w:right="0" w:hanging="0"/>
        <w:jc w:val="both"/>
        <w:rPr>
          <w:rFonts w:ascii="Times New Roman" w:hAnsi="Times New Roman"/>
          <w:sz w:val="20"/>
        </w:rPr>
      </w:pPr>
      <w:r>
        <w:rPr>
          <w:rFonts w:ascii="Times New Roman" w:hAnsi="Times New Roman"/>
          <w:sz w:val="20"/>
        </w:rPr>
        <w:t xml:space="preserve">University Health Network </w:t>
      </w:r>
    </w:p>
    <w:p>
      <w:pPr>
        <w:pStyle w:val="TextBody"/>
        <w:spacing w:before="0" w:after="0"/>
        <w:ind w:left="1260" w:right="0" w:hanging="0"/>
        <w:jc w:val="both"/>
        <w:rPr>
          <w:rFonts w:ascii="Times New Roman" w:hAnsi="Times New Roman"/>
          <w:sz w:val="20"/>
        </w:rPr>
      </w:pPr>
      <w:r>
        <w:rPr>
          <w:rFonts w:ascii="Times New Roman" w:hAnsi="Times New Roman"/>
          <w:sz w:val="20"/>
        </w:rPr>
        <w:t xml:space="preserve">610 University Avenue Suite 7-504 </w:t>
      </w:r>
    </w:p>
    <w:p>
      <w:pPr>
        <w:pStyle w:val="TextBody"/>
        <w:spacing w:before="0" w:after="0"/>
        <w:ind w:left="1260" w:right="0" w:hanging="0"/>
        <w:jc w:val="both"/>
        <w:rPr>
          <w:rFonts w:ascii="Times New Roman" w:hAnsi="Times New Roman"/>
          <w:sz w:val="20"/>
        </w:rPr>
      </w:pPr>
      <w:r>
        <w:rPr>
          <w:rFonts w:ascii="Times New Roman" w:hAnsi="Times New Roman"/>
          <w:sz w:val="20"/>
        </w:rPr>
        <w:t>Toronto, Ontario Canada M5G 2M9</w:t>
      </w:r>
    </w:p>
    <w:p>
      <w:pPr>
        <w:pStyle w:val="TextBody"/>
        <w:spacing w:before="0" w:after="0"/>
        <w:ind w:left="1260" w:right="0" w:hanging="0"/>
        <w:jc w:val="both"/>
        <w:rPr/>
      </w:pPr>
      <w:r>
        <w:rPr/>
        <w:t> </w:t>
      </w:r>
    </w:p>
    <w:p>
      <w:pPr>
        <w:pStyle w:val="TextBody"/>
        <w:spacing w:before="0" w:after="0"/>
        <w:ind w:left="1260" w:right="0" w:hanging="0"/>
        <w:jc w:val="both"/>
        <w:rPr>
          <w:rFonts w:ascii="Times New Roman" w:hAnsi="Times New Roman"/>
          <w:sz w:val="20"/>
        </w:rPr>
      </w:pPr>
      <w:r>
        <w:rPr>
          <w:rFonts w:ascii="Times New Roman" w:hAnsi="Times New Roman"/>
          <w:sz w:val="20"/>
        </w:rPr>
        <w:t>With Copy to:</w:t>
      </w:r>
    </w:p>
    <w:p>
      <w:pPr>
        <w:pStyle w:val="TextBody"/>
        <w:spacing w:before="0" w:after="0"/>
        <w:ind w:left="1260" w:right="0" w:hanging="0"/>
        <w:jc w:val="both"/>
        <w:rPr/>
      </w:pPr>
      <w:r>
        <w:rPr/>
        <w:t> </w:t>
      </w:r>
    </w:p>
    <w:p>
      <w:pPr>
        <w:pStyle w:val="TextBody"/>
        <w:spacing w:before="0" w:after="0"/>
        <w:ind w:left="1260" w:right="0" w:hanging="0"/>
        <w:jc w:val="both"/>
        <w:rPr>
          <w:rFonts w:ascii="Times New Roman" w:hAnsi="Times New Roman"/>
          <w:sz w:val="20"/>
        </w:rPr>
      </w:pPr>
      <w:r>
        <w:rPr>
          <w:rFonts w:ascii="Times New Roman" w:hAnsi="Times New Roman"/>
          <w:sz w:val="20"/>
        </w:rPr>
        <w:t>Director</w:t>
      </w:r>
    </w:p>
    <w:p>
      <w:pPr>
        <w:pStyle w:val="TextBody"/>
        <w:spacing w:before="0" w:after="0"/>
        <w:ind w:left="1260" w:right="0" w:hanging="0"/>
        <w:jc w:val="both"/>
        <w:rPr>
          <w:rFonts w:ascii="Times New Roman" w:hAnsi="Times New Roman"/>
          <w:sz w:val="20"/>
        </w:rPr>
      </w:pPr>
      <w:r>
        <w:rPr>
          <w:rFonts w:ascii="Times New Roman" w:hAnsi="Times New Roman"/>
          <w:sz w:val="20"/>
        </w:rPr>
        <w:t>University Health Network</w:t>
      </w:r>
    </w:p>
    <w:p>
      <w:pPr>
        <w:pStyle w:val="TextBody"/>
        <w:spacing w:before="0" w:after="0"/>
        <w:ind w:left="1260" w:right="0" w:hanging="0"/>
        <w:jc w:val="both"/>
        <w:rPr>
          <w:rFonts w:ascii="Times New Roman" w:hAnsi="Times New Roman"/>
          <w:sz w:val="20"/>
        </w:rPr>
      </w:pPr>
      <w:r>
        <w:rPr>
          <w:rFonts w:ascii="Times New Roman" w:hAnsi="Times New Roman"/>
          <w:sz w:val="20"/>
        </w:rPr>
        <w:t xml:space="preserve">Office of Technology Development &amp; Commercialization </w:t>
      </w:r>
    </w:p>
    <w:p>
      <w:pPr>
        <w:pStyle w:val="TextBody"/>
        <w:spacing w:before="0" w:after="0"/>
        <w:ind w:left="1260" w:right="0" w:hanging="0"/>
        <w:jc w:val="both"/>
        <w:rPr>
          <w:rFonts w:ascii="Times New Roman" w:hAnsi="Times New Roman"/>
          <w:sz w:val="20"/>
        </w:rPr>
      </w:pPr>
      <w:r>
        <w:rPr>
          <w:rFonts w:ascii="Times New Roman" w:hAnsi="Times New Roman"/>
          <w:sz w:val="20"/>
        </w:rPr>
        <w:t xml:space="preserve">MaRS Centre, Heritage Building 101 College Street, Suite 150 </w:t>
      </w:r>
    </w:p>
    <w:p>
      <w:pPr>
        <w:pStyle w:val="TextBody"/>
        <w:spacing w:before="0" w:after="0"/>
        <w:ind w:left="1260" w:right="0" w:hanging="0"/>
        <w:jc w:val="both"/>
        <w:rPr>
          <w:rFonts w:ascii="Times New Roman" w:hAnsi="Times New Roman"/>
          <w:sz w:val="20"/>
        </w:rPr>
      </w:pPr>
      <w:r>
        <w:rPr>
          <w:rFonts w:ascii="Times New Roman" w:hAnsi="Times New Roman"/>
          <w:sz w:val="20"/>
        </w:rPr>
        <w:t xml:space="preserve">Toronto, Ontario Canada M5G 1L7 </w:t>
      </w:r>
    </w:p>
    <w:p>
      <w:pPr>
        <w:pStyle w:val="TextBody"/>
        <w:spacing w:before="0" w:after="0"/>
        <w:ind w:left="1260" w:right="0" w:hanging="0"/>
        <w:jc w:val="both"/>
        <w:rPr/>
      </w:pPr>
      <w:r>
        <w:rPr/>
        <w:t> </w:t>
      </w:r>
    </w:p>
    <w:p>
      <w:pPr>
        <w:pStyle w:val="TextBody"/>
        <w:spacing w:before="0" w:after="0"/>
        <w:ind w:left="1260" w:right="0" w:hanging="0"/>
        <w:jc w:val="both"/>
        <w:rPr>
          <w:rFonts w:ascii="Times New Roman" w:hAnsi="Times New Roman"/>
          <w:sz w:val="20"/>
        </w:rPr>
      </w:pPr>
      <w:r>
        <w:rPr>
          <w:rFonts w:ascii="Times New Roman" w:hAnsi="Times New Roman"/>
          <w:sz w:val="20"/>
        </w:rPr>
        <w:t>If to Licensee:</w:t>
      </w:r>
    </w:p>
    <w:p>
      <w:pPr>
        <w:pStyle w:val="TextBody"/>
        <w:spacing w:before="0" w:after="0"/>
        <w:ind w:left="1260" w:right="0" w:hanging="0"/>
        <w:jc w:val="both"/>
        <w:rPr/>
      </w:pPr>
      <w:r>
        <w:rPr/>
        <w:t> </w:t>
      </w:r>
    </w:p>
    <w:p>
      <w:pPr>
        <w:pStyle w:val="TextBody"/>
        <w:spacing w:before="0" w:after="0"/>
        <w:ind w:left="1260" w:right="0" w:hanging="0"/>
        <w:jc w:val="both"/>
        <w:rPr>
          <w:rFonts w:ascii="Times New Roman" w:hAnsi="Times New Roman"/>
          <w:sz w:val="20"/>
        </w:rPr>
      </w:pPr>
      <w:r>
        <w:rPr>
          <w:rFonts w:ascii="Times New Roman" w:hAnsi="Times New Roman"/>
          <w:sz w:val="20"/>
        </w:rPr>
        <w:t xml:space="preserve">Chief Executive Officer </w:t>
      </w:r>
    </w:p>
    <w:p>
      <w:pPr>
        <w:pStyle w:val="TextBody"/>
        <w:spacing w:before="0" w:after="0"/>
        <w:ind w:left="1260" w:right="0" w:hanging="0"/>
        <w:jc w:val="both"/>
        <w:rPr>
          <w:rFonts w:ascii="Times New Roman" w:hAnsi="Times New Roman"/>
          <w:sz w:val="20"/>
        </w:rPr>
      </w:pPr>
      <w:r>
        <w:rPr>
          <w:rFonts w:ascii="Times New Roman" w:hAnsi="Times New Roman"/>
          <w:sz w:val="20"/>
        </w:rPr>
        <w:t xml:space="preserve">VistaGen Therapeutics, Inc. </w:t>
      </w:r>
    </w:p>
    <w:p>
      <w:pPr>
        <w:pStyle w:val="TextBody"/>
        <w:spacing w:before="0" w:after="0"/>
        <w:ind w:left="1260" w:right="0" w:hanging="0"/>
        <w:jc w:val="both"/>
        <w:rPr>
          <w:rFonts w:ascii="Times New Roman" w:hAnsi="Times New Roman"/>
          <w:sz w:val="20"/>
        </w:rPr>
      </w:pPr>
      <w:r>
        <w:rPr>
          <w:rFonts w:ascii="Times New Roman" w:hAnsi="Times New Roman"/>
          <w:sz w:val="20"/>
        </w:rPr>
        <w:t>384 Oyster Point Boulevard  Suite 8</w:t>
      </w:r>
    </w:p>
    <w:p>
      <w:pPr>
        <w:pStyle w:val="TextBody"/>
        <w:spacing w:before="0" w:after="0"/>
        <w:ind w:left="1260" w:right="0" w:hanging="0"/>
        <w:jc w:val="both"/>
        <w:rPr>
          <w:rFonts w:ascii="Times New Roman" w:hAnsi="Times New Roman"/>
          <w:sz w:val="20"/>
        </w:rPr>
      </w:pPr>
      <w:r>
        <w:rPr>
          <w:rFonts w:ascii="Times New Roman" w:hAnsi="Times New Roman"/>
          <w:sz w:val="20"/>
        </w:rPr>
        <w:t>South San Francisco, CA 94080</w:t>
      </w:r>
    </w:p>
    <w:p>
      <w:pPr>
        <w:pStyle w:val="TextBody"/>
        <w:spacing w:before="0" w:after="0"/>
        <w:ind w:left="1260" w:right="0" w:hanging="0"/>
        <w:jc w:val="both"/>
        <w:rPr/>
      </w:pPr>
      <w:r>
        <w:rPr/>
        <w:t> </w:t>
      </w:r>
    </w:p>
    <w:p>
      <w:pPr>
        <w:pStyle w:val="TextBody"/>
        <w:spacing w:before="0" w:after="0"/>
        <w:ind w:left="1260" w:right="0" w:hanging="0"/>
        <w:jc w:val="both"/>
        <w:rPr>
          <w:rFonts w:ascii="Times New Roman" w:hAnsi="Times New Roman"/>
          <w:sz w:val="20"/>
        </w:rPr>
      </w:pPr>
      <w:r>
        <w:rPr>
          <w:rFonts w:ascii="Times New Roman" w:hAnsi="Times New Roman"/>
          <w:sz w:val="20"/>
        </w:rPr>
        <w:t>With Copy to:</w:t>
      </w:r>
    </w:p>
    <w:p>
      <w:pPr>
        <w:pStyle w:val="TextBody"/>
        <w:spacing w:before="0" w:after="0"/>
        <w:ind w:left="1260" w:right="0" w:hanging="0"/>
        <w:jc w:val="both"/>
        <w:rPr/>
      </w:pPr>
      <w:r>
        <w:rPr/>
        <w:t> </w:t>
      </w:r>
    </w:p>
    <w:p>
      <w:pPr>
        <w:pStyle w:val="TextBody"/>
        <w:spacing w:before="0" w:after="0"/>
        <w:ind w:left="1260" w:right="0" w:hanging="0"/>
        <w:jc w:val="both"/>
        <w:rPr>
          <w:rFonts w:ascii="Times New Roman" w:hAnsi="Times New Roman"/>
          <w:sz w:val="20"/>
        </w:rPr>
      </w:pPr>
      <w:r>
        <w:rPr>
          <w:rFonts w:ascii="Times New Roman" w:hAnsi="Times New Roman"/>
          <w:sz w:val="20"/>
        </w:rPr>
        <w:t xml:space="preserve">Gladys Monroy </w:t>
      </w:r>
    </w:p>
    <w:p>
      <w:pPr>
        <w:pStyle w:val="TextBody"/>
        <w:spacing w:before="0" w:after="0"/>
        <w:ind w:left="1260" w:right="0" w:hanging="0"/>
        <w:jc w:val="both"/>
        <w:rPr>
          <w:rFonts w:ascii="Times New Roman" w:hAnsi="Times New Roman"/>
          <w:sz w:val="20"/>
        </w:rPr>
      </w:pPr>
      <w:r>
        <w:rPr>
          <w:rFonts w:ascii="Times New Roman" w:hAnsi="Times New Roman"/>
          <w:sz w:val="20"/>
        </w:rPr>
        <w:t xml:space="preserve">Morrison &amp; Foerster LLP </w:t>
      </w:r>
    </w:p>
    <w:p>
      <w:pPr>
        <w:pStyle w:val="TextBody"/>
        <w:spacing w:before="0" w:after="0"/>
        <w:ind w:left="1260" w:right="0" w:hanging="0"/>
        <w:jc w:val="both"/>
        <w:rPr>
          <w:rFonts w:ascii="Times New Roman" w:hAnsi="Times New Roman"/>
          <w:sz w:val="20"/>
        </w:rPr>
      </w:pPr>
      <w:r>
        <w:rPr>
          <w:rFonts w:ascii="Times New Roman" w:hAnsi="Times New Roman"/>
          <w:sz w:val="20"/>
        </w:rPr>
        <w:t xml:space="preserve">755 Page Mill Road </w:t>
      </w:r>
    </w:p>
    <w:p>
      <w:pPr>
        <w:pStyle w:val="TextBody"/>
        <w:spacing w:before="0" w:after="0"/>
        <w:ind w:left="1260" w:right="0" w:hanging="0"/>
        <w:jc w:val="both"/>
        <w:rPr>
          <w:rFonts w:ascii="Times New Roman" w:hAnsi="Times New Roman"/>
          <w:sz w:val="20"/>
        </w:rPr>
      </w:pPr>
      <w:r>
        <w:rPr>
          <w:rFonts w:ascii="Times New Roman" w:hAnsi="Times New Roman"/>
          <w:sz w:val="20"/>
        </w:rPr>
        <w:t>Palo Alto, CA 94304-1018</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373" w:name="PGBRK8"/>
      <w:bookmarkStart w:id="374" w:name="PGBRK8"/>
      <w:bookmarkEnd w:id="3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75" w:name="FTR8"/>
      <w:bookmarkStart w:id="376" w:name="FTR8"/>
      <w:bookmarkEnd w:id="3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7" w:name="GLFTR8"/>
      <w:bookmarkEnd w:id="3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8" w:name="PN8"/>
      <w:bookmarkEnd w:id="37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79" w:name="HDR8"/>
      <w:bookmarkStart w:id="380" w:name="HDR8"/>
      <w:bookmarkEnd w:id="3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1" w:name="GLHDR8"/>
      <w:bookmarkEnd w:id="3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bookmarkStart w:id="382" w:name="TAB2296"/>
      <w:bookmarkEnd w:id="382"/>
      <w:r>
        <w:rPr>
          <w:spacing w:val="180"/>
        </w:rPr>
        <w:t>   </w:t>
      </w:r>
      <w:bookmarkStart w:id="383" w:name="TAB2295"/>
      <w:bookmarkEnd w:id="383"/>
      <w:r>
        <w:rPr>
          <w:spacing w:val="180"/>
        </w:rPr>
        <w:t>   </w:t>
      </w:r>
      <w:r>
        <w:rPr/>
        <w:t> </w:t>
      </w:r>
      <w:r>
        <w:rPr>
          <w:rFonts w:ascii="Times New Roman" w:hAnsi="Times New Roman"/>
          <w:sz w:val="20"/>
        </w:rPr>
        <w:t>12.2   </w:t>
      </w:r>
      <w:r>
        <w:rPr>
          <w:rFonts w:ascii="Times New Roman" w:hAnsi="Times New Roman"/>
          <w:sz w:val="20"/>
          <w:u w:val="single"/>
        </w:rPr>
        <w:t>Further Representations, Warranties &amp; Liability</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pPr>
      <w:bookmarkStart w:id="384" w:name="TAB2297"/>
      <w:bookmarkStart w:id="385" w:name="TAB2298"/>
      <w:bookmarkEnd w:id="384"/>
      <w:bookmarkEnd w:id="385"/>
      <w:r>
        <w:rPr>
          <w:spacing w:val="180"/>
        </w:rPr>
        <w:t>       </w:t>
      </w:r>
      <w:r>
        <w:rPr/>
        <w:t> </w:t>
      </w:r>
      <w:r>
        <w:rPr>
          <w:rFonts w:ascii="Times New Roman" w:hAnsi="Times New Roman"/>
          <w:sz w:val="20"/>
        </w:rPr>
        <w:t>(a)    Licensee represents and warrants to Licensor that Licensee has the power to enter into this Agreement and to perform its obligations, and that Licensee has taken necessary action for the execution of this Agreement to constitute a binding obligation enforceable against Licensee.</w:t>
      </w:r>
    </w:p>
    <w:p>
      <w:pPr>
        <w:pStyle w:val="TextBody"/>
        <w:spacing w:before="0" w:after="0"/>
        <w:ind w:left="0" w:right="0" w:hanging="0"/>
        <w:jc w:val="both"/>
        <w:rPr/>
      </w:pPr>
      <w:r>
        <w:rPr/>
        <w:t> </w:t>
      </w:r>
    </w:p>
    <w:p>
      <w:pPr>
        <w:pStyle w:val="TextBody"/>
        <w:spacing w:before="0" w:after="0"/>
        <w:ind w:left="0" w:right="0" w:hanging="0"/>
        <w:jc w:val="both"/>
        <w:rPr/>
      </w:pPr>
      <w:bookmarkStart w:id="386" w:name="TAB2299"/>
      <w:bookmarkStart w:id="387" w:name="TAB2300"/>
      <w:bookmarkEnd w:id="386"/>
      <w:bookmarkEnd w:id="387"/>
      <w:r>
        <w:rPr>
          <w:spacing w:val="180"/>
        </w:rPr>
        <w:t>       </w:t>
      </w:r>
      <w:r>
        <w:rPr/>
        <w:t> </w:t>
      </w:r>
      <w:r>
        <w:rPr>
          <w:rFonts w:ascii="Times New Roman" w:hAnsi="Times New Roman"/>
          <w:sz w:val="20"/>
        </w:rPr>
        <w:t>(b)    Licensor represents and warrants to Licensee that Licensor has the power to enter into this Agreement and to perform its obligations, and that Licensor has taken necessary action for the execution of this Agreement to constitute a binding obligation enforceable against Licensor,</w:t>
      </w:r>
    </w:p>
    <w:p>
      <w:pPr>
        <w:pStyle w:val="TextBody"/>
        <w:spacing w:before="0" w:after="0"/>
        <w:ind w:left="0" w:right="0" w:hanging="0"/>
        <w:jc w:val="both"/>
        <w:rPr/>
      </w:pPr>
      <w:r>
        <w:rPr/>
        <w:t> </w:t>
      </w:r>
    </w:p>
    <w:p>
      <w:pPr>
        <w:pStyle w:val="TextBody"/>
        <w:spacing w:before="0" w:after="0"/>
        <w:ind w:left="0" w:right="0" w:hanging="0"/>
        <w:jc w:val="both"/>
        <w:rPr/>
      </w:pPr>
      <w:bookmarkStart w:id="388" w:name="TAB2301"/>
      <w:bookmarkStart w:id="389" w:name="TAB2302"/>
      <w:bookmarkEnd w:id="388"/>
      <w:bookmarkEnd w:id="389"/>
      <w:r>
        <w:rPr>
          <w:spacing w:val="180"/>
        </w:rPr>
        <w:t>       </w:t>
      </w:r>
      <w:r>
        <w:rPr/>
        <w:t> </w:t>
      </w:r>
      <w:r>
        <w:rPr>
          <w:rFonts w:ascii="Times New Roman" w:hAnsi="Times New Roman"/>
          <w:sz w:val="20"/>
        </w:rPr>
        <w:t>(c)    EXCEPT AS EXPRESSLY PROVIDED IN THIS AGREEMENT, LICENSOR MAKES NO CONDITIONS, WARRANTEES, UNDERTAKINGS OF ANY KIND, INCLUDING WITHOUT LIMITATION, THE ORIGINALITY OR ACCURACY OR PATENTABILITY OR VALIDITY OR NONINFRINGEMENT OF THE LICENSED PATENT(S), LICENSED IP, OR LICENSED PRODUCT(S) ARISING UNDER, OR OTHERWISE THE SUBJECT MATTER OF, THIS AGREEMENT OR THE OWNERSHIP, MERCHANTABILITY, OR FITNESS FOR A PARTICULAR PURPOSE OF THE LICENSED PATENT(S), LICENSED IP, OR LICENSED PRODUCT(S) ARISING UNDER, OR OTHERWISE THE SUBJECT MATTER OF THIS AGREEMENT.</w:t>
      </w:r>
    </w:p>
    <w:p>
      <w:pPr>
        <w:pStyle w:val="TextBody"/>
        <w:spacing w:before="0" w:after="0"/>
        <w:ind w:left="0" w:right="0" w:hanging="0"/>
        <w:jc w:val="both"/>
        <w:rPr/>
      </w:pPr>
      <w:r>
        <w:rPr/>
        <w:t> </w:t>
      </w:r>
    </w:p>
    <w:p>
      <w:pPr>
        <w:pStyle w:val="TextBody"/>
        <w:spacing w:before="0" w:after="0"/>
        <w:ind w:left="0" w:right="0" w:hanging="0"/>
        <w:jc w:val="both"/>
        <w:rPr/>
      </w:pPr>
      <w:bookmarkStart w:id="390" w:name="TAB2303"/>
      <w:bookmarkStart w:id="391" w:name="TAB2304"/>
      <w:bookmarkEnd w:id="390"/>
      <w:bookmarkEnd w:id="391"/>
      <w:r>
        <w:rPr>
          <w:spacing w:val="180"/>
        </w:rPr>
        <w:t>       </w:t>
      </w:r>
      <w:r>
        <w:rPr/>
        <w:t> </w:t>
      </w:r>
      <w:r>
        <w:rPr>
          <w:rFonts w:ascii="Times New Roman" w:hAnsi="Times New Roman"/>
          <w:sz w:val="20"/>
        </w:rPr>
        <w:t>(d)   LICENSOR SHALL NOT BE LIABLE FOR ANY DIRECT, INDIRECT, CONSEQUENTIAL, OR OTHER DAMAGES SUFFERED BY LICENSEE (AND ITS AFFILIATE(S) AND SUBLICENSEES) OR ANY OTHERS RESULTING FROM THE USE OF THE OF THE LICENSED PATENT(S), LICENSED IP, OR LICENSED PRODUCT(S) ARISING UNDER, OR OTHERWISE THE SUBJECT MATTER OF THIS AGREEMENT. THE ENTIRE RISK AS TO THE DESIGN, DEVELOPMENT, USE, EXPLOITATION, MANUFACTURE, SALE OR OTHER DISPOSITION AND PERFORMANCE IN RESPECT OF THE LICENSED PATENT(S), LICENSED IP, OR LICENSED PRODUCT(S) ARISING UNDER, OR OTHERWISE THE SUBJECT MATTER OF THIS AGREEMENT IS ASSUMED BY LICENSEE.</w:t>
      </w:r>
    </w:p>
    <w:p>
      <w:pPr>
        <w:pStyle w:val="TextBody"/>
        <w:spacing w:before="0" w:after="0"/>
        <w:ind w:left="0" w:right="0" w:hanging="0"/>
        <w:jc w:val="both"/>
        <w:rPr/>
      </w:pPr>
      <w:r>
        <w:rPr/>
        <w:t> </w:t>
      </w:r>
    </w:p>
    <w:p>
      <w:pPr>
        <w:pStyle w:val="TextBody"/>
        <w:spacing w:before="0" w:after="0"/>
        <w:ind w:left="0" w:right="0" w:hanging="0"/>
        <w:jc w:val="both"/>
        <w:rPr/>
      </w:pPr>
      <w:bookmarkStart w:id="392" w:name="TAB2307"/>
      <w:bookmarkEnd w:id="392"/>
      <w:r>
        <w:rPr>
          <w:spacing w:val="180"/>
        </w:rPr>
        <w:t>   </w:t>
      </w:r>
      <w:bookmarkStart w:id="393" w:name="TAB2306"/>
      <w:bookmarkEnd w:id="393"/>
      <w:r>
        <w:rPr>
          <w:spacing w:val="180"/>
        </w:rPr>
        <w:t>   </w:t>
      </w:r>
      <w:r>
        <w:rPr/>
        <w:t> </w:t>
      </w:r>
      <w:r>
        <w:rPr>
          <w:rFonts w:ascii="Times New Roman" w:hAnsi="Times New Roman"/>
          <w:sz w:val="20"/>
        </w:rPr>
        <w:t>12.3</w:t>
      </w:r>
      <w:bookmarkStart w:id="394" w:name="TAB2305"/>
      <w:bookmarkEnd w:id="394"/>
      <w:r>
        <w:rPr>
          <w:color w:val="000000"/>
          <w:spacing w:val="180"/>
        </w:rPr>
        <w:t> </w:t>
      </w:r>
      <w:r>
        <w:rPr>
          <w:rFonts w:ascii="Times New Roman" w:hAnsi="Times New Roman"/>
          <w:sz w:val="20"/>
          <w:u w:val="single"/>
        </w:rPr>
        <w:t>Dispute Resolution</w:t>
      </w:r>
      <w:r>
        <w:rPr>
          <w:rFonts w:ascii="Times New Roman" w:hAnsi="Times New Roman"/>
          <w:sz w:val="20"/>
        </w:rPr>
        <w:t>.</w:t>
      </w:r>
    </w:p>
    <w:p>
      <w:pPr>
        <w:pStyle w:val="TextBody"/>
        <w:spacing w:before="0" w:after="0"/>
        <w:ind w:left="0" w:right="0" w:hanging="0"/>
        <w:jc w:val="both"/>
        <w:rPr>
          <w:spacing w:val="180"/>
        </w:rPr>
      </w:pPr>
      <w:bookmarkStart w:id="395" w:name="TAB2309"/>
      <w:bookmarkStart w:id="396" w:name="TAB2310"/>
      <w:bookmarkEnd w:id="395"/>
      <w:bookmarkEnd w:id="396"/>
      <w:r>
        <w:rPr>
          <w:spacing w:val="180"/>
        </w:rPr>
        <w:t>   </w:t>
      </w:r>
      <w:bookmarkStart w:id="397" w:name="TAB2308"/>
      <w:bookmarkEnd w:id="397"/>
      <w:r>
        <w:rPr>
          <w:spacing w:val="180"/>
        </w:rPr>
        <w:t>   </w:t>
      </w:r>
    </w:p>
    <w:p>
      <w:pPr>
        <w:pStyle w:val="TextBody"/>
        <w:spacing w:before="0" w:after="0"/>
        <w:ind w:left="0" w:right="0" w:hanging="0"/>
        <w:jc w:val="both"/>
        <w:rPr/>
      </w:pPr>
      <w:bookmarkStart w:id="398" w:name="TAB2314"/>
      <w:bookmarkEnd w:id="398"/>
      <w:r>
        <w:rPr>
          <w:spacing w:val="180"/>
        </w:rPr>
        <w:t>   </w:t>
      </w:r>
      <w:bookmarkStart w:id="399" w:name="TAB2313"/>
      <w:bookmarkEnd w:id="399"/>
      <w:r>
        <w:rPr>
          <w:spacing w:val="180"/>
        </w:rPr>
        <w:t>   </w:t>
      </w:r>
      <w:bookmarkStart w:id="400" w:name="TAB2312"/>
      <w:bookmarkEnd w:id="400"/>
      <w:r>
        <w:rPr>
          <w:spacing w:val="180"/>
        </w:rPr>
        <w:t>   </w:t>
      </w:r>
      <w:r>
        <w:rPr/>
        <w:t> </w:t>
      </w:r>
      <w:r>
        <w:rPr>
          <w:rFonts w:ascii="Times New Roman" w:hAnsi="Times New Roman"/>
          <w:sz w:val="20"/>
        </w:rPr>
        <w:t>(a)</w:t>
      </w:r>
      <w:bookmarkStart w:id="401" w:name="TAB2311"/>
      <w:bookmarkEnd w:id="401"/>
      <w:r>
        <w:rPr>
          <w:color w:val="000000"/>
          <w:spacing w:val="180"/>
        </w:rPr>
        <w:t> </w:t>
      </w:r>
      <w:r>
        <w:rPr>
          <w:rFonts w:ascii="Times New Roman" w:hAnsi="Times New Roman"/>
          <w:sz w:val="20"/>
        </w:rPr>
        <w:t>The Parties agree to use reasonable best efforts to amicably resolve among themselves any dispute arising out of this Agreement.</w:t>
      </w:r>
    </w:p>
    <w:p>
      <w:pPr>
        <w:pStyle w:val="TextBody"/>
        <w:spacing w:before="0" w:after="0"/>
        <w:ind w:left="0" w:right="0" w:hanging="0"/>
        <w:jc w:val="both"/>
        <w:rPr/>
      </w:pPr>
      <w:r>
        <w:rPr/>
        <w:t> </w:t>
      </w:r>
    </w:p>
    <w:p>
      <w:pPr>
        <w:pStyle w:val="TextBody"/>
        <w:spacing w:before="0" w:after="0"/>
        <w:ind w:left="0" w:right="0" w:hanging="0"/>
        <w:jc w:val="both"/>
        <w:rPr/>
      </w:pPr>
      <w:bookmarkStart w:id="402" w:name="TAB2317"/>
      <w:bookmarkStart w:id="403" w:name="TAB2318"/>
      <w:bookmarkStart w:id="404" w:name="TAB2319"/>
      <w:bookmarkEnd w:id="402"/>
      <w:bookmarkEnd w:id="403"/>
      <w:bookmarkEnd w:id="404"/>
      <w:r>
        <w:rPr>
          <w:spacing w:val="180"/>
        </w:rPr>
        <w:t>   </w:t>
      </w:r>
      <w:bookmarkStart w:id="405" w:name="TAB2316"/>
      <w:bookmarkEnd w:id="405"/>
      <w:r>
        <w:rPr>
          <w:spacing w:val="180"/>
        </w:rPr>
        <w:t>   </w:t>
      </w:r>
      <w:r>
        <w:rPr>
          <w:rFonts w:ascii="Times New Roman" w:hAnsi="Times New Roman"/>
          <w:sz w:val="20"/>
        </w:rPr>
        <w:t>(b)</w:t>
      </w:r>
      <w:bookmarkStart w:id="406" w:name="TAB2315"/>
      <w:bookmarkEnd w:id="406"/>
      <w:r>
        <w:rPr>
          <w:color w:val="000000"/>
          <w:spacing w:val="180"/>
        </w:rPr>
        <w:t> </w:t>
      </w:r>
      <w:r>
        <w:rPr>
          <w:rFonts w:ascii="Times New Roman" w:hAnsi="Times New Roman"/>
          <w:sz w:val="20"/>
        </w:rPr>
        <w:t>If the Parties are unable to resolve the dispute under Section 8.5(a), the dispute shall be referred to the Vice President, Research of Licensor or the Vice President's designate and the designate of Licensee for their discussion and resolution. The Parties may agree to mediation of the dispute (procedural details and process to be determined by the Parties).</w:t>
      </w:r>
    </w:p>
    <w:p>
      <w:pPr>
        <w:pStyle w:val="TextBody"/>
        <w:spacing w:before="0" w:after="0"/>
        <w:ind w:left="0" w:right="0" w:hanging="0"/>
        <w:jc w:val="both"/>
        <w:rPr/>
      </w:pPr>
      <w:bookmarkStart w:id="407" w:name="TAB2321"/>
      <w:bookmarkEnd w:id="407"/>
      <w:r>
        <w:rPr>
          <w:spacing w:val="180"/>
        </w:rPr>
        <w:t>   </w:t>
      </w:r>
      <w:bookmarkStart w:id="408" w:name="TAB2320"/>
      <w:bookmarkEnd w:id="408"/>
      <w:r>
        <w:rPr>
          <w:spacing w:val="180"/>
        </w:rPr>
        <w:t>   </w:t>
      </w:r>
    </w:p>
    <w:p>
      <w:pPr>
        <w:pStyle w:val="TextBody"/>
        <w:spacing w:before="0" w:after="0"/>
        <w:ind w:left="0" w:right="0" w:hanging="0"/>
        <w:jc w:val="both"/>
        <w:rPr/>
      </w:pPr>
      <w:bookmarkStart w:id="409" w:name="TAB2325"/>
      <w:bookmarkEnd w:id="409"/>
      <w:r>
        <w:rPr>
          <w:spacing w:val="180"/>
        </w:rPr>
        <w:t>   </w:t>
      </w:r>
      <w:bookmarkStart w:id="410" w:name="TAB2324"/>
      <w:bookmarkEnd w:id="410"/>
      <w:r>
        <w:rPr>
          <w:spacing w:val="180"/>
        </w:rPr>
        <w:t>   </w:t>
      </w:r>
      <w:bookmarkStart w:id="411" w:name="TAB2323"/>
      <w:bookmarkEnd w:id="411"/>
      <w:r>
        <w:rPr>
          <w:spacing w:val="180"/>
        </w:rPr>
        <w:t>   </w:t>
      </w:r>
      <w:r>
        <w:rPr/>
        <w:t> </w:t>
      </w:r>
      <w:r>
        <w:rPr>
          <w:rFonts w:ascii="Times New Roman" w:hAnsi="Times New Roman"/>
          <w:sz w:val="20"/>
        </w:rPr>
        <w:t>(c)</w:t>
      </w:r>
      <w:bookmarkStart w:id="412" w:name="TAB2322"/>
      <w:bookmarkEnd w:id="412"/>
      <w:r>
        <w:rPr>
          <w:color w:val="000000"/>
          <w:spacing w:val="180"/>
        </w:rPr>
        <w:t> </w:t>
      </w:r>
      <w:r>
        <w:rPr>
          <w:rFonts w:ascii="Times New Roman" w:hAnsi="Times New Roman"/>
          <w:sz w:val="20"/>
        </w:rPr>
        <w:t>Any dispute which cannot be amicably settled by the Parties as provided in Sections 8.5(a) and (b) shall be submitted to arbitration in accordance with the provisions of the (Ontario) Arbitration Act, 1991, S.O. 1991, c. 17, as amended from time to time. The arbitration will take place in the city of Toronto (Ontario, Canada).</w:t>
      </w:r>
    </w:p>
    <w:p>
      <w:pPr>
        <w:pStyle w:val="TextBody"/>
        <w:spacing w:before="0" w:after="0"/>
        <w:ind w:left="0" w:right="0" w:hanging="0"/>
        <w:jc w:val="both"/>
        <w:rPr/>
      </w:pPr>
      <w:r>
        <w:rPr/>
        <w:t> </w:t>
      </w:r>
    </w:p>
    <w:p>
      <w:pPr>
        <w:pStyle w:val="TextBody"/>
        <w:spacing w:before="0" w:after="0"/>
        <w:ind w:left="0" w:right="0" w:hanging="0"/>
        <w:jc w:val="both"/>
        <w:rPr/>
      </w:pPr>
      <w:bookmarkStart w:id="413" w:name="TAB2328"/>
      <w:bookmarkStart w:id="414" w:name="TAB2329"/>
      <w:bookmarkEnd w:id="413"/>
      <w:bookmarkEnd w:id="414"/>
      <w:r>
        <w:rPr>
          <w:spacing w:val="180"/>
        </w:rPr>
        <w:t>   </w:t>
      </w:r>
      <w:bookmarkStart w:id="415" w:name="TAB2327"/>
      <w:bookmarkEnd w:id="415"/>
      <w:r>
        <w:rPr>
          <w:spacing w:val="180"/>
        </w:rPr>
        <w:t>   </w:t>
      </w:r>
      <w:r>
        <w:rPr>
          <w:rFonts w:ascii="Times New Roman" w:hAnsi="Times New Roman"/>
          <w:sz w:val="20"/>
        </w:rPr>
        <w:t>(d)</w:t>
      </w:r>
      <w:bookmarkStart w:id="416" w:name="TAB2326"/>
      <w:bookmarkEnd w:id="416"/>
      <w:r>
        <w:rPr>
          <w:color w:val="000000"/>
          <w:spacing w:val="180"/>
        </w:rPr>
        <w:t> </w:t>
      </w:r>
      <w:r>
        <w:rPr>
          <w:rFonts w:ascii="Times New Roman" w:hAnsi="Times New Roman"/>
          <w:sz w:val="20"/>
        </w:rPr>
        <w:t>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 pending the selection of the mediator(s) or arbitrator(s) hereunder, or pending the mediator(s)' or arbitrator(s)' determination of any dispute, controversy or claim hereunder.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17" w:name="PGBRK9"/>
      <w:bookmarkStart w:id="418" w:name="PGBRK9"/>
      <w:bookmarkEnd w:id="4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19" w:name="FTR9"/>
      <w:bookmarkStart w:id="420" w:name="FTR9"/>
      <w:bookmarkEnd w:id="4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1" w:name="GLFTR9"/>
      <w:bookmarkEnd w:id="4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22" w:name="PN9"/>
      <w:bookmarkEnd w:id="42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23" w:name="HDR9"/>
      <w:bookmarkStart w:id="424" w:name="HDR9"/>
      <w:bookmarkEnd w:id="4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5" w:name="GLHDR9"/>
      <w:bookmarkEnd w:id="4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bookmarkStart w:id="426" w:name="TAB2332"/>
      <w:bookmarkEnd w:id="426"/>
      <w:r>
        <w:rPr>
          <w:spacing w:val="180"/>
        </w:rPr>
        <w:t>   </w:t>
      </w:r>
      <w:bookmarkStart w:id="427" w:name="TAB2331"/>
      <w:bookmarkEnd w:id="427"/>
      <w:r>
        <w:rPr>
          <w:spacing w:val="180"/>
        </w:rPr>
        <w:t>   </w:t>
      </w:r>
      <w:r>
        <w:rPr/>
        <w:t> </w:t>
      </w:r>
      <w:r>
        <w:rPr>
          <w:rFonts w:ascii="Times New Roman" w:hAnsi="Times New Roman"/>
          <w:sz w:val="20"/>
        </w:rPr>
        <w:t>12.4</w:t>
      </w:r>
      <w:bookmarkStart w:id="428" w:name="TAB2330"/>
      <w:bookmarkEnd w:id="428"/>
      <w:r>
        <w:rPr>
          <w:color w:val="000000"/>
          <w:spacing w:val="180"/>
        </w:rPr>
        <w:t> </w:t>
      </w:r>
      <w:r>
        <w:rPr>
          <w:rFonts w:ascii="Times New Roman" w:hAnsi="Times New Roman"/>
          <w:sz w:val="20"/>
          <w:u w:val="single"/>
        </w:rPr>
        <w:t>Assignment</w:t>
      </w:r>
      <w:r>
        <w:rPr>
          <w:rFonts w:ascii="Times New Roman" w:hAnsi="Times New Roman"/>
          <w:sz w:val="20"/>
        </w:rPr>
        <w:t xml:space="preserve">. Licensee shall not assign its rights or obligations under this Agreement without the prior written consent of Licensor;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Licensee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Notwithstanding the aforementioned, Licensee shall remain responsible for the performance of all obligations under this Agreement (including, without limitation, the payment of royalties to Licensor).</w:t>
      </w:r>
    </w:p>
    <w:p>
      <w:pPr>
        <w:pStyle w:val="TextBody"/>
        <w:spacing w:before="0" w:after="0"/>
        <w:ind w:left="0" w:right="0" w:hanging="0"/>
        <w:jc w:val="both"/>
        <w:rPr/>
      </w:pPr>
      <w:r>
        <w:rPr/>
        <w:t> </w:t>
      </w:r>
    </w:p>
    <w:p>
      <w:pPr>
        <w:pStyle w:val="TextBody"/>
        <w:spacing w:before="0" w:after="0"/>
        <w:ind w:left="0" w:right="0" w:hanging="0"/>
        <w:jc w:val="both"/>
        <w:rPr/>
      </w:pPr>
      <w:bookmarkStart w:id="429" w:name="TAB2335"/>
      <w:bookmarkEnd w:id="429"/>
      <w:r>
        <w:rPr>
          <w:spacing w:val="180"/>
        </w:rPr>
        <w:t>   </w:t>
      </w:r>
      <w:bookmarkStart w:id="430" w:name="TAB2334"/>
      <w:bookmarkEnd w:id="430"/>
      <w:r>
        <w:rPr>
          <w:spacing w:val="180"/>
        </w:rPr>
        <w:t>   </w:t>
      </w:r>
      <w:r>
        <w:rPr/>
        <w:t> </w:t>
      </w:r>
      <w:r>
        <w:rPr>
          <w:rFonts w:ascii="Times New Roman" w:hAnsi="Times New Roman"/>
          <w:sz w:val="20"/>
        </w:rPr>
        <w:t>12.5</w:t>
      </w:r>
      <w:bookmarkStart w:id="431" w:name="TAB2333"/>
      <w:bookmarkEnd w:id="431"/>
      <w:r>
        <w:rPr>
          <w:color w:val="000000"/>
          <w:spacing w:val="180"/>
        </w:rPr>
        <w:t> </w:t>
      </w:r>
      <w:r>
        <w:rPr>
          <w:rFonts w:ascii="Times New Roman" w:hAnsi="Times New Roman"/>
          <w:sz w:val="20"/>
          <w:u w:val="single"/>
        </w:rPr>
        <w:t>Waivers and Amendments</w:t>
      </w:r>
      <w:r>
        <w:rPr>
          <w:rFonts w:ascii="Times New Roman" w:hAnsi="Times New Roman"/>
          <w:sz w:val="20"/>
        </w:rPr>
        <w:t>. No change, modification, extension, termination or waiver of this Agreement, or any of the provisions herein contained, shall be valid unless made in writing and signed by duly authorized representatives of the parties hereto.</w:t>
      </w:r>
    </w:p>
    <w:p>
      <w:pPr>
        <w:pStyle w:val="TextBody"/>
        <w:spacing w:before="0" w:after="0"/>
        <w:ind w:left="0" w:right="0" w:hanging="0"/>
        <w:jc w:val="both"/>
        <w:rPr/>
      </w:pPr>
      <w:r>
        <w:rPr/>
        <w:t> </w:t>
      </w:r>
    </w:p>
    <w:p>
      <w:pPr>
        <w:pStyle w:val="TextBody"/>
        <w:spacing w:before="0" w:after="0"/>
        <w:ind w:left="0" w:right="0" w:hanging="0"/>
        <w:jc w:val="both"/>
        <w:rPr/>
      </w:pPr>
      <w:bookmarkStart w:id="432" w:name="TAB2338"/>
      <w:bookmarkEnd w:id="432"/>
      <w:r>
        <w:rPr>
          <w:spacing w:val="180"/>
        </w:rPr>
        <w:t>   </w:t>
      </w:r>
      <w:bookmarkStart w:id="433" w:name="TAB2337"/>
      <w:bookmarkEnd w:id="433"/>
      <w:r>
        <w:rPr>
          <w:spacing w:val="180"/>
        </w:rPr>
        <w:t>   </w:t>
      </w:r>
      <w:r>
        <w:rPr/>
        <w:t> </w:t>
      </w:r>
      <w:r>
        <w:rPr>
          <w:rFonts w:ascii="Times New Roman" w:hAnsi="Times New Roman"/>
          <w:sz w:val="20"/>
        </w:rPr>
        <w:t>12.6</w:t>
      </w:r>
      <w:bookmarkStart w:id="434" w:name="TAB2336"/>
      <w:bookmarkEnd w:id="434"/>
      <w:r>
        <w:rPr>
          <w:color w:val="000000"/>
          <w:spacing w:val="180"/>
        </w:rPr>
        <w:t> </w:t>
      </w:r>
      <w:r>
        <w:rPr>
          <w:rFonts w:ascii="Times New Roman" w:hAnsi="Times New Roman"/>
          <w:sz w:val="20"/>
          <w:u w:val="single"/>
        </w:rPr>
        <w:t>Entire Agreement</w:t>
      </w:r>
      <w:r>
        <w:rPr>
          <w:rFonts w:ascii="Times New Roman" w:hAnsi="Times New Roman"/>
          <w:sz w:val="20"/>
        </w:rPr>
        <w:t>. This Agreement embodies the entire agreement between the parties and supersedes any prior representations, understandings and agreements between the parties regarding the subject matter hereof. There are no representations, understandings or agreements, oral or written, between the parties regarding the subject matter hereof that are not fully expressed herein.</w:t>
      </w:r>
    </w:p>
    <w:p>
      <w:pPr>
        <w:pStyle w:val="TextBody"/>
        <w:spacing w:before="0" w:after="0"/>
        <w:ind w:left="0" w:right="0" w:hanging="0"/>
        <w:jc w:val="both"/>
        <w:rPr/>
      </w:pPr>
      <w:r>
        <w:rPr/>
        <w:t> </w:t>
      </w:r>
    </w:p>
    <w:p>
      <w:pPr>
        <w:pStyle w:val="TextBody"/>
        <w:spacing w:before="0" w:after="0"/>
        <w:ind w:left="0" w:right="0" w:hanging="0"/>
        <w:jc w:val="both"/>
        <w:rPr/>
      </w:pPr>
      <w:bookmarkStart w:id="435" w:name="TAB2341"/>
      <w:bookmarkEnd w:id="435"/>
      <w:r>
        <w:rPr>
          <w:spacing w:val="180"/>
        </w:rPr>
        <w:t>   </w:t>
      </w:r>
      <w:bookmarkStart w:id="436" w:name="TAB2340"/>
      <w:bookmarkEnd w:id="436"/>
      <w:r>
        <w:rPr>
          <w:spacing w:val="180"/>
        </w:rPr>
        <w:t>   </w:t>
      </w:r>
      <w:r>
        <w:rPr/>
        <w:t> </w:t>
      </w:r>
      <w:r>
        <w:rPr>
          <w:rFonts w:ascii="Times New Roman" w:hAnsi="Times New Roman"/>
          <w:sz w:val="20"/>
        </w:rPr>
        <w:t>12.7</w:t>
      </w:r>
      <w:bookmarkStart w:id="437" w:name="TAB2339"/>
      <w:bookmarkEnd w:id="437"/>
      <w:r>
        <w:rPr>
          <w:color w:val="000000"/>
          <w:spacing w:val="180"/>
        </w:rPr>
        <w:t> </w:t>
      </w:r>
      <w:r>
        <w:rPr>
          <w:rFonts w:ascii="Times New Roman" w:hAnsi="Times New Roman"/>
          <w:sz w:val="20"/>
          <w:u w:val="single"/>
        </w:rPr>
        <w:t>Severability</w:t>
      </w:r>
      <w:r>
        <w:rPr>
          <w:rFonts w:ascii="Times New Roman" w:hAnsi="Times New Roman"/>
          <w:sz w:val="20"/>
        </w:rPr>
        <w:t>. Any of the provisions of this Agreement which are determined to be invalid or 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this Agreement in any other jurisdiction.</w:t>
      </w:r>
    </w:p>
    <w:p>
      <w:pPr>
        <w:pStyle w:val="TextBody"/>
        <w:spacing w:before="0" w:after="0"/>
        <w:ind w:left="0" w:right="0" w:hanging="0"/>
        <w:jc w:val="both"/>
        <w:rPr/>
      </w:pPr>
      <w:r>
        <w:rPr/>
        <w:t> </w:t>
      </w:r>
    </w:p>
    <w:p>
      <w:pPr>
        <w:pStyle w:val="TextBody"/>
        <w:spacing w:before="0" w:after="0"/>
        <w:ind w:left="0" w:right="0" w:hanging="0"/>
        <w:jc w:val="both"/>
        <w:rPr/>
      </w:pPr>
      <w:bookmarkStart w:id="438" w:name="TAB2344"/>
      <w:bookmarkEnd w:id="438"/>
      <w:r>
        <w:rPr>
          <w:spacing w:val="180"/>
        </w:rPr>
        <w:t>   </w:t>
      </w:r>
      <w:bookmarkStart w:id="439" w:name="TAB2343"/>
      <w:bookmarkEnd w:id="439"/>
      <w:r>
        <w:rPr>
          <w:spacing w:val="180"/>
        </w:rPr>
        <w:t>   </w:t>
      </w:r>
      <w:r>
        <w:rPr/>
        <w:t> </w:t>
      </w:r>
      <w:r>
        <w:rPr>
          <w:rFonts w:ascii="Times New Roman" w:hAnsi="Times New Roman"/>
          <w:sz w:val="20"/>
        </w:rPr>
        <w:t>12.8</w:t>
      </w:r>
      <w:bookmarkStart w:id="440" w:name="TAB2342"/>
      <w:bookmarkEnd w:id="440"/>
      <w:r>
        <w:rPr>
          <w:color w:val="000000"/>
          <w:spacing w:val="180"/>
        </w:rPr>
        <w:t> </w:t>
      </w:r>
      <w:r>
        <w:rPr>
          <w:rFonts w:ascii="Times New Roman" w:hAnsi="Times New Roman"/>
          <w:sz w:val="20"/>
          <w:u w:val="single"/>
        </w:rPr>
        <w:t>Waiver</w:t>
      </w:r>
      <w:r>
        <w:rPr>
          <w:rFonts w:ascii="Times New Roman" w:hAnsi="Times New Roman"/>
          <w:sz w:val="20"/>
        </w:rPr>
        <w:t>. The waiver by either Party hereto of any right hereunder or the failure to perform or of a breach by the other Party shall not be deemed a waiver of any other right hereunder or of any other breach or failure by said other Party whether of a similar nature or otherwise.</w:t>
      </w:r>
    </w:p>
    <w:p>
      <w:pPr>
        <w:pStyle w:val="TextBody"/>
        <w:spacing w:before="0" w:after="0"/>
        <w:ind w:left="0" w:right="0" w:hanging="0"/>
        <w:jc w:val="both"/>
        <w:rPr/>
      </w:pPr>
      <w:r>
        <w:rPr/>
        <w:t> </w:t>
      </w:r>
    </w:p>
    <w:p>
      <w:pPr>
        <w:pStyle w:val="TextBody"/>
        <w:spacing w:before="0" w:after="0"/>
        <w:ind w:left="0" w:right="0" w:hanging="0"/>
        <w:jc w:val="both"/>
        <w:rPr/>
      </w:pPr>
      <w:bookmarkStart w:id="441" w:name="TAB2347"/>
      <w:bookmarkEnd w:id="441"/>
      <w:r>
        <w:rPr>
          <w:spacing w:val="180"/>
        </w:rPr>
        <w:t>   </w:t>
      </w:r>
      <w:bookmarkStart w:id="442" w:name="TAB2346"/>
      <w:bookmarkEnd w:id="442"/>
      <w:r>
        <w:rPr>
          <w:spacing w:val="180"/>
        </w:rPr>
        <w:t>   </w:t>
      </w:r>
      <w:r>
        <w:rPr/>
        <w:t> </w:t>
      </w:r>
      <w:r>
        <w:rPr>
          <w:rFonts w:ascii="Times New Roman" w:hAnsi="Times New Roman"/>
          <w:sz w:val="20"/>
        </w:rPr>
        <w:t>12.9</w:t>
      </w:r>
      <w:bookmarkStart w:id="443" w:name="TAB2345"/>
      <w:bookmarkEnd w:id="443"/>
      <w:r>
        <w:rPr>
          <w:color w:val="000000"/>
          <w:spacing w:val="180"/>
        </w:rPr>
        <w:t> </w:t>
      </w:r>
      <w:r>
        <w:rPr>
          <w:rFonts w:ascii="Times New Roman" w:hAnsi="Times New Roman"/>
          <w:sz w:val="20"/>
          <w:u w:val="single"/>
        </w:rPr>
        <w:t>Counterparts</w:t>
      </w:r>
      <w:r>
        <w:rPr>
          <w:rFonts w:ascii="Times New Roman" w:hAnsi="Times New Roman"/>
          <w:sz w:val="20"/>
        </w:rPr>
        <w:t>. This Agreement may be executed in two or more counterparts, each of which shall be deemed an original, but all of which together shall constitute one and the same instrument. Evidence of the execution and delivery of this Agreement may be by a telecopy transmission to a Party of the other Party's signed copy of this Agreement.</w:t>
      </w:r>
    </w:p>
    <w:p>
      <w:pPr>
        <w:pStyle w:val="TextBody"/>
        <w:spacing w:before="0" w:after="0"/>
        <w:ind w:left="0" w:right="0" w:hanging="0"/>
        <w:jc w:val="both"/>
        <w:rPr/>
      </w:pPr>
      <w:r>
        <w:rPr/>
      </w:r>
    </w:p>
    <w:p>
      <w:pPr>
        <w:pStyle w:val="TextBody"/>
        <w:spacing w:before="0" w:after="0"/>
        <w:ind w:left="0" w:right="0" w:hanging="0"/>
        <w:jc w:val="both"/>
        <w:rPr/>
      </w:pPr>
      <w:bookmarkStart w:id="444" w:name="TAB2348"/>
      <w:bookmarkEnd w:id="444"/>
      <w:r>
        <w:rPr>
          <w:spacing w:val="180"/>
        </w:rPr>
        <w:t>   </w:t>
      </w:r>
      <w:r>
        <w:rPr/>
        <w:t> </w:t>
      </w:r>
      <w:r>
        <w:rPr>
          <w:rFonts w:ascii="Times New Roman" w:hAnsi="Times New Roman"/>
          <w:sz w:val="20"/>
        </w:rPr>
        <w:t>IN WITNESS WHEREOF, the parties have executed this Agreement effective as of the Effective Date.</w:t>
      </w:r>
    </w:p>
    <w:p>
      <w:pPr>
        <w:pStyle w:val="TextBody"/>
        <w:spacing w:before="0" w:after="0"/>
        <w:ind w:left="0" w:right="0" w:hanging="0"/>
        <w:jc w:val="both"/>
        <w:rPr/>
      </w:pPr>
      <w:r>
        <w:rPr/>
      </w:r>
    </w:p>
    <w:p>
      <w:pPr>
        <w:pStyle w:val="TextBody"/>
        <w:spacing w:before="0" w:after="0"/>
        <w:ind w:left="1980" w:right="0" w:hanging="0"/>
        <w:jc w:val="both"/>
        <w:rPr>
          <w:rFonts w:ascii="Times New Roman" w:hAnsi="Times New Roman"/>
          <w:sz w:val="20"/>
        </w:rPr>
      </w:pPr>
      <w:r>
        <w:rPr>
          <w:rFonts w:ascii="Times New Roman" w:hAnsi="Times New Roman"/>
          <w:sz w:val="20"/>
        </w:rPr>
        <w:t>LICENSORS University of Health Network</w:t>
      </w:r>
    </w:p>
    <w:p>
      <w:pPr>
        <w:pStyle w:val="TextBody"/>
        <w:spacing w:before="0" w:after="0"/>
        <w:ind w:left="1980" w:right="0" w:hanging="0"/>
        <w:jc w:val="both"/>
        <w:rPr/>
      </w:pPr>
      <w:r>
        <w:rPr/>
        <w:t> </w:t>
      </w:r>
    </w:p>
    <w:p>
      <w:pPr>
        <w:pStyle w:val="TextBody"/>
        <w:spacing w:before="0" w:after="0"/>
        <w:ind w:left="1980" w:right="0" w:hanging="0"/>
        <w:jc w:val="both"/>
        <w:rPr>
          <w:rFonts w:ascii="Times New Roman" w:hAnsi="Times New Roman"/>
          <w:sz w:val="20"/>
        </w:rPr>
      </w:pPr>
      <w:r>
        <w:rPr>
          <w:rFonts w:ascii="Times New Roman" w:hAnsi="Times New Roman"/>
          <w:sz w:val="20"/>
        </w:rPr>
        <w:t>By</w:t>
      </w:r>
      <w:r>
        <w:rPr>
          <w:rFonts w:ascii="Times New Roman" w:hAnsi="Times New Roman"/>
          <w:sz w:val="20"/>
          <w:u w:val="single"/>
        </w:rPr>
        <w:t>:/s/ Christopher J. Paige</w:t>
      </w:r>
    </w:p>
    <w:p>
      <w:pPr>
        <w:pStyle w:val="TextBody"/>
        <w:spacing w:before="0" w:after="0"/>
        <w:ind w:left="1980" w:right="0" w:hanging="0"/>
        <w:jc w:val="both"/>
        <w:rPr>
          <w:rFonts w:ascii="Times New Roman" w:hAnsi="Times New Roman"/>
          <w:sz w:val="20"/>
        </w:rPr>
      </w:pPr>
      <w:r>
        <w:rPr>
          <w:rFonts w:ascii="Times New Roman" w:hAnsi="Times New Roman"/>
          <w:sz w:val="20"/>
        </w:rPr>
        <w:t>Name: Christopher J. Paige, PhD</w:t>
      </w:r>
    </w:p>
    <w:p>
      <w:pPr>
        <w:pStyle w:val="TextBody"/>
        <w:spacing w:before="0" w:after="0"/>
        <w:ind w:left="1980" w:right="0" w:hanging="0"/>
        <w:jc w:val="both"/>
        <w:rPr>
          <w:rFonts w:ascii="Times New Roman" w:hAnsi="Times New Roman"/>
          <w:sz w:val="20"/>
        </w:rPr>
      </w:pPr>
      <w:r>
        <w:rPr>
          <w:rFonts w:ascii="Times New Roman" w:hAnsi="Times New Roman"/>
          <w:sz w:val="20"/>
        </w:rPr>
        <w:t>Title: Vice President, Research</w:t>
      </w:r>
    </w:p>
    <w:p>
      <w:pPr>
        <w:pStyle w:val="TextBody"/>
        <w:spacing w:before="0" w:after="0"/>
        <w:ind w:left="1980" w:right="0" w:hanging="0"/>
        <w:jc w:val="both"/>
        <w:rPr/>
      </w:pPr>
      <w:r>
        <w:rPr/>
        <w:t> </w:t>
      </w:r>
    </w:p>
    <w:p>
      <w:pPr>
        <w:pStyle w:val="TextBody"/>
        <w:spacing w:before="0" w:after="0"/>
        <w:ind w:left="1980" w:right="0" w:hanging="0"/>
        <w:jc w:val="both"/>
        <w:rPr>
          <w:rFonts w:ascii="Times New Roman" w:hAnsi="Times New Roman"/>
          <w:sz w:val="20"/>
        </w:rPr>
      </w:pPr>
      <w:r>
        <w:rPr>
          <w:rFonts w:ascii="Times New Roman" w:hAnsi="Times New Roman"/>
          <w:sz w:val="20"/>
        </w:rPr>
        <w:t>LICENSEE: VistaGen Therapeutics, Inc.</w:t>
      </w:r>
    </w:p>
    <w:p>
      <w:pPr>
        <w:pStyle w:val="TextBody"/>
        <w:spacing w:before="0" w:after="0"/>
        <w:ind w:left="1980" w:right="0" w:hanging="0"/>
        <w:jc w:val="both"/>
        <w:rPr/>
      </w:pPr>
      <w:r>
        <w:rPr/>
        <w:t> </w:t>
      </w:r>
    </w:p>
    <w:p>
      <w:pPr>
        <w:pStyle w:val="TextBody"/>
        <w:spacing w:before="0" w:after="0"/>
        <w:ind w:left="1980" w:right="0" w:hanging="0"/>
        <w:jc w:val="both"/>
        <w:rPr>
          <w:rFonts w:ascii="Times New Roman" w:hAnsi="Times New Roman"/>
          <w:sz w:val="20"/>
        </w:rPr>
      </w:pPr>
      <w:r>
        <w:rPr>
          <w:rFonts w:ascii="Times New Roman" w:hAnsi="Times New Roman"/>
          <w:sz w:val="20"/>
        </w:rPr>
        <w:t xml:space="preserve">By: </w:t>
      </w:r>
      <w:r>
        <w:rPr>
          <w:rFonts w:ascii="Times New Roman" w:hAnsi="Times New Roman"/>
          <w:sz w:val="20"/>
          <w:u w:val="single"/>
        </w:rPr>
        <w:t>Shawn K. Singh</w:t>
      </w:r>
    </w:p>
    <w:p>
      <w:pPr>
        <w:pStyle w:val="TextBody"/>
        <w:spacing w:before="0" w:after="0"/>
        <w:ind w:left="1980" w:right="0" w:hanging="0"/>
        <w:jc w:val="both"/>
        <w:rPr>
          <w:rFonts w:ascii="Times New Roman" w:hAnsi="Times New Roman"/>
          <w:sz w:val="20"/>
        </w:rPr>
      </w:pPr>
      <w:r>
        <w:rPr>
          <w:rFonts w:ascii="Times New Roman" w:hAnsi="Times New Roman"/>
          <w:sz w:val="20"/>
        </w:rPr>
        <w:t>Name: Shawn K. Singh</w:t>
      </w:r>
    </w:p>
    <w:p>
      <w:pPr>
        <w:pStyle w:val="TextBody"/>
        <w:spacing w:before="0" w:after="0"/>
        <w:ind w:left="1980" w:right="0" w:hanging="0"/>
        <w:jc w:val="both"/>
        <w:rPr>
          <w:rFonts w:ascii="Times New Roman" w:hAnsi="Times New Roman"/>
          <w:sz w:val="20"/>
        </w:rPr>
      </w:pPr>
      <w:r>
        <w:rPr>
          <w:rFonts w:ascii="Times New Roman" w:hAnsi="Times New Roman"/>
          <w:sz w:val="20"/>
        </w:rPr>
        <w:t>Title: Chief Executive Officer</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45" w:name="PGBRK10"/>
      <w:bookmarkStart w:id="446" w:name="PGBRK10"/>
      <w:bookmarkEnd w:id="4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47" w:name="FTR10"/>
      <w:bookmarkStart w:id="448" w:name="FTR10"/>
      <w:bookmarkEnd w:id="4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49" w:name="GLFTR10"/>
      <w:bookmarkEnd w:id="4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50" w:name="PN10"/>
      <w:bookmarkEnd w:id="45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51" w:name="HDR10"/>
      <w:bookmarkStart w:id="452" w:name="HDR10"/>
      <w:bookmarkEnd w:id="4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53" w:name="GLHDR10"/>
      <w:bookmarkEnd w:id="4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EXHIBIT A</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DEFINITIONS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shall mean, with respect to any Person, any other Person which directly or indirectly controls, is controlled by, or is under common control with, such Person. A Person shall be regarded as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whatsoever.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u w:val="single"/>
        </w:rPr>
        <w:t>"Confidential Information"</w:t>
      </w:r>
      <w:r>
        <w:rPr>
          <w:rFonts w:ascii="Times New Roman" w:hAnsi="Times New Roman"/>
          <w:sz w:val="20"/>
        </w:rPr>
        <w:t xml:space="preserve"> shall mean, with respect to a Party, all information (and all tangible and intangible embodiments thereof), that is owned or controlled by such Party, is disclosed by or on behalf of such Party to the other Party pursuant to this Agreement, and (if disclosed in writing or other tangible medium) is marked or identified as confidential at the time of disclosure to the receiving Party or (if otherwise disclosed) is identified as confidential at the time of disclosure to the receiving Party and described as such in writing within thirty (30) days after such disclosure. Notwithstanding the foregoing, Confidential Information of a Party shall not include information which, and only to the extent the receiving Party can establish by written documentation, (a) has been generally known prior to disclosure of such information by the disclosing Party to the receiving Party; (b) has become generally known, without the fault of the receiving Party, subsequent to disclosure of such information by the disclosing Party to the receiving Party; (c) has been received by the receiving Party at any time from a source other than the disclosing Party, rightfully having possession of and the right to disclose such information free of confidentiality obligations; (d) has been otherwise known by the receiving Party free of confidentiality obligations prior to disclosure of such information by the disclosing Party to the receiving Party; or (e) has been independently developed by employees or others on behalf of the receiving Party without use of such information disclosed by the disclosing Party to the receiving Party (each of the aforementioned (a) to (e) a "</w:t>
      </w:r>
      <w:r>
        <w:rPr>
          <w:rFonts w:ascii="Times New Roman" w:hAnsi="Times New Roman"/>
          <w:sz w:val="20"/>
          <w:u w:val="single"/>
        </w:rPr>
        <w:t>Confidentiality Exception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Effective Date</w:t>
      </w:r>
      <w:r>
        <w:rPr>
          <w:rFonts w:ascii="Times New Roman" w:hAnsi="Times New Roman"/>
          <w:sz w:val="20"/>
        </w:rPr>
        <w:t>" shall have the meaning set forth in the preamble to this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FDA</w:t>
      </w:r>
      <w:r>
        <w:rPr>
          <w:rFonts w:ascii="Times New Roman" w:hAnsi="Times New Roman"/>
          <w:sz w:val="20"/>
        </w:rPr>
        <w:t>" shall mean the Food and Drug Administration of the United States, or the successor thereto, or its foreign equivalent in Canada, the EU or elsewhere.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Force Majeure</w:t>
      </w:r>
      <w:r>
        <w:rPr>
          <w:rFonts w:ascii="Times New Roman" w:hAnsi="Times New Roman"/>
          <w:sz w:val="20"/>
        </w:rPr>
        <w:t>" means an event or circumstance arising outside of the reasonable control of a party, such as any act of God, flood, natural disaster, embargo, acts of civil or military authorities, terrorism, labor strikes, governmental embargos, and governmental orders.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IND</w:t>
      </w:r>
      <w:r>
        <w:rPr>
          <w:rFonts w:ascii="Times New Roman" w:hAnsi="Times New Roman"/>
          <w:sz w:val="20"/>
        </w:rPr>
        <w:t>" shall mean an investigational new drug application or similar application which is required to be filed with the FDA prior to commencing a clinical investigation of a drug pursuant to (US) 21 C.F.R. 312, or its foreign equivalent in Canada, the EU or elsewhere.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Intellectual Property</w:t>
      </w:r>
      <w:r>
        <w:rPr>
          <w:rFonts w:ascii="Times New Roman" w:hAnsi="Times New Roman"/>
          <w:sz w:val="20"/>
        </w:rPr>
        <w:t>" or "IP" shall mean all inventions (whether or not patentable), discoveries, trade secrets, Confidential Information, Know-How, data, technology, formulae, methods, processes, protocols, techniques, compositions, and other protectible intangible rights, together with all related Patent Rights, copyrights, trade secret rights, and other legally enforceable rights.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54" w:name="PGBRK11"/>
      <w:bookmarkStart w:id="455" w:name="PGBRK11"/>
      <w:bookmarkEnd w:id="4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56" w:name="FTR11"/>
      <w:bookmarkStart w:id="457" w:name="FTR11"/>
      <w:bookmarkEnd w:id="4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8" w:name="GLFTR11"/>
      <w:bookmarkEnd w:id="4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59" w:name="PN11"/>
      <w:bookmarkEnd w:id="45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60" w:name="HDR11"/>
      <w:bookmarkStart w:id="461" w:name="HDR11"/>
      <w:bookmarkEnd w:id="4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2" w:name="GLHDR11"/>
      <w:bookmarkEnd w:id="4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u w:val="single"/>
        </w:rPr>
        <w:t>"Know-How</w:t>
      </w:r>
      <w:r>
        <w:rPr>
          <w:rFonts w:ascii="Times New Roman" w:hAnsi="Times New Roman"/>
          <w:sz w:val="20"/>
        </w:rPr>
        <w:t>" shall mean all trade secrets, know-how, data, information, compositions and other technology (including, but not limited to, formulae, procedures, protocols, techniques and results of experimentation and testing) which are necessary or useful to make, use, develop, sell or seek regulatory approval to market a composition, or to practice any method or process, at any time claimed or disclosed in any issued patent or pending patent application directly and specifically applicable to the Licensed Patents, the Licensed IP, or the Licensed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Licensed IP</w:t>
      </w:r>
      <w:r>
        <w:rPr>
          <w:rFonts w:ascii="Times New Roman" w:hAnsi="Times New Roman"/>
          <w:sz w:val="20"/>
        </w:rPr>
        <w:t>" shall have the meaning as defined in Exhibit B.</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Licensed Patents</w:t>
      </w:r>
      <w:r>
        <w:rPr>
          <w:rFonts w:ascii="Times New Roman" w:hAnsi="Times New Roman"/>
          <w:sz w:val="20"/>
        </w:rPr>
        <w:t>" shall mean the Patent Rights applicable to the Licensed IP.</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Licensed Products"</w:t>
      </w:r>
      <w:r>
        <w:rPr>
          <w:rFonts w:ascii="Times New Roman" w:hAnsi="Times New Roman"/>
          <w:sz w:val="20"/>
        </w:rPr>
        <w:t xml:space="preserve"> shall mean any product or service that if made, used, provided, offered to be provided, sold, offered for sale or imported would infringe (but for the License Agreement) a Valid Claim of the Licensed Patents, or that otherwise uses or incorporates the Licensed IP.</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Milestone Event</w:t>
      </w:r>
      <w:r>
        <w:rPr>
          <w:rFonts w:ascii="Times New Roman" w:hAnsi="Times New Roman"/>
          <w:sz w:val="20"/>
        </w:rPr>
        <w:t>" shall have the meaning as defined in Section 4.1.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Milestone Payment</w:t>
      </w:r>
      <w:r>
        <w:rPr>
          <w:rFonts w:ascii="Times New Roman" w:hAnsi="Times New Roman"/>
          <w:sz w:val="20"/>
        </w:rPr>
        <w:t>" shall have the meaning as defined in Section 4.1.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u w:val="single"/>
        </w:rPr>
        <w:t>"NDA</w:t>
      </w:r>
      <w:r>
        <w:rPr>
          <w:rFonts w:ascii="Times New Roman" w:hAnsi="Times New Roman"/>
          <w:sz w:val="20"/>
        </w:rPr>
        <w:t>" shall mean a New Drug Application, or similar application for marketing approval of a Product for use in the Field submitted to the FDA, or its foreign equivalent in Canada, the EU or elsewhere.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u w:val="single"/>
        </w:rPr>
        <w:t>"Net Sales</w:t>
      </w:r>
      <w:r>
        <w:rPr>
          <w:rFonts w:ascii="Times New Roman" w:hAnsi="Times New Roman"/>
          <w:sz w:val="20"/>
        </w:rPr>
        <w:t>" shall mean, with respect to any Therapeutic-Related Licensed Product, the gross sales price of such Therapeutic-Related Licensed Product invoiced by Licensee or its Affiliates to customers who are not Affiliates (or are Affiliates but are the end users of such Therapeutic-Related Licensed Product) less, to the extent actually paid or accrued by License or its Affiliate (as applicable), (a) reasonable credits, allowances, discounts and rebates to, and chargebacks from the account of, such customers for nonconforming, damaged, out-dated and returned Therapeutic-Related Licensed Product; (b) freight and insurance costs incurred by License or its Affiliate (as applicable) in transporting such Therapeutic-Related Licensed Product to such customers; (c) reasonable cash, quantity and trade discounts, rebates and other price reductions for such Therapeutic-Related Licensed Product given to such customers under price reduction programs; (d) sales, use, value-added and other direct taxes incurred on the sale of such Therapeutic-Related Licensed Product to such customers; (e) customs duties, tariffs, surcharges and other governmental charges incurred in exporting or importing such Therapeutic-Related Licensed Product to such customers; and (f) a reasonable allowance for uncollectible or bad debts determined in accordance with generally accepted accounting principles.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Party</w:t>
      </w:r>
      <w:r>
        <w:rPr>
          <w:rFonts w:ascii="Times New Roman" w:hAnsi="Times New Roman"/>
          <w:sz w:val="20"/>
        </w:rPr>
        <w:t>" shall mean either VistaGen or UHN; and "</w:t>
      </w:r>
      <w:r>
        <w:rPr>
          <w:rFonts w:ascii="Times New Roman" w:hAnsi="Times New Roman"/>
          <w:sz w:val="20"/>
          <w:u w:val="single"/>
        </w:rPr>
        <w:t>Parties</w:t>
      </w:r>
      <w:r>
        <w:rPr>
          <w:rFonts w:ascii="Times New Roman" w:hAnsi="Times New Roman"/>
          <w:sz w:val="20"/>
        </w:rPr>
        <w:t>" shall mean both VistaGen and UHN.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Patent Rights</w:t>
      </w:r>
      <w:r>
        <w:rPr>
          <w:rFonts w:ascii="Times New Roman" w:hAnsi="Times New Roman"/>
          <w:sz w:val="20"/>
        </w:rPr>
        <w:t>" shall mean (a) all patents and patent applications worldwide describing the Licensed IP listed on Exhibit B hereto, (b) all divisions, continuations, continuations-in-part, that claim priority to, or common priority with, the patent applications listed in clause (a) above or the patent applications that resulted in the patents described in clause (a) above, and (c) all patents that have issued or in the future issue from any of the foregoing patent applications, including utility, model and design patents and certificates of invention, together with any reissues, renewals, extensions or additions thereto worldwide.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63" w:name="PGBRK12"/>
      <w:bookmarkStart w:id="464" w:name="PGBRK12"/>
      <w:bookmarkEnd w:id="4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65" w:name="FTR12"/>
      <w:bookmarkStart w:id="466" w:name="FTR12"/>
      <w:bookmarkEnd w:id="4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7" w:name="GLFTR12"/>
      <w:bookmarkEnd w:id="4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68" w:name="PN12"/>
      <w:bookmarkEnd w:id="46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69" w:name="HDR12"/>
      <w:bookmarkStart w:id="470" w:name="HDR12"/>
      <w:bookmarkEnd w:id="4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1" w:name="GLHDR12"/>
      <w:bookmarkEnd w:id="4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u w:val="single"/>
        </w:rPr>
        <w:t>"Person</w:t>
      </w:r>
      <w:r>
        <w:rPr>
          <w:rFonts w:ascii="Times New Roman" w:hAnsi="Times New Roman"/>
          <w:sz w:val="20"/>
        </w:rPr>
        <w:t>"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u w:val="single"/>
        </w:rPr>
        <w:t>"Phase I Clinical Trial"</w:t>
      </w:r>
      <w:r>
        <w:rPr>
          <w:rFonts w:ascii="Times New Roman" w:hAnsi="Times New Roman"/>
          <w:sz w:val="20"/>
        </w:rPr>
        <w:t xml:space="preserve"> shall mean a human clinical trial that is intended to initially evaluate the safety and/or pharmacological effect of a Product in subjects or that would otherwise satisfy requirements of (US) 21 C.F.R. 312.21(a), or its foreign equivalent in Canada, the EU or elsewhere.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Phase II Clinical Trial</w:t>
      </w:r>
      <w:r>
        <w:rPr>
          <w:rFonts w:ascii="Times New Roman" w:hAnsi="Times New Roman"/>
          <w:sz w:val="20"/>
        </w:rPr>
        <w:t>" shall mean a human clinical trial in any country that is intended to initially evaluate the effectiveness of a Product for a particular indication or indications in patients with the disease or indication under study or would otherwise satisfy requirements of (US) 21 C.F.R. 312.21(b), or its foreign equivalent in Canada, the EU or elsewhere.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Phase III Clinical Trial</w:t>
      </w:r>
      <w:r>
        <w:rPr>
          <w:rFonts w:ascii="Times New Roman" w:hAnsi="Times New Roman"/>
          <w:sz w:val="20"/>
        </w:rPr>
        <w:t>" shall mean a human clinical trial in any country, the results of which could be used to establish safety and efficacy of a Product as a basis for an NDA or would otherwise satisfy requirements of (US) 21 C.F.R. 312.21(c), or its foreign equivalent in Canada, the EU or elsewhere.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u w:val="single"/>
        </w:rPr>
        <w:t>"Revenues</w:t>
      </w:r>
      <w:r>
        <w:rPr>
          <w:rFonts w:ascii="Times New Roman" w:hAnsi="Times New Roman"/>
          <w:sz w:val="20"/>
        </w:rPr>
        <w:t>" shall mean (i)Net Sales of Therapeutic-Related Licensed Product(s) sold by Licensee and its Affiliates, (ii) Sublicensing Consideration received by Licensee and its Affiliates from Sublicense Agreements, and (iii) Service Sales in respect of Service-Related Licensed Produces).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Service-Related Licensed Product"</w:t>
      </w:r>
      <w:r>
        <w:rPr>
          <w:rFonts w:ascii="Times New Roman" w:hAnsi="Times New Roman"/>
          <w:sz w:val="20"/>
        </w:rPr>
        <w:t xml:space="preserve"> shall mean a Licensed Product (i) that is used in and/or for the provision of a research, development or other service to a third party, or (ii) for use in, or as part of, a diagnostic kit or service.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Service Sales</w:t>
      </w:r>
      <w:r>
        <w:rPr>
          <w:rFonts w:ascii="Times New Roman" w:hAnsi="Times New Roman"/>
          <w:sz w:val="20"/>
        </w:rPr>
        <w:t>" shall mean, with respect to any Service-Related Licensed Product, the gross amount of monies received for, associated with, or in respect of Service-Related Licensed Product(s) invoiced by Licensee or its Affiliates to customers or otherwise to third parties who are not Affiliates (or are Affiliates but are the end users, beneficiaries, or otherwise recipients of such Service-Related Licensed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Sublicense Agreement</w:t>
      </w:r>
      <w:r>
        <w:rPr>
          <w:rFonts w:ascii="Times New Roman" w:hAnsi="Times New Roman"/>
          <w:sz w:val="20"/>
        </w:rPr>
        <w:t>" shall mean any agreement or commitment pursuant to which any of the rights of Licensee under this Agreement are sublicensed or otherwise extended, granted or given to a Third Party (a Sublicensee).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Sublicensee</w:t>
      </w:r>
      <w:r>
        <w:rPr>
          <w:rFonts w:ascii="Times New Roman" w:hAnsi="Times New Roman"/>
          <w:sz w:val="20"/>
        </w:rPr>
        <w:t>" shall mean any Third Party to whom Licensee (or its Affiliates) grants rights to use some of Licensee's rights under this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u w:val="single"/>
        </w:rPr>
        <w:t>"Sublicensing Consideration</w:t>
      </w:r>
      <w:r>
        <w:rPr>
          <w:rFonts w:ascii="Times New Roman" w:hAnsi="Times New Roman"/>
          <w:sz w:val="20"/>
        </w:rPr>
        <w:t xml:space="preserve">" shall mean the aggregate consideration received by Licensee or its Affiliates in consideration for granting sublicense rights to a Sublicensee under the Licensed IP, including without limitation license fees, milestone fees, minimum royalties, and earned royalties, </w:t>
      </w:r>
      <w:r>
        <w:rPr>
          <w:rFonts w:ascii="Times New Roman" w:hAnsi="Times New Roman"/>
          <w:sz w:val="20"/>
          <w:u w:val="single"/>
        </w:rPr>
        <w:t>but excluding</w:t>
      </w:r>
      <w:r>
        <w:rPr>
          <w:rFonts w:ascii="Times New Roman" w:hAnsi="Times New Roman"/>
          <w:sz w:val="20"/>
        </w:rPr>
        <w:t xml:space="preserve"> (a) amounts received to fund or reimburse Licensee's or its Affiliates' cost to perform research, development or similar services specifically and directly associated with Licensed Products, (b) amounts received in reimbursement of Licensed IP patent or other Licensed IP-related out-of-pocket expenses specifically and directly associated with Licensed Products; and (c) amounts received in consideration for the sale of any debt or securities of Licensee or its Affiliates.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72" w:name="PGBRK13"/>
      <w:bookmarkStart w:id="473" w:name="PGBRK13"/>
      <w:bookmarkEnd w:id="4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74" w:name="FTR13"/>
      <w:bookmarkStart w:id="475" w:name="FTR13"/>
      <w:bookmarkEnd w:id="4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6" w:name="GLFTR13"/>
      <w:bookmarkEnd w:id="4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77" w:name="PN13"/>
      <w:bookmarkEnd w:id="47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78" w:name="HDR13"/>
      <w:bookmarkStart w:id="479" w:name="HDR13"/>
      <w:bookmarkEnd w:id="4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0" w:name="GLHDR13"/>
      <w:bookmarkEnd w:id="4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u w:val="single"/>
        </w:rPr>
        <w:t>"Therapeutic-Related Licensed Product</w:t>
      </w:r>
      <w:r>
        <w:rPr>
          <w:rFonts w:ascii="Times New Roman" w:hAnsi="Times New Roman"/>
          <w:sz w:val="20"/>
        </w:rPr>
        <w:t>" shall mean a Licensed Product that forms a constituent part of a therapeutic agent for use in human medical or veterinary purposes.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Third Party</w:t>
      </w:r>
      <w:r>
        <w:rPr>
          <w:rFonts w:ascii="Times New Roman" w:hAnsi="Times New Roman"/>
          <w:sz w:val="20"/>
        </w:rPr>
        <w:t>" shall mean any Person other than Licensor, Licensee and their respective Affiliates.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Valid Claim</w:t>
      </w:r>
      <w:r>
        <w:rPr>
          <w:rFonts w:ascii="Times New Roman" w:hAnsi="Times New Roman"/>
          <w:sz w:val="20"/>
        </w:rPr>
        <w:t>" shall mean a claim of an issued and unexpired patent included within the Licensed Patent,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81" w:name="PGBRK14"/>
      <w:bookmarkStart w:id="482" w:name="PGBRK14"/>
      <w:bookmarkEnd w:id="4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83" w:name="FTR14"/>
      <w:bookmarkStart w:id="484" w:name="FTR14"/>
      <w:bookmarkEnd w:id="4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5" w:name="GLFTR14"/>
      <w:bookmarkEnd w:id="4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86" w:name="PN14"/>
      <w:bookmarkEnd w:id="48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87" w:name="HDR14"/>
      <w:bookmarkStart w:id="488" w:name="HDR14"/>
      <w:bookmarkEnd w:id="4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9" w:name="GLHDR14"/>
      <w:bookmarkEnd w:id="4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EXHIBIT B</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LICENSED IP</w:t>
      </w:r>
    </w:p>
    <w:p>
      <w:pPr>
        <w:pStyle w:val="TextBody"/>
        <w:spacing w:before="0" w:after="0"/>
        <w:ind w:left="0" w:right="0" w:hanging="0"/>
        <w:jc w:val="both"/>
        <w:rPr/>
      </w:pPr>
      <w:r>
        <w:rPr/>
        <w:t> </w:t>
      </w:r>
    </w:p>
    <w:p>
      <w:pPr>
        <w:pStyle w:val="TextBody"/>
        <w:spacing w:before="0" w:after="0"/>
        <w:ind w:left="0" w:right="0" w:hanging="0"/>
        <w:jc w:val="both"/>
        <w:rPr/>
      </w:pPr>
      <w:bookmarkStart w:id="490" w:name="TAB2349"/>
      <w:bookmarkEnd w:id="490"/>
      <w:r>
        <w:rPr>
          <w:spacing w:val="180"/>
        </w:rPr>
        <w:t>   </w:t>
      </w:r>
      <w:r>
        <w:rPr/>
        <w:t> </w:t>
      </w:r>
      <w:r>
        <w:rPr>
          <w:rFonts w:ascii="Times New Roman" w:hAnsi="Times New Roman"/>
          <w:sz w:val="20"/>
        </w:rPr>
        <w:t>Licensed IP shall mean all inventions described in U.S. Provisional Patent Application Serial No. 61/377,665 and International Patent Application Serial No. PCT/CA2011/000965 and any application for Letters Patent claiming priority thereto and/or disclosing inventions disclosed therein, and in and to any Letters Patent or Patents in the United States of America and all foreign countries which may be granted therefor and thereon, and in and to any and all conversions, divisions, continuations and continuations-in-part of said application, or reissues or extensions of said Letters Patent or Patents, and all rights under the International Convention for the Protection of Industrial Property.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91" w:name="PGBRK15"/>
      <w:bookmarkStart w:id="492" w:name="PGBRK15"/>
      <w:bookmarkEnd w:id="4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93" w:name="FTR15"/>
      <w:bookmarkStart w:id="494" w:name="FTR15"/>
      <w:bookmarkEnd w:id="4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5" w:name="GLFTR15"/>
      <w:bookmarkEnd w:id="4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96" w:name="PN15"/>
      <w:bookmarkEnd w:id="49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97" w:name="HDR15"/>
      <w:bookmarkStart w:id="498" w:name="HDR15"/>
      <w:bookmarkEnd w:id="4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9" w:name="GLHDR15"/>
      <w:bookmarkEnd w:id="4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EXHIBIT C </w:t>
      </w:r>
      <w:r>
        <w:rPr>
          <w:rFonts w:ascii="Times New Roman" w:hAnsi="Times New Roman"/>
          <w:sz w:val="20"/>
          <w:u w:val="single"/>
        </w:rPr>
        <w:t>THIRD PARTY LICENSE RIGHTS</w:t>
      </w:r>
    </w:p>
    <w:p>
      <w:pPr>
        <w:pStyle w:val="TextBody"/>
        <w:spacing w:before="0" w:after="0"/>
        <w:ind w:left="0" w:right="0" w:hanging="0"/>
        <w:jc w:val="center"/>
        <w:rPr/>
      </w:pPr>
      <w:r>
        <w:rPr/>
        <w:t> </w:t>
      </w:r>
    </w:p>
    <w:p>
      <w:pPr>
        <w:pStyle w:val="TextBody"/>
        <w:ind w:left="0" w:right="0" w:hanging="0"/>
        <w:jc w:val="center"/>
        <w:rPr>
          <w:rFonts w:ascii="Times New Roman" w:hAnsi="Times New Roman"/>
          <w:sz w:val="20"/>
        </w:rPr>
      </w:pPr>
      <w:r>
        <w:rPr>
          <w:rFonts w:ascii="Times New Roman" w:hAnsi="Times New Roman"/>
          <w:sz w:val="20"/>
        </w:rPr>
        <w:t>[TO BE COMPLETED, IF APPLICABLE]</w:t>
      </w:r>
      <w:r>
        <w:br w:type="page"/>
      </w:r>
    </w:p>
    <w:p>
      <w:pPr>
        <w:pStyle w:val="TextBody"/>
        <w:spacing w:before="0" w:after="0"/>
        <w:ind w:left="0" w:right="0" w:hanging="0"/>
        <w:jc w:val="center"/>
        <w:rPr>
          <w:rFonts w:ascii="Times New Roman" w:hAnsi="Times New Roman"/>
          <w:b/>
          <w:sz w:val="20"/>
        </w:rPr>
      </w:pPr>
      <w:bookmarkStart w:id="500" w:name="ex10-11302011_101125.htm"/>
      <w:bookmarkStart w:id="501" w:name="ksex1011302011_101125"/>
      <w:bookmarkEnd w:id="500"/>
      <w:bookmarkEnd w:id="501"/>
      <w:r>
        <w:rPr>
          <w:rFonts w:ascii="Times New Roman" w:hAnsi="Times New Roman"/>
          <w:b/>
          <w:sz w:val="20"/>
        </w:rPr>
        <w:t>AMENDMENT NO. 4</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TO</w:t>
      </w:r>
    </w:p>
    <w:p>
      <w:pPr>
        <w:pStyle w:val="TextBody"/>
        <w:spacing w:before="0" w:after="0"/>
        <w:ind w:left="0" w:right="0" w:hanging="0"/>
        <w:jc w:val="center"/>
        <w:rPr>
          <w:rFonts w:ascii="Times New Roman" w:hAnsi="Times New Roman"/>
          <w:b/>
          <w:sz w:val="20"/>
        </w:rPr>
      </w:pPr>
      <w:r>
        <w:rPr>
          <w:rFonts w:ascii="Times New Roman" w:hAnsi="Times New Roman"/>
          <w:b/>
          <w:sz w:val="20"/>
        </w:rPr>
        <w:t>SPONSORED RESEARCH COLLABORATION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This Amendment No. 4 to Sponsored Research Collaboration Agreement (“Amendment No. 4”) is entered into and effective as of October 24, 2011, by and between </w:t>
      </w:r>
      <w:r>
        <w:rPr>
          <w:rFonts w:ascii="Times New Roman" w:hAnsi="Times New Roman"/>
          <w:b/>
          <w:sz w:val="20"/>
        </w:rPr>
        <w:t>University Health Network</w:t>
      </w:r>
      <w:r>
        <w:rPr>
          <w:rFonts w:ascii="Times New Roman" w:hAnsi="Times New Roman"/>
          <w:sz w:val="20"/>
        </w:rPr>
        <w:t xml:space="preserve">, an Ontario corporation incorporated under the Toronto Hospital Act 1997, having a principal research office at 610 University Avenue, Suite 7-504, Toronto, Ontario, Canada MSG 2M9 (“UHN”), and </w:t>
      </w:r>
      <w:r>
        <w:rPr>
          <w:rFonts w:ascii="Times New Roman" w:hAnsi="Times New Roman"/>
          <w:b/>
          <w:sz w:val="20"/>
        </w:rPr>
        <w:t>VistaGen Therapeutics, Inc.</w:t>
      </w:r>
      <w:r>
        <w:rPr>
          <w:rFonts w:ascii="Times New Roman" w:hAnsi="Times New Roman"/>
          <w:sz w:val="20"/>
        </w:rPr>
        <w:t>, a Nevada corporation having its principal address at 384 Oyster Point Blvd., Suite 8, South San Francisco, California 94080 (“VistaGen”).</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R E C I T A L 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VistaGen and UHN entered into that certain Sponsored Research Collaboration Agreement, dated September 18, 2007 (as amended, the “Agreement”), pursuant to which VistaGen is funding stem cell research and development Project One (as defined in the Agreement) and has the option to fund additional research and development projects (as defined in the Agreement, as amended, the “Options”) involving pluripotent stem cell technologies, with each such research project principally performed or to be principally performed by or under the direction of Gordon Keller, Ph.D. (“Dr. Keller”), Director of the McEwen Center for Regenerative Medicine (the “McEwen Centre”), a stem cell research center within UHN;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VistaGen and UHN acknowledge and agree that (i) VistaGen has made substantial sponsored research payments to UHN prior to the effective date of the Amendment No. 4 and (ii) such prior sponsored research payments have served to exercise the Options and certain Future Project Options with respect to the Sponsored Research Projects (as defined below), VistaGen and UHN now desire to enter into this Amendment No. 4 to further set forth (A) the sponsored research projects currently being funded, and, for at least the next twelve (12) months, to continue to be funded, by VistaGen under the Agreement (the “Sponsored Research Projects”), (B) the budget for each Sponsored Research Project, as agreed to by the parties, for the twelve (12) month period following the effective date of this Amendment No. 4 (collectively, the “Sponsored Research Project Budgets”) and (C) the schedule of  payments to be made by VistaGen to UHN pursuant to the Agreement with respect to the Sponsored Research Project Budgets; and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Section 8.7 of the Agreement provides that the Agreement may be amended only with the written consent of VistaGen and UHN.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NOW, THEREFORE, for good and valuable consideration, receipt of which is hereby acknowledged, VistaGen and UHN hereby agree to amend the Agreement as follows: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AM E N D M E N 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1.</w:t>
      </w:r>
      <w:bookmarkStart w:id="502" w:name="TAB2350"/>
      <w:bookmarkEnd w:id="502"/>
      <w:r>
        <w:rPr>
          <w:color w:val="000000"/>
          <w:spacing w:val="180"/>
        </w:rPr>
        <w:t> </w:t>
      </w:r>
      <w:r>
        <w:rPr>
          <w:rFonts w:ascii="Times New Roman" w:hAnsi="Times New Roman"/>
          <w:sz w:val="20"/>
          <w:u w:val="single"/>
        </w:rPr>
        <w:t>Definitions</w:t>
      </w:r>
      <w:r>
        <w:rPr>
          <w:rFonts w:ascii="Times New Roman" w:hAnsi="Times New Roman"/>
          <w:sz w:val="20"/>
        </w:rPr>
        <w:t>.  Except as otherwise provided herein, capitalized terms used in this Amendment shall have the definitions set forth in the Agreement, as amended.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2.           </w:t>
      </w:r>
      <w:r>
        <w:rPr>
          <w:rFonts w:ascii="Times New Roman" w:hAnsi="Times New Roman"/>
          <w:sz w:val="20"/>
          <w:u w:val="single"/>
        </w:rPr>
        <w:t>Amendment to Exhibits B-1 to B-5 to Amendment No. 3 to the Agreement</w:t>
      </w:r>
      <w:r>
        <w:rPr>
          <w:rFonts w:ascii="Times New Roman" w:hAnsi="Times New Roman"/>
          <w:sz w:val="20"/>
        </w:rPr>
        <w:t>.  Exhibit B-1, Exhibit B-2, Exhibit B-3, Exhibit B-4, and Exhibit B-5 to the Agreement, as amended in Amendment No. 3 thereto, shall be deleted in their entirety and amended to read in their entirety as Exhibit B-1, Exhibit B-2, Exhibit B-3, Exhibit B-4 and Exhibit B-5 attached to this Amendment No. 4.</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3.           </w:t>
      </w:r>
      <w:r>
        <w:rPr>
          <w:rFonts w:ascii="Times New Roman" w:hAnsi="Times New Roman"/>
          <w:sz w:val="20"/>
          <w:u w:val="single"/>
        </w:rPr>
        <w:t>Amendment to Exhibit D to Amendment No. 3 to the Agreement</w:t>
      </w:r>
      <w:r>
        <w:rPr>
          <w:rFonts w:ascii="Times New Roman" w:hAnsi="Times New Roman"/>
          <w:sz w:val="20"/>
        </w:rPr>
        <w:t>.  Exhibit D to this Amendment No. 4 is the schedule of sponsored research payments to be made by VistaGen to UHN with respect to the Sponsored Research Project Budgets during the twelve (12) month period beginning on the effective date of this Amendment No. 4 and ending on September 15, 2012.  Accordingly, Exhibit D to Amendment No. 3 to the Agreement shall be deleted in its entirety and amended to read in its entirety as Exhibit D to this Amendment No. 4.  The parties acknowledge and agree that such sponsored research funds shall be used solely for research and development activities for the benefit of VistaGen pursuant to the Agreement and under the direction of Dr. Keller, unless VistaGen shall agree otherwise in writing.</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3" w:name="PGBRK16"/>
      <w:bookmarkStart w:id="504" w:name="PGBRK16"/>
      <w:bookmarkEnd w:id="5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5" w:name="FTR16"/>
      <w:bookmarkStart w:id="506" w:name="FTR16"/>
      <w:bookmarkEnd w:id="5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7" w:name="GLFTR16"/>
      <w:bookmarkEnd w:id="5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08" w:name="PN16"/>
      <w:bookmarkEnd w:id="50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9" w:name="HDR16"/>
      <w:bookmarkStart w:id="510" w:name="HDR16"/>
      <w:bookmarkEnd w:id="5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1" w:name="GLHDR16"/>
      <w:bookmarkEnd w:id="5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4.           </w:t>
      </w:r>
      <w:r>
        <w:rPr>
          <w:rFonts w:ascii="Times New Roman" w:hAnsi="Times New Roman"/>
          <w:sz w:val="20"/>
          <w:u w:val="single"/>
        </w:rPr>
        <w:t>Future Sponsored Research Project Budgets</w:t>
      </w:r>
      <w:r>
        <w:rPr>
          <w:rFonts w:ascii="Times New Roman" w:hAnsi="Times New Roman"/>
          <w:sz w:val="20"/>
        </w:rPr>
        <w:t>.  VistaGen anticipates providing additional sponsored research funding to UHN during the twelve (12) month period from October 15, 2012 to September 15, 2013.  The parties hereby agree to use reasonable efforts to meet, by teleconference and/or in person, before June 2012 to discuss and determine the specific projects to which VistaGen’s sponsored research funds for such period shall be applied.  The parties acknowledge and agree that such sponsored research funds shall be used solely for research and development activities for the benefit of VistaGen pursuant to the Agreement and under the direction of Dr. Keller, unless VistaGen shall agree otherwise in writing.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5.           </w:t>
      </w:r>
      <w:r>
        <w:rPr>
          <w:rFonts w:ascii="Times New Roman" w:hAnsi="Times New Roman"/>
          <w:sz w:val="20"/>
          <w:u w:val="single"/>
        </w:rPr>
        <w:t>Terms of Agreement</w:t>
      </w:r>
      <w:r>
        <w:rPr>
          <w:rFonts w:ascii="Times New Roman" w:hAnsi="Times New Roman"/>
          <w:sz w:val="20"/>
        </w:rPr>
        <w:t>.  Except as expressly modified hereby, all terms, conditions and provisions of the Agreement shall continue in full force and effect.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6.           </w:t>
      </w:r>
      <w:r>
        <w:rPr>
          <w:rFonts w:ascii="Times New Roman" w:hAnsi="Times New Roman"/>
          <w:sz w:val="20"/>
          <w:u w:val="single"/>
        </w:rPr>
        <w:t>Conflicting Terms</w:t>
      </w:r>
      <w:r>
        <w:rPr>
          <w:rFonts w:ascii="Times New Roman" w:hAnsi="Times New Roman"/>
          <w:sz w:val="20"/>
        </w:rPr>
        <w:t>.  In the event of any inconsistency or conflict between the Agreement and this Amendment, the terms, conditions and provisions of this Amendment No. 4 shall govern and control.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7.           </w:t>
      </w:r>
      <w:r>
        <w:rPr>
          <w:rFonts w:ascii="Times New Roman" w:hAnsi="Times New Roman"/>
          <w:sz w:val="20"/>
          <w:u w:val="single"/>
        </w:rPr>
        <w:t>Entire Agreement</w:t>
      </w:r>
      <w:r>
        <w:rPr>
          <w:rFonts w:ascii="Times New Roman" w:hAnsi="Times New Roman"/>
          <w:sz w:val="20"/>
        </w:rPr>
        <w:t>.  The Agreement, as amended by Amendment No. 1, Amendment No. 2, Amendment No. 3 and this Amendment No. 4 (collectively, the “Amendments”), constitute the entire and exclusive agreement between the parties with respect to the subject matter hereof.  All previous discussions and agreements with respect to this subject matter are superseded by the Agreement, as amended by the Amendments.  This Amendment No. 4 may be executed in one or more counterparts, each of which shall be an original and all of which taken together shall constitute one and the same instrument.</w:t>
      </w:r>
    </w:p>
    <w:p>
      <w:pPr>
        <w:pStyle w:val="TextBody"/>
        <w:spacing w:before="0" w:after="0"/>
        <w:ind w:left="0" w:right="0" w:hanging="0"/>
        <w:jc w:val="center"/>
        <w:rPr>
          <w:rFonts w:ascii="Times New Roman" w:hAnsi="Times New Roman"/>
          <w:sz w:val="20"/>
        </w:rPr>
      </w:pPr>
      <w:r>
        <w:rPr>
          <w:rFonts w:ascii="Times New Roman" w:hAnsi="Times New Roman"/>
          <w:sz w:val="20"/>
        </w:rPr>
        <w:t>[Signature Page Follows]</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2" w:name="PGBRK17"/>
      <w:bookmarkStart w:id="513" w:name="PGBRK17"/>
      <w:bookmarkEnd w:id="5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4" w:name="FTR17"/>
      <w:bookmarkStart w:id="515" w:name="FTR17"/>
      <w:bookmarkEnd w:id="5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6" w:name="GLFTR17"/>
      <w:bookmarkEnd w:id="5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17" w:name="PN17"/>
      <w:bookmarkEnd w:id="51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8" w:name="HDR17"/>
      <w:bookmarkStart w:id="519" w:name="HDR17"/>
      <w:bookmarkEnd w:id="5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0" w:name="GLHDR17"/>
      <w:bookmarkEnd w:id="5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IN WITNESS WHEREOF, the parties have executed this Amendment No. 4 as of the date first above written.</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4320" w:right="0" w:hanging="0"/>
        <w:jc w:val="left"/>
        <w:rPr>
          <w:rFonts w:ascii="Times New Roman" w:hAnsi="Times New Roman"/>
          <w:b/>
          <w:sz w:val="20"/>
        </w:rPr>
      </w:pPr>
      <w:r>
        <w:rPr>
          <w:rFonts w:ascii="Times New Roman" w:hAnsi="Times New Roman"/>
          <w:b/>
          <w:sz w:val="20"/>
        </w:rPr>
        <w:t>UNIVERSITY HEALTH NETWORK</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sz w:val="20"/>
        </w:rPr>
        <w:t>By</w:t>
      </w:r>
      <w:r>
        <w:rPr>
          <w:rFonts w:ascii="Times New Roman" w:hAnsi="Times New Roman"/>
          <w:sz w:val="20"/>
          <w:u w:val="single"/>
        </w:rPr>
        <w:t>:                                                                       </w:t>
      </w:r>
    </w:p>
    <w:p>
      <w:pPr>
        <w:pStyle w:val="TextBody"/>
        <w:spacing w:before="0" w:after="0"/>
        <w:ind w:left="4320" w:right="0" w:hanging="0"/>
        <w:jc w:val="left"/>
        <w:rPr/>
      </w:pPr>
      <w:r>
        <w:rPr/>
        <w:t>       </w:t>
      </w:r>
      <w:r>
        <w:rPr>
          <w:rFonts w:ascii="Times New Roman" w:hAnsi="Times New Roman"/>
          <w:sz w:val="20"/>
        </w:rPr>
        <w:t>Christopher J. Paige, PhD</w:t>
      </w:r>
    </w:p>
    <w:p>
      <w:pPr>
        <w:pStyle w:val="TextBody"/>
        <w:spacing w:before="0" w:after="0"/>
        <w:ind w:left="4320" w:right="0" w:hanging="0"/>
        <w:jc w:val="left"/>
        <w:rPr/>
      </w:pPr>
      <w:r>
        <w:rPr/>
        <w:t>        </w:t>
      </w:r>
      <w:r>
        <w:rPr>
          <w:rFonts w:ascii="Times New Roman" w:hAnsi="Times New Roman"/>
          <w:sz w:val="20"/>
        </w:rPr>
        <w:t>Vice President, Research</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4320" w:right="0" w:hanging="0"/>
        <w:jc w:val="left"/>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sz w:val="20"/>
        </w:rPr>
        <w:t>By</w:t>
      </w:r>
      <w:r>
        <w:rPr>
          <w:rFonts w:ascii="Times New Roman" w:hAnsi="Times New Roman"/>
          <w:sz w:val="20"/>
          <w:u w:val="single"/>
        </w:rPr>
        <w:t>:                                                                       </w:t>
      </w:r>
    </w:p>
    <w:p>
      <w:pPr>
        <w:pStyle w:val="TextBody"/>
        <w:spacing w:before="0" w:after="0"/>
        <w:ind w:left="4680" w:right="0" w:hanging="0"/>
        <w:jc w:val="left"/>
        <w:rPr/>
      </w:pPr>
      <w:bookmarkStart w:id="521" w:name="TAB1"/>
      <w:bookmarkEnd w:id="521"/>
      <w:r>
        <w:rPr/>
        <w:t> </w:t>
      </w:r>
      <w:r>
        <w:rPr>
          <w:rFonts w:ascii="Times New Roman" w:hAnsi="Times New Roman"/>
          <w:sz w:val="20"/>
        </w:rPr>
        <w:t>Shawn K. Singh, J.D.</w:t>
      </w:r>
    </w:p>
    <w:p>
      <w:pPr>
        <w:pStyle w:val="TextBody"/>
        <w:spacing w:before="0" w:after="0"/>
        <w:ind w:left="4680" w:right="0" w:hanging="0"/>
        <w:jc w:val="left"/>
        <w:rPr/>
      </w:pPr>
      <w:bookmarkStart w:id="522" w:name="TAB11"/>
      <w:bookmarkEnd w:id="522"/>
      <w:r>
        <w:rPr/>
        <w:t> </w:t>
      </w:r>
      <w:r>
        <w:rPr>
          <w:rFonts w:ascii="Times New Roman" w:hAnsi="Times New Roman"/>
          <w:sz w:val="20"/>
        </w:rPr>
        <w:t>Chief Executive Officer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3" w:name="PGBRK18"/>
      <w:bookmarkStart w:id="524" w:name="PGBRK18"/>
      <w:bookmarkEnd w:id="5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5" w:name="FTR18"/>
      <w:bookmarkStart w:id="526" w:name="FTR18"/>
      <w:bookmarkEnd w:id="5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7" w:name="GLFTR18"/>
      <w:bookmarkEnd w:id="5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28" w:name="PN18"/>
      <w:bookmarkEnd w:id="52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9" w:name="HDR18"/>
      <w:bookmarkStart w:id="530" w:name="HDR18"/>
      <w:bookmarkEnd w:id="5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31" w:name="GLHDR18"/>
      <w:bookmarkEnd w:id="5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EXHIBIT B-1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RESEARCH PROJECT ONE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sz w:val="20"/>
        </w:rPr>
        <w:t>Development of Drug Discovery and Screening Approaches with Pluripotent Stem Cell-derived Cardiomyocytes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overall goal of these studies is to establish improved methods for the production of mature of human pluripotent stem cell (hPSC)-derived cardiomyocytes suitable for use in cell therapy, drug discovery, drug screening, drug toxicology assessment and drug rescue. This project builds on recent advancements from Dr. Keller’s lab relating to new methods for the efficient and reproducible generation of cardiomyocytes from hPSC. The project will focus on addressing the following: 1) characterization of the functional and maturational status of the hPSC-derived cardiomyocytes in vitro; 2) development of methods for the large scale production of hPSC-derived cardiomyocytes suitable for use in cell therapy, drug discovery, drug screening and drug rescue; 3) provide cells and methods for the study of response of cardiomyocytes to select known drugs and compounds that effect their biology and functional activity;  4) provide cells and methods for the use and validation of cardiomyocytes as predictive toxicology screening assays; and 5) preclinical research and development of iPS Cell-derived cardiomyocytes for potential cell therapy applications.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Sponsored Research Project Budget (October 2011 through September 2012)</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32" w:name="hangingindent"/>
      <w:bookmarkStart w:id="533" w:name="hangingindent"/>
      <w:bookmarkEnd w:id="533"/>
    </w:p>
    <w:tbl>
      <w:tblPr>
        <w:tblW w:w="5000" w:type="pct"/>
        <w:jc w:val="center"/>
        <w:tblInd w:w="0" w:type="dxa"/>
        <w:tblCellMar>
          <w:top w:w="0" w:type="dxa"/>
          <w:left w:w="0" w:type="dxa"/>
          <w:bottom w:w="0" w:type="dxa"/>
          <w:right w:w="0" w:type="dxa"/>
        </w:tblCellMar>
      </w:tblPr>
      <w:tblGrid>
        <w:gridCol w:w="5696"/>
        <w:gridCol w:w="4509"/>
      </w:tblGrid>
      <w:tr>
        <w:trPr/>
        <w:tc>
          <w:tcPr>
            <w:tcW w:w="569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Technician</w:t>
            </w:r>
          </w:p>
        </w:tc>
        <w:tc>
          <w:tcPr>
            <w:tcW w:w="450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$ 70,000</w:t>
            </w:r>
          </w:p>
        </w:tc>
      </w:tr>
    </w:tbl>
    <w:p>
      <w:pPr>
        <w:pStyle w:val="Normal"/>
        <w:spacing w:before="0" w:after="0"/>
        <w:rPr>
          <w:sz w:val="4"/>
          <w:szCs w:val="4"/>
        </w:rPr>
      </w:pPr>
      <w:r>
        <w:rPr>
          <w:sz w:val="4"/>
          <w:szCs w:val="4"/>
        </w:rPr>
      </w:r>
      <w:bookmarkStart w:id="534" w:name="hangingindent1"/>
      <w:bookmarkStart w:id="535" w:name="hangingindent1"/>
      <w:bookmarkEnd w:id="535"/>
    </w:p>
    <w:tbl>
      <w:tblPr>
        <w:tblW w:w="5000" w:type="pct"/>
        <w:jc w:val="center"/>
        <w:tblInd w:w="0" w:type="dxa"/>
        <w:tblCellMar>
          <w:top w:w="0" w:type="dxa"/>
          <w:left w:w="0" w:type="dxa"/>
          <w:bottom w:w="0" w:type="dxa"/>
          <w:right w:w="0" w:type="dxa"/>
        </w:tblCellMar>
      </w:tblPr>
      <w:tblGrid>
        <w:gridCol w:w="5050"/>
        <w:gridCol w:w="5155"/>
      </w:tblGrid>
      <w:tr>
        <w:trPr/>
        <w:tc>
          <w:tcPr>
            <w:tcW w:w="505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Supplies</w:t>
            </w:r>
          </w:p>
        </w:tc>
        <w:tc>
          <w:tcPr>
            <w:tcW w:w="515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$ 40,000</w:t>
            </w:r>
          </w:p>
        </w:tc>
      </w:tr>
    </w:tbl>
    <w:p>
      <w:pPr>
        <w:pStyle w:val="Normal"/>
        <w:spacing w:before="0" w:after="0"/>
        <w:ind w:left="0" w:right="0" w:hanging="0"/>
        <w:rPr>
          <w:sz w:val="4"/>
          <w:szCs w:val="4"/>
        </w:rPr>
      </w:pPr>
      <w:r>
        <w:rPr>
          <w:sz w:val="4"/>
          <w:szCs w:val="4"/>
        </w:rPr>
      </w:r>
      <w:bookmarkStart w:id="536" w:name="hangingindent2"/>
      <w:bookmarkStart w:id="537" w:name="hangingindent2"/>
      <w:bookmarkEnd w:id="537"/>
    </w:p>
    <w:tbl>
      <w:tblPr>
        <w:tblW w:w="5000" w:type="pct"/>
        <w:jc w:val="center"/>
        <w:tblInd w:w="0" w:type="dxa"/>
        <w:tblCellMar>
          <w:top w:w="0" w:type="dxa"/>
          <w:left w:w="0" w:type="dxa"/>
          <w:bottom w:w="0" w:type="dxa"/>
          <w:right w:w="0" w:type="dxa"/>
        </w:tblCellMar>
      </w:tblPr>
      <w:tblGrid>
        <w:gridCol w:w="5301"/>
        <w:gridCol w:w="4904"/>
      </w:tblGrid>
      <w:tr>
        <w:trPr/>
        <w:tc>
          <w:tcPr>
            <w:tcW w:w="530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Overhead</w:t>
            </w:r>
          </w:p>
        </w:tc>
        <w:tc>
          <w:tcPr>
            <w:tcW w:w="490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$ 33,000</w:t>
            </w:r>
          </w:p>
        </w:tc>
      </w:tr>
    </w:tbl>
    <w:p>
      <w:pPr>
        <w:pStyle w:val="Normal"/>
        <w:spacing w:before="0" w:after="0"/>
        <w:rPr>
          <w:sz w:val="4"/>
          <w:szCs w:val="4"/>
        </w:rPr>
      </w:pPr>
      <w:r>
        <w:rPr>
          <w:sz w:val="4"/>
          <w:szCs w:val="4"/>
        </w:rPr>
      </w:r>
      <w:bookmarkStart w:id="538" w:name="hangingindent3"/>
      <w:bookmarkStart w:id="539" w:name="hangingindent3"/>
      <w:bookmarkEnd w:id="539"/>
    </w:p>
    <w:tbl>
      <w:tblPr>
        <w:tblW w:w="5000" w:type="pct"/>
        <w:jc w:val="center"/>
        <w:tblInd w:w="0" w:type="dxa"/>
        <w:tblCellMar>
          <w:top w:w="0" w:type="dxa"/>
          <w:left w:w="0" w:type="dxa"/>
          <w:bottom w:w="0" w:type="dxa"/>
          <w:right w:w="0" w:type="dxa"/>
        </w:tblCellMar>
      </w:tblPr>
      <w:tblGrid>
        <w:gridCol w:w="179"/>
        <w:gridCol w:w="10026"/>
      </w:tblGrid>
      <w:tr>
        <w:trPr/>
        <w:tc>
          <w:tcPr>
            <w:tcW w:w="179" w:type="dxa"/>
            <w:tcBorders/>
            <w:shd w:fill="auto" w:val="clear"/>
          </w:tcPr>
          <w:p>
            <w:pPr>
              <w:pStyle w:val="TableContents"/>
              <w:spacing w:before="0" w:after="0"/>
              <w:rPr/>
            </w:pPr>
            <w:r>
              <w:rPr/>
              <w:t xml:space="preserve">  </w:t>
            </w:r>
          </w:p>
        </w:tc>
        <w:tc>
          <w:tcPr>
            <w:tcW w:w="1002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Total $ 143,000</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Initialed: ______________ (UHN)</w:t>
      </w:r>
    </w:p>
    <w:p>
      <w:pPr>
        <w:pStyle w:val="TextBody"/>
        <w:spacing w:before="0" w:after="0"/>
        <w:ind w:left="0" w:right="0" w:hanging="0"/>
        <w:rPr/>
      </w:pPr>
      <w:r>
        <w:rPr/>
      </w:r>
    </w:p>
    <w:p>
      <w:pPr>
        <w:pStyle w:val="TextBody"/>
        <w:spacing w:before="0" w:after="0"/>
        <w:ind w:left="0" w:right="0" w:hanging="0"/>
        <w:rPr>
          <w:rFonts w:ascii="Times New Roman" w:hAnsi="Times New Roman"/>
          <w:sz w:val="20"/>
        </w:rPr>
      </w:pPr>
      <w:r>
        <w:rPr>
          <w:rFonts w:ascii="Times New Roman" w:hAnsi="Times New Roman"/>
          <w:sz w:val="20"/>
        </w:rPr>
        <w:t>______________ (VistaGen)</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0" w:name="PGBRK19"/>
      <w:bookmarkStart w:id="541" w:name="PGBRK19"/>
      <w:bookmarkEnd w:id="5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2" w:name="FTR19"/>
      <w:bookmarkStart w:id="543" w:name="FTR19"/>
      <w:bookmarkEnd w:id="5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44" w:name="GLFTR19"/>
      <w:bookmarkEnd w:id="5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45" w:name="PN19"/>
      <w:bookmarkEnd w:id="54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6" w:name="HDR19"/>
      <w:bookmarkStart w:id="547" w:name="HDR19"/>
      <w:bookmarkEnd w:id="5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8" w:name="GLHDR19"/>
      <w:bookmarkEnd w:id="5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EXHIBIT B-2</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RESEARCH PROJECT TWO</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Human Pluripotent Stem Cell-derived Hepatocytes</w:t>
      </w:r>
      <w:r>
        <w:rPr>
          <w:rFonts w:ascii="Times New Roman" w:hAnsi="Times New Roman"/>
          <w:b/>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overall goal of these studies is to establish improved methods for the production of mature of human pluripotent stem cell (hPSC)-derived hepatocytes suitable for use in cell therapy, drug discovery, drug screening, drug toxicology assessment, and drug rescue. This project builds on recent advancements from Dr. Keller’s lab relating to improved methods for the efficient and reproducible generation of endodermal cells from hPSC. The project will focus on addressing the following: 1)  characterization of the functional and maturational status of the hPSC-derived hepatocytes in vitro; 2) development of methods to produce mature hPSC-derived hepatocytes expressing mature adult levels of functional P450 enzymes for drug metabolism studies; 3) development of methods for the large scale production of hPSC-derived hepatocytes suitable for cell therapy, drug metabolism and toxicity screening; and 3) preclinical development of iPS Cell-derived hepatocytes for potential cell therapy applications.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Sponsored Research Project Budget (October 2011 through September 2012)</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49" w:name="hangingindent4"/>
      <w:bookmarkStart w:id="550" w:name="hangingindent4"/>
      <w:bookmarkEnd w:id="550"/>
    </w:p>
    <w:tbl>
      <w:tblPr>
        <w:tblW w:w="5000" w:type="pct"/>
        <w:jc w:val="center"/>
        <w:tblInd w:w="0" w:type="dxa"/>
        <w:tblCellMar>
          <w:top w:w="0" w:type="dxa"/>
          <w:left w:w="0" w:type="dxa"/>
          <w:bottom w:w="0" w:type="dxa"/>
          <w:right w:w="0" w:type="dxa"/>
        </w:tblCellMar>
      </w:tblPr>
      <w:tblGrid>
        <w:gridCol w:w="5853"/>
        <w:gridCol w:w="4352"/>
      </w:tblGrid>
      <w:tr>
        <w:trPr/>
        <w:tc>
          <w:tcPr>
            <w:tcW w:w="585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Technician</w:t>
            </w:r>
          </w:p>
        </w:tc>
        <w:tc>
          <w:tcPr>
            <w:tcW w:w="435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$70,000</w:t>
            </w:r>
          </w:p>
        </w:tc>
      </w:tr>
    </w:tbl>
    <w:p>
      <w:pPr>
        <w:pStyle w:val="Normal"/>
        <w:spacing w:before="0" w:after="0"/>
        <w:rPr>
          <w:sz w:val="4"/>
          <w:szCs w:val="4"/>
        </w:rPr>
      </w:pPr>
      <w:r>
        <w:rPr>
          <w:sz w:val="4"/>
          <w:szCs w:val="4"/>
        </w:rPr>
      </w:r>
      <w:bookmarkStart w:id="551" w:name="hangingindent5"/>
      <w:bookmarkStart w:id="552" w:name="hangingindent5"/>
      <w:bookmarkEnd w:id="552"/>
    </w:p>
    <w:tbl>
      <w:tblPr>
        <w:tblW w:w="5000" w:type="pct"/>
        <w:jc w:val="center"/>
        <w:tblInd w:w="0" w:type="dxa"/>
        <w:tblCellMar>
          <w:top w:w="0" w:type="dxa"/>
          <w:left w:w="0" w:type="dxa"/>
          <w:bottom w:w="0" w:type="dxa"/>
          <w:right w:w="0" w:type="dxa"/>
        </w:tblCellMar>
      </w:tblPr>
      <w:tblGrid>
        <w:gridCol w:w="7206"/>
        <w:gridCol w:w="2999"/>
      </w:tblGrid>
      <w:tr>
        <w:trPr/>
        <w:tc>
          <w:tcPr>
            <w:tcW w:w="720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Post-doc (50% time)</w:t>
            </w:r>
          </w:p>
        </w:tc>
        <w:tc>
          <w:tcPr>
            <w:tcW w:w="29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$30,000</w:t>
            </w:r>
          </w:p>
        </w:tc>
      </w:tr>
    </w:tbl>
    <w:p>
      <w:pPr>
        <w:pStyle w:val="Normal"/>
        <w:spacing w:before="0" w:after="0"/>
        <w:rPr>
          <w:sz w:val="4"/>
          <w:szCs w:val="4"/>
        </w:rPr>
      </w:pPr>
      <w:r>
        <w:rPr>
          <w:sz w:val="4"/>
          <w:szCs w:val="4"/>
        </w:rPr>
      </w:r>
      <w:bookmarkStart w:id="553" w:name="hangingindent6"/>
      <w:bookmarkStart w:id="554" w:name="hangingindent6"/>
      <w:bookmarkEnd w:id="554"/>
    </w:p>
    <w:tbl>
      <w:tblPr>
        <w:tblW w:w="5000" w:type="pct"/>
        <w:jc w:val="center"/>
        <w:tblInd w:w="0" w:type="dxa"/>
        <w:tblCellMar>
          <w:top w:w="0" w:type="dxa"/>
          <w:left w:w="0" w:type="dxa"/>
          <w:bottom w:w="0" w:type="dxa"/>
          <w:right w:w="0" w:type="dxa"/>
        </w:tblCellMar>
      </w:tblPr>
      <w:tblGrid>
        <w:gridCol w:w="5210"/>
        <w:gridCol w:w="4995"/>
      </w:tblGrid>
      <w:tr>
        <w:trPr/>
        <w:tc>
          <w:tcPr>
            <w:tcW w:w="52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Supplies</w:t>
            </w:r>
          </w:p>
        </w:tc>
        <w:tc>
          <w:tcPr>
            <w:tcW w:w="49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$30,000</w:t>
            </w:r>
          </w:p>
        </w:tc>
      </w:tr>
    </w:tbl>
    <w:p>
      <w:pPr>
        <w:pStyle w:val="Normal"/>
        <w:spacing w:before="0" w:after="0"/>
        <w:ind w:left="0" w:right="0" w:hanging="0"/>
        <w:rPr>
          <w:sz w:val="4"/>
          <w:szCs w:val="4"/>
        </w:rPr>
      </w:pPr>
      <w:r>
        <w:rPr>
          <w:sz w:val="4"/>
          <w:szCs w:val="4"/>
        </w:rPr>
      </w:r>
      <w:bookmarkStart w:id="555" w:name="hangingindent7"/>
      <w:bookmarkStart w:id="556" w:name="hangingindent7"/>
      <w:bookmarkEnd w:id="556"/>
    </w:p>
    <w:tbl>
      <w:tblPr>
        <w:tblW w:w="5000" w:type="pct"/>
        <w:jc w:val="center"/>
        <w:tblInd w:w="0" w:type="dxa"/>
        <w:tblCellMar>
          <w:top w:w="0" w:type="dxa"/>
          <w:left w:w="0" w:type="dxa"/>
          <w:bottom w:w="0" w:type="dxa"/>
          <w:right w:w="0" w:type="dxa"/>
        </w:tblCellMar>
      </w:tblPr>
      <w:tblGrid>
        <w:gridCol w:w="5460"/>
        <w:gridCol w:w="4745"/>
      </w:tblGrid>
      <w:tr>
        <w:trPr/>
        <w:tc>
          <w:tcPr>
            <w:tcW w:w="546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Overhead</w:t>
            </w:r>
          </w:p>
        </w:tc>
        <w:tc>
          <w:tcPr>
            <w:tcW w:w="474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$39,000</w:t>
            </w:r>
          </w:p>
        </w:tc>
      </w:tr>
    </w:tbl>
    <w:p>
      <w:pPr>
        <w:pStyle w:val="Normal"/>
        <w:spacing w:before="0" w:after="0"/>
        <w:rPr>
          <w:sz w:val="4"/>
          <w:szCs w:val="4"/>
        </w:rPr>
      </w:pPr>
      <w:r>
        <w:rPr>
          <w:sz w:val="4"/>
          <w:szCs w:val="4"/>
        </w:rPr>
      </w:r>
      <w:bookmarkStart w:id="557" w:name="hangingindent8"/>
      <w:bookmarkStart w:id="558" w:name="hangingindent8"/>
      <w:bookmarkEnd w:id="558"/>
    </w:p>
    <w:tbl>
      <w:tblPr>
        <w:tblW w:w="5000" w:type="pct"/>
        <w:jc w:val="center"/>
        <w:tblInd w:w="0" w:type="dxa"/>
        <w:tblCellMar>
          <w:top w:w="0" w:type="dxa"/>
          <w:left w:w="0" w:type="dxa"/>
          <w:bottom w:w="0" w:type="dxa"/>
          <w:right w:w="0" w:type="dxa"/>
        </w:tblCellMar>
      </w:tblPr>
      <w:tblGrid>
        <w:gridCol w:w="178"/>
        <w:gridCol w:w="10027"/>
      </w:tblGrid>
      <w:tr>
        <w:trPr/>
        <w:tc>
          <w:tcPr>
            <w:tcW w:w="178" w:type="dxa"/>
            <w:tcBorders/>
            <w:shd w:fill="auto" w:val="clear"/>
          </w:tcPr>
          <w:p>
            <w:pPr>
              <w:pStyle w:val="TableContents"/>
              <w:spacing w:before="0" w:after="0"/>
              <w:rPr/>
            </w:pPr>
            <w:r>
              <w:rPr/>
              <w:t xml:space="preserve">  </w:t>
            </w:r>
          </w:p>
        </w:tc>
        <w:tc>
          <w:tcPr>
            <w:tcW w:w="1002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Total $169,000</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Initialed: ______________ (UHN)</w:t>
      </w:r>
    </w:p>
    <w:p>
      <w:pPr>
        <w:pStyle w:val="TextBody"/>
        <w:spacing w:before="0" w:after="0"/>
        <w:ind w:left="0" w:right="0" w:hanging="0"/>
        <w:rPr/>
      </w:pPr>
      <w:r>
        <w:rPr/>
      </w:r>
    </w:p>
    <w:p>
      <w:pPr>
        <w:pStyle w:val="TextBody"/>
        <w:spacing w:before="0" w:after="0"/>
        <w:ind w:left="0" w:right="0" w:hanging="0"/>
        <w:rPr>
          <w:rFonts w:ascii="Times New Roman" w:hAnsi="Times New Roman"/>
          <w:sz w:val="20"/>
        </w:rPr>
      </w:pPr>
      <w:r>
        <w:rPr>
          <w:rFonts w:ascii="Times New Roman" w:hAnsi="Times New Roman"/>
          <w:sz w:val="20"/>
        </w:rPr>
        <w:t>______________ (VistGen)</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9" w:name="PGBRK20"/>
      <w:bookmarkStart w:id="560" w:name="PGBRK20"/>
      <w:bookmarkEnd w:id="5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1" w:name="FTR20"/>
      <w:bookmarkStart w:id="562" w:name="FTR20"/>
      <w:bookmarkEnd w:id="5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63" w:name="GLFTR20"/>
      <w:bookmarkEnd w:id="5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64" w:name="PN20"/>
      <w:bookmarkEnd w:id="56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5" w:name="HDR20"/>
      <w:bookmarkStart w:id="566" w:name="HDR20"/>
      <w:bookmarkEnd w:id="5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67" w:name="GLHDR20"/>
      <w:bookmarkEnd w:id="5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EXHIBIT B-3</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RESEARCH PROJECT THREE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Human Pluripotent Stem Cell-derived Beta-islet Cells</w:t>
      </w:r>
      <w:r>
        <w:rPr>
          <w:rFonts w:ascii="Times New Roman" w:hAnsi="Times New Roman"/>
          <w:b/>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overall goal of these studies is to establish improved methods for the production of mature of human pluripotent stem cell (hPSC)-derived -islet cells suitable for use in cell therapy, drug discovery, drug screening, and drug rescue. This project builds on recent advancements from Dr. Keller’s lab relating to improved methods for the efficient and reproducible generation of endodermal cells from hPSC. The project will focus on addressing the following: 1) characterization of the functional and maturational status of the hPSC-derived -islet cells in vitro; 2) development of methods to produce mature glucose-responsive hPSC-derived -islet cells expressing adult levels of insulin; 3) development of methods for the large scale production of hPSC-derived -islet cells potentially suitable for in vivo transplantation studies; and 4) preclinical development of iPS Cell-derived -islet cells for potential cell therapy applications.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Sponsored Research Project Budget (October 2011 through September 2012)</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68" w:name="hangingindent9"/>
      <w:bookmarkStart w:id="569" w:name="hangingindent9"/>
      <w:bookmarkEnd w:id="569"/>
    </w:p>
    <w:tbl>
      <w:tblPr>
        <w:tblW w:w="5000" w:type="pct"/>
        <w:jc w:val="center"/>
        <w:tblInd w:w="0" w:type="dxa"/>
        <w:tblCellMar>
          <w:top w:w="0" w:type="dxa"/>
          <w:left w:w="0" w:type="dxa"/>
          <w:bottom w:w="0" w:type="dxa"/>
          <w:right w:w="0" w:type="dxa"/>
        </w:tblCellMar>
      </w:tblPr>
      <w:tblGrid>
        <w:gridCol w:w="7206"/>
        <w:gridCol w:w="2999"/>
      </w:tblGrid>
      <w:tr>
        <w:trPr/>
        <w:tc>
          <w:tcPr>
            <w:tcW w:w="720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Post-doc (50% time)</w:t>
            </w:r>
          </w:p>
        </w:tc>
        <w:tc>
          <w:tcPr>
            <w:tcW w:w="29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$60,000</w:t>
            </w:r>
          </w:p>
        </w:tc>
      </w:tr>
    </w:tbl>
    <w:p>
      <w:pPr>
        <w:pStyle w:val="Normal"/>
        <w:spacing w:before="0" w:after="0"/>
        <w:rPr>
          <w:sz w:val="4"/>
          <w:szCs w:val="4"/>
        </w:rPr>
      </w:pPr>
      <w:r>
        <w:rPr>
          <w:sz w:val="4"/>
          <w:szCs w:val="4"/>
        </w:rPr>
      </w:r>
      <w:bookmarkStart w:id="570" w:name="hangingindent10"/>
      <w:bookmarkStart w:id="571" w:name="hangingindent10"/>
      <w:bookmarkEnd w:id="571"/>
    </w:p>
    <w:tbl>
      <w:tblPr>
        <w:tblW w:w="5000" w:type="pct"/>
        <w:jc w:val="center"/>
        <w:tblInd w:w="0" w:type="dxa"/>
        <w:tblCellMar>
          <w:top w:w="0" w:type="dxa"/>
          <w:left w:w="0" w:type="dxa"/>
          <w:bottom w:w="0" w:type="dxa"/>
          <w:right w:w="0" w:type="dxa"/>
        </w:tblCellMar>
      </w:tblPr>
      <w:tblGrid>
        <w:gridCol w:w="5210"/>
        <w:gridCol w:w="4995"/>
      </w:tblGrid>
      <w:tr>
        <w:trPr/>
        <w:tc>
          <w:tcPr>
            <w:tcW w:w="52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Supplies</w:t>
            </w:r>
          </w:p>
        </w:tc>
        <w:tc>
          <w:tcPr>
            <w:tcW w:w="49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$39,780</w:t>
            </w:r>
          </w:p>
        </w:tc>
      </w:tr>
    </w:tbl>
    <w:p>
      <w:pPr>
        <w:pStyle w:val="Normal"/>
        <w:spacing w:before="0" w:after="0"/>
        <w:ind w:left="0" w:right="0" w:hanging="0"/>
        <w:rPr>
          <w:sz w:val="4"/>
          <w:szCs w:val="4"/>
        </w:rPr>
      </w:pPr>
      <w:r>
        <w:rPr>
          <w:sz w:val="4"/>
          <w:szCs w:val="4"/>
        </w:rPr>
      </w:r>
      <w:bookmarkStart w:id="572" w:name="hangingindent11"/>
      <w:bookmarkStart w:id="573" w:name="hangingindent11"/>
      <w:bookmarkEnd w:id="573"/>
    </w:p>
    <w:tbl>
      <w:tblPr>
        <w:tblW w:w="5000" w:type="pct"/>
        <w:jc w:val="center"/>
        <w:tblInd w:w="0" w:type="dxa"/>
        <w:tblCellMar>
          <w:top w:w="0" w:type="dxa"/>
          <w:left w:w="0" w:type="dxa"/>
          <w:bottom w:w="0" w:type="dxa"/>
          <w:right w:w="0" w:type="dxa"/>
        </w:tblCellMar>
      </w:tblPr>
      <w:tblGrid>
        <w:gridCol w:w="5460"/>
        <w:gridCol w:w="4745"/>
      </w:tblGrid>
      <w:tr>
        <w:trPr/>
        <w:tc>
          <w:tcPr>
            <w:tcW w:w="546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Overhead</w:t>
            </w:r>
          </w:p>
        </w:tc>
        <w:tc>
          <w:tcPr>
            <w:tcW w:w="474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$29,934</w:t>
            </w:r>
          </w:p>
        </w:tc>
      </w:tr>
    </w:tbl>
    <w:p>
      <w:pPr>
        <w:pStyle w:val="Normal"/>
        <w:spacing w:before="0" w:after="0"/>
        <w:rPr>
          <w:sz w:val="4"/>
          <w:szCs w:val="4"/>
        </w:rPr>
      </w:pPr>
      <w:r>
        <w:rPr>
          <w:sz w:val="4"/>
          <w:szCs w:val="4"/>
        </w:rPr>
      </w:r>
      <w:bookmarkStart w:id="574" w:name="hangingindent12"/>
      <w:bookmarkStart w:id="575" w:name="hangingindent12"/>
      <w:bookmarkEnd w:id="575"/>
    </w:p>
    <w:tbl>
      <w:tblPr>
        <w:tblW w:w="5000" w:type="pct"/>
        <w:jc w:val="center"/>
        <w:tblInd w:w="0" w:type="dxa"/>
        <w:tblCellMar>
          <w:top w:w="0" w:type="dxa"/>
          <w:left w:w="0" w:type="dxa"/>
          <w:bottom w:w="0" w:type="dxa"/>
          <w:right w:w="0" w:type="dxa"/>
        </w:tblCellMar>
      </w:tblPr>
      <w:tblGrid>
        <w:gridCol w:w="180"/>
        <w:gridCol w:w="10025"/>
      </w:tblGrid>
      <w:tr>
        <w:trPr/>
        <w:tc>
          <w:tcPr>
            <w:tcW w:w="180" w:type="dxa"/>
            <w:tcBorders/>
            <w:shd w:fill="auto" w:val="clear"/>
          </w:tcPr>
          <w:p>
            <w:pPr>
              <w:pStyle w:val="TableContents"/>
              <w:spacing w:before="0" w:after="0"/>
              <w:rPr/>
            </w:pPr>
            <w:r>
              <w:rPr/>
              <w:t xml:space="preserve">  </w:t>
            </w:r>
          </w:p>
        </w:tc>
        <w:tc>
          <w:tcPr>
            <w:tcW w:w="1002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Total $129,714</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Initialed: ______________ (UHN)</w:t>
      </w:r>
    </w:p>
    <w:p>
      <w:pPr>
        <w:pStyle w:val="TextBody"/>
        <w:spacing w:before="0" w:after="0"/>
        <w:ind w:left="0" w:right="0" w:hanging="0"/>
        <w:rPr/>
      </w:pPr>
      <w:r>
        <w:rPr/>
      </w:r>
    </w:p>
    <w:p>
      <w:pPr>
        <w:pStyle w:val="TextBody"/>
        <w:spacing w:before="0" w:after="0"/>
        <w:ind w:left="0" w:right="0" w:hanging="0"/>
        <w:rPr>
          <w:rFonts w:ascii="Times New Roman" w:hAnsi="Times New Roman"/>
          <w:sz w:val="20"/>
        </w:rPr>
      </w:pPr>
      <w:r>
        <w:rPr>
          <w:rFonts w:ascii="Times New Roman" w:hAnsi="Times New Roman"/>
          <w:sz w:val="20"/>
        </w:rPr>
        <w:t>______________ (VistaGen)</w:t>
      </w:r>
    </w:p>
    <w:p>
      <w:pPr>
        <w:pStyle w:val="TextBody"/>
        <w:spacing w:before="0" w:after="0"/>
        <w:ind w:left="0" w:right="0" w:hanging="0"/>
        <w:jc w:val="center"/>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576" w:name="PGBRK21"/>
      <w:bookmarkStart w:id="577" w:name="PGBRK21"/>
      <w:bookmarkEnd w:id="5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78" w:name="FTR21"/>
      <w:bookmarkStart w:id="579" w:name="FTR21"/>
      <w:bookmarkEnd w:id="5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80" w:name="GLFTR21"/>
      <w:bookmarkEnd w:id="5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81" w:name="PN21"/>
      <w:bookmarkEnd w:id="58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82" w:name="HDR21"/>
      <w:bookmarkStart w:id="583" w:name="HDR21"/>
      <w:bookmarkEnd w:id="5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84" w:name="GLHDR21"/>
      <w:bookmarkEnd w:id="5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br/>
        <w:t>EXHIBIT B-4</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RESEARCH PROJECT FOUR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Human iPS Cell-derived Chondrocytes</w:t>
      </w:r>
      <w:r>
        <w:rPr>
          <w:rFonts w:ascii="Times New Roman" w:hAnsi="Times New Roman"/>
          <w:b/>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overall goal of these studies is to establish preclinical proof of concept regarding the use of iPS Cell-derived articular chondrocytes for cell therapy applications, namely autologous cartilage repair and regeneration. This project builds on recent advancements from Dr. Keller’s lab relating to differentiation conditions that produce chondrocytic precursors in murine pluripotent stem cells.  The project will focus on addressing the following: 1) determination of whether newly identified murine ES Cell-derived cells are growth plate or articular chondrocyte precursors (i.e., do they produce bone or cartilage in </w:t>
      </w:r>
      <w:r>
        <w:rPr>
          <w:rFonts w:ascii="Times New Roman" w:hAnsi="Times New Roman"/>
          <w:i/>
          <w:sz w:val="20"/>
        </w:rPr>
        <w:t>in vivo</w:t>
      </w:r>
      <w:r>
        <w:rPr>
          <w:rFonts w:ascii="Times New Roman" w:hAnsi="Times New Roman"/>
          <w:sz w:val="20"/>
        </w:rPr>
        <w:t xml:space="preserve"> animal studies); 2) development of culture conditions that support the differentiation and expansion of similar articular chondrocyte precursors from human iPS Cells; and 3) validation of the functional properties of the human iPS Cell-derived articular chondrocyte precursors in </w:t>
      </w:r>
      <w:r>
        <w:rPr>
          <w:rFonts w:ascii="Times New Roman" w:hAnsi="Times New Roman"/>
          <w:i/>
          <w:sz w:val="20"/>
        </w:rPr>
        <w:t>in vivo</w:t>
      </w:r>
      <w:r>
        <w:rPr>
          <w:rFonts w:ascii="Times New Roman" w:hAnsi="Times New Roman"/>
          <w:sz w:val="20"/>
        </w:rPr>
        <w:t xml:space="preserve"> animal models.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Sponsored Research Project Budget (October 2011 through September 2012)</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85" w:name="hangingindent13"/>
      <w:bookmarkStart w:id="586" w:name="hangingindent13"/>
      <w:bookmarkEnd w:id="586"/>
    </w:p>
    <w:tbl>
      <w:tblPr>
        <w:tblW w:w="5000" w:type="pct"/>
        <w:jc w:val="center"/>
        <w:tblInd w:w="0" w:type="dxa"/>
        <w:tblCellMar>
          <w:top w:w="0" w:type="dxa"/>
          <w:left w:w="0" w:type="dxa"/>
          <w:bottom w:w="0" w:type="dxa"/>
          <w:right w:w="0" w:type="dxa"/>
        </w:tblCellMar>
      </w:tblPr>
      <w:tblGrid>
        <w:gridCol w:w="5210"/>
        <w:gridCol w:w="4995"/>
      </w:tblGrid>
      <w:tr>
        <w:trPr/>
        <w:tc>
          <w:tcPr>
            <w:tcW w:w="52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Supplies</w:t>
            </w:r>
          </w:p>
        </w:tc>
        <w:tc>
          <w:tcPr>
            <w:tcW w:w="49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$54,286</w:t>
            </w:r>
          </w:p>
        </w:tc>
      </w:tr>
    </w:tbl>
    <w:p>
      <w:pPr>
        <w:pStyle w:val="Normal"/>
        <w:spacing w:before="0" w:after="0"/>
        <w:ind w:left="0" w:right="0" w:hanging="0"/>
        <w:rPr>
          <w:sz w:val="4"/>
          <w:szCs w:val="4"/>
        </w:rPr>
      </w:pPr>
      <w:r>
        <w:rPr>
          <w:sz w:val="4"/>
          <w:szCs w:val="4"/>
        </w:rPr>
      </w:r>
      <w:bookmarkStart w:id="587" w:name="hangingindent14"/>
      <w:bookmarkStart w:id="588" w:name="hangingindent14"/>
      <w:bookmarkEnd w:id="588"/>
    </w:p>
    <w:tbl>
      <w:tblPr>
        <w:tblW w:w="5000" w:type="pct"/>
        <w:jc w:val="center"/>
        <w:tblInd w:w="0" w:type="dxa"/>
        <w:tblCellMar>
          <w:top w:w="0" w:type="dxa"/>
          <w:left w:w="0" w:type="dxa"/>
          <w:bottom w:w="0" w:type="dxa"/>
          <w:right w:w="0" w:type="dxa"/>
        </w:tblCellMar>
      </w:tblPr>
      <w:tblGrid>
        <w:gridCol w:w="1089"/>
        <w:gridCol w:w="9116"/>
      </w:tblGrid>
      <w:tr>
        <w:trPr/>
        <w:tc>
          <w:tcPr>
            <w:tcW w:w="108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Overhead</w:t>
            </w:r>
          </w:p>
        </w:tc>
        <w:tc>
          <w:tcPr>
            <w:tcW w:w="911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w:t>
            </w:r>
          </w:p>
        </w:tc>
      </w:tr>
    </w:tbl>
    <w:p>
      <w:pPr>
        <w:pStyle w:val="Normal"/>
        <w:spacing w:before="0" w:after="0"/>
        <w:rPr>
          <w:sz w:val="4"/>
          <w:szCs w:val="4"/>
        </w:rPr>
      </w:pPr>
      <w:r>
        <w:rPr>
          <w:sz w:val="4"/>
          <w:szCs w:val="4"/>
        </w:rPr>
      </w:r>
      <w:bookmarkStart w:id="589" w:name="hangingindent15"/>
      <w:bookmarkStart w:id="590" w:name="hangingindent15"/>
      <w:bookmarkEnd w:id="590"/>
    </w:p>
    <w:tbl>
      <w:tblPr>
        <w:tblW w:w="5000" w:type="pct"/>
        <w:jc w:val="center"/>
        <w:tblInd w:w="0" w:type="dxa"/>
        <w:tblCellMar>
          <w:top w:w="0" w:type="dxa"/>
          <w:left w:w="0" w:type="dxa"/>
          <w:bottom w:w="0" w:type="dxa"/>
          <w:right w:w="0" w:type="dxa"/>
        </w:tblCellMar>
      </w:tblPr>
      <w:tblGrid>
        <w:gridCol w:w="180"/>
        <w:gridCol w:w="10025"/>
      </w:tblGrid>
      <w:tr>
        <w:trPr/>
        <w:tc>
          <w:tcPr>
            <w:tcW w:w="180" w:type="dxa"/>
            <w:tcBorders/>
            <w:shd w:fill="auto" w:val="clear"/>
          </w:tcPr>
          <w:p>
            <w:pPr>
              <w:pStyle w:val="TableContents"/>
              <w:spacing w:before="0" w:after="0"/>
              <w:rPr/>
            </w:pPr>
            <w:r>
              <w:rPr/>
              <w:t xml:space="preserve">  </w:t>
            </w:r>
          </w:p>
        </w:tc>
        <w:tc>
          <w:tcPr>
            <w:tcW w:w="1002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Total $54,286</w:t>
            </w:r>
          </w:p>
        </w:tc>
      </w:tr>
    </w:tbl>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Initialed: ______________ (UHN)</w:t>
      </w:r>
    </w:p>
    <w:p>
      <w:pPr>
        <w:pStyle w:val="TextBody"/>
        <w:spacing w:before="0" w:after="0"/>
        <w:ind w:left="0" w:right="0" w:hanging="0"/>
        <w:rPr/>
      </w:pPr>
      <w:r>
        <w:rPr/>
      </w:r>
    </w:p>
    <w:p>
      <w:pPr>
        <w:pStyle w:val="TextBody"/>
        <w:spacing w:before="0" w:after="0"/>
        <w:ind w:left="0" w:right="0" w:hanging="0"/>
        <w:rPr>
          <w:rFonts w:ascii="Times New Roman" w:hAnsi="Times New Roman"/>
          <w:sz w:val="20"/>
        </w:rPr>
      </w:pPr>
      <w:r>
        <w:rPr>
          <w:rFonts w:ascii="Times New Roman" w:hAnsi="Times New Roman"/>
          <w:sz w:val="20"/>
        </w:rPr>
        <w:t>______________ (VistaGen)</w:t>
      </w:r>
    </w:p>
    <w:p>
      <w:pPr>
        <w:pStyle w:val="TextBody"/>
        <w:spacing w:before="0" w:after="0"/>
        <w:ind w:left="0" w:right="0" w:hanging="0"/>
        <w:rPr/>
      </w:pPr>
      <w:r>
        <w:rPr/>
      </w:r>
    </w:p>
    <w:p>
      <w:pPr>
        <w:pStyle w:val="TextBody"/>
        <w:spacing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591" w:name="PGBRK22"/>
      <w:bookmarkStart w:id="592" w:name="PGBRK22"/>
      <w:bookmarkEnd w:id="5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593" w:name="FTR22"/>
      <w:bookmarkStart w:id="594" w:name="FTR22"/>
      <w:bookmarkEnd w:id="5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5" w:name="GLFTR22"/>
      <w:bookmarkEnd w:id="5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96" w:name="PN22"/>
      <w:bookmarkEnd w:id="59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597" w:name="HDR22"/>
      <w:bookmarkStart w:id="598" w:name="HDR22"/>
      <w:bookmarkEnd w:id="5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9" w:name="GLHDR22"/>
      <w:bookmarkEnd w:id="5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EXHIBIT B-5</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RESEARCH PROJECT FIVE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Human iPS Cell-derived Hematopoietic Stem Cells</w:t>
      </w:r>
      <w:r>
        <w:rPr>
          <w:rFonts w:ascii="Times New Roman" w:hAnsi="Times New Roman"/>
          <w:b/>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overall goal of these studies is to establish preclinical proof of concept relating to the ability of certain novel iPS Cell-derived precursors to produce lymphocytes, granulocytic cells, red cells and platelets of the blood.  This project builds on recent advancements from Dr. Keller’s lab relating to novel differentiation of a “2nd wave” of blood cell precursors.  The project will focus on addressing the following: 1) evaluation of the ability of newly identified murine ES Cell-derived “2nd wave” hematopoietic precursor to survive in the bone marrow and produce multiple types of blood cells for extended periods in animal models; 2) identification of culture conditions for producing the equivalent “2nd wave” hematopoietic precursor from human iPS Cells with similar properties; and 3) validation of the ability of this precursor to repopulate the bone marrow, and most if not all of the blood cells, in immunocompromised mice in long-term repopulation assays.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Sponsored Research Project Budget (October 2011 through September 2012)</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00" w:name="hangingindent16"/>
      <w:bookmarkStart w:id="601" w:name="hangingindent16"/>
      <w:bookmarkEnd w:id="601"/>
    </w:p>
    <w:tbl>
      <w:tblPr>
        <w:tblW w:w="5000" w:type="pct"/>
        <w:jc w:val="center"/>
        <w:tblInd w:w="0" w:type="dxa"/>
        <w:tblCellMar>
          <w:top w:w="0" w:type="dxa"/>
          <w:left w:w="0" w:type="dxa"/>
          <w:bottom w:w="0" w:type="dxa"/>
          <w:right w:w="0" w:type="dxa"/>
        </w:tblCellMar>
      </w:tblPr>
      <w:tblGrid>
        <w:gridCol w:w="7564"/>
        <w:gridCol w:w="2641"/>
      </w:tblGrid>
      <w:tr>
        <w:trPr/>
        <w:tc>
          <w:tcPr>
            <w:tcW w:w="75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Research Associate (50%)</w:t>
            </w:r>
          </w:p>
        </w:tc>
        <w:tc>
          <w:tcPr>
            <w:tcW w:w="264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$ 50,000</w:t>
            </w:r>
          </w:p>
        </w:tc>
      </w:tr>
    </w:tbl>
    <w:p>
      <w:pPr>
        <w:pStyle w:val="Normal"/>
        <w:spacing w:before="0" w:after="0"/>
        <w:rPr>
          <w:sz w:val="4"/>
          <w:szCs w:val="4"/>
        </w:rPr>
      </w:pPr>
      <w:r>
        <w:rPr>
          <w:sz w:val="4"/>
          <w:szCs w:val="4"/>
        </w:rPr>
      </w:r>
      <w:bookmarkStart w:id="602" w:name="hangingindent17"/>
      <w:bookmarkStart w:id="603" w:name="hangingindent17"/>
      <w:bookmarkEnd w:id="603"/>
    </w:p>
    <w:tbl>
      <w:tblPr>
        <w:tblW w:w="5000" w:type="pct"/>
        <w:jc w:val="center"/>
        <w:tblInd w:w="0" w:type="dxa"/>
        <w:tblCellMar>
          <w:top w:w="0" w:type="dxa"/>
          <w:left w:w="0" w:type="dxa"/>
          <w:bottom w:w="0" w:type="dxa"/>
          <w:right w:w="0" w:type="dxa"/>
        </w:tblCellMar>
      </w:tblPr>
      <w:tblGrid>
        <w:gridCol w:w="5050"/>
        <w:gridCol w:w="5155"/>
      </w:tblGrid>
      <w:tr>
        <w:trPr/>
        <w:tc>
          <w:tcPr>
            <w:tcW w:w="505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Supplies</w:t>
            </w:r>
          </w:p>
        </w:tc>
        <w:tc>
          <w:tcPr>
            <w:tcW w:w="515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$ 30,000</w:t>
            </w:r>
          </w:p>
        </w:tc>
      </w:tr>
    </w:tbl>
    <w:p>
      <w:pPr>
        <w:pStyle w:val="Normal"/>
        <w:spacing w:before="0" w:after="0"/>
        <w:ind w:left="0" w:right="0" w:hanging="0"/>
        <w:rPr>
          <w:sz w:val="4"/>
          <w:szCs w:val="4"/>
        </w:rPr>
      </w:pPr>
      <w:r>
        <w:rPr>
          <w:sz w:val="4"/>
          <w:szCs w:val="4"/>
        </w:rPr>
      </w:r>
      <w:bookmarkStart w:id="604" w:name="hangingindent18"/>
      <w:bookmarkStart w:id="605" w:name="hangingindent18"/>
      <w:bookmarkEnd w:id="605"/>
    </w:p>
    <w:tbl>
      <w:tblPr>
        <w:tblW w:w="5000" w:type="pct"/>
        <w:jc w:val="center"/>
        <w:tblInd w:w="0" w:type="dxa"/>
        <w:tblCellMar>
          <w:top w:w="0" w:type="dxa"/>
          <w:left w:w="0" w:type="dxa"/>
          <w:bottom w:w="0" w:type="dxa"/>
          <w:right w:w="0" w:type="dxa"/>
        </w:tblCellMar>
      </w:tblPr>
      <w:tblGrid>
        <w:gridCol w:w="5301"/>
        <w:gridCol w:w="4904"/>
      </w:tblGrid>
      <w:tr>
        <w:trPr/>
        <w:tc>
          <w:tcPr>
            <w:tcW w:w="530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Overhead</w:t>
            </w:r>
          </w:p>
        </w:tc>
        <w:tc>
          <w:tcPr>
            <w:tcW w:w="490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$ 24,000</w:t>
            </w:r>
          </w:p>
        </w:tc>
      </w:tr>
    </w:tbl>
    <w:p>
      <w:pPr>
        <w:pStyle w:val="Normal"/>
        <w:spacing w:before="0" w:after="0"/>
        <w:rPr>
          <w:sz w:val="4"/>
          <w:szCs w:val="4"/>
        </w:rPr>
      </w:pPr>
      <w:r>
        <w:rPr>
          <w:sz w:val="4"/>
          <w:szCs w:val="4"/>
        </w:rPr>
      </w:r>
      <w:bookmarkStart w:id="606" w:name="hangingindent19"/>
      <w:bookmarkStart w:id="607" w:name="hangingindent19"/>
      <w:bookmarkEnd w:id="607"/>
    </w:p>
    <w:tbl>
      <w:tblPr>
        <w:tblW w:w="5000" w:type="pct"/>
        <w:jc w:val="center"/>
        <w:tblInd w:w="0" w:type="dxa"/>
        <w:tblCellMar>
          <w:top w:w="0" w:type="dxa"/>
          <w:left w:w="0" w:type="dxa"/>
          <w:bottom w:w="0" w:type="dxa"/>
          <w:right w:w="0" w:type="dxa"/>
        </w:tblCellMar>
      </w:tblPr>
      <w:tblGrid>
        <w:gridCol w:w="179"/>
        <w:gridCol w:w="10026"/>
      </w:tblGrid>
      <w:tr>
        <w:trPr/>
        <w:tc>
          <w:tcPr>
            <w:tcW w:w="179" w:type="dxa"/>
            <w:tcBorders/>
            <w:shd w:fill="auto" w:val="clear"/>
          </w:tcPr>
          <w:p>
            <w:pPr>
              <w:pStyle w:val="TableContents"/>
              <w:spacing w:before="0" w:after="0"/>
              <w:rPr/>
            </w:pPr>
            <w:r>
              <w:rPr/>
              <w:t xml:space="preserve">  </w:t>
            </w:r>
          </w:p>
        </w:tc>
        <w:tc>
          <w:tcPr>
            <w:tcW w:w="1002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Total $ 104,000</w:t>
            </w:r>
          </w:p>
        </w:tc>
      </w:tr>
    </w:tbl>
    <w:p>
      <w:pPr>
        <w:pStyle w:val="TextBody"/>
        <w:spacing w:before="0" w:after="0"/>
        <w:ind w:left="0" w:right="0" w:hanging="0"/>
        <w:jc w:val="center"/>
        <w:rPr/>
      </w:pPr>
      <w:r>
        <w:rPr/>
        <w:t> </w:t>
      </w: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Initialed: ______________ (UHN)</w:t>
      </w:r>
    </w:p>
    <w:p>
      <w:pPr>
        <w:pStyle w:val="TextBody"/>
        <w:spacing w:before="0" w:after="0"/>
        <w:ind w:left="0" w:right="0" w:hanging="0"/>
        <w:rPr/>
      </w:pPr>
      <w:r>
        <w:rPr/>
      </w:r>
    </w:p>
    <w:p>
      <w:pPr>
        <w:pStyle w:val="TextBody"/>
        <w:spacing w:before="0" w:after="0"/>
        <w:ind w:left="0" w:right="0" w:hanging="0"/>
        <w:rPr>
          <w:rFonts w:ascii="Times New Roman" w:hAnsi="Times New Roman"/>
          <w:sz w:val="20"/>
        </w:rPr>
      </w:pPr>
      <w:r>
        <w:rPr>
          <w:rFonts w:ascii="Times New Roman" w:hAnsi="Times New Roman"/>
          <w:sz w:val="20"/>
        </w:rPr>
        <w:t>______________ (VistaGen)</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8" w:name="PGBRK23"/>
      <w:bookmarkStart w:id="609" w:name="PGBRK23"/>
      <w:bookmarkEnd w:id="6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0" w:name="FTR23"/>
      <w:bookmarkStart w:id="611" w:name="FTR23"/>
      <w:bookmarkEnd w:id="6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12" w:name="GLFTR23"/>
      <w:bookmarkEnd w:id="6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13" w:name="PN23"/>
      <w:bookmarkEnd w:id="61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4" w:name="HDR23"/>
      <w:bookmarkStart w:id="615" w:name="HDR23"/>
      <w:bookmarkEnd w:id="6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16" w:name="GLHDR23"/>
      <w:bookmarkEnd w:id="6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EXHIBIT D</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PAYMENT SCHEDULE FOR SPONSORED RESEARCH PROJECT BUDGETS</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8621"/>
        <w:gridCol w:w="111"/>
        <w:gridCol w:w="126"/>
        <w:gridCol w:w="1230"/>
        <w:gridCol w:w="117"/>
      </w:tblGrid>
      <w:tr>
        <w:trPr/>
        <w:tc>
          <w:tcPr>
            <w:tcW w:w="8621" w:type="dxa"/>
            <w:tcBorders>
              <w:bottom w:val="single" w:sz="12" w:space="0" w:color="000000"/>
            </w:tcBorders>
            <w:shd w:fill="auto" w:val="clear"/>
            <w:vAlign w:val="bottom"/>
          </w:tcPr>
          <w:p>
            <w:pPr>
              <w:pStyle w:val="TableContents"/>
              <w:spacing w:before="0" w:after="0"/>
              <w:ind w:left="0" w:right="0" w:hanging="0"/>
              <w:jc w:val="left"/>
              <w:rPr/>
            </w:pPr>
            <w:r>
              <w:rPr/>
              <w:t>       </w:t>
            </w:r>
            <w:r>
              <w:rPr>
                <w:rFonts w:ascii="times new roman" w:hAnsi="times new roman"/>
                <w:b/>
                <w:sz w:val="20"/>
              </w:rPr>
              <w:t>Payment Date</w:t>
            </w:r>
          </w:p>
        </w:tc>
        <w:tc>
          <w:tcPr>
            <w:tcW w:w="111" w:type="dxa"/>
            <w:tcBorders/>
            <w:shd w:fill="auto" w:val="clear"/>
            <w:tcMar>
              <w:bottom w:w="0" w:type="dxa"/>
            </w:tcMar>
            <w:vAlign w:val="bottom"/>
          </w:tcPr>
          <w:p>
            <w:pPr>
              <w:pStyle w:val="TableContents"/>
              <w:spacing w:before="0" w:after="283"/>
              <w:rPr/>
            </w:pPr>
            <w:r>
              <w:rPr/>
              <w:t> </w:t>
            </w:r>
          </w:p>
        </w:tc>
        <w:tc>
          <w:tcPr>
            <w:tcW w:w="135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w:t>
            </w:r>
          </w:p>
        </w:tc>
        <w:tc>
          <w:tcPr>
            <w:tcW w:w="117" w:type="dxa"/>
            <w:tcBorders/>
            <w:shd w:fill="auto" w:val="clear"/>
            <w:tcMar>
              <w:bottom w:w="0" w:type="dxa"/>
            </w:tcMar>
            <w:vAlign w:val="bottom"/>
          </w:tcPr>
          <w:p>
            <w:pPr>
              <w:pStyle w:val="TableContents"/>
              <w:spacing w:before="0" w:after="283"/>
              <w:jc w:val="left"/>
              <w:rPr/>
            </w:pPr>
            <w:r>
              <w:rPr/>
              <w:t> </w:t>
            </w:r>
          </w:p>
        </w:tc>
      </w:tr>
      <w:tr>
        <w:trPr/>
        <w:tc>
          <w:tcPr>
            <w:tcW w:w="8621" w:type="dxa"/>
            <w:tcBorders/>
            <w:shd w:fill="CCEE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1.  October 21, 2011</w:t>
            </w:r>
          </w:p>
        </w:tc>
        <w:tc>
          <w:tcPr>
            <w:tcW w:w="111"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8621" w:type="dxa"/>
            <w:tcBorders/>
            <w:shd w:fill="FFFF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2.  November 15, 2011</w:t>
            </w:r>
          </w:p>
        </w:tc>
        <w:tc>
          <w:tcPr>
            <w:tcW w:w="111"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8621" w:type="dxa"/>
            <w:tcBorders/>
            <w:shd w:fill="CCEE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3.  December 15, 2011</w:t>
            </w:r>
          </w:p>
        </w:tc>
        <w:tc>
          <w:tcPr>
            <w:tcW w:w="111"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8621" w:type="dxa"/>
            <w:tcBorders/>
            <w:shd w:fill="FFFF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4.  January 15, 2012</w:t>
            </w:r>
          </w:p>
        </w:tc>
        <w:tc>
          <w:tcPr>
            <w:tcW w:w="111"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8621" w:type="dxa"/>
            <w:tcBorders/>
            <w:shd w:fill="CCEE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5.  February 15, 2012</w:t>
            </w:r>
          </w:p>
        </w:tc>
        <w:tc>
          <w:tcPr>
            <w:tcW w:w="111"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8621" w:type="dxa"/>
            <w:tcBorders/>
            <w:shd w:fill="FFFF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6.  March 15, 2012</w:t>
            </w:r>
          </w:p>
        </w:tc>
        <w:tc>
          <w:tcPr>
            <w:tcW w:w="111"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8621" w:type="dxa"/>
            <w:tcBorders/>
            <w:shd w:fill="CCEE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7.  April 15, 2012</w:t>
            </w:r>
          </w:p>
        </w:tc>
        <w:tc>
          <w:tcPr>
            <w:tcW w:w="111"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8621" w:type="dxa"/>
            <w:tcBorders/>
            <w:shd w:fill="FFFF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8.  May 15, 2012</w:t>
            </w:r>
          </w:p>
        </w:tc>
        <w:tc>
          <w:tcPr>
            <w:tcW w:w="111"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8621" w:type="dxa"/>
            <w:tcBorders/>
            <w:shd w:fill="CCEE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9.  June 15, 2012</w:t>
            </w:r>
          </w:p>
        </w:tc>
        <w:tc>
          <w:tcPr>
            <w:tcW w:w="111"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862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  July 15, 2012</w:t>
            </w:r>
          </w:p>
        </w:tc>
        <w:tc>
          <w:tcPr>
            <w:tcW w:w="111"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862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11.  August 15, 2012</w:t>
            </w:r>
          </w:p>
        </w:tc>
        <w:tc>
          <w:tcPr>
            <w:tcW w:w="111"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862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12.  September 15, 2012</w:t>
            </w:r>
          </w:p>
        </w:tc>
        <w:tc>
          <w:tcPr>
            <w:tcW w:w="111" w:type="dxa"/>
            <w:tcBorders/>
            <w:shd w:fill="FFFFFF" w:val="clear"/>
            <w:tcMar>
              <w:bottom w:w="0" w:type="dxa"/>
            </w:tcMar>
            <w:vAlign w:val="bottom"/>
          </w:tcPr>
          <w:p>
            <w:pPr>
              <w:pStyle w:val="TableContents"/>
              <w:spacing w:before="0" w:after="283"/>
              <w:jc w:val="right"/>
              <w:rPr/>
            </w:pPr>
            <w:r>
              <w:rPr/>
              <w:t> </w:t>
            </w:r>
          </w:p>
        </w:tc>
        <w:tc>
          <w:tcPr>
            <w:tcW w:w="126"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8621" w:type="dxa"/>
            <w:tcBorders/>
            <w:shd w:fill="CCEE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w:t>
            </w:r>
          </w:p>
        </w:tc>
        <w:tc>
          <w:tcPr>
            <w:tcW w:w="111"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230" w:type="dxa"/>
            <w:tcBorders/>
            <w:shd w:fill="CCEEFF" w:val="clear"/>
            <w:tcMar>
              <w:bottom w:w="0"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600,000</w:t>
            </w:r>
          </w:p>
        </w:tc>
        <w:tc>
          <w:tcPr>
            <w:tcW w:w="117" w:type="dxa"/>
            <w:tcBorders/>
            <w:shd w:fill="CCEEFF" w:val="clear"/>
            <w:tcMar>
              <w:bottom w:w="0" w:type="dxa"/>
            </w:tcMar>
            <w:vAlign w:val="bottom"/>
          </w:tcPr>
          <w:p>
            <w:pPr>
              <w:pStyle w:val="TableContents"/>
              <w:spacing w:before="0" w:after="283"/>
              <w:jc w:val="left"/>
              <w:rPr/>
            </w:pPr>
            <w:r>
              <w:rPr/>
              <w:t> </w:t>
            </w:r>
          </w:p>
        </w:tc>
      </w:tr>
    </w:tbl>
    <w:p>
      <w:pPr>
        <w:pStyle w:val="TextBody"/>
        <w:ind w:left="0" w:right="0" w:hanging="0"/>
        <w:rPr/>
      </w:pPr>
      <w:r>
        <w:rPr/>
      </w:r>
      <w:r>
        <w:br w:type="page"/>
      </w:r>
    </w:p>
    <w:p>
      <w:pPr>
        <w:pStyle w:val="TextBody"/>
        <w:spacing w:before="0" w:after="0"/>
        <w:ind w:left="0" w:right="0" w:hanging="0"/>
        <w:jc w:val="right"/>
        <w:rPr>
          <w:b/>
        </w:rPr>
      </w:pPr>
      <w:bookmarkStart w:id="617" w:name="ex99-11302011_101129.htm"/>
      <w:bookmarkStart w:id="618" w:name="ksex9911302011_101129"/>
      <w:bookmarkEnd w:id="617"/>
      <w:bookmarkEnd w:id="618"/>
      <w:r>
        <w:rPr>
          <w:b/>
        </w:rPr>
        <w:t>Exhibit 99.1</w:t>
      </w:r>
    </w:p>
    <w:p>
      <w:pPr>
        <w:pStyle w:val="TextBody"/>
        <w:spacing w:before="0" w:after="0"/>
        <w:ind w:left="0" w:right="0" w:hanging="0"/>
        <w:jc w:val="center"/>
        <w:rPr/>
      </w:pPr>
      <w:r>
        <w:rPr/>
      </w:r>
    </w:p>
    <w:p>
      <w:pPr>
        <w:pStyle w:val="TextBody"/>
        <w:spacing w:before="0" w:after="0"/>
        <w:ind w:left="0" w:right="0" w:hanging="0"/>
        <w:jc w:val="center"/>
        <w:rPr>
          <w:b/>
          <w:sz w:val="20"/>
        </w:rPr>
      </w:pPr>
      <w:r>
        <w:rPr>
          <w:b/>
          <w:sz w:val="20"/>
        </w:rPr>
        <w:t>VistaGen Therapeutics and University Health Network (Toronto) Extend Broad Stem Cell Alliance and Expand Scope of Collaborative Research</w:t>
      </w:r>
    </w:p>
    <w:p>
      <w:pPr>
        <w:pStyle w:val="TextBody"/>
        <w:spacing w:before="0" w:after="0"/>
        <w:ind w:left="0" w:right="0" w:hanging="0"/>
        <w:jc w:val="both"/>
        <w:rPr/>
      </w:pPr>
      <w:r>
        <w:rPr/>
      </w:r>
    </w:p>
    <w:p>
      <w:pPr>
        <w:pStyle w:val="TextBody"/>
        <w:spacing w:before="0" w:after="0"/>
        <w:ind w:left="0" w:right="0" w:hanging="0"/>
        <w:jc w:val="both"/>
        <w:rPr/>
      </w:pPr>
      <w:r>
        <w:rPr/>
        <w:t xml:space="preserve">SOUTH SAN FRANCISCO, CA -- (Marketwire) -- 11/17/11 -- VistaGen Therapeutics, Inc. (OTCBB: VSTA), a biotechnology company applying stem cell technology for drug rescue and cell therapy, and the University Health Network (UHN), one of Canada's largest research hospitals, have expanded their existing collaborative pluripotent stem cell research and development program, and extended it through September 2017. </w:t>
      </w:r>
    </w:p>
    <w:p>
      <w:pPr>
        <w:pStyle w:val="TextBody"/>
        <w:spacing w:before="0" w:after="0"/>
        <w:ind w:left="0" w:right="0" w:hanging="0"/>
        <w:jc w:val="both"/>
        <w:rPr/>
      </w:pPr>
      <w:r>
        <w:rPr/>
      </w:r>
    </w:p>
    <w:p>
      <w:pPr>
        <w:pStyle w:val="TextBody"/>
        <w:spacing w:before="0" w:after="0"/>
        <w:ind w:left="0" w:right="0" w:hanging="0"/>
        <w:jc w:val="both"/>
        <w:rPr/>
      </w:pPr>
      <w:r>
        <w:rPr/>
        <w:t xml:space="preserve">In 2007, VistaGen and Dr. Gordon Keller, head of UHN's McEwen Centre for Regenerative Medicine in Toronto, agreed to combine Dr. Keller's human pluripotent stem cell biology expertise with VistaGen's proprietary Human Clinical Trials in a Test Tube™ stem cell technology platform. The platform delivers clinically relevant indications of how humans will respond to new drug candidates early in the drug development process. Dr. Ralph Snodgrass, VistaGen's President and Chief Scientific Officer, and Dr. Keller, who is chairman of VistaGen's Scientific Advisory Board, co-founded VistaGen in 1998, with the goal of using stem cell technologies to transform the way new drugs are discovered and developed. </w:t>
      </w:r>
    </w:p>
    <w:p>
      <w:pPr>
        <w:pStyle w:val="TextBody"/>
        <w:spacing w:before="0" w:after="0"/>
        <w:ind w:left="0" w:right="0" w:hanging="0"/>
        <w:jc w:val="both"/>
        <w:rPr/>
      </w:pPr>
      <w:r>
        <w:rPr/>
      </w:r>
    </w:p>
    <w:p>
      <w:pPr>
        <w:pStyle w:val="TextBody"/>
        <w:spacing w:before="0" w:after="0"/>
        <w:ind w:left="0" w:right="0" w:hanging="0"/>
        <w:jc w:val="both"/>
        <w:rPr/>
      </w:pPr>
      <w:r>
        <w:rPr/>
        <w:t xml:space="preserve">"Our unique relationship with UHN and Dr. Keller is dynamic, innovative and directly supports the drug rescue capabilities of our Human Clinical Trials in a Test Tube™ platform," said Shawn Singh, VistaGen's Chief Executive Officer. "This research partnership gives us direct access to cutting-edge stem cell research conducted by one of the world's leading stem cell researchers at one of the world's top stem cell research institutions." </w:t>
      </w:r>
    </w:p>
    <w:p>
      <w:pPr>
        <w:pStyle w:val="TextBody"/>
        <w:spacing w:before="0" w:after="0"/>
        <w:ind w:left="0" w:right="0" w:hanging="0"/>
        <w:jc w:val="both"/>
        <w:rPr/>
      </w:pPr>
      <w:r>
        <w:rPr/>
      </w:r>
    </w:p>
    <w:p>
      <w:pPr>
        <w:pStyle w:val="TextBody"/>
        <w:spacing w:before="0" w:after="0"/>
        <w:ind w:left="0" w:right="0" w:hanging="0"/>
        <w:jc w:val="both"/>
        <w:rPr/>
      </w:pPr>
      <w:r>
        <w:rPr/>
        <w:t xml:space="preserve">Dr. Christopher Paige, UHN's Vice President, Research, said, "We are very pleased with the progress Dr. Keller's lab and VistaGen are making in our cooperative research effort. VistaGen's support of Dr. Keller and his team, and its commitment to commercializing these technologies, give us confidence that we will soon see the remarkable promise of our collaborative stem cell research translated into therapeutic realities that will improve patients' lives." </w:t>
      </w:r>
    </w:p>
    <w:p>
      <w:pPr>
        <w:pStyle w:val="TextBody"/>
        <w:spacing w:before="0" w:after="0"/>
        <w:ind w:left="0" w:right="0" w:hanging="0"/>
        <w:jc w:val="both"/>
        <w:rPr/>
      </w:pPr>
      <w:r>
        <w:rPr/>
        <w:t xml:space="preserve">The amended UHN agreement includes five key programs that will further support VistaGen's core drug rescue initiatives and potential cell therapy applications. </w:t>
      </w:r>
    </w:p>
    <w:p>
      <w:pPr>
        <w:pStyle w:val="TextBody"/>
        <w:spacing w:before="0" w:after="0"/>
        <w:ind w:left="0" w:right="0" w:hanging="0"/>
        <w:jc w:val="both"/>
        <w:rPr/>
      </w:pPr>
      <w:r>
        <w:rPr/>
      </w:r>
    </w:p>
    <w:p>
      <w:pPr>
        <w:pStyle w:val="TextBody"/>
        <w:spacing w:before="0" w:after="0"/>
        <w:ind w:left="0" w:right="0" w:hanging="0"/>
        <w:jc w:val="both"/>
        <w:rPr/>
      </w:pPr>
      <w:r>
        <w:rPr/>
        <w:t xml:space="preserve">Research conducted at UHN and VistaGen labs will include the development of stem cell-based drug discovery and drug rescue technologies, using mature cardiac, liver and pancreatic beta-islet, blood and cartilage cells. The program will also focus on large-scale production of these cell types, each derived from human-induced pluripotent stem cells (hiPS cells), which are potentially suitable for in vivo transplantation studies and cell therapy applications. </w:t>
      </w:r>
    </w:p>
    <w:p>
      <w:pPr>
        <w:pStyle w:val="TextBody"/>
        <w:spacing w:before="0" w:after="0"/>
        <w:ind w:left="0" w:right="0" w:hanging="0"/>
        <w:jc w:val="both"/>
        <w:rPr/>
      </w:pPr>
      <w:r>
        <w:rPr/>
      </w:r>
    </w:p>
    <w:p>
      <w:pPr>
        <w:pStyle w:val="TextBody"/>
        <w:spacing w:before="0" w:after="0"/>
        <w:ind w:left="0" w:right="0" w:hanging="0"/>
        <w:jc w:val="both"/>
        <w:rPr/>
      </w:pPr>
      <w:r>
        <w:rPr/>
        <w:t xml:space="preserve">Additionally, VistaGen and UHN scientists plan to further enhance current methods used to produce cell types derived from both human embryonic stem cells (hES cells) and hiPS cells. The research alliance also aims to establish preclinical proof-of-concept for the use of iPS cell-derived articular chondrocytes for cell therapy repair and regeneration of autologous cartilage, as well as the use of iPS cell-derived precursor cells to produce lymphocytes, granulocytic cells, red cells and blood platelets. </w:t>
      </w:r>
    </w:p>
    <w:p>
      <w:pPr>
        <w:pStyle w:val="TextBody"/>
        <w:spacing w:before="0" w:after="0"/>
        <w:ind w:left="0" w:right="0" w:hanging="0"/>
        <w:jc w:val="both"/>
        <w:rPr/>
      </w:pPr>
      <w:r>
        <w:rPr/>
        <w:t xml:space="preserve">About VistaGen Therapeutics </w:t>
      </w:r>
    </w:p>
    <w:p>
      <w:pPr>
        <w:pStyle w:val="TextBody"/>
        <w:spacing w:before="0" w:after="0"/>
        <w:ind w:left="0" w:right="0" w:hanging="0"/>
        <w:jc w:val="both"/>
        <w:rPr/>
      </w:pPr>
      <w:r>
        <w:rPr/>
      </w:r>
    </w:p>
    <w:p>
      <w:pPr>
        <w:pStyle w:val="TextBody"/>
        <w:spacing w:before="0" w:after="0"/>
        <w:ind w:left="0" w:right="0" w:hanging="0"/>
        <w:jc w:val="both"/>
        <w:rPr/>
      </w:pPr>
      <w:r>
        <w:rPr/>
        <w:t xml:space="preserve">VistaGen is a biotechnology company applying human pluripotent stem cell technology for drug rescue and cell therapy. Drug rescue involves the combination of human pluripotent stem cell technology with modern medicinal chemistry to generate new chemical variants of once promising small molecule drug candidates that pharmaceutical companies have discontinued during preclinical or early clinical development due to heart or liver toxicity, despite positive efficacy data demonstrating their potential therapeutic and commercial benefits. VistaGen plans to use its pluripotent stem cell technology to generate early indications, or predictions, of how humans will ultimately respond to new drug candidates before they are ever tested in humans. </w:t>
      </w:r>
    </w:p>
    <w:p>
      <w:pPr>
        <w:pStyle w:val="TextBody"/>
        <w:spacing w:before="0" w:after="0"/>
        <w:ind w:left="0" w:right="0" w:hanging="0"/>
        <w:jc w:val="both"/>
        <w:rPr/>
      </w:pPr>
      <w:r>
        <w:rPr/>
      </w:r>
    </w:p>
    <w:p>
      <w:pPr>
        <w:pStyle w:val="TextBody"/>
        <w:spacing w:before="0" w:after="165"/>
        <w:rPr/>
      </w:pPr>
      <w:r>
        <w:rPr/>
        <w:br/>
        <w:br/>
      </w:r>
    </w:p>
    <w:p>
      <w:pPr>
        <w:pStyle w:val="HorizontalLine"/>
        <w:pBdr>
          <w:bottom w:val="single" w:sz="6" w:space="0" w:color="808080"/>
        </w:pBdr>
        <w:rPr/>
      </w:pPr>
      <w:r>
        <w:rPr/>
      </w:r>
      <w:r>
        <w:br w:type="page"/>
      </w:r>
    </w:p>
    <w:p>
      <w:pPr>
        <w:pStyle w:val="TextBody"/>
        <w:spacing w:before="0" w:after="165"/>
        <w:rPr/>
      </w:pPr>
      <w:r>
        <w:rPr/>
      </w:r>
    </w:p>
    <w:p>
      <w:pPr>
        <w:pStyle w:val="TextBody"/>
        <w:spacing w:before="0" w:after="0"/>
        <w:ind w:left="0" w:right="0" w:hanging="0"/>
        <w:jc w:val="both"/>
        <w:rPr/>
      </w:pPr>
      <w:r>
        <w:rPr/>
        <w:t xml:space="preserve">In parallel with its drug rescue activities, VistaGen is funding early-stage nonclinical studies focused on potential cell therapy applications of its Human Clinical Trials in a Test Tube™ platform. </w:t>
      </w:r>
    </w:p>
    <w:p>
      <w:pPr>
        <w:pStyle w:val="TextBody"/>
        <w:spacing w:before="0" w:after="0"/>
        <w:ind w:left="0" w:right="0" w:hanging="0"/>
        <w:jc w:val="both"/>
        <w:rPr/>
      </w:pPr>
      <w:r>
        <w:rPr/>
      </w:r>
    </w:p>
    <w:p>
      <w:pPr>
        <w:pStyle w:val="TextBody"/>
        <w:spacing w:before="0" w:after="0"/>
        <w:ind w:left="0" w:right="0" w:hanging="0"/>
        <w:jc w:val="both"/>
        <w:rPr/>
      </w:pPr>
      <w:r>
        <w:rPr/>
        <w:t xml:space="preserve">Additionally, VistaGen will begin a Phase 1b clinical study of AV-101, a small molecule drug candidate for treatment of neuropathic pain, before the end of 2011. This study includes testing AV-101 in healthy volunteers using the intradermal capsaicin model of neuropathic pain. Neuropathic pain, a serious and chronic condition causing pain after an injury or disease of the peripheral or central nervous system, affects approximately 1.8 million people in the U.S. alone. VistaGen plans to initiate Phase 2 clinical studies of AV-101 in the fourth quarter of 2012. VistaGen is also exploring additional opportunities to leverage its current Phase 1 clinical program to enable additional Phase 2 clinical studies of AV-101 for epilepsy, Parkinson's disease and depression. To date, VistaGen has been awarded over $8.5 million from the U.S. National Institutes of Health (NIH) for development of AV-101. </w:t>
      </w:r>
    </w:p>
    <w:p>
      <w:pPr>
        <w:pStyle w:val="TextBody"/>
        <w:spacing w:before="0" w:after="0"/>
        <w:ind w:left="0" w:right="0" w:hanging="0"/>
        <w:jc w:val="both"/>
        <w:rPr/>
      </w:pPr>
      <w:r>
        <w:rPr/>
      </w:r>
    </w:p>
    <w:p>
      <w:pPr>
        <w:pStyle w:val="TextBody"/>
        <w:spacing w:before="0" w:after="0"/>
        <w:ind w:left="0" w:right="0" w:hanging="0"/>
        <w:jc w:val="both"/>
        <w:rPr/>
      </w:pPr>
      <w:r>
        <w:rPr/>
        <w:t xml:space="preserve">Visit us at http://www.VistaGen.com, follow us at http://www.twitter.com/VistaGen or view our Facebook page at http://www.facebook.com/VistaGen. </w:t>
      </w:r>
    </w:p>
    <w:p>
      <w:pPr>
        <w:pStyle w:val="TextBody"/>
        <w:spacing w:before="0" w:after="0"/>
        <w:ind w:left="0" w:right="0" w:hanging="0"/>
        <w:jc w:val="both"/>
        <w:rPr/>
      </w:pPr>
      <w:r>
        <w:rPr/>
        <w:t xml:space="preserve">Cautionary Statement Regarding Forward Looking Statements </w:t>
      </w:r>
    </w:p>
    <w:p>
      <w:pPr>
        <w:pStyle w:val="TextBody"/>
        <w:spacing w:before="0" w:after="0"/>
        <w:ind w:left="0" w:right="0" w:hanging="0"/>
        <w:jc w:val="both"/>
        <w:rPr/>
      </w:pPr>
      <w:r>
        <w:rPr/>
      </w:r>
    </w:p>
    <w:p>
      <w:pPr>
        <w:pStyle w:val="TextBody"/>
        <w:spacing w:before="0" w:after="0"/>
        <w:ind w:left="0" w:right="0" w:hanging="0"/>
        <w:jc w:val="both"/>
        <w:rPr/>
      </w:pPr>
      <w:r>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regulatory approvals and the success of VistaGen's ongoing clinical studies, including the safety and efficacy of its drug candidate, AV-101, the failure of future drug rescue and pilot preclinical cell therapy programs related to VistaGen's stem cell technology-based Human Clinical Trial in a Test Tube™ platform, its ability to enter into drug rescue collaborations, risks and uncertainties relating to the availability of substantial additional capital to support VistaGen's research, development and commercialization activities, and the success of its research, development, regulatory approval, marketing and distribution plans and strategies, including those plans and strategies related to AV-101 and any drug rescue variants identified and developed by VistaGen. These and other risks and uncertainties are identified and described in more detail in VistaGen's filings with the Securities and Exchange Commission (SEC). These filings are available on the SEC's website at www.sec.gov. VistaGen undertakes no obligation to publicly update or revise any forward-looking statements. </w:t>
      </w:r>
    </w:p>
    <w:p>
      <w:pPr>
        <w:pStyle w:val="TextBody"/>
        <w:spacing w:before="0" w:after="0"/>
        <w:ind w:left="0" w:right="0" w:hanging="0"/>
        <w:rPr/>
      </w:pPr>
      <w:r>
        <w:rPr/>
        <w:t>For More Information:</w:t>
      </w:r>
    </w:p>
    <w:p>
      <w:pPr>
        <w:pStyle w:val="TextBody"/>
        <w:spacing w:before="0" w:after="0"/>
        <w:ind w:left="0" w:right="0" w:hanging="0"/>
        <w:rPr/>
      </w:pPr>
      <w:r>
        <w:rPr/>
      </w:r>
    </w:p>
    <w:p>
      <w:pPr>
        <w:pStyle w:val="TextBody"/>
        <w:spacing w:before="0" w:after="0"/>
        <w:ind w:left="0" w:right="0" w:hanging="0"/>
        <w:rPr/>
      </w:pPr>
      <w:r>
        <w:rPr/>
        <w:t>Shawn K. Singh, J.D.</w:t>
      </w:r>
    </w:p>
    <w:p>
      <w:pPr>
        <w:pStyle w:val="TextBody"/>
        <w:spacing w:before="0" w:after="0"/>
        <w:ind w:left="0" w:right="0" w:hanging="0"/>
        <w:rPr/>
      </w:pPr>
      <w:r>
        <w:rPr/>
        <w:t>Chief Executive Officer</w:t>
      </w:r>
    </w:p>
    <w:p>
      <w:pPr>
        <w:pStyle w:val="TextBody"/>
        <w:spacing w:before="0" w:after="0"/>
        <w:ind w:left="0" w:right="0" w:hanging="0"/>
        <w:rPr/>
      </w:pPr>
      <w:r>
        <w:rPr/>
        <w:t>VistaGen Therapeutics, Inc.</w:t>
      </w:r>
    </w:p>
    <w:p>
      <w:pPr>
        <w:pStyle w:val="TextBody"/>
        <w:spacing w:before="0" w:after="0"/>
        <w:ind w:left="0" w:right="0" w:hanging="0"/>
        <w:rPr/>
      </w:pPr>
      <w:r>
        <w:rPr/>
        <w:t xml:space="preserve">www.VistaGen.com </w:t>
      </w:r>
    </w:p>
    <w:p>
      <w:pPr>
        <w:pStyle w:val="TextBody"/>
        <w:spacing w:before="0" w:after="0"/>
        <w:ind w:left="0" w:right="0" w:hanging="0"/>
        <w:rPr/>
      </w:pPr>
      <w:r>
        <w:rPr/>
        <w:t>650-244-9990 x224</w:t>
      </w:r>
    </w:p>
    <w:p>
      <w:pPr>
        <w:pStyle w:val="TextBody"/>
        <w:spacing w:before="0" w:after="0"/>
        <w:ind w:left="0" w:right="0" w:hanging="0"/>
        <w:rPr/>
      </w:pPr>
      <w:r>
        <w:rPr/>
        <w:t>Investor.Relations@VistaGen.com</w:t>
      </w:r>
    </w:p>
    <w:p>
      <w:pPr>
        <w:pStyle w:val="TextBody"/>
        <w:spacing w:before="0" w:after="0"/>
        <w:ind w:left="0" w:right="0" w:hanging="0"/>
        <w:rPr/>
      </w:pPr>
      <w:r>
        <w:rPr/>
      </w:r>
    </w:p>
    <w:p>
      <w:pPr>
        <w:pStyle w:val="TextBody"/>
        <w:spacing w:before="0" w:after="0"/>
        <w:ind w:left="0" w:right="0" w:hanging="0"/>
        <w:rPr/>
      </w:pPr>
      <w:r>
        <w:rPr/>
        <w:t>Mission Investor Relations</w:t>
      </w:r>
    </w:p>
    <w:p>
      <w:pPr>
        <w:pStyle w:val="TextBody"/>
        <w:spacing w:before="0" w:after="0"/>
        <w:ind w:left="0" w:right="0" w:hanging="0"/>
        <w:rPr/>
      </w:pPr>
      <w:r>
        <w:rPr/>
        <w:t>Atlanta, Georgia</w:t>
      </w:r>
    </w:p>
    <w:p>
      <w:pPr>
        <w:pStyle w:val="TextBody"/>
        <w:spacing w:before="0" w:after="0"/>
        <w:ind w:left="0" w:right="0" w:hanging="0"/>
        <w:rPr/>
      </w:pPr>
      <w:r>
        <w:rPr/>
        <w:t xml:space="preserve">http://www.MissionIR.com </w:t>
      </w:r>
    </w:p>
    <w:p>
      <w:pPr>
        <w:pStyle w:val="TextBody"/>
        <w:spacing w:before="0" w:after="0"/>
        <w:ind w:left="0" w:right="0" w:hanging="0"/>
        <w:rPr/>
      </w:pPr>
      <w:r>
        <w:rPr/>
        <w:t>404-941-8975</w:t>
      </w:r>
    </w:p>
    <w:p>
      <w:pPr>
        <w:pStyle w:val="TextBody"/>
        <w:spacing w:before="0" w:after="0"/>
        <w:ind w:left="0" w:right="0" w:hanging="0"/>
        <w:rPr/>
      </w:pPr>
      <w:r>
        <w:rPr/>
        <w:t xml:space="preserve">Investors@MissionIR.com </w:t>
      </w:r>
    </w:p>
    <w:p>
      <w:pPr>
        <w:pStyle w:val="TextBody"/>
        <w:spacing w:before="0" w:after="0"/>
        <w:ind w:left="0" w:right="0" w:hanging="0"/>
        <w:rPr/>
      </w:pPr>
      <w:r>
        <w:rPr/>
      </w:r>
    </w:p>
    <w:p>
      <w:pPr>
        <w:pStyle w:val="TextBody"/>
        <w:spacing w:before="0" w:after="0"/>
        <w:ind w:left="0" w:right="0" w:hanging="0"/>
        <w:rPr/>
      </w:pPr>
      <w:r>
        <w:rPr/>
        <w:br/>
        <w:b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10726</Words>
  <CharactersWithSpaces>72431</CharactersWithSpaces>
  <Paragraphs>742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