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 xml:space="preserve">Proxy Statement Pursuant to Section </w:t>
      </w:r>
      <w:r>
        <w:rPr>
          <w:rFonts w:ascii="Times New Roman" w:cs="Times New Roman" w:eastAsia="Times New Roman" w:hAnsi="Times New Roman"/>
          <w:sz w:val="20"/>
          <w:szCs w:val="20"/>
          <w:b w:val="1"/>
          <w:bCs w:val="1"/>
          <w:color w:val="auto"/>
        </w:rPr>
        <w:t>14(a)</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7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50"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53" w:lineRule="exact"/>
        <w:rPr>
          <w:rFonts w:ascii="MS PGothic" w:cs="MS PGothic" w:eastAsia="MS PGothic" w:hAnsi="MS PGothic"/>
          <w:sz w:val="17"/>
          <w:szCs w:val="17"/>
          <w:color w:val="auto"/>
        </w:rPr>
      </w:pPr>
    </w:p>
    <w:p>
      <w:pPr>
        <w:ind w:left="20" w:right="4679"/>
        <w:spacing w:after="0" w:line="246" w:lineRule="exact"/>
        <w:tabs>
          <w:tab w:leader="none" w:pos="4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SEC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49" w:lineRule="exact"/>
        <w:rPr>
          <w:rFonts w:ascii="MS PGothic" w:cs="MS PGothic" w:eastAsia="MS PGothic" w:hAnsi="MS PGothic"/>
          <w:sz w:val="17"/>
          <w:szCs w:val="17"/>
          <w:color w:val="auto"/>
        </w:rPr>
      </w:pPr>
    </w:p>
    <w:p>
      <w:pPr>
        <w:ind w:left="400" w:hanging="380"/>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14a-12</w:t>
      </w:r>
    </w:p>
    <w:p>
      <w:pPr>
        <w:spacing w:after="0" w:line="3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VISTAGEN THERAPEUTICS, INC.</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5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54" w:lineRule="exact"/>
        <w:rPr>
          <w:sz w:val="24"/>
          <w:szCs w:val="24"/>
          <w:color w:val="auto"/>
        </w:rPr>
      </w:pPr>
    </w:p>
    <w:p>
      <w:pPr>
        <w:ind w:left="400" w:hanging="380"/>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49" w:lineRule="exact"/>
        <w:rPr>
          <w:rFonts w:ascii="MS PGothic" w:cs="MS PGothic" w:eastAsia="MS PGothic" w:hAnsi="MS PGothic"/>
          <w:sz w:val="17"/>
          <w:szCs w:val="17"/>
          <w:color w:val="auto"/>
        </w:rPr>
      </w:pPr>
    </w:p>
    <w:p>
      <w:pPr>
        <w:ind w:left="400" w:hanging="380"/>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608330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711835</wp:posOffset>
            </wp:positionV>
            <wp:extent cx="2040890"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5575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Vistagen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343 Allerton Avenue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(650) 577-3600</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July 28,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22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Over the past year, Vistagen Therapeutics, Inc. (</w:t>
      </w:r>
      <w:r>
        <w:rPr>
          <w:rFonts w:ascii="Times New Roman" w:cs="Times New Roman" w:eastAsia="Times New Roman" w:hAnsi="Times New Roman"/>
          <w:sz w:val="17"/>
          <w:szCs w:val="17"/>
          <w:i w:val="1"/>
          <w:iCs w:val="1"/>
          <w:color w:val="auto"/>
        </w:rPr>
        <w:t>Vistagen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Company,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has achieved important milestones across our pipeline, with particularly meaningful progress in the U.S. registration-directed PALISADE Program for fasedienol for the acute treatment of social anxiety disorder (</w:t>
      </w:r>
      <w:r>
        <w:rPr>
          <w:rFonts w:ascii="Times New Roman" w:cs="Times New Roman" w:eastAsia="Times New Roman" w:hAnsi="Times New Roman"/>
          <w:sz w:val="17"/>
          <w:szCs w:val="17"/>
          <w:i w:val="1"/>
          <w:iCs w:val="1"/>
          <w:color w:val="auto"/>
        </w:rPr>
        <w:t>SAD</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With both the PALISADE-3 and PALISADE-4 Phase 3 clinical trials underway, we anticipate topline results from PALISADE-3 in the fourth quarter of this year, followed by PALISADE-4 in the first half of 2026. SAD, characterized by intense fear and anxiety about judgement, humiliation or embarrassment in social and performance settings in daily life, affects more than 30 million U.S. adults, according to the National Institutes of Health. Yet, there is no FDA-approved acute treatment for the disorder. The growing urgency from both patients and healthcare providers reinforces the potential and importance of our work.</w:t>
      </w:r>
    </w:p>
    <w:p>
      <w:pPr>
        <w:spacing w:after="0" w:line="195"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In parallel, we are advancing a diverse pipeline of novel intranasal pherine candidates targeting other significant unmet needs, including itruvone for major depressive disorder and PH80 for multiple women’s health indications. We are proud of the progress made over the past year and we remain sharply focused on our goal of delivering innovative, safe and effective treatments for those in need.</w:t>
      </w:r>
    </w:p>
    <w:p>
      <w:pPr>
        <w:spacing w:after="0" w:line="18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In that spirit, I am pleased to invite you to Vistagen's 2025 Annual Meeting of Stockholders (the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xml:space="preserve"> or the </w:t>
      </w:r>
      <w:r>
        <w:rPr>
          <w:rFonts w:ascii="Times New Roman" w:cs="Times New Roman" w:eastAsia="Times New Roman" w:hAnsi="Times New Roman"/>
          <w:sz w:val="17"/>
          <w:szCs w:val="17"/>
          <w:i w:val="1"/>
          <w:iCs w:val="1"/>
          <w:color w:val="auto"/>
        </w:rPr>
        <w:t>Meeting</w:t>
      </w:r>
      <w:r>
        <w:rPr>
          <w:rFonts w:ascii="Times New Roman" w:cs="Times New Roman" w:eastAsia="Times New Roman" w:hAnsi="Times New Roman"/>
          <w:sz w:val="17"/>
          <w:szCs w:val="17"/>
          <w:color w:val="auto"/>
        </w:rPr>
        <w:t xml:space="preserve">), which we will hold virtually on Tuesday, September 9, 2025, at 9:00 a.m. Pacific Daylight Time. The accompanying proxy statement (the </w:t>
      </w:r>
      <w:r>
        <w:rPr>
          <w:rFonts w:ascii="Times New Roman" w:cs="Times New Roman" w:eastAsia="Times New Roman" w:hAnsi="Times New Roman"/>
          <w:sz w:val="17"/>
          <w:szCs w:val="17"/>
          <w:i w:val="1"/>
          <w:iCs w:val="1"/>
          <w:color w:val="auto"/>
        </w:rPr>
        <w:t>Proxy Statement</w:t>
      </w:r>
      <w:r>
        <w:rPr>
          <w:rFonts w:ascii="Times New Roman" w:cs="Times New Roman" w:eastAsia="Times New Roman" w:hAnsi="Times New Roman"/>
          <w:sz w:val="17"/>
          <w:szCs w:val="17"/>
          <w:color w:val="auto"/>
        </w:rPr>
        <w:t>) provides details regarding the Annual Meeting, including a description of the proposals to be considered by stockholders at the Meeting and instructions for submitting your vote.</w:t>
      </w:r>
    </w:p>
    <w:p>
      <w:pPr>
        <w:spacing w:after="0" w:line="19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b w:val="1"/>
          <w:bCs w:val="1"/>
          <w:color w:val="auto"/>
        </w:rPr>
        <w:t>Your vote matters. Whether or not you plan to attend the Annual Meeting virtually, please carefully review the Proxy Statement and then cast your vote by Internet, telephone or postal mail as promptly as possible so that your shares will be voted at the Meeting. Please refer to the procedures described in the section entitled the procedures described in the section entitled “Voting” beginning on page 3 of the accompanying Proxy Statement</w:t>
      </w:r>
    </w:p>
    <w:p>
      <w:pPr>
        <w:spacing w:after="0" w:line="19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b w:val="1"/>
          <w:bCs w:val="1"/>
          <w:color w:val="auto"/>
        </w:rPr>
        <w:t>instructions on submitting your vote</w:t>
      </w:r>
      <w:r>
        <w:rPr>
          <w:rFonts w:ascii="Times New Roman" w:cs="Times New Roman" w:eastAsia="Times New Roman" w:hAnsi="Times New Roman"/>
          <w:sz w:val="17"/>
          <w:szCs w:val="17"/>
          <w:color w:val="auto"/>
        </w:rPr>
        <w:t>. Our Board of Directors has unanimously approved of the proposals set forth in the Proxy Statement and we recommend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you vote in favor of each such proposal.</w:t>
      </w:r>
    </w:p>
    <w:p>
      <w:pPr>
        <w:spacing w:after="0" w:line="161" w:lineRule="exact"/>
        <w:rPr>
          <w:sz w:val="20"/>
          <w:szCs w:val="20"/>
          <w:color w:val="auto"/>
        </w:rPr>
      </w:pPr>
    </w:p>
    <w:p>
      <w:pPr>
        <w:ind w:firstLine="620"/>
        <w:spacing w:after="0" w:line="271" w:lineRule="auto"/>
        <w:rPr>
          <w:sz w:val="20"/>
          <w:szCs w:val="20"/>
          <w:color w:val="auto"/>
        </w:rPr>
      </w:pPr>
      <w:r>
        <w:rPr>
          <w:rFonts w:ascii="Times New Roman" w:cs="Times New Roman" w:eastAsia="Times New Roman" w:hAnsi="Times New Roman"/>
          <w:sz w:val="17"/>
          <w:szCs w:val="17"/>
          <w:color w:val="auto"/>
        </w:rPr>
        <w:t>On behalf of Vistagen's Board of Directors and leadership team, we thank you for your ongoing support. We look forward to your participation at the Annual Meeting and to another year of meaningful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443230</wp:posOffset>
            </wp:positionV>
            <wp:extent cx="631190" cy="942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Warm regards,</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/s/ Margaret M. FitzPatrick, M.A.</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Margaret M. FitzPatrick, M.A.</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Board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711835</wp:posOffset>
            </wp:positionV>
            <wp:extent cx="2040890"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40890" cy="5575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Vistagen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343 Allerton Avenue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(650) 577-3600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2025 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on September 9, 2025, at 9:00 am Pacific Daylight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 xml:space="preserve">We are pleased to invite you to virtually attend the 2025 Annual Meeting of Stockholders (the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Meeting</w:t>
      </w:r>
      <w:r>
        <w:rPr>
          <w:rFonts w:ascii="Times New Roman" w:cs="Times New Roman" w:eastAsia="Times New Roman" w:hAnsi="Times New Roman"/>
          <w:sz w:val="17"/>
          <w:szCs w:val="17"/>
          <w:color w:val="auto"/>
        </w:rPr>
        <w:t>) of Vistagen Therapeutics, Inc., a Nevada corporation (</w:t>
      </w:r>
      <w:r>
        <w:rPr>
          <w:rFonts w:ascii="Times New Roman" w:cs="Times New Roman" w:eastAsia="Times New Roman" w:hAnsi="Times New Roman"/>
          <w:sz w:val="17"/>
          <w:szCs w:val="17"/>
          <w:i w:val="1"/>
          <w:iCs w:val="1"/>
          <w:color w:val="auto"/>
        </w:rPr>
        <w:t>Vistagen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The Annual Meeting will be a virtual-format meeting, held exclusively via the Internet on September 9, 2025, at 9:00 am Pacific Daylight Time, for the following purposes:</w:t>
      </w:r>
    </w:p>
    <w:p>
      <w:pPr>
        <w:spacing w:after="0" w:line="247" w:lineRule="exact"/>
        <w:rPr>
          <w:sz w:val="20"/>
          <w:szCs w:val="20"/>
          <w:color w:val="auto"/>
        </w:rPr>
      </w:pPr>
    </w:p>
    <w:p>
      <w:pPr>
        <w:ind w:left="2400" w:right="40" w:hanging="882"/>
        <w:spacing w:after="0" w:line="266" w:lineRule="auto"/>
        <w:tabs>
          <w:tab w:leader="none" w:pos="2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six directors to our Board of Directors, each to serve until our next annual meeting of stockholders, or until her or his respective successor is elected and qualified;</w:t>
      </w:r>
    </w:p>
    <w:p>
      <w:pPr>
        <w:spacing w:after="0" w:line="1" w:lineRule="exact"/>
        <w:rPr>
          <w:rFonts w:ascii="Times New Roman" w:cs="Times New Roman" w:eastAsia="Times New Roman" w:hAnsi="Times New Roman"/>
          <w:sz w:val="17"/>
          <w:szCs w:val="17"/>
          <w:color w:val="auto"/>
        </w:rPr>
      </w:pPr>
    </w:p>
    <w:p>
      <w:pPr>
        <w:ind w:left="2400" w:hanging="882"/>
        <w:spacing w:after="0"/>
        <w:tabs>
          <w:tab w:leader="none" w:pos="2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paid to our Named Executive Officers (</w:t>
      </w:r>
      <w:r>
        <w:rPr>
          <w:rFonts w:ascii="Times New Roman" w:cs="Times New Roman" w:eastAsia="Times New Roman" w:hAnsi="Times New Roman"/>
          <w:sz w:val="17"/>
          <w:szCs w:val="17"/>
          <w:i w:val="1"/>
          <w:iCs w:val="1"/>
          <w:color w:val="auto"/>
        </w:rPr>
        <w:t>NEOs</w:t>
      </w:r>
      <w:r>
        <w:rPr>
          <w:rFonts w:ascii="Times New Roman" w:cs="Times New Roman" w:eastAsia="Times New Roman" w:hAnsi="Times New Roman"/>
          <w:sz w:val="17"/>
          <w:szCs w:val="17"/>
          <w:color w:val="auto"/>
        </w:rPr>
        <w:t>);</w:t>
      </w:r>
    </w:p>
    <w:p>
      <w:pPr>
        <w:spacing w:after="0" w:line="53" w:lineRule="exact"/>
        <w:rPr>
          <w:rFonts w:ascii="Times New Roman" w:cs="Times New Roman" w:eastAsia="Times New Roman" w:hAnsi="Times New Roman"/>
          <w:sz w:val="17"/>
          <w:szCs w:val="17"/>
          <w:color w:val="auto"/>
        </w:rPr>
      </w:pPr>
    </w:p>
    <w:p>
      <w:pPr>
        <w:ind w:left="2400" w:right="40" w:hanging="882"/>
        <w:spacing w:after="0" w:line="269" w:lineRule="auto"/>
        <w:tabs>
          <w:tab w:leader="none" w:pos="2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our fiscal year ending March 31, 2026; and</w:t>
      </w:r>
    </w:p>
    <w:p>
      <w:pPr>
        <w:ind w:left="2400" w:right="40" w:hanging="882"/>
        <w:spacing w:after="0" w:line="271" w:lineRule="auto"/>
        <w:tabs>
          <w:tab w:leader="none" w:pos="24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upon such other matters, if any, as may properly come before the Annual Meeting or any adjournment or postponement of the Meeting.</w:t>
      </w:r>
    </w:p>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These matters are more fully discussed in the attached proxy statement (the </w:t>
      </w:r>
      <w:r>
        <w:rPr>
          <w:rFonts w:ascii="Times New Roman" w:cs="Times New Roman" w:eastAsia="Times New Roman" w:hAnsi="Times New Roman"/>
          <w:sz w:val="17"/>
          <w:szCs w:val="17"/>
          <w:i w:val="1"/>
          <w:iCs w:val="1"/>
          <w:color w:val="auto"/>
        </w:rPr>
        <w:t>Proxy Statement</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We have elected to provide access to our proxy materials primarily via the Internet, pursuant to the “Notice and Access” method regulations promulgated by the U.S.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We believe this method is efficient, expedites our stockholders’ safe receipt of proxy materials, conserves natural resources, and significantly reduces the Company’s overall cost for the Annual Meeting. On or about July 29, 2025, we will begin mailing a one-page Notice of Internet Availability of Proxy Materials (the </w:t>
      </w: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xml:space="preserve">) to each of our stockholders entitled to notice of and to vote at the Annual Meeting. The Notice contains instructions for accessing the Proxy Statement and our Annual Report on Form 10-K for our fiscal year ended March 31, 2025, filed with the SEC on June 17, 2025 (the </w:t>
      </w:r>
      <w:r>
        <w:rPr>
          <w:rFonts w:ascii="Times New Roman" w:cs="Times New Roman" w:eastAsia="Times New Roman" w:hAnsi="Times New Roman"/>
          <w:sz w:val="17"/>
          <w:szCs w:val="17"/>
          <w:i w:val="1"/>
          <w:iCs w:val="1"/>
          <w:color w:val="auto"/>
        </w:rPr>
        <w:t>Annual Report</w:t>
      </w:r>
      <w:r>
        <w:rPr>
          <w:rFonts w:ascii="Times New Roman" w:cs="Times New Roman" w:eastAsia="Times New Roman" w:hAnsi="Times New Roman"/>
          <w:sz w:val="17"/>
          <w:szCs w:val="17"/>
          <w:color w:val="auto"/>
        </w:rPr>
        <w:t xml:space="preserve">), via the Internet, as well as Annual Meeting voting instructions. The Notice also includes instructions on how you can receive a paper copy of your proxy materials. </w:t>
      </w:r>
      <w:r>
        <w:rPr>
          <w:rFonts w:ascii="Times New Roman" w:cs="Times New Roman" w:eastAsia="Times New Roman" w:hAnsi="Times New Roman"/>
          <w:sz w:val="17"/>
          <w:szCs w:val="17"/>
          <w:b w:val="1"/>
          <w:bCs w:val="1"/>
          <w:color w:val="auto"/>
        </w:rPr>
        <w:t>The Proxy Statement and the Annual Report are both available on the Internet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www.envisionreports.com/VTGN</w:t>
      </w:r>
    </w:p>
    <w:p>
      <w:pPr>
        <w:spacing w:after="0" w:line="20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 xml:space="preserve">The record date for the determination of stockholders entitled to notice of and to vote at the Annual Meeting or any adjournments or postponements thereof has been fixed as the close of business on July 16, 2025 (the </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xml:space="preserve">).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Times New Roman" w:cs="Times New Roman" w:eastAsia="Times New Roman" w:hAnsi="Times New Roman"/>
          <w:sz w:val="17"/>
          <w:szCs w:val="17"/>
          <w:u w:val="single" w:color="auto"/>
          <w:color w:val="auto"/>
        </w:rPr>
        <w:t>corp.secretary@vistagen.com</w:t>
      </w:r>
      <w:r>
        <w:rPr>
          <w:rFonts w:ascii="Times New Roman" w:cs="Times New Roman" w:eastAsia="Times New Roman" w:hAnsi="Times New Roman"/>
          <w:sz w:val="17"/>
          <w:szCs w:val="17"/>
          <w:color w:val="auto"/>
        </w:rPr>
        <w:t xml:space="preserve"> stating the purpose of the request and providing proof of ownership of our common stock. This list will also be available for examination by stockholders of record during the webcast of the Annual Meeting at: </w:t>
      </w:r>
      <w:r>
        <w:rPr>
          <w:rFonts w:ascii="Times New Roman" w:cs="Times New Roman" w:eastAsia="Times New Roman" w:hAnsi="Times New Roman"/>
          <w:sz w:val="17"/>
          <w:szCs w:val="17"/>
          <w:u w:val="single" w:color="auto"/>
          <w:color w:val="auto"/>
        </w:rPr>
        <w:t>https://meetnow.global/MMRS64D</w:t>
      </w:r>
    </w:p>
    <w:p>
      <w:pPr>
        <w:spacing w:after="0" w:line="201"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You are entitled to virtually attend and vote at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and vote at the Annual Meeting. Further information about how to attend the Annual Meeting, vote your shares online during the Meeting and submit questions during the Meeting is included in the Proxy Statement. For instructions on how to vote your shares, please refer to the instructions on the Notice of Internet Availability of Proxy Materials you received by postal mail, the section titled “</w:t>
      </w: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 beginning on page 3 of the Proxy Statement or, if you requested to receive printed proxy materials, your enclosed proxy card.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580390</wp:posOffset>
            </wp:positionV>
            <wp:extent cx="7146290" cy="137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1376680"/>
                    </a:xfrm>
                    <a:prstGeom prst="rect">
                      <a:avLst/>
                    </a:prstGeom>
                    <a:noFill/>
                  </pic:spPr>
                </pic:pic>
              </a:graphicData>
            </a:graphic>
          </wp:anchor>
        </w:drawing>
        <w:t>YOUR VOTES ARE IMPORTANT</w:t>
      </w:r>
    </w:p>
    <w:p>
      <w:pPr>
        <w:spacing w:after="0" w:line="218" w:lineRule="exact"/>
        <w:rPr>
          <w:sz w:val="20"/>
          <w:szCs w:val="20"/>
          <w:color w:val="auto"/>
        </w:rPr>
      </w:pPr>
    </w:p>
    <w:p>
      <w:pPr>
        <w:jc w:val="both"/>
        <w:ind w:left="240" w:right="30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All stockholders are cordially invited to attend the Annual Meeting virtually.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from incurring additional expense for duplicate proxy solicitations. By following the procedures described in the section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beginning on page 3 of the attached Proxy</w:t>
      </w:r>
    </w:p>
    <w:p>
      <w:pPr>
        <w:spacing w:after="0" w:line="3" w:lineRule="exact"/>
        <w:rPr>
          <w:sz w:val="20"/>
          <w:szCs w:val="20"/>
          <w:color w:val="auto"/>
        </w:rPr>
      </w:pPr>
    </w:p>
    <w:p>
      <w:pPr>
        <w:jc w:val="both"/>
        <w:ind w:left="240" w:right="300"/>
        <w:spacing w:after="0" w:line="267" w:lineRule="auto"/>
        <w:rPr>
          <w:sz w:val="20"/>
          <w:szCs w:val="20"/>
          <w:color w:val="auto"/>
        </w:rPr>
      </w:pPr>
      <w:r>
        <w:rPr>
          <w:rFonts w:ascii="Times New Roman" w:cs="Times New Roman" w:eastAsia="Times New Roman" w:hAnsi="Times New Roman"/>
          <w:sz w:val="17"/>
          <w:szCs w:val="17"/>
          <w:b w:val="1"/>
          <w:bCs w:val="1"/>
          <w:color w:val="auto"/>
        </w:rPr>
        <w:t>Statement, any stockholder attending the Annual Meeting virtually may vote at the Meeting, even if he or she has returned a proxy prior to the Meeting.</w:t>
      </w:r>
    </w:p>
    <w:p>
      <w:pPr>
        <w:spacing w:after="0" w:line="200" w:lineRule="exact"/>
        <w:rPr>
          <w:sz w:val="20"/>
          <w:szCs w:val="20"/>
          <w:color w:val="auto"/>
        </w:rPr>
      </w:pPr>
    </w:p>
    <w:p>
      <w:pPr>
        <w:spacing w:after="0" w:line="286"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Times New Roman" w:cs="Times New Roman" w:eastAsia="Times New Roman" w:hAnsi="Times New Roman"/>
          <w:sz w:val="17"/>
          <w:szCs w:val="17"/>
          <w:color w:val="auto"/>
        </w:rPr>
        <w:t>If your shares are held in the name of a bank, broker, brokerage firm or other fiduciary, please follow the instructions on the voting instruction card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furnished by the record holder.</w:t>
      </w:r>
    </w:p>
    <w:p>
      <w:pPr>
        <w:spacing w:after="0" w:line="192" w:lineRule="exact"/>
        <w:rPr>
          <w:sz w:val="20"/>
          <w:szCs w:val="20"/>
          <w:color w:val="auto"/>
        </w:rPr>
      </w:pPr>
    </w:p>
    <w:p>
      <w:pPr>
        <w:jc w:val="both"/>
        <w:ind w:firstLine="62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Vistagen's Board of Directors unanimously recommends 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each of the director nominees identified in Proposal No. 1, and "FOR" Proposal Nos. 2 and 3, all of which are described in detail in the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ANNUAL REPORT AND THE PROXY STATEMENT ARE AVAILABLE ONLINE VIA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THE INTERNET AT: </w:t>
      </w:r>
      <w:r>
        <w:rPr>
          <w:rFonts w:ascii="Times New Roman" w:cs="Times New Roman" w:eastAsia="Times New Roman" w:hAnsi="Times New Roman"/>
          <w:sz w:val="17"/>
          <w:szCs w:val="17"/>
          <w:b w:val="1"/>
          <w:bCs w:val="1"/>
          <w:u w:val="single" w:color="auto"/>
          <w:color w:val="auto"/>
        </w:rPr>
        <w:t>www.envisionreports.com/VTGN</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/s/ Jessica R. Haskell, J.D.</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i w:val="1"/>
          <w:iCs w:val="1"/>
          <w:color w:val="auto"/>
        </w:rPr>
        <w:t>Jessica R. Haskell, J.D.</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Associate General Counsel and Corporate Secretary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2770505</wp:posOffset>
            </wp:positionH>
            <wp:positionV relativeFrom="page">
              <wp:posOffset>711835</wp:posOffset>
            </wp:positionV>
            <wp:extent cx="204089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5575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Vistagen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343 Allerton Avenue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(650) 577-3600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5" w:lineRule="exact"/>
        <w:rPr>
          <w:sz w:val="20"/>
          <w:szCs w:val="20"/>
          <w:color w:val="auto"/>
        </w:rPr>
      </w:pPr>
    </w:p>
    <w:p>
      <w:pPr>
        <w:jc w:val="both"/>
        <w:ind w:firstLine="465"/>
        <w:spacing w:after="0" w:line="246" w:lineRule="auto"/>
        <w:rPr>
          <w:sz w:val="20"/>
          <w:szCs w:val="20"/>
          <w:color w:val="auto"/>
        </w:rPr>
      </w:pPr>
      <w:r>
        <w:rPr>
          <w:rFonts w:ascii="Times New Roman" w:cs="Times New Roman" w:eastAsia="Times New Roman" w:hAnsi="Times New Roman"/>
          <w:sz w:val="17"/>
          <w:szCs w:val="17"/>
          <w:color w:val="auto"/>
        </w:rPr>
        <w:t xml:space="preserve">The enclosed proxy is solicited on behalf of the Board of Directors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of Vistagen Therapeutics, Inc., a Nevada corporation (</w:t>
      </w:r>
      <w:r>
        <w:rPr>
          <w:rFonts w:ascii="Times New Roman" w:cs="Times New Roman" w:eastAsia="Times New Roman" w:hAnsi="Times New Roman"/>
          <w:sz w:val="17"/>
          <w:szCs w:val="17"/>
          <w:i w:val="1"/>
          <w:iCs w:val="1"/>
          <w:color w:val="auto"/>
        </w:rPr>
        <w:t>Vistagen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our</w:t>
      </w:r>
      <w:r>
        <w:rPr>
          <w:rFonts w:ascii="Times New Roman" w:cs="Times New Roman" w:eastAsia="Times New Roman" w:hAnsi="Times New Roman"/>
          <w:sz w:val="17"/>
          <w:szCs w:val="17"/>
          <w:color w:val="auto"/>
        </w:rPr>
        <w:t>), for use at Vistagen’s 2025 Annual Meeting of Stockholders (the</w:t>
      </w:r>
      <w:r>
        <w:rPr>
          <w:rFonts w:ascii="Times New Roman" w:cs="Times New Roman" w:eastAsia="Times New Roman" w:hAnsi="Times New Roman"/>
          <w:sz w:val="17"/>
          <w:szCs w:val="17"/>
          <w:i w:val="1"/>
          <w:iCs w:val="1"/>
          <w:color w:val="auto"/>
        </w:rPr>
        <w:t xml:space="preserve"> Annual Meeting </w:t>
      </w:r>
      <w:r>
        <w:rPr>
          <w:rFonts w:ascii="Times New Roman" w:cs="Times New Roman" w:eastAsia="Times New Roman" w:hAnsi="Times New Roman"/>
          <w:sz w:val="17"/>
          <w:szCs w:val="17"/>
          <w:color w:val="auto"/>
        </w:rPr>
        <w:t>or the</w:t>
      </w:r>
      <w:r>
        <w:rPr>
          <w:rFonts w:ascii="Times New Roman" w:cs="Times New Roman" w:eastAsia="Times New Roman" w:hAnsi="Times New Roman"/>
          <w:sz w:val="17"/>
          <w:szCs w:val="17"/>
          <w:i w:val="1"/>
          <w:iCs w:val="1"/>
          <w:color w:val="auto"/>
        </w:rPr>
        <w:t xml:space="preserve"> Meeting</w:t>
      </w:r>
      <w:r>
        <w:rPr>
          <w:rFonts w:ascii="Times New Roman" w:cs="Times New Roman" w:eastAsia="Times New Roman" w:hAnsi="Times New Roman"/>
          <w:sz w:val="17"/>
          <w:szCs w:val="17"/>
          <w:color w:val="auto"/>
        </w:rPr>
        <w:t>). The Annual Meeting will take place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virtual meeting format on September 9, 2025, at 9:00 am Pacific Daylight Time, and will be held exclusively via the Internet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https://meetnow.global/MMRS64D</w:t>
      </w:r>
    </w:p>
    <w:p>
      <w:pPr>
        <w:spacing w:after="0" w:line="212" w:lineRule="exact"/>
        <w:rPr>
          <w:sz w:val="20"/>
          <w:szCs w:val="20"/>
          <w:color w:val="auto"/>
        </w:rPr>
      </w:pPr>
    </w:p>
    <w:p>
      <w:pPr>
        <w:jc w:val="both"/>
        <w:ind w:firstLine="465"/>
        <w:spacing w:after="0" w:line="244" w:lineRule="auto"/>
        <w:rPr>
          <w:sz w:val="20"/>
          <w:szCs w:val="20"/>
          <w:color w:val="auto"/>
        </w:rPr>
      </w:pPr>
      <w:r>
        <w:rPr>
          <w:rFonts w:ascii="Times New Roman" w:cs="Times New Roman" w:eastAsia="Times New Roman" w:hAnsi="Times New Roman"/>
          <w:sz w:val="17"/>
          <w:szCs w:val="17"/>
          <w:color w:val="auto"/>
        </w:rPr>
        <w:t>We have elected to provide access to the proxy materials for the Annual Meeting primarily over the Internet in accordance with the U.S. Securities and Exchange Commission’s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“Notice and Access” rules. On or about July 29, 2025, we will begin mailing a one-page Notice of Internet Availability of Proxy Materials (the </w:t>
      </w: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to each of our stockholders entitled to notice of and to vote at the Annual Meeting. The Notice contains instructions for accessing this Proxy Statement, our Annual Report on Form 10-K for the Company's fiscal year ended March 31, 2025, filed with the SEC on June 17, 2025 (</w:t>
      </w:r>
      <w:r>
        <w:rPr>
          <w:rFonts w:ascii="Times New Roman" w:cs="Times New Roman" w:eastAsia="Times New Roman" w:hAnsi="Times New Roman"/>
          <w:sz w:val="17"/>
          <w:szCs w:val="17"/>
          <w:i w:val="1"/>
          <w:iCs w:val="1"/>
          <w:color w:val="auto"/>
        </w:rPr>
        <w:t>Annual Report</w:t>
      </w:r>
      <w:r>
        <w:rPr>
          <w:rFonts w:ascii="Times New Roman" w:cs="Times New Roman" w:eastAsia="Times New Roman" w:hAnsi="Times New Roman"/>
          <w:sz w:val="17"/>
          <w:szCs w:val="17"/>
          <w:color w:val="auto"/>
        </w:rPr>
        <w:t xml:space="preserve">), and Annual Meeting voting instructions. The Notice also includes instructions on how you can receive a paper copy of your proxy materials by postal mail. </w:t>
      </w:r>
      <w:r>
        <w:rPr>
          <w:rFonts w:ascii="Times New Roman" w:cs="Times New Roman" w:eastAsia="Times New Roman" w:hAnsi="Times New Roman"/>
          <w:sz w:val="17"/>
          <w:szCs w:val="17"/>
          <w:b w:val="1"/>
          <w:bCs w:val="1"/>
          <w:color w:val="auto"/>
        </w:rPr>
        <w:t>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Proxy Statement and the Annual Report are available on the Internet at: </w:t>
      </w:r>
      <w:r>
        <w:rPr>
          <w:rFonts w:ascii="Times New Roman" w:cs="Times New Roman" w:eastAsia="Times New Roman" w:hAnsi="Times New Roman"/>
          <w:sz w:val="17"/>
          <w:szCs w:val="17"/>
          <w:b w:val="1"/>
          <w:bCs w:val="1"/>
          <w:u w:val="single" w:color="auto"/>
          <w:color w:val="auto"/>
        </w:rPr>
        <w:t>www.envisionreports.com/VTGN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Record Date and Shares</w:t>
            </w: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Each of the specific proposals to be considered and acted upon at the Annual Meeting is described in this Proxy</w:t>
            </w: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8860" w:type="dxa"/>
            <w:vAlign w:val="bottom"/>
            <w:shd w:val="clear" w:color="auto" w:fill="CCEEFF"/>
          </w:tcPr>
          <w:p>
            <w:pPr>
              <w:ind w:left="580"/>
              <w:spacing w:after="0" w:line="176" w:lineRule="exact"/>
              <w:rPr>
                <w:sz w:val="20"/>
                <w:szCs w:val="20"/>
                <w:color w:val="auto"/>
              </w:rPr>
            </w:pPr>
            <w:r>
              <w:rPr>
                <w:rFonts w:ascii="Times New Roman" w:cs="Times New Roman" w:eastAsia="Times New Roman" w:hAnsi="Times New Roman"/>
                <w:sz w:val="17"/>
                <w:szCs w:val="17"/>
                <w:color w:val="auto"/>
              </w:rPr>
              <w:t xml:space="preserve">Statement. Only holders of Vistagen's common stock as of the close of business on July 16, 2025 (the </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are</w:t>
            </w:r>
          </w:p>
        </w:tc>
      </w:tr>
      <w:tr>
        <w:trPr>
          <w:trHeight w:val="223"/>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entitled to notice of and to vote at the Annual Meeting.</w:t>
            </w:r>
          </w:p>
        </w:tc>
      </w:tr>
      <w:tr>
        <w:trPr>
          <w:trHeight w:val="293"/>
        </w:trPr>
        <w:tc>
          <w:tcPr>
            <w:tcW w:w="2380" w:type="dxa"/>
            <w:vAlign w:val="bottom"/>
            <w:shd w:val="clear" w:color="auto" w:fill="CCEEFF"/>
          </w:tcPr>
          <w:p>
            <w:pPr>
              <w:spacing w:after="0"/>
              <w:rPr>
                <w:sz w:val="24"/>
                <w:szCs w:val="24"/>
                <w:color w:val="auto"/>
              </w:rPr>
            </w:pP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On the Record Date, there were 29,859,961 shares of our common stock, par value $0.001 per share, outstanding. Each</w:t>
            </w:r>
          </w:p>
        </w:tc>
      </w:tr>
      <w:tr>
        <w:trPr>
          <w:trHeight w:val="223"/>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holder of our common stock is entitled to one vote for each share held as of the Record Date.</w:t>
            </w:r>
          </w:p>
        </w:tc>
      </w:tr>
      <w:tr>
        <w:trPr>
          <w:trHeight w:val="228"/>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r>
      <w:tr>
        <w:trPr>
          <w:trHeight w:val="397"/>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Quorum</w:t>
            </w:r>
          </w:p>
        </w:tc>
        <w:tc>
          <w:tcPr>
            <w:tcW w:w="88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The holders of more than one-third (1/3) of the shares of our common stock entitled to vote as of the Record Date must</w:t>
            </w:r>
          </w:p>
        </w:tc>
      </w:tr>
      <w:tr>
        <w:trPr>
          <w:trHeight w:val="171"/>
        </w:trPr>
        <w:tc>
          <w:tcPr>
            <w:tcW w:w="2380" w:type="dxa"/>
            <w:vAlign w:val="bottom"/>
          </w:tcPr>
          <w:p>
            <w:pPr>
              <w:spacing w:after="0"/>
              <w:rPr>
                <w:sz w:val="14"/>
                <w:szCs w:val="14"/>
                <w:color w:val="auto"/>
              </w:rPr>
            </w:pPr>
          </w:p>
        </w:tc>
        <w:tc>
          <w:tcPr>
            <w:tcW w:w="8860" w:type="dxa"/>
            <w:vAlign w:val="bottom"/>
          </w:tcPr>
          <w:p>
            <w:pPr>
              <w:ind w:left="580"/>
              <w:spacing w:after="0" w:line="172" w:lineRule="exact"/>
              <w:rPr>
                <w:sz w:val="20"/>
                <w:szCs w:val="20"/>
                <w:color w:val="auto"/>
              </w:rPr>
            </w:pPr>
            <w:r>
              <w:rPr>
                <w:rFonts w:ascii="Times New Roman" w:cs="Times New Roman" w:eastAsia="Times New Roman" w:hAnsi="Times New Roman"/>
                <w:sz w:val="17"/>
                <w:szCs w:val="17"/>
                <w:color w:val="auto"/>
              </w:rPr>
              <w:t>be represented at the Annual Meeting, either in person or by properly executed proxy, to achieve a quorum for the</w:t>
            </w:r>
          </w:p>
        </w:tc>
      </w:tr>
      <w:tr>
        <w:trPr>
          <w:trHeight w:val="168"/>
        </w:trPr>
        <w:tc>
          <w:tcPr>
            <w:tcW w:w="2380" w:type="dxa"/>
            <w:vAlign w:val="bottom"/>
          </w:tcPr>
          <w:p>
            <w:pPr>
              <w:spacing w:after="0"/>
              <w:rPr>
                <w:sz w:val="14"/>
                <w:szCs w:val="14"/>
                <w:color w:val="auto"/>
              </w:rPr>
            </w:pPr>
          </w:p>
        </w:tc>
        <w:tc>
          <w:tcPr>
            <w:tcW w:w="8860" w:type="dxa"/>
            <w:vAlign w:val="bottom"/>
          </w:tcPr>
          <w:p>
            <w:pPr>
              <w:ind w:left="580"/>
              <w:spacing w:after="0" w:line="167" w:lineRule="exact"/>
              <w:rPr>
                <w:sz w:val="20"/>
                <w:szCs w:val="20"/>
                <w:color w:val="auto"/>
              </w:rPr>
            </w:pPr>
            <w:r>
              <w:rPr>
                <w:rFonts w:ascii="Times New Roman" w:cs="Times New Roman" w:eastAsia="Times New Roman" w:hAnsi="Times New Roman"/>
                <w:sz w:val="17"/>
                <w:szCs w:val="17"/>
                <w:color w:val="auto"/>
              </w:rPr>
              <w:t>Meeting. If a quorum is not present at the scheduled time of the Annual Meeting, either the Chair of the Meeting or the</w:t>
            </w:r>
          </w:p>
        </w:tc>
      </w:tr>
      <w:tr>
        <w:trPr>
          <w:trHeight w:val="177"/>
        </w:trPr>
        <w:tc>
          <w:tcPr>
            <w:tcW w:w="2380" w:type="dxa"/>
            <w:vAlign w:val="bottom"/>
          </w:tcPr>
          <w:p>
            <w:pPr>
              <w:spacing w:after="0"/>
              <w:rPr>
                <w:sz w:val="15"/>
                <w:szCs w:val="15"/>
                <w:color w:val="auto"/>
              </w:rPr>
            </w:pPr>
          </w:p>
        </w:tc>
        <w:tc>
          <w:tcPr>
            <w:tcW w:w="8860" w:type="dxa"/>
            <w:vAlign w:val="bottom"/>
          </w:tcPr>
          <w:p>
            <w:pPr>
              <w:ind w:left="580"/>
              <w:spacing w:after="0" w:line="177" w:lineRule="exact"/>
              <w:rPr>
                <w:sz w:val="20"/>
                <w:szCs w:val="20"/>
                <w:color w:val="auto"/>
              </w:rPr>
            </w:pPr>
            <w:r>
              <w:rPr>
                <w:rFonts w:ascii="Times New Roman" w:cs="Times New Roman" w:eastAsia="Times New Roman" w:hAnsi="Times New Roman"/>
                <w:sz w:val="17"/>
                <w:szCs w:val="17"/>
                <w:color w:val="auto"/>
              </w:rPr>
              <w:t>stockholders who are present may adjourn the Annual Meeting until a quorum is present. If necessary, the time and</w:t>
            </w:r>
          </w:p>
        </w:tc>
      </w:tr>
      <w:tr>
        <w:trPr>
          <w:trHeight w:val="171"/>
        </w:trPr>
        <w:tc>
          <w:tcPr>
            <w:tcW w:w="2380" w:type="dxa"/>
            <w:vAlign w:val="bottom"/>
          </w:tcPr>
          <w:p>
            <w:pPr>
              <w:spacing w:after="0"/>
              <w:rPr>
                <w:sz w:val="14"/>
                <w:szCs w:val="14"/>
                <w:color w:val="auto"/>
              </w:rPr>
            </w:pPr>
          </w:p>
        </w:tc>
        <w:tc>
          <w:tcPr>
            <w:tcW w:w="8860" w:type="dxa"/>
            <w:vAlign w:val="bottom"/>
          </w:tcPr>
          <w:p>
            <w:pPr>
              <w:ind w:left="580"/>
              <w:spacing w:after="0" w:line="172" w:lineRule="exact"/>
              <w:rPr>
                <w:sz w:val="20"/>
                <w:szCs w:val="20"/>
                <w:color w:val="auto"/>
              </w:rPr>
            </w:pPr>
            <w:r>
              <w:rPr>
                <w:rFonts w:ascii="Times New Roman" w:cs="Times New Roman" w:eastAsia="Times New Roman" w:hAnsi="Times New Roman"/>
                <w:sz w:val="17"/>
                <w:szCs w:val="17"/>
                <w:color w:val="auto"/>
              </w:rPr>
              <w:t>place of the adjourned Annual Meeting will be announced at the time the adjournment is taken, and no other notice will</w:t>
            </w:r>
          </w:p>
        </w:tc>
      </w:tr>
      <w:tr>
        <w:trPr>
          <w:trHeight w:val="223"/>
        </w:trPr>
        <w:tc>
          <w:tcPr>
            <w:tcW w:w="2380" w:type="dxa"/>
            <w:vAlign w:val="bottom"/>
          </w:tcPr>
          <w:p>
            <w:pPr>
              <w:spacing w:after="0"/>
              <w:rPr>
                <w:sz w:val="19"/>
                <w:szCs w:val="19"/>
                <w:color w:val="auto"/>
              </w:rPr>
            </w:pPr>
          </w:p>
        </w:tc>
        <w:tc>
          <w:tcPr>
            <w:tcW w:w="88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be given. An adjournment will have no effect on the business that may be conducted at the Annual Meeting.</w:t>
            </w:r>
          </w:p>
        </w:tc>
      </w:tr>
      <w:tr>
        <w:trPr>
          <w:trHeight w:val="216"/>
        </w:trPr>
        <w:tc>
          <w:tcPr>
            <w:tcW w:w="238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177"/>
        </w:trPr>
        <w:tc>
          <w:tcPr>
            <w:tcW w:w="2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Stockholder List</w:t>
            </w:r>
          </w:p>
        </w:tc>
        <w:tc>
          <w:tcPr>
            <w:tcW w:w="8860" w:type="dxa"/>
            <w:vAlign w:val="bottom"/>
            <w:shd w:val="clear" w:color="auto" w:fill="CCEEFF"/>
          </w:tcPr>
          <w:p>
            <w:pPr>
              <w:ind w:left="580"/>
              <w:spacing w:after="0" w:line="177" w:lineRule="exact"/>
              <w:rPr>
                <w:sz w:val="20"/>
                <w:szCs w:val="20"/>
                <w:color w:val="auto"/>
              </w:rPr>
            </w:pPr>
            <w:r>
              <w:rPr>
                <w:rFonts w:ascii="Times New Roman" w:cs="Times New Roman" w:eastAsia="Times New Roman" w:hAnsi="Times New Roman"/>
                <w:sz w:val="17"/>
                <w:szCs w:val="17"/>
                <w:color w:val="auto"/>
              </w:rPr>
              <w:t>A list of registered stockholders as of the close of business on the Record Date will be open for examination by any</w:t>
            </w:r>
          </w:p>
        </w:tc>
      </w:tr>
      <w:tr>
        <w:trPr>
          <w:trHeight w:val="171"/>
        </w:trPr>
        <w:tc>
          <w:tcPr>
            <w:tcW w:w="2380" w:type="dxa"/>
            <w:vAlign w:val="bottom"/>
            <w:shd w:val="clear" w:color="auto" w:fill="CCEEFF"/>
          </w:tcPr>
          <w:p>
            <w:pPr>
              <w:spacing w:after="0"/>
              <w:rPr>
                <w:sz w:val="14"/>
                <w:szCs w:val="14"/>
                <w:color w:val="auto"/>
              </w:rPr>
            </w:pPr>
          </w:p>
        </w:tc>
        <w:tc>
          <w:tcPr>
            <w:tcW w:w="8860" w:type="dxa"/>
            <w:vAlign w:val="bottom"/>
            <w:shd w:val="clear" w:color="auto" w:fill="CCEEFF"/>
          </w:tcPr>
          <w:p>
            <w:pPr>
              <w:ind w:left="580"/>
              <w:spacing w:after="0" w:line="172" w:lineRule="exact"/>
              <w:rPr>
                <w:sz w:val="20"/>
                <w:szCs w:val="20"/>
                <w:color w:val="auto"/>
              </w:rPr>
            </w:pPr>
            <w:r>
              <w:rPr>
                <w:rFonts w:ascii="Times New Roman" w:cs="Times New Roman" w:eastAsia="Times New Roman" w:hAnsi="Times New Roman"/>
                <w:sz w:val="17"/>
                <w:szCs w:val="17"/>
                <w:color w:val="auto"/>
              </w:rPr>
              <w:t>stockholder for a period of ten days prior to the Annual Meeting for a purpose pertaining to the Meeting by sending an</w:t>
            </w:r>
          </w:p>
        </w:tc>
      </w:tr>
      <w:tr>
        <w:trPr>
          <w:trHeight w:val="168"/>
        </w:trPr>
        <w:tc>
          <w:tcPr>
            <w:tcW w:w="2380" w:type="dxa"/>
            <w:vAlign w:val="bottom"/>
            <w:shd w:val="clear" w:color="auto" w:fill="CCEEFF"/>
          </w:tcPr>
          <w:p>
            <w:pPr>
              <w:spacing w:after="0"/>
              <w:rPr>
                <w:sz w:val="14"/>
                <w:szCs w:val="14"/>
                <w:color w:val="auto"/>
              </w:rPr>
            </w:pPr>
          </w:p>
        </w:tc>
        <w:tc>
          <w:tcPr>
            <w:tcW w:w="8860" w:type="dxa"/>
            <w:vAlign w:val="bottom"/>
            <w:shd w:val="clear" w:color="auto" w:fill="CCEEFF"/>
          </w:tcPr>
          <w:p>
            <w:pPr>
              <w:ind w:left="580"/>
              <w:spacing w:after="0" w:line="167" w:lineRule="exact"/>
              <w:rPr>
                <w:sz w:val="20"/>
                <w:szCs w:val="20"/>
                <w:color w:val="auto"/>
              </w:rPr>
            </w:pPr>
            <w:r>
              <w:rPr>
                <w:rFonts w:ascii="Times New Roman" w:cs="Times New Roman" w:eastAsia="Times New Roman" w:hAnsi="Times New Roman"/>
                <w:sz w:val="17"/>
                <w:szCs w:val="17"/>
                <w:color w:val="auto"/>
              </w:rPr>
              <w:t>email to corp.secretary@vistagen.com, stating the purpose of the request and providing proof of ownership of our</w:t>
            </w:r>
          </w:p>
        </w:tc>
      </w:tr>
      <w:tr>
        <w:trPr>
          <w:trHeight w:val="177"/>
        </w:trPr>
        <w:tc>
          <w:tcPr>
            <w:tcW w:w="2380" w:type="dxa"/>
            <w:vAlign w:val="bottom"/>
            <w:shd w:val="clear" w:color="auto" w:fill="CCEEFF"/>
          </w:tcPr>
          <w:p>
            <w:pPr>
              <w:spacing w:after="0"/>
              <w:rPr>
                <w:sz w:val="15"/>
                <w:szCs w:val="15"/>
                <w:color w:val="auto"/>
              </w:rPr>
            </w:pPr>
          </w:p>
        </w:tc>
        <w:tc>
          <w:tcPr>
            <w:tcW w:w="8860" w:type="dxa"/>
            <w:vAlign w:val="bottom"/>
            <w:shd w:val="clear" w:color="auto" w:fill="CCEEFF"/>
          </w:tcPr>
          <w:p>
            <w:pPr>
              <w:ind w:left="580"/>
              <w:spacing w:after="0" w:line="177" w:lineRule="exact"/>
              <w:rPr>
                <w:sz w:val="20"/>
                <w:szCs w:val="20"/>
                <w:color w:val="auto"/>
              </w:rPr>
            </w:pPr>
            <w:r>
              <w:rPr>
                <w:rFonts w:ascii="Times New Roman" w:cs="Times New Roman" w:eastAsia="Times New Roman" w:hAnsi="Times New Roman"/>
                <w:sz w:val="17"/>
                <w:szCs w:val="17"/>
                <w:color w:val="auto"/>
              </w:rPr>
              <w:t>common stock. This list will also be available for examination by stockholders of record during the Annual Meeting</w:t>
            </w:r>
          </w:p>
        </w:tc>
      </w:tr>
      <w:tr>
        <w:trPr>
          <w:trHeight w:val="223"/>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webcast at: https://meetnow.global/MMRS64D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Attendance at Virtual Annual</w:t>
            </w: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We will host the Annual Meeting live and only online, via Internet webcast. You may attend the Annual Meeting</w:t>
            </w:r>
          </w:p>
        </w:tc>
      </w:tr>
      <w:tr>
        <w:trPr>
          <w:trHeight w:val="227"/>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Meeting</w:t>
            </w: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virtually by visiting the following web address: https://meetnow.global/MMRS64D</w:t>
            </w:r>
          </w:p>
        </w:tc>
      </w:tr>
      <w:tr>
        <w:trPr>
          <w:trHeight w:val="341"/>
        </w:trPr>
        <w:tc>
          <w:tcPr>
            <w:tcW w:w="2700" w:type="dxa"/>
            <w:vAlign w:val="bottom"/>
          </w:tcPr>
          <w:p>
            <w:pPr>
              <w:spacing w:after="0"/>
              <w:rPr>
                <w:sz w:val="24"/>
                <w:szCs w:val="2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Annual Meeting webcast will start at 9:00 am Pacific Daylight Time, on September 9, 2025.</w:t>
            </w:r>
          </w:p>
        </w:tc>
      </w:tr>
      <w:tr>
        <w:trPr>
          <w:trHeight w:val="512"/>
        </w:trPr>
        <w:tc>
          <w:tcPr>
            <w:tcW w:w="2700" w:type="dxa"/>
            <w:vAlign w:val="bottom"/>
          </w:tcPr>
          <w:p>
            <w:pPr>
              <w:spacing w:after="0"/>
              <w:rPr>
                <w:sz w:val="24"/>
                <w:szCs w:val="2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 attend the Annual Meeting virtually please go to https://meetnow.global/MMRS64D. You have the option to log in</w:t>
            </w:r>
          </w:p>
        </w:tc>
      </w:tr>
      <w:tr>
        <w:trPr>
          <w:trHeight w:val="171"/>
        </w:trPr>
        <w:tc>
          <w:tcPr>
            <w:tcW w:w="2700" w:type="dxa"/>
            <w:vAlign w:val="bottom"/>
          </w:tcPr>
          <w:p>
            <w:pPr>
              <w:spacing w:after="0"/>
              <w:rPr>
                <w:sz w:val="14"/>
                <w:szCs w:val="14"/>
                <w:color w:val="auto"/>
              </w:rPr>
            </w:pPr>
          </w:p>
        </w:tc>
        <w:tc>
          <w:tcPr>
            <w:tcW w:w="854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to the Annual Meeting as a “stockholder” with a control number or as a “guest.” If you are a stockholder of record (i.e.,</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if you hold your shares through Computershare, our registrar and transfer agent), you may log in to the Annual Meeting</w:t>
            </w:r>
          </w:p>
        </w:tc>
      </w:tr>
      <w:tr>
        <w:trPr>
          <w:trHeight w:val="177"/>
        </w:trPr>
        <w:tc>
          <w:tcPr>
            <w:tcW w:w="2700" w:type="dxa"/>
            <w:vAlign w:val="bottom"/>
          </w:tcPr>
          <w:p>
            <w:pPr>
              <w:spacing w:after="0"/>
              <w:rPr>
                <w:sz w:val="15"/>
                <w:szCs w:val="15"/>
                <w:color w:val="auto"/>
              </w:rPr>
            </w:pPr>
          </w:p>
        </w:tc>
        <w:tc>
          <w:tcPr>
            <w:tcW w:w="8540" w:type="dxa"/>
            <w:vAlign w:val="bottom"/>
          </w:tcPr>
          <w:p>
            <w:pPr>
              <w:ind w:left="260"/>
              <w:spacing w:after="0" w:line="177" w:lineRule="exact"/>
              <w:rPr>
                <w:sz w:val="20"/>
                <w:szCs w:val="20"/>
                <w:color w:val="auto"/>
              </w:rPr>
            </w:pPr>
            <w:r>
              <w:rPr>
                <w:rFonts w:ascii="Times New Roman" w:cs="Times New Roman" w:eastAsia="Times New Roman" w:hAnsi="Times New Roman"/>
                <w:sz w:val="17"/>
                <w:szCs w:val="17"/>
                <w:color w:val="auto"/>
              </w:rPr>
              <w:t>as a stockholder using the control number which can be found on your Notice and proxy card. If you are not a</w:t>
            </w:r>
          </w:p>
        </w:tc>
      </w:tr>
      <w:tr>
        <w:trPr>
          <w:trHeight w:val="171"/>
        </w:trPr>
        <w:tc>
          <w:tcPr>
            <w:tcW w:w="2700" w:type="dxa"/>
            <w:vAlign w:val="bottom"/>
          </w:tcPr>
          <w:p>
            <w:pPr>
              <w:spacing w:after="0"/>
              <w:rPr>
                <w:sz w:val="14"/>
                <w:szCs w:val="14"/>
                <w:color w:val="auto"/>
              </w:rPr>
            </w:pPr>
          </w:p>
        </w:tc>
        <w:tc>
          <w:tcPr>
            <w:tcW w:w="854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stockholder of record (i.e. if you do not hold your shares through Computershare), but hold shares through an</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intermediary, such as a bank or broker, trustee or nominee (sometimes referred to as holding in “street name”), you may</w:t>
            </w:r>
          </w:p>
        </w:tc>
      </w:tr>
      <w:tr>
        <w:trPr>
          <w:trHeight w:val="177"/>
        </w:trPr>
        <w:tc>
          <w:tcPr>
            <w:tcW w:w="2700" w:type="dxa"/>
            <w:vAlign w:val="bottom"/>
          </w:tcPr>
          <w:p>
            <w:pPr>
              <w:spacing w:after="0"/>
              <w:rPr>
                <w:sz w:val="15"/>
                <w:szCs w:val="15"/>
                <w:color w:val="auto"/>
              </w:rPr>
            </w:pPr>
          </w:p>
        </w:tc>
        <w:tc>
          <w:tcPr>
            <w:tcW w:w="8540" w:type="dxa"/>
            <w:vAlign w:val="bottom"/>
          </w:tcPr>
          <w:p>
            <w:pPr>
              <w:ind w:left="260"/>
              <w:spacing w:after="0" w:line="177" w:lineRule="exact"/>
              <w:rPr>
                <w:sz w:val="20"/>
                <w:szCs w:val="20"/>
                <w:color w:val="auto"/>
              </w:rPr>
            </w:pPr>
            <w:r>
              <w:rPr>
                <w:rFonts w:ascii="Times New Roman" w:cs="Times New Roman" w:eastAsia="Times New Roman" w:hAnsi="Times New Roman"/>
                <w:sz w:val="17"/>
                <w:szCs w:val="17"/>
                <w:color w:val="auto"/>
              </w:rPr>
              <w:t>attend the Annual Meeting as “guest” by entering your name and email address. As a guest, you will have access to the</w:t>
            </w:r>
          </w:p>
        </w:tc>
      </w:tr>
      <w:tr>
        <w:trPr>
          <w:trHeight w:val="171"/>
        </w:trPr>
        <w:tc>
          <w:tcPr>
            <w:tcW w:w="2700" w:type="dxa"/>
            <w:vAlign w:val="bottom"/>
          </w:tcPr>
          <w:p>
            <w:pPr>
              <w:spacing w:after="0"/>
              <w:rPr>
                <w:sz w:val="14"/>
                <w:szCs w:val="14"/>
                <w:color w:val="auto"/>
              </w:rPr>
            </w:pPr>
          </w:p>
        </w:tc>
        <w:tc>
          <w:tcPr>
            <w:tcW w:w="854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Annual Meeting materials and will be able to ask questions during the Annual Meeting, but you will not be able to vote</w:t>
            </w:r>
          </w:p>
        </w:tc>
      </w:tr>
      <w:tr>
        <w:trPr>
          <w:trHeight w:val="223"/>
        </w:trPr>
        <w:tc>
          <w:tcPr>
            <w:tcW w:w="270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during the Meeting.</w:t>
            </w:r>
          </w:p>
        </w:tc>
      </w:tr>
      <w:tr>
        <w:trPr>
          <w:trHeight w:val="293"/>
        </w:trPr>
        <w:tc>
          <w:tcPr>
            <w:tcW w:w="2700" w:type="dxa"/>
            <w:vAlign w:val="bottom"/>
          </w:tcPr>
          <w:p>
            <w:pPr>
              <w:spacing w:after="0"/>
              <w:rPr>
                <w:sz w:val="24"/>
                <w:szCs w:val="2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and you desire to vote during the Annual</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Meeting, you must register in advance to attend the Meeting virtually as a stockholder. To register to attend the Annual</w:t>
            </w:r>
          </w:p>
        </w:tc>
      </w:tr>
      <w:tr>
        <w:trPr>
          <w:trHeight w:val="177"/>
        </w:trPr>
        <w:tc>
          <w:tcPr>
            <w:tcW w:w="2700" w:type="dxa"/>
            <w:vAlign w:val="bottom"/>
          </w:tcPr>
          <w:p>
            <w:pPr>
              <w:spacing w:after="0"/>
              <w:rPr>
                <w:sz w:val="15"/>
                <w:szCs w:val="15"/>
                <w:color w:val="auto"/>
              </w:rPr>
            </w:pPr>
          </w:p>
        </w:tc>
        <w:tc>
          <w:tcPr>
            <w:tcW w:w="8540" w:type="dxa"/>
            <w:vAlign w:val="bottom"/>
          </w:tcPr>
          <w:p>
            <w:pPr>
              <w:ind w:left="260"/>
              <w:spacing w:after="0" w:line="177" w:lineRule="exact"/>
              <w:rPr>
                <w:sz w:val="20"/>
                <w:szCs w:val="20"/>
                <w:color w:val="auto"/>
              </w:rPr>
            </w:pPr>
            <w:r>
              <w:rPr>
                <w:rFonts w:ascii="Times New Roman" w:cs="Times New Roman" w:eastAsia="Times New Roman" w:hAnsi="Times New Roman"/>
                <w:sz w:val="17"/>
                <w:szCs w:val="17"/>
                <w:color w:val="auto"/>
              </w:rPr>
              <w:t>Meeting virtually as a stockholder, you must provide proof of beneficial ownership as of the Record Date, such as an</w:t>
            </w:r>
          </w:p>
        </w:tc>
      </w:tr>
      <w:tr>
        <w:trPr>
          <w:trHeight w:val="171"/>
        </w:trPr>
        <w:tc>
          <w:tcPr>
            <w:tcW w:w="2700" w:type="dxa"/>
            <w:vAlign w:val="bottom"/>
          </w:tcPr>
          <w:p>
            <w:pPr>
              <w:spacing w:after="0"/>
              <w:rPr>
                <w:sz w:val="14"/>
                <w:szCs w:val="14"/>
                <w:color w:val="auto"/>
              </w:rPr>
            </w:pPr>
          </w:p>
        </w:tc>
        <w:tc>
          <w:tcPr>
            <w:tcW w:w="854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account statement, legal proxy from your broker, or similar evidence of ownership along with your name and email</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address to Computershare. Requests for Annual Meeting registration of beneficial owners must be labeled as “Legal</w:t>
            </w:r>
          </w:p>
        </w:tc>
      </w:tr>
      <w:tr>
        <w:trPr>
          <w:trHeight w:val="177"/>
        </w:trPr>
        <w:tc>
          <w:tcPr>
            <w:tcW w:w="2700" w:type="dxa"/>
            <w:vAlign w:val="bottom"/>
          </w:tcPr>
          <w:p>
            <w:pPr>
              <w:spacing w:after="0"/>
              <w:rPr>
                <w:sz w:val="15"/>
                <w:szCs w:val="15"/>
                <w:color w:val="auto"/>
              </w:rPr>
            </w:pPr>
          </w:p>
        </w:tc>
        <w:tc>
          <w:tcPr>
            <w:tcW w:w="8540" w:type="dxa"/>
            <w:vAlign w:val="bottom"/>
          </w:tcPr>
          <w:p>
            <w:pPr>
              <w:ind w:left="260"/>
              <w:spacing w:after="0" w:line="177" w:lineRule="exact"/>
              <w:rPr>
                <w:sz w:val="20"/>
                <w:szCs w:val="20"/>
                <w:color w:val="auto"/>
              </w:rPr>
            </w:pPr>
            <w:r>
              <w:rPr>
                <w:rFonts w:ascii="Times New Roman" w:cs="Times New Roman" w:eastAsia="Times New Roman" w:hAnsi="Times New Roman"/>
                <w:sz w:val="17"/>
                <w:szCs w:val="17"/>
                <w:color w:val="auto"/>
              </w:rPr>
              <w:t>Proxy” and be received no later than 5:00 p.m., Eastern Daylight Time, on September 2, 2025. You will receive</w:t>
            </w:r>
          </w:p>
        </w:tc>
      </w:tr>
      <w:tr>
        <w:trPr>
          <w:trHeight w:val="171"/>
        </w:trPr>
        <w:tc>
          <w:tcPr>
            <w:tcW w:w="2700" w:type="dxa"/>
            <w:vAlign w:val="bottom"/>
          </w:tcPr>
          <w:p>
            <w:pPr>
              <w:spacing w:after="0"/>
              <w:rPr>
                <w:sz w:val="14"/>
                <w:szCs w:val="14"/>
                <w:color w:val="auto"/>
              </w:rPr>
            </w:pPr>
          </w:p>
        </w:tc>
        <w:tc>
          <w:tcPr>
            <w:tcW w:w="854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confirmation of your Annual Meeting registration by email after Computershare receives your registration materials.</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Requests for registration should be directed by email to legalproxy@computershare.com or by mail to Computershare,</w:t>
            </w:r>
          </w:p>
        </w:tc>
      </w:tr>
      <w:tr>
        <w:trPr>
          <w:trHeight w:val="168"/>
        </w:trPr>
        <w:tc>
          <w:tcPr>
            <w:tcW w:w="2700" w:type="dxa"/>
            <w:vAlign w:val="bottom"/>
          </w:tcPr>
          <w:p>
            <w:pPr>
              <w:spacing w:after="0"/>
              <w:rPr>
                <w:sz w:val="14"/>
                <w:szCs w:val="14"/>
                <w:color w:val="auto"/>
              </w:rPr>
            </w:pPr>
          </w:p>
        </w:tc>
        <w:tc>
          <w:tcPr>
            <w:tcW w:w="8540" w:type="dxa"/>
            <w:vAlign w:val="bottom"/>
          </w:tcPr>
          <w:p>
            <w:pPr>
              <w:ind w:left="260"/>
              <w:spacing w:after="0" w:line="167" w:lineRule="exact"/>
              <w:rPr>
                <w:sz w:val="20"/>
                <w:szCs w:val="20"/>
                <w:color w:val="auto"/>
              </w:rPr>
            </w:pPr>
            <w:r>
              <w:rPr>
                <w:rFonts w:ascii="Times New Roman" w:cs="Times New Roman" w:eastAsia="Times New Roman" w:hAnsi="Times New Roman"/>
                <w:sz w:val="17"/>
                <w:szCs w:val="17"/>
                <w:color w:val="auto"/>
              </w:rPr>
              <w:t>Vistagen Therapeutics, Inc. Legal Proxy, P.O. Box 43001, Providence, RI 02940-3001. You will receive a confirmation</w:t>
            </w:r>
          </w:p>
        </w:tc>
      </w:tr>
      <w:tr>
        <w:trPr>
          <w:trHeight w:val="177"/>
        </w:trPr>
        <w:tc>
          <w:tcPr>
            <w:tcW w:w="2700" w:type="dxa"/>
            <w:vAlign w:val="bottom"/>
          </w:tcPr>
          <w:p>
            <w:pPr>
              <w:spacing w:after="0"/>
              <w:rPr>
                <w:sz w:val="15"/>
                <w:szCs w:val="15"/>
                <w:color w:val="auto"/>
              </w:rPr>
            </w:pPr>
          </w:p>
        </w:tc>
        <w:tc>
          <w:tcPr>
            <w:tcW w:w="8540" w:type="dxa"/>
            <w:vAlign w:val="bottom"/>
          </w:tcPr>
          <w:p>
            <w:pPr>
              <w:ind w:left="260"/>
              <w:spacing w:after="0" w:line="177" w:lineRule="exact"/>
              <w:rPr>
                <w:sz w:val="20"/>
                <w:szCs w:val="20"/>
                <w:color w:val="auto"/>
              </w:rPr>
            </w:pPr>
            <w:r>
              <w:rPr>
                <w:rFonts w:ascii="Times New Roman" w:cs="Times New Roman" w:eastAsia="Times New Roman" w:hAnsi="Times New Roman"/>
                <w:sz w:val="17"/>
                <w:szCs w:val="17"/>
                <w:color w:val="auto"/>
              </w:rPr>
              <w:t>email from Computershare of your Annual Meeting registration and will receive a control number to enter the Meeting</w:t>
            </w:r>
          </w:p>
        </w:tc>
      </w:tr>
      <w:tr>
        <w:trPr>
          <w:trHeight w:val="223"/>
        </w:trPr>
        <w:tc>
          <w:tcPr>
            <w:tcW w:w="270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as a stockholder.</w:t>
            </w:r>
          </w:p>
        </w:tc>
      </w:tr>
      <w:tr>
        <w:trPr>
          <w:trHeight w:val="293"/>
        </w:trPr>
        <w:tc>
          <w:tcPr>
            <w:tcW w:w="2700" w:type="dxa"/>
            <w:vAlign w:val="bottom"/>
          </w:tcPr>
          <w:p>
            <w:pPr>
              <w:spacing w:after="0"/>
              <w:rPr>
                <w:sz w:val="24"/>
                <w:szCs w:val="2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Whether you attend the Annual Meeting virtually as a stockholder or as a guest, please allow yourself ample time for</w:t>
            </w:r>
          </w:p>
        </w:tc>
      </w:tr>
      <w:tr>
        <w:trPr>
          <w:trHeight w:val="223"/>
        </w:trPr>
        <w:tc>
          <w:tcPr>
            <w:tcW w:w="270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online check-in procedures.</w:t>
            </w:r>
          </w:p>
        </w:tc>
      </w:tr>
      <w:tr>
        <w:trPr>
          <w:trHeight w:val="219"/>
        </w:trPr>
        <w:tc>
          <w:tcPr>
            <w:tcW w:w="2700" w:type="dxa"/>
            <w:vAlign w:val="bottom"/>
          </w:tcPr>
          <w:p>
            <w:pPr>
              <w:spacing w:after="0"/>
              <w:rPr>
                <w:sz w:val="19"/>
                <w:szCs w:val="19"/>
                <w:color w:val="auto"/>
              </w:rPr>
            </w:pPr>
          </w:p>
        </w:tc>
        <w:tc>
          <w:tcPr>
            <w:tcW w:w="8540" w:type="dxa"/>
            <w:vAlign w:val="bottom"/>
          </w:tcPr>
          <w:p>
            <w:pPr>
              <w:spacing w:after="0"/>
              <w:rPr>
                <w:sz w:val="19"/>
                <w:szCs w:val="19"/>
                <w:color w:val="auto"/>
              </w:rPr>
            </w:pPr>
          </w:p>
        </w:tc>
      </w:tr>
      <w:tr>
        <w:trPr>
          <w:trHeight w:val="177"/>
        </w:trPr>
        <w:tc>
          <w:tcPr>
            <w:tcW w:w="2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Questions at the Annual Meeting</w:t>
            </w:r>
          </w:p>
        </w:tc>
        <w:tc>
          <w:tcPr>
            <w:tcW w:w="8540" w:type="dxa"/>
            <w:vAlign w:val="bottom"/>
            <w:shd w:val="clear" w:color="auto" w:fill="CCEEFF"/>
          </w:tcPr>
          <w:p>
            <w:pPr>
              <w:ind w:left="260"/>
              <w:spacing w:after="0" w:line="177" w:lineRule="exact"/>
              <w:rPr>
                <w:sz w:val="20"/>
                <w:szCs w:val="20"/>
                <w:color w:val="auto"/>
              </w:rPr>
            </w:pPr>
            <w:r>
              <w:rPr>
                <w:rFonts w:ascii="Times New Roman" w:cs="Times New Roman" w:eastAsia="Times New Roman" w:hAnsi="Times New Roman"/>
                <w:sz w:val="17"/>
                <w:szCs w:val="17"/>
                <w:color w:val="auto"/>
              </w:rPr>
              <w:t>If you wish to submit a question during the Annual Meeting, you may log in online, and ask a question on our virtual</w:t>
            </w:r>
          </w:p>
        </w:tc>
      </w:tr>
      <w:tr>
        <w:trPr>
          <w:trHeight w:val="223"/>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Annual Meeting platform at: https://meetnow.global/MMRS64D</w:t>
            </w:r>
          </w:p>
        </w:tc>
      </w:tr>
      <w:tr>
        <w:trPr>
          <w:trHeight w:val="293"/>
        </w:trPr>
        <w:tc>
          <w:tcPr>
            <w:tcW w:w="2700" w:type="dxa"/>
            <w:vAlign w:val="bottom"/>
            <w:shd w:val="clear" w:color="auto" w:fill="CCEEFF"/>
          </w:tcPr>
          <w:p>
            <w:pPr>
              <w:spacing w:after="0"/>
              <w:rPr>
                <w:sz w:val="24"/>
                <w:szCs w:val="24"/>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Our Annual Meeting will be governed by our Rules of Conduct which will be available on the virtual Meeting platform</w:t>
            </w:r>
          </w:p>
        </w:tc>
      </w:tr>
      <w:tr>
        <w:trPr>
          <w:trHeight w:val="171"/>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7"/>
                <w:szCs w:val="17"/>
                <w:color w:val="auto"/>
              </w:rPr>
              <w:t>during the Meeting. The Rules of Conduct will address the ability of stockholders to ask questions during the Annual</w:t>
            </w:r>
          </w:p>
        </w:tc>
      </w:tr>
      <w:tr>
        <w:trPr>
          <w:trHeight w:val="168"/>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7"/>
                <w:szCs w:val="17"/>
                <w:color w:val="auto"/>
              </w:rPr>
              <w:t>Meeting, including rules on permissible topics, and rules for how questions and comments will be recognized and</w:t>
            </w:r>
          </w:p>
        </w:tc>
      </w:tr>
      <w:tr>
        <w:trPr>
          <w:trHeight w:val="21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disclosed to Meeting participants.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7"/>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There are four ways a stockholder of record can vote:</w:t>
            </w:r>
          </w:p>
        </w:tc>
      </w:tr>
      <w:tr>
        <w:trPr>
          <w:trHeight w:val="293"/>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 By Internet: If you are a stockholder as of the Record Date, you may vote over the Internet by following the</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instructions provided in the Notice.</w:t>
            </w:r>
          </w:p>
        </w:tc>
      </w:tr>
      <w:tr>
        <w:trPr>
          <w:trHeight w:val="293"/>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 By Telephone: If you are a stockholder as of the Record Date, you may vote by telephone by following the</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instructions in the Notice.</w:t>
            </w:r>
          </w:p>
        </w:tc>
      </w:tr>
      <w:tr>
        <w:trPr>
          <w:trHeight w:val="293"/>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By Mail: If you requested printed copies of proxy materials and are a stockholder as of the Record Date, you may</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vote by mailing your proxy as described in the proxy materials.</w:t>
            </w:r>
          </w:p>
        </w:tc>
      </w:tr>
      <w:tr>
        <w:trPr>
          <w:trHeight w:val="293"/>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 During the Annual Meeting: The Annual Meeting will be held exclusively virtually via the Internet, and can only be</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accessed at: https://meetnow.global/MMRS64D</w:t>
            </w:r>
          </w:p>
        </w:tc>
      </w:tr>
      <w:tr>
        <w:trPr>
          <w:trHeight w:val="525"/>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Subject to the provisions applicable to other than holders of record as outlined above in the section entitled “Attendance</w:t>
            </w:r>
          </w:p>
        </w:tc>
      </w:tr>
      <w:tr>
        <w:trPr>
          <w:trHeight w:val="171"/>
        </w:trPr>
        <w:tc>
          <w:tcPr>
            <w:tcW w:w="2760" w:type="dxa"/>
            <w:vAlign w:val="bottom"/>
          </w:tcPr>
          <w:p>
            <w:pPr>
              <w:spacing w:after="0"/>
              <w:rPr>
                <w:sz w:val="14"/>
                <w:szCs w:val="14"/>
                <w:color w:val="auto"/>
              </w:rPr>
            </w:pPr>
          </w:p>
        </w:tc>
        <w:tc>
          <w:tcPr>
            <w:tcW w:w="8480" w:type="dxa"/>
            <w:vAlign w:val="bottom"/>
          </w:tcPr>
          <w:p>
            <w:pPr>
              <w:ind w:left="200"/>
              <w:spacing w:after="0" w:line="172" w:lineRule="exact"/>
              <w:rPr>
                <w:sz w:val="20"/>
                <w:szCs w:val="20"/>
                <w:color w:val="auto"/>
              </w:rPr>
            </w:pPr>
            <w:r>
              <w:rPr>
                <w:rFonts w:ascii="Times New Roman" w:cs="Times New Roman" w:eastAsia="Times New Roman" w:hAnsi="Times New Roman"/>
                <w:sz w:val="17"/>
                <w:szCs w:val="17"/>
                <w:color w:val="auto"/>
              </w:rPr>
              <w:t>at Annual Meeting,” if you are a stockholder as of the Record Date, you will have the ability to attend the Annual</w:t>
            </w:r>
          </w:p>
        </w:tc>
      </w:tr>
      <w:tr>
        <w:trPr>
          <w:trHeight w:val="168"/>
        </w:trPr>
        <w:tc>
          <w:tcPr>
            <w:tcW w:w="2760" w:type="dxa"/>
            <w:vAlign w:val="bottom"/>
          </w:tcPr>
          <w:p>
            <w:pPr>
              <w:spacing w:after="0"/>
              <w:rPr>
                <w:sz w:val="14"/>
                <w:szCs w:val="14"/>
                <w:color w:val="auto"/>
              </w:rPr>
            </w:pPr>
          </w:p>
        </w:tc>
        <w:tc>
          <w:tcPr>
            <w:tcW w:w="848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Meeting and vote online during the Meeting. Submitting a proxy will not prevent a stockholder from attending the</w:t>
            </w:r>
          </w:p>
        </w:tc>
      </w:tr>
      <w:tr>
        <w:trPr>
          <w:trHeight w:val="177"/>
        </w:trPr>
        <w:tc>
          <w:tcPr>
            <w:tcW w:w="2760" w:type="dxa"/>
            <w:vAlign w:val="bottom"/>
          </w:tcPr>
          <w:p>
            <w:pPr>
              <w:spacing w:after="0"/>
              <w:rPr>
                <w:sz w:val="15"/>
                <w:szCs w:val="15"/>
                <w:color w:val="auto"/>
              </w:rPr>
            </w:pPr>
          </w:p>
        </w:tc>
        <w:tc>
          <w:tcPr>
            <w:tcW w:w="8480" w:type="dxa"/>
            <w:vAlign w:val="bottom"/>
          </w:tcPr>
          <w:p>
            <w:pPr>
              <w:ind w:left="200"/>
              <w:spacing w:after="0" w:line="177" w:lineRule="exact"/>
              <w:rPr>
                <w:sz w:val="20"/>
                <w:szCs w:val="20"/>
                <w:color w:val="auto"/>
              </w:rPr>
            </w:pPr>
            <w:r>
              <w:rPr>
                <w:rFonts w:ascii="Times New Roman" w:cs="Times New Roman" w:eastAsia="Times New Roman" w:hAnsi="Times New Roman"/>
                <w:sz w:val="17"/>
                <w:szCs w:val="17"/>
                <w:color w:val="auto"/>
              </w:rPr>
              <w:t>Annual Meeting virtually, revoking an earlier-submitted proxy in accordance with the process outlined below and</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voting online during the Meeting.</w:t>
            </w:r>
          </w:p>
        </w:tc>
      </w:tr>
      <w:tr>
        <w:trPr>
          <w:trHeight w:val="280"/>
        </w:trPr>
        <w:tc>
          <w:tcPr>
            <w:tcW w:w="2760" w:type="dxa"/>
            <w:vAlign w:val="bottom"/>
          </w:tcPr>
          <w:p>
            <w:pPr>
              <w:spacing w:after="0"/>
              <w:rPr>
                <w:sz w:val="24"/>
                <w:szCs w:val="24"/>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 order to be counted, proxies submitted by telephone or via the Internet must be received by 11:59 p.m., Eastern</w:t>
            </w:r>
          </w:p>
        </w:tc>
      </w:tr>
      <w:tr>
        <w:trPr>
          <w:trHeight w:val="171"/>
        </w:trPr>
        <w:tc>
          <w:tcPr>
            <w:tcW w:w="2760" w:type="dxa"/>
            <w:vAlign w:val="bottom"/>
          </w:tcPr>
          <w:p>
            <w:pPr>
              <w:spacing w:after="0"/>
              <w:rPr>
                <w:sz w:val="14"/>
                <w:szCs w:val="14"/>
                <w:color w:val="auto"/>
              </w:rPr>
            </w:pPr>
          </w:p>
        </w:tc>
        <w:tc>
          <w:tcPr>
            <w:tcW w:w="8480" w:type="dxa"/>
            <w:vAlign w:val="bottom"/>
          </w:tcPr>
          <w:p>
            <w:pPr>
              <w:ind w:left="200"/>
              <w:spacing w:after="0" w:line="172" w:lineRule="exact"/>
              <w:rPr>
                <w:sz w:val="20"/>
                <w:szCs w:val="20"/>
                <w:color w:val="auto"/>
              </w:rPr>
            </w:pPr>
            <w:r>
              <w:rPr>
                <w:rFonts w:ascii="Times New Roman" w:cs="Times New Roman" w:eastAsia="Times New Roman" w:hAnsi="Times New Roman"/>
                <w:sz w:val="17"/>
                <w:szCs w:val="17"/>
                <w:color w:val="auto"/>
              </w:rPr>
              <w:t>Daylight Time, on September 8, 2025. Proxies submitted by U.S. mail must be received before the start of the Annual</w:t>
            </w:r>
          </w:p>
        </w:tc>
      </w:tr>
      <w:tr>
        <w:trPr>
          <w:trHeight w:val="223"/>
        </w:trPr>
        <w:tc>
          <w:tcPr>
            <w:tcW w:w="27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Meeting. If you hold your shares through a bank or broker, please follow their voting instructions.</w:t>
            </w:r>
          </w:p>
        </w:tc>
      </w:tr>
      <w:tr>
        <w:trPr>
          <w:trHeight w:val="203"/>
        </w:trPr>
        <w:tc>
          <w:tcPr>
            <w:tcW w:w="276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173"/>
        </w:trPr>
        <w:tc>
          <w:tcPr>
            <w:tcW w:w="27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Required Vote for Approval and</w:t>
            </w:r>
          </w:p>
        </w:tc>
        <w:tc>
          <w:tcPr>
            <w:tcW w:w="8480" w:type="dxa"/>
            <w:vAlign w:val="bottom"/>
            <w:shd w:val="clear" w:color="auto" w:fill="CCEEFF"/>
          </w:tcPr>
          <w:p>
            <w:pPr>
              <w:ind w:left="200"/>
              <w:spacing w:after="0" w:line="173" w:lineRule="exact"/>
              <w:rPr>
                <w:sz w:val="20"/>
                <w:szCs w:val="20"/>
                <w:color w:val="auto"/>
              </w:rPr>
            </w:pPr>
            <w:r>
              <w:rPr>
                <w:rFonts w:ascii="Times New Roman" w:cs="Times New Roman" w:eastAsia="Times New Roman" w:hAnsi="Times New Roman"/>
                <w:sz w:val="17"/>
                <w:szCs w:val="17"/>
                <w:i w:val="1"/>
                <w:iCs w:val="1"/>
                <w:color w:val="auto"/>
              </w:rPr>
              <w:t>Proposal No. 1: Election of Directors.</w:t>
            </w:r>
          </w:p>
        </w:tc>
      </w:tr>
      <w:tr>
        <w:trPr>
          <w:trHeight w:val="22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Board Recommendation</w:t>
            </w:r>
          </w:p>
        </w:tc>
        <w:tc>
          <w:tcPr>
            <w:tcW w:w="8480" w:type="dxa"/>
            <w:vAlign w:val="bottom"/>
            <w:shd w:val="clear" w:color="auto" w:fill="CCEEFF"/>
          </w:tcPr>
          <w:p>
            <w:pPr>
              <w:spacing w:after="0"/>
              <w:rPr>
                <w:sz w:val="19"/>
                <w:szCs w:val="19"/>
                <w:color w:val="auto"/>
              </w:rPr>
            </w:pPr>
          </w:p>
        </w:tc>
      </w:tr>
      <w:tr>
        <w:trPr>
          <w:trHeight w:val="180"/>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7"/>
                <w:szCs w:val="17"/>
                <w:color w:val="auto"/>
              </w:rPr>
              <w:t>Directors are elected by a plurality vote of the votes cast, either in person or represented by proxy, and entitled to vote</w:t>
            </w:r>
          </w:p>
        </w:tc>
      </w:tr>
      <w:tr>
        <w:trPr>
          <w:trHeight w:val="168"/>
        </w:trPr>
        <w:tc>
          <w:tcPr>
            <w:tcW w:w="2760" w:type="dxa"/>
            <w:vAlign w:val="bottom"/>
            <w:shd w:val="clear" w:color="auto" w:fill="CCEEFF"/>
          </w:tcPr>
          <w:p>
            <w:pPr>
              <w:spacing w:after="0"/>
              <w:rPr>
                <w:sz w:val="14"/>
                <w:szCs w:val="14"/>
                <w:color w:val="auto"/>
              </w:rPr>
            </w:pPr>
          </w:p>
        </w:tc>
        <w:tc>
          <w:tcPr>
            <w:tcW w:w="84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at the Annual Meeting. The six director nominees who receive the greatest number of “FOR” votes cast at the Annual</w:t>
            </w:r>
          </w:p>
        </w:tc>
      </w:tr>
      <w:tr>
        <w:trPr>
          <w:trHeight w:val="177"/>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Meeting by the shares present, either in person or by proxy, and entitled to vote will be elected to serve on our Board of</w:t>
            </w:r>
          </w:p>
        </w:tc>
      </w:tr>
      <w:tr>
        <w:trPr>
          <w:trHeight w:val="223"/>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Directors until our next annual meeting of stockholders, or until her or his successor is duly elected and qualified.</w:t>
            </w:r>
          </w:p>
        </w:tc>
      </w:tr>
      <w:tr>
        <w:trPr>
          <w:trHeight w:val="293"/>
        </w:trPr>
        <w:tc>
          <w:tcPr>
            <w:tcW w:w="2760" w:type="dxa"/>
            <w:vAlign w:val="bottom"/>
            <w:shd w:val="clear" w:color="auto" w:fill="CCEEFF"/>
          </w:tcPr>
          <w:p>
            <w:pPr>
              <w:spacing w:after="0"/>
              <w:rPr>
                <w:sz w:val="24"/>
                <w:szCs w:val="24"/>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Our Board unanimously recommends a vote “FOR” the election of each of our six director nominees, all of whom</w:t>
            </w:r>
          </w:p>
        </w:tc>
      </w:tr>
      <w:tr>
        <w:trPr>
          <w:trHeight w:val="171"/>
        </w:trPr>
        <w:tc>
          <w:tcPr>
            <w:tcW w:w="2760" w:type="dxa"/>
            <w:vAlign w:val="bottom"/>
            <w:shd w:val="clear" w:color="auto" w:fill="CCEEFF"/>
          </w:tcPr>
          <w:p>
            <w:pPr>
              <w:spacing w:after="0"/>
              <w:rPr>
                <w:sz w:val="14"/>
                <w:szCs w:val="14"/>
                <w:color w:val="auto"/>
              </w:rPr>
            </w:pPr>
          </w:p>
        </w:tc>
        <w:tc>
          <w:tcPr>
            <w:tcW w:w="84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7"/>
                <w:szCs w:val="17"/>
                <w:color w:val="auto"/>
              </w:rPr>
              <w:t>currently serve on our Board of Directors. Unless otherwise instructed or unless authority to vote is withheld, shares</w:t>
            </w:r>
          </w:p>
        </w:tc>
      </w:tr>
      <w:tr>
        <w:trPr>
          <w:trHeight w:val="223"/>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represented by executed proxies will be voted “FOR” the election of each of the six nominees.</w:t>
            </w:r>
          </w:p>
        </w:tc>
      </w:tr>
      <w:tr>
        <w:trPr>
          <w:trHeight w:val="660"/>
        </w:trPr>
        <w:tc>
          <w:tcPr>
            <w:tcW w:w="2760" w:type="dxa"/>
            <w:vAlign w:val="bottom"/>
            <w:shd w:val="clear" w:color="auto" w:fill="CCEEFF"/>
          </w:tcPr>
          <w:p>
            <w:pPr>
              <w:spacing w:after="0"/>
              <w:rPr>
                <w:sz w:val="24"/>
                <w:szCs w:val="24"/>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i w:val="1"/>
                <w:iCs w:val="1"/>
                <w:color w:val="auto"/>
              </w:rPr>
              <w:t>Proposal No. 2: Approval, on a Non-Binding Advisory Basis, of the Compensation Paid to our Named Executive</w:t>
            </w:r>
          </w:p>
        </w:tc>
      </w:tr>
      <w:tr>
        <w:trPr>
          <w:trHeight w:val="227"/>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i w:val="1"/>
                <w:iCs w:val="1"/>
                <w:color w:val="auto"/>
              </w:rPr>
              <w:t>Officers.</w:t>
            </w:r>
          </w:p>
        </w:tc>
      </w:tr>
      <w:tr>
        <w:trPr>
          <w:trHeight w:val="348"/>
        </w:trPr>
        <w:tc>
          <w:tcPr>
            <w:tcW w:w="2760" w:type="dxa"/>
            <w:vAlign w:val="bottom"/>
            <w:shd w:val="clear" w:color="auto" w:fill="CCEEFF"/>
          </w:tcPr>
          <w:p>
            <w:pPr>
              <w:spacing w:after="0"/>
              <w:rPr>
                <w:sz w:val="24"/>
                <w:szCs w:val="24"/>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This proposal calls for a non-binding, advisory vote regarding the compensation paid to our Named Executive Officers</w:t>
            </w:r>
          </w:p>
        </w:tc>
      </w:tr>
      <w:tr>
        <w:trPr>
          <w:trHeight w:val="177"/>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NEOs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Say-on-Pay</w:t>
            </w:r>
            <w:r>
              <w:rPr>
                <w:rFonts w:ascii="Times New Roman" w:cs="Times New Roman" w:eastAsia="Times New Roman" w:hAnsi="Times New Roman"/>
                <w:sz w:val="17"/>
                <w:szCs w:val="17"/>
                <w:color w:val="auto"/>
              </w:rPr>
              <w:t>). Accordingly, there is no required vote that would constitute approval of this proposal. However,</w:t>
            </w:r>
          </w:p>
        </w:tc>
      </w:tr>
      <w:tr>
        <w:trPr>
          <w:trHeight w:val="171"/>
        </w:trPr>
        <w:tc>
          <w:tcPr>
            <w:tcW w:w="2760" w:type="dxa"/>
            <w:vAlign w:val="bottom"/>
            <w:shd w:val="clear" w:color="auto" w:fill="CCEEFF"/>
          </w:tcPr>
          <w:p>
            <w:pPr>
              <w:spacing w:after="0"/>
              <w:rPr>
                <w:sz w:val="14"/>
                <w:szCs w:val="14"/>
                <w:color w:val="auto"/>
              </w:rPr>
            </w:pPr>
          </w:p>
        </w:tc>
        <w:tc>
          <w:tcPr>
            <w:tcW w:w="84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7"/>
                <w:szCs w:val="17"/>
                <w:color w:val="auto"/>
              </w:rPr>
              <w:t>our Board, including the Compensation Committee of our Board, values the opinions of our stockholders and will</w:t>
            </w:r>
          </w:p>
        </w:tc>
      </w:tr>
      <w:tr>
        <w:trPr>
          <w:trHeight w:val="168"/>
        </w:trPr>
        <w:tc>
          <w:tcPr>
            <w:tcW w:w="2760" w:type="dxa"/>
            <w:vAlign w:val="bottom"/>
            <w:shd w:val="clear" w:color="auto" w:fill="CCEEFF"/>
          </w:tcPr>
          <w:p>
            <w:pPr>
              <w:spacing w:after="0"/>
              <w:rPr>
                <w:sz w:val="14"/>
                <w:szCs w:val="14"/>
                <w:color w:val="auto"/>
              </w:rPr>
            </w:pPr>
          </w:p>
        </w:tc>
        <w:tc>
          <w:tcPr>
            <w:tcW w:w="84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7"/>
                <w:szCs w:val="17"/>
                <w:color w:val="auto"/>
              </w:rPr>
              <w:t>consider the result of the vote when making future decisions regarding our executive compensation policies and</w:t>
            </w:r>
          </w:p>
        </w:tc>
      </w:tr>
      <w:tr>
        <w:trPr>
          <w:trHeight w:val="177"/>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practices. The affirmative “FOR” vote of a majority of the votes cast, in person or by proxy, excluding abstentions, is</w:t>
            </w:r>
          </w:p>
        </w:tc>
      </w:tr>
      <w:tr>
        <w:trPr>
          <w:trHeight w:val="223"/>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required to approve this non-binding, advisory proposal.</w:t>
            </w:r>
          </w:p>
        </w:tc>
      </w:tr>
      <w:tr>
        <w:trPr>
          <w:trHeight w:val="348"/>
        </w:trPr>
        <w:tc>
          <w:tcPr>
            <w:tcW w:w="2760" w:type="dxa"/>
            <w:vAlign w:val="bottom"/>
            <w:shd w:val="clear" w:color="auto" w:fill="CCEEFF"/>
          </w:tcPr>
          <w:p>
            <w:pPr>
              <w:spacing w:after="0"/>
              <w:rPr>
                <w:sz w:val="24"/>
                <w:szCs w:val="24"/>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Our Board unanimously recommends a vote “FOR” this proposal. Unless otherwise instructed or unless authority to</w:t>
            </w:r>
          </w:p>
        </w:tc>
      </w:tr>
      <w:tr>
        <w:trPr>
          <w:trHeight w:val="177"/>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7"/>
                <w:szCs w:val="17"/>
                <w:color w:val="auto"/>
              </w:rPr>
              <w:t>vote is withheld, shares represented by executed proxies will be voted “FOR” the approval of this non-binding,</w:t>
            </w:r>
          </w:p>
        </w:tc>
      </w:tr>
      <w:tr>
        <w:trPr>
          <w:trHeight w:val="223"/>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advisory proposal.</w:t>
            </w:r>
          </w:p>
        </w:tc>
      </w:tr>
      <w:tr>
        <w:trPr>
          <w:trHeight w:val="232"/>
        </w:trPr>
        <w:tc>
          <w:tcPr>
            <w:tcW w:w="2760" w:type="dxa"/>
            <w:vAlign w:val="bottom"/>
            <w:shd w:val="clear" w:color="auto" w:fill="CCEEFF"/>
          </w:tcPr>
          <w:p>
            <w:pPr>
              <w:spacing w:after="0"/>
              <w:rPr>
                <w:sz w:val="20"/>
                <w:szCs w:val="20"/>
                <w:color w:val="auto"/>
              </w:rPr>
            </w:pPr>
          </w:p>
        </w:tc>
        <w:tc>
          <w:tcPr>
            <w:tcW w:w="84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439"/>
        </w:trPr>
        <w:tc>
          <w:tcPr>
            <w:tcW w:w="2580" w:type="dxa"/>
            <w:vAlign w:val="bottom"/>
            <w:shd w:val="clear" w:color="auto" w:fill="CCEEFF"/>
          </w:tcPr>
          <w:p>
            <w:pPr>
              <w:spacing w:after="0"/>
              <w:rPr>
                <w:sz w:val="24"/>
                <w:szCs w:val="24"/>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i w:val="1"/>
                <w:iCs w:val="1"/>
                <w:color w:val="auto"/>
              </w:rPr>
              <w:t>Proposal No. 3: Ratification of Appointment of our Independent Registered Public Accounting Firm.</w:t>
            </w:r>
          </w:p>
        </w:tc>
      </w:tr>
      <w:tr>
        <w:trPr>
          <w:trHeight w:val="348"/>
        </w:trPr>
        <w:tc>
          <w:tcPr>
            <w:tcW w:w="2580" w:type="dxa"/>
            <w:vAlign w:val="bottom"/>
            <w:shd w:val="clear" w:color="auto" w:fill="CCEEFF"/>
          </w:tcPr>
          <w:p>
            <w:pPr>
              <w:spacing w:after="0"/>
              <w:rPr>
                <w:sz w:val="24"/>
                <w:szCs w:val="24"/>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This proposal requests stockholders to ratify the appointment of KPMG LLP as our independent registered public</w:t>
            </w:r>
          </w:p>
        </w:tc>
      </w:tr>
      <w:tr>
        <w:trPr>
          <w:trHeight w:val="177"/>
        </w:trPr>
        <w:tc>
          <w:tcPr>
            <w:tcW w:w="2580" w:type="dxa"/>
            <w:vAlign w:val="bottom"/>
            <w:shd w:val="clear" w:color="auto" w:fill="CCEEFF"/>
          </w:tcPr>
          <w:p>
            <w:pPr>
              <w:spacing w:after="0"/>
              <w:rPr>
                <w:sz w:val="15"/>
                <w:szCs w:val="15"/>
                <w:color w:val="auto"/>
              </w:rPr>
            </w:pPr>
          </w:p>
        </w:tc>
        <w:tc>
          <w:tcPr>
            <w:tcW w:w="8660" w:type="dxa"/>
            <w:vAlign w:val="bottom"/>
            <w:shd w:val="clear" w:color="auto" w:fill="CCEEFF"/>
          </w:tcPr>
          <w:p>
            <w:pPr>
              <w:ind w:left="380"/>
              <w:spacing w:after="0" w:line="177" w:lineRule="exact"/>
              <w:rPr>
                <w:sz w:val="20"/>
                <w:szCs w:val="20"/>
                <w:color w:val="auto"/>
              </w:rPr>
            </w:pPr>
            <w:r>
              <w:rPr>
                <w:rFonts w:ascii="Times New Roman" w:cs="Times New Roman" w:eastAsia="Times New Roman" w:hAnsi="Times New Roman"/>
                <w:sz w:val="17"/>
                <w:szCs w:val="17"/>
                <w:color w:val="auto"/>
              </w:rPr>
              <w:t>accounting firm for our current fiscal year ending March 31, 2026. The affirmative “FOR” vote of a majority of the</w:t>
            </w:r>
          </w:p>
        </w:tc>
      </w:tr>
      <w:tr>
        <w:trPr>
          <w:trHeight w:val="171"/>
        </w:trPr>
        <w:tc>
          <w:tcPr>
            <w:tcW w:w="2580" w:type="dxa"/>
            <w:vAlign w:val="bottom"/>
            <w:shd w:val="clear" w:color="auto" w:fill="CCEEFF"/>
          </w:tcPr>
          <w:p>
            <w:pPr>
              <w:spacing w:after="0"/>
              <w:rPr>
                <w:sz w:val="14"/>
                <w:szCs w:val="14"/>
                <w:color w:val="auto"/>
              </w:rPr>
            </w:pPr>
          </w:p>
        </w:tc>
        <w:tc>
          <w:tcPr>
            <w:tcW w:w="866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7"/>
                <w:szCs w:val="17"/>
                <w:color w:val="auto"/>
              </w:rPr>
              <w:t>votes cast, either in person or by proxy at the Annual Meeting, excluding abstentions, is required for the ratification of</w:t>
            </w:r>
          </w:p>
        </w:tc>
      </w:tr>
      <w:tr>
        <w:trPr>
          <w:trHeight w:val="168"/>
        </w:trPr>
        <w:tc>
          <w:tcPr>
            <w:tcW w:w="2580" w:type="dxa"/>
            <w:vAlign w:val="bottom"/>
            <w:shd w:val="clear" w:color="auto" w:fill="CCEEFF"/>
          </w:tcPr>
          <w:p>
            <w:pPr>
              <w:spacing w:after="0"/>
              <w:rPr>
                <w:sz w:val="14"/>
                <w:szCs w:val="14"/>
                <w:color w:val="auto"/>
              </w:rPr>
            </w:pPr>
          </w:p>
        </w:tc>
        <w:tc>
          <w:tcPr>
            <w:tcW w:w="8660" w:type="dxa"/>
            <w:vAlign w:val="bottom"/>
            <w:shd w:val="clear" w:color="auto" w:fill="CCEEFF"/>
          </w:tcPr>
          <w:p>
            <w:pPr>
              <w:ind w:left="380"/>
              <w:spacing w:after="0" w:line="167" w:lineRule="exact"/>
              <w:rPr>
                <w:sz w:val="20"/>
                <w:szCs w:val="20"/>
                <w:color w:val="auto"/>
              </w:rPr>
            </w:pPr>
            <w:r>
              <w:rPr>
                <w:rFonts w:ascii="Times New Roman" w:cs="Times New Roman" w:eastAsia="Times New Roman" w:hAnsi="Times New Roman"/>
                <w:sz w:val="17"/>
                <w:szCs w:val="17"/>
                <w:color w:val="auto"/>
              </w:rPr>
              <w:t>the selection of KPMG LLP as our independent registered public accounting firm for our current fiscal year ending</w:t>
            </w:r>
          </w:p>
        </w:tc>
      </w:tr>
      <w:tr>
        <w:trPr>
          <w:trHeight w:val="223"/>
        </w:trPr>
        <w:tc>
          <w:tcPr>
            <w:tcW w:w="2580" w:type="dxa"/>
            <w:vAlign w:val="bottom"/>
            <w:shd w:val="clear" w:color="auto" w:fill="CCEEFF"/>
          </w:tcPr>
          <w:p>
            <w:pPr>
              <w:spacing w:after="0"/>
              <w:rPr>
                <w:sz w:val="19"/>
                <w:szCs w:val="19"/>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March 31, 2026.</w:t>
            </w:r>
          </w:p>
        </w:tc>
      </w:tr>
      <w:tr>
        <w:trPr>
          <w:trHeight w:val="293"/>
        </w:trPr>
        <w:tc>
          <w:tcPr>
            <w:tcW w:w="2580" w:type="dxa"/>
            <w:vAlign w:val="bottom"/>
            <w:shd w:val="clear" w:color="auto" w:fill="CCEEFF"/>
          </w:tcPr>
          <w:p>
            <w:pPr>
              <w:spacing w:after="0"/>
              <w:rPr>
                <w:sz w:val="24"/>
                <w:szCs w:val="24"/>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Our Board unanimously recommends a vote “FOR” this proposal. Unless otherwise instructed or unless authority to</w:t>
            </w:r>
          </w:p>
        </w:tc>
      </w:tr>
      <w:tr>
        <w:trPr>
          <w:trHeight w:val="177"/>
        </w:trPr>
        <w:tc>
          <w:tcPr>
            <w:tcW w:w="2580" w:type="dxa"/>
            <w:vAlign w:val="bottom"/>
            <w:shd w:val="clear" w:color="auto" w:fill="CCEEFF"/>
          </w:tcPr>
          <w:p>
            <w:pPr>
              <w:spacing w:after="0"/>
              <w:rPr>
                <w:sz w:val="15"/>
                <w:szCs w:val="15"/>
                <w:color w:val="auto"/>
              </w:rPr>
            </w:pPr>
          </w:p>
        </w:tc>
        <w:tc>
          <w:tcPr>
            <w:tcW w:w="8660" w:type="dxa"/>
            <w:vAlign w:val="bottom"/>
            <w:shd w:val="clear" w:color="auto" w:fill="CCEEFF"/>
          </w:tcPr>
          <w:p>
            <w:pPr>
              <w:ind w:left="380"/>
              <w:spacing w:after="0" w:line="177" w:lineRule="exact"/>
              <w:rPr>
                <w:sz w:val="20"/>
                <w:szCs w:val="20"/>
                <w:color w:val="auto"/>
              </w:rPr>
            </w:pPr>
            <w:r>
              <w:rPr>
                <w:rFonts w:ascii="Times New Roman" w:cs="Times New Roman" w:eastAsia="Times New Roman" w:hAnsi="Times New Roman"/>
                <w:sz w:val="17"/>
                <w:szCs w:val="17"/>
                <w:color w:val="auto"/>
              </w:rPr>
              <w:t>vote is withheld, shares represented by executed proxies will be voted “FOR” the ratification of the selection of KPMG</w:t>
            </w:r>
          </w:p>
        </w:tc>
      </w:tr>
      <w:tr>
        <w:trPr>
          <w:trHeight w:val="223"/>
        </w:trPr>
        <w:tc>
          <w:tcPr>
            <w:tcW w:w="2580" w:type="dxa"/>
            <w:vAlign w:val="bottom"/>
            <w:shd w:val="clear" w:color="auto" w:fill="CCEEFF"/>
          </w:tcPr>
          <w:p>
            <w:pPr>
              <w:spacing w:after="0"/>
              <w:rPr>
                <w:sz w:val="19"/>
                <w:szCs w:val="19"/>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LLP as our independent registered public accounting firm for our current fiscal year ending March 31, 2026.</w:t>
            </w:r>
          </w:p>
        </w:tc>
      </w:tr>
      <w:tr>
        <w:trPr>
          <w:trHeight w:val="483"/>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Abstentions and Broker Non-</w:t>
            </w: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All votes will be tabulated by the inspector of election appointed for the Annual Meeting, who will separately tabulate</w:t>
            </w: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Votes</w:t>
            </w:r>
          </w:p>
        </w:tc>
        <w:tc>
          <w:tcPr>
            <w:tcW w:w="8660" w:type="dxa"/>
            <w:vAlign w:val="bottom"/>
          </w:tcPr>
          <w:p>
            <w:pPr>
              <w:ind w:left="380"/>
              <w:spacing w:after="0" w:line="176" w:lineRule="exact"/>
              <w:rPr>
                <w:sz w:val="20"/>
                <w:szCs w:val="20"/>
                <w:color w:val="auto"/>
              </w:rPr>
            </w:pPr>
            <w:r>
              <w:rPr>
                <w:rFonts w:ascii="Times New Roman" w:cs="Times New Roman" w:eastAsia="Times New Roman" w:hAnsi="Times New Roman"/>
                <w:sz w:val="17"/>
                <w:szCs w:val="17"/>
                <w:color w:val="auto"/>
              </w:rPr>
              <w:t>affirmative and negative votes, abstentions and broker non-votes. An abstention (or a vote to “WITHHOLD” for</w:t>
            </w:r>
          </w:p>
        </w:tc>
      </w:tr>
      <w:tr>
        <w:trPr>
          <w:trHeight w:val="168"/>
        </w:trPr>
        <w:tc>
          <w:tcPr>
            <w:tcW w:w="2580" w:type="dxa"/>
            <w:vAlign w:val="bottom"/>
          </w:tcPr>
          <w:p>
            <w:pPr>
              <w:spacing w:after="0"/>
              <w:rPr>
                <w:sz w:val="14"/>
                <w:szCs w:val="14"/>
                <w:color w:val="auto"/>
              </w:rPr>
            </w:pPr>
          </w:p>
        </w:tc>
        <w:tc>
          <w:tcPr>
            <w:tcW w:w="8660" w:type="dxa"/>
            <w:vAlign w:val="bottom"/>
          </w:tcPr>
          <w:p>
            <w:pPr>
              <w:ind w:left="380"/>
              <w:spacing w:after="0" w:line="167" w:lineRule="exact"/>
              <w:rPr>
                <w:sz w:val="20"/>
                <w:szCs w:val="20"/>
                <w:color w:val="auto"/>
              </w:rPr>
            </w:pPr>
            <w:r>
              <w:rPr>
                <w:rFonts w:ascii="Times New Roman" w:cs="Times New Roman" w:eastAsia="Times New Roman" w:hAnsi="Times New Roman"/>
                <w:sz w:val="17"/>
                <w:szCs w:val="17"/>
                <w:color w:val="auto"/>
              </w:rPr>
              <w:t>purposes of the election of directors) is the voluntary act of not voting by a stockholder who is present at a meeting and</w:t>
            </w:r>
          </w:p>
        </w:tc>
      </w:tr>
      <w:tr>
        <w:trPr>
          <w:trHeight w:val="177"/>
        </w:trPr>
        <w:tc>
          <w:tcPr>
            <w:tcW w:w="2580" w:type="dxa"/>
            <w:vAlign w:val="bottom"/>
          </w:tcPr>
          <w:p>
            <w:pPr>
              <w:spacing w:after="0"/>
              <w:rPr>
                <w:sz w:val="15"/>
                <w:szCs w:val="15"/>
                <w:color w:val="auto"/>
              </w:rPr>
            </w:pPr>
          </w:p>
        </w:tc>
        <w:tc>
          <w:tcPr>
            <w:tcW w:w="8660" w:type="dxa"/>
            <w:vAlign w:val="bottom"/>
          </w:tcPr>
          <w:p>
            <w:pPr>
              <w:ind w:left="380"/>
              <w:spacing w:after="0" w:line="177" w:lineRule="exact"/>
              <w:rPr>
                <w:sz w:val="20"/>
                <w:szCs w:val="20"/>
                <w:color w:val="auto"/>
              </w:rPr>
            </w:pPr>
            <w:r>
              <w:rPr>
                <w:rFonts w:ascii="Times New Roman" w:cs="Times New Roman" w:eastAsia="Times New Roman" w:hAnsi="Times New Roman"/>
                <w:sz w:val="17"/>
                <w:szCs w:val="17"/>
                <w:color w:val="auto"/>
              </w:rPr>
              <w:t>entitled to vote. A broker “non-vote” occurs when a broker nominee holding shares for a beneficial owner does not vote</w:t>
            </w:r>
          </w:p>
        </w:tc>
      </w:tr>
      <w:tr>
        <w:trPr>
          <w:trHeight w:val="171"/>
        </w:trPr>
        <w:tc>
          <w:tcPr>
            <w:tcW w:w="2580" w:type="dxa"/>
            <w:vAlign w:val="bottom"/>
          </w:tcPr>
          <w:p>
            <w:pPr>
              <w:spacing w:after="0"/>
              <w:rPr>
                <w:sz w:val="14"/>
                <w:szCs w:val="14"/>
                <w:color w:val="auto"/>
              </w:rPr>
            </w:pPr>
          </w:p>
        </w:tc>
        <w:tc>
          <w:tcPr>
            <w:tcW w:w="8660" w:type="dxa"/>
            <w:vAlign w:val="bottom"/>
          </w:tcPr>
          <w:p>
            <w:pPr>
              <w:ind w:left="380"/>
              <w:spacing w:after="0" w:line="172" w:lineRule="exact"/>
              <w:rPr>
                <w:sz w:val="20"/>
                <w:szCs w:val="20"/>
                <w:color w:val="auto"/>
              </w:rPr>
            </w:pPr>
            <w:r>
              <w:rPr>
                <w:rFonts w:ascii="Times New Roman" w:cs="Times New Roman" w:eastAsia="Times New Roman" w:hAnsi="Times New Roman"/>
                <w:sz w:val="17"/>
                <w:szCs w:val="17"/>
                <w:color w:val="auto"/>
              </w:rPr>
              <w:t>on a particular proposal because the nominee does not have discretionary power for that particular item and has not</w:t>
            </w:r>
          </w:p>
        </w:tc>
      </w:tr>
      <w:tr>
        <w:trPr>
          <w:trHeight w:val="168"/>
        </w:trPr>
        <w:tc>
          <w:tcPr>
            <w:tcW w:w="2580" w:type="dxa"/>
            <w:vAlign w:val="bottom"/>
          </w:tcPr>
          <w:p>
            <w:pPr>
              <w:spacing w:after="0"/>
              <w:rPr>
                <w:sz w:val="14"/>
                <w:szCs w:val="14"/>
                <w:color w:val="auto"/>
              </w:rPr>
            </w:pPr>
          </w:p>
        </w:tc>
        <w:tc>
          <w:tcPr>
            <w:tcW w:w="8660" w:type="dxa"/>
            <w:vAlign w:val="bottom"/>
          </w:tcPr>
          <w:p>
            <w:pPr>
              <w:ind w:left="380"/>
              <w:spacing w:after="0" w:line="167" w:lineRule="exact"/>
              <w:rPr>
                <w:sz w:val="20"/>
                <w:szCs w:val="20"/>
                <w:color w:val="auto"/>
              </w:rPr>
            </w:pPr>
            <w:r>
              <w:rPr>
                <w:rFonts w:ascii="Times New Roman" w:cs="Times New Roman" w:eastAsia="Times New Roman" w:hAnsi="Times New Roman"/>
                <w:sz w:val="17"/>
                <w:szCs w:val="17"/>
                <w:color w:val="auto"/>
              </w:rPr>
              <w:t>received instructions from the beneficial owner. If you hold your shares in “street name” through a broker, brokerage</w:t>
            </w:r>
          </w:p>
        </w:tc>
      </w:tr>
      <w:tr>
        <w:trPr>
          <w:trHeight w:val="177"/>
        </w:trPr>
        <w:tc>
          <w:tcPr>
            <w:tcW w:w="2580" w:type="dxa"/>
            <w:vAlign w:val="bottom"/>
          </w:tcPr>
          <w:p>
            <w:pPr>
              <w:spacing w:after="0"/>
              <w:rPr>
                <w:sz w:val="15"/>
                <w:szCs w:val="15"/>
                <w:color w:val="auto"/>
              </w:rPr>
            </w:pPr>
          </w:p>
        </w:tc>
        <w:tc>
          <w:tcPr>
            <w:tcW w:w="8660" w:type="dxa"/>
            <w:vAlign w:val="bottom"/>
          </w:tcPr>
          <w:p>
            <w:pPr>
              <w:ind w:left="380"/>
              <w:spacing w:after="0" w:line="177" w:lineRule="exact"/>
              <w:rPr>
                <w:sz w:val="20"/>
                <w:szCs w:val="20"/>
                <w:color w:val="auto"/>
              </w:rPr>
            </w:pPr>
            <w:r>
              <w:rPr>
                <w:rFonts w:ascii="Times New Roman" w:cs="Times New Roman" w:eastAsia="Times New Roman" w:hAnsi="Times New Roman"/>
                <w:sz w:val="17"/>
                <w:szCs w:val="17"/>
                <w:color w:val="auto"/>
              </w:rPr>
              <w:t>firm or other nominee, your broker, brokerage firm or nominee may not be permitted to exercise voting discretion with</w:t>
            </w:r>
          </w:p>
        </w:tc>
      </w:tr>
      <w:tr>
        <w:trPr>
          <w:trHeight w:val="171"/>
        </w:trPr>
        <w:tc>
          <w:tcPr>
            <w:tcW w:w="2580" w:type="dxa"/>
            <w:vAlign w:val="bottom"/>
          </w:tcPr>
          <w:p>
            <w:pPr>
              <w:spacing w:after="0"/>
              <w:rPr>
                <w:sz w:val="14"/>
                <w:szCs w:val="14"/>
                <w:color w:val="auto"/>
              </w:rPr>
            </w:pPr>
          </w:p>
        </w:tc>
        <w:tc>
          <w:tcPr>
            <w:tcW w:w="8660" w:type="dxa"/>
            <w:vAlign w:val="bottom"/>
          </w:tcPr>
          <w:p>
            <w:pPr>
              <w:ind w:left="380"/>
              <w:spacing w:after="0" w:line="172" w:lineRule="exact"/>
              <w:rPr>
                <w:sz w:val="20"/>
                <w:szCs w:val="20"/>
                <w:color w:val="auto"/>
              </w:rPr>
            </w:pPr>
            <w:r>
              <w:rPr>
                <w:rFonts w:ascii="Times New Roman" w:cs="Times New Roman" w:eastAsia="Times New Roman" w:hAnsi="Times New Roman"/>
                <w:sz w:val="17"/>
                <w:szCs w:val="17"/>
                <w:color w:val="auto"/>
              </w:rPr>
              <w:t>respect to some of the matters to be acted upon. If you do not give your broker, brokerage firm or nominee specific</w:t>
            </w:r>
          </w:p>
        </w:tc>
      </w:tr>
      <w:tr>
        <w:trPr>
          <w:trHeight w:val="223"/>
        </w:trPr>
        <w:tc>
          <w:tcPr>
            <w:tcW w:w="2580" w:type="dxa"/>
            <w:vAlign w:val="bottom"/>
          </w:tcPr>
          <w:p>
            <w:pPr>
              <w:spacing w:after="0"/>
              <w:rPr>
                <w:sz w:val="19"/>
                <w:szCs w:val="19"/>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instructions regarding such matters, your proxy will be deemed a “broker non-vote.”</w:t>
            </w:r>
          </w:p>
        </w:tc>
      </w:tr>
      <w:tr>
        <w:trPr>
          <w:trHeight w:val="293"/>
        </w:trPr>
        <w:tc>
          <w:tcPr>
            <w:tcW w:w="2580" w:type="dxa"/>
            <w:vAlign w:val="bottom"/>
          </w:tcPr>
          <w:p>
            <w:pPr>
              <w:spacing w:after="0"/>
              <w:rPr>
                <w:sz w:val="24"/>
                <w:szCs w:val="24"/>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As noted above, the six director nominees identified under Proposal No. 1 who receive the most “FOR” votes at the</w:t>
            </w:r>
          </w:p>
        </w:tc>
      </w:tr>
      <w:tr>
        <w:trPr>
          <w:trHeight w:val="168"/>
        </w:trPr>
        <w:tc>
          <w:tcPr>
            <w:tcW w:w="2580" w:type="dxa"/>
            <w:vAlign w:val="bottom"/>
          </w:tcPr>
          <w:p>
            <w:pPr>
              <w:spacing w:after="0"/>
              <w:rPr>
                <w:sz w:val="14"/>
                <w:szCs w:val="14"/>
                <w:color w:val="auto"/>
              </w:rPr>
            </w:pPr>
          </w:p>
        </w:tc>
        <w:tc>
          <w:tcPr>
            <w:tcW w:w="8660" w:type="dxa"/>
            <w:vAlign w:val="bottom"/>
          </w:tcPr>
          <w:p>
            <w:pPr>
              <w:ind w:left="380"/>
              <w:spacing w:after="0" w:line="167" w:lineRule="exact"/>
              <w:rPr>
                <w:sz w:val="20"/>
                <w:szCs w:val="20"/>
                <w:color w:val="auto"/>
              </w:rPr>
            </w:pPr>
            <w:r>
              <w:rPr>
                <w:rFonts w:ascii="Times New Roman" w:cs="Times New Roman" w:eastAsia="Times New Roman" w:hAnsi="Times New Roman"/>
                <w:sz w:val="17"/>
                <w:szCs w:val="17"/>
                <w:color w:val="auto"/>
              </w:rPr>
              <w:t>Annual Meeting will be elected to serve on our Board of Directors until our next annual meeting of stockholders, or</w:t>
            </w:r>
          </w:p>
        </w:tc>
      </w:tr>
      <w:tr>
        <w:trPr>
          <w:trHeight w:val="177"/>
        </w:trPr>
        <w:tc>
          <w:tcPr>
            <w:tcW w:w="2580" w:type="dxa"/>
            <w:vAlign w:val="bottom"/>
          </w:tcPr>
          <w:p>
            <w:pPr>
              <w:spacing w:after="0"/>
              <w:rPr>
                <w:sz w:val="15"/>
                <w:szCs w:val="15"/>
                <w:color w:val="auto"/>
              </w:rPr>
            </w:pPr>
          </w:p>
        </w:tc>
        <w:tc>
          <w:tcPr>
            <w:tcW w:w="8660" w:type="dxa"/>
            <w:vAlign w:val="bottom"/>
          </w:tcPr>
          <w:p>
            <w:pPr>
              <w:ind w:left="380"/>
              <w:spacing w:after="0" w:line="177" w:lineRule="exact"/>
              <w:rPr>
                <w:sz w:val="20"/>
                <w:szCs w:val="20"/>
                <w:color w:val="auto"/>
              </w:rPr>
            </w:pPr>
            <w:r>
              <w:rPr>
                <w:rFonts w:ascii="Times New Roman" w:cs="Times New Roman" w:eastAsia="Times New Roman" w:hAnsi="Times New Roman"/>
                <w:sz w:val="17"/>
                <w:szCs w:val="17"/>
                <w:color w:val="auto"/>
              </w:rPr>
              <w:t>until her or his successor is duly elected and qualified. As such, we expect that votes marked “WITHHOLD” and</w:t>
            </w:r>
          </w:p>
        </w:tc>
      </w:tr>
      <w:tr>
        <w:trPr>
          <w:trHeight w:val="223"/>
        </w:trPr>
        <w:tc>
          <w:tcPr>
            <w:tcW w:w="2580" w:type="dxa"/>
            <w:vAlign w:val="bottom"/>
          </w:tcPr>
          <w:p>
            <w:pPr>
              <w:spacing w:after="0"/>
              <w:rPr>
                <w:sz w:val="19"/>
                <w:szCs w:val="19"/>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broker non-votes will have no effect on the outcome of Proposal No. 1.</w:t>
            </w:r>
          </w:p>
        </w:tc>
      </w:tr>
      <w:tr>
        <w:trPr>
          <w:trHeight w:val="293"/>
        </w:trPr>
        <w:tc>
          <w:tcPr>
            <w:tcW w:w="2580" w:type="dxa"/>
            <w:vAlign w:val="bottom"/>
          </w:tcPr>
          <w:p>
            <w:pPr>
              <w:spacing w:after="0"/>
              <w:rPr>
                <w:sz w:val="24"/>
                <w:szCs w:val="24"/>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xml:space="preserve">Under Nevada law and our Second Amended and Restated Bylaws, as amended (our </w:t>
            </w:r>
            <w:r>
              <w:rPr>
                <w:rFonts w:ascii="Times New Roman" w:cs="Times New Roman" w:eastAsia="Times New Roman" w:hAnsi="Times New Roman"/>
                <w:sz w:val="17"/>
                <w:szCs w:val="17"/>
                <w:i w:val="1"/>
                <w:iCs w:val="1"/>
                <w:color w:val="auto"/>
              </w:rPr>
              <w:t>Bylaws</w:t>
            </w:r>
            <w:r>
              <w:rPr>
                <w:rFonts w:ascii="Times New Roman" w:cs="Times New Roman" w:eastAsia="Times New Roman" w:hAnsi="Times New Roman"/>
                <w:sz w:val="17"/>
                <w:szCs w:val="17"/>
                <w:color w:val="auto"/>
              </w:rPr>
              <w:t>), Proposal Nos. 2 and 3</w:t>
            </w:r>
          </w:p>
        </w:tc>
      </w:tr>
      <w:tr>
        <w:trPr>
          <w:trHeight w:val="171"/>
        </w:trPr>
        <w:tc>
          <w:tcPr>
            <w:tcW w:w="2580" w:type="dxa"/>
            <w:vAlign w:val="bottom"/>
          </w:tcPr>
          <w:p>
            <w:pPr>
              <w:spacing w:after="0"/>
              <w:rPr>
                <w:sz w:val="14"/>
                <w:szCs w:val="14"/>
                <w:color w:val="auto"/>
              </w:rPr>
            </w:pPr>
          </w:p>
        </w:tc>
        <w:tc>
          <w:tcPr>
            <w:tcW w:w="8660" w:type="dxa"/>
            <w:vAlign w:val="bottom"/>
          </w:tcPr>
          <w:p>
            <w:pPr>
              <w:ind w:left="380"/>
              <w:spacing w:after="0" w:line="172" w:lineRule="exact"/>
              <w:rPr>
                <w:sz w:val="20"/>
                <w:szCs w:val="20"/>
                <w:color w:val="auto"/>
              </w:rPr>
            </w:pPr>
            <w:r>
              <w:rPr>
                <w:rFonts w:ascii="Times New Roman" w:cs="Times New Roman" w:eastAsia="Times New Roman" w:hAnsi="Times New Roman"/>
                <w:sz w:val="17"/>
                <w:szCs w:val="17"/>
                <w:color w:val="auto"/>
              </w:rPr>
              <w:t>will each be determined by the vote of the holders of a majority of the votes cast by those present at the Annual</w:t>
            </w:r>
          </w:p>
        </w:tc>
      </w:tr>
      <w:tr>
        <w:trPr>
          <w:trHeight w:val="168"/>
        </w:trPr>
        <w:tc>
          <w:tcPr>
            <w:tcW w:w="2580" w:type="dxa"/>
            <w:vAlign w:val="bottom"/>
          </w:tcPr>
          <w:p>
            <w:pPr>
              <w:spacing w:after="0"/>
              <w:rPr>
                <w:sz w:val="14"/>
                <w:szCs w:val="14"/>
                <w:color w:val="auto"/>
              </w:rPr>
            </w:pPr>
          </w:p>
        </w:tc>
        <w:tc>
          <w:tcPr>
            <w:tcW w:w="8660" w:type="dxa"/>
            <w:vAlign w:val="bottom"/>
          </w:tcPr>
          <w:p>
            <w:pPr>
              <w:ind w:left="380"/>
              <w:spacing w:after="0" w:line="167" w:lineRule="exact"/>
              <w:rPr>
                <w:sz w:val="20"/>
                <w:szCs w:val="20"/>
                <w:color w:val="auto"/>
              </w:rPr>
            </w:pPr>
            <w:r>
              <w:rPr>
                <w:rFonts w:ascii="Times New Roman" w:cs="Times New Roman" w:eastAsia="Times New Roman" w:hAnsi="Times New Roman"/>
                <w:sz w:val="17"/>
                <w:szCs w:val="17"/>
                <w:color w:val="auto"/>
              </w:rPr>
              <w:t>Meeting or by proxy (meaning the number of shares voted “FOR” a proposal must exceed the number of shares voted</w:t>
            </w:r>
          </w:p>
        </w:tc>
      </w:tr>
      <w:tr>
        <w:trPr>
          <w:trHeight w:val="168"/>
        </w:trPr>
        <w:tc>
          <w:tcPr>
            <w:tcW w:w="2580" w:type="dxa"/>
            <w:vAlign w:val="bottom"/>
          </w:tcPr>
          <w:p>
            <w:pPr>
              <w:spacing w:after="0"/>
              <w:rPr>
                <w:sz w:val="14"/>
                <w:szCs w:val="14"/>
                <w:color w:val="auto"/>
              </w:rPr>
            </w:pPr>
          </w:p>
        </w:tc>
        <w:tc>
          <w:tcPr>
            <w:tcW w:w="8660" w:type="dxa"/>
            <w:vAlign w:val="bottom"/>
          </w:tcPr>
          <w:p>
            <w:pPr>
              <w:ind w:left="380"/>
              <w:spacing w:after="0" w:line="167" w:lineRule="exact"/>
              <w:rPr>
                <w:sz w:val="20"/>
                <w:szCs w:val="20"/>
                <w:color w:val="auto"/>
              </w:rPr>
            </w:pPr>
            <w:r>
              <w:rPr>
                <w:rFonts w:ascii="Times New Roman" w:cs="Times New Roman" w:eastAsia="Times New Roman" w:hAnsi="Times New Roman"/>
                <w:sz w:val="17"/>
                <w:szCs w:val="17"/>
                <w:color w:val="auto"/>
              </w:rPr>
              <w:t>“AGAINST” each such proposal). For these matters, we expect that abstentions and any broker non-votes cast will not</w:t>
            </w:r>
          </w:p>
        </w:tc>
      </w:tr>
      <w:tr>
        <w:trPr>
          <w:trHeight w:val="177"/>
        </w:trPr>
        <w:tc>
          <w:tcPr>
            <w:tcW w:w="2580" w:type="dxa"/>
            <w:vAlign w:val="bottom"/>
          </w:tcPr>
          <w:p>
            <w:pPr>
              <w:spacing w:after="0"/>
              <w:rPr>
                <w:sz w:val="15"/>
                <w:szCs w:val="15"/>
                <w:color w:val="auto"/>
              </w:rPr>
            </w:pPr>
          </w:p>
        </w:tc>
        <w:tc>
          <w:tcPr>
            <w:tcW w:w="8660" w:type="dxa"/>
            <w:vAlign w:val="bottom"/>
          </w:tcPr>
          <w:p>
            <w:pPr>
              <w:ind w:left="380"/>
              <w:spacing w:after="0" w:line="177" w:lineRule="exact"/>
              <w:rPr>
                <w:sz w:val="20"/>
                <w:szCs w:val="20"/>
                <w:color w:val="auto"/>
              </w:rPr>
            </w:pPr>
            <w:r>
              <w:rPr>
                <w:rFonts w:ascii="Times New Roman" w:cs="Times New Roman" w:eastAsia="Times New Roman" w:hAnsi="Times New Roman"/>
                <w:sz w:val="17"/>
                <w:szCs w:val="17"/>
                <w:color w:val="auto"/>
              </w:rPr>
              <w:t>be counted as votes in favor of such proposals and will also not be counted as shares voting on such matters, but will be</w:t>
            </w:r>
          </w:p>
        </w:tc>
      </w:tr>
      <w:tr>
        <w:trPr>
          <w:trHeight w:val="171"/>
        </w:trPr>
        <w:tc>
          <w:tcPr>
            <w:tcW w:w="2580" w:type="dxa"/>
            <w:vAlign w:val="bottom"/>
          </w:tcPr>
          <w:p>
            <w:pPr>
              <w:spacing w:after="0"/>
              <w:rPr>
                <w:sz w:val="14"/>
                <w:szCs w:val="14"/>
                <w:color w:val="auto"/>
              </w:rPr>
            </w:pPr>
          </w:p>
        </w:tc>
        <w:tc>
          <w:tcPr>
            <w:tcW w:w="8660" w:type="dxa"/>
            <w:vAlign w:val="bottom"/>
          </w:tcPr>
          <w:p>
            <w:pPr>
              <w:ind w:left="380"/>
              <w:spacing w:after="0" w:line="172" w:lineRule="exact"/>
              <w:rPr>
                <w:sz w:val="20"/>
                <w:szCs w:val="20"/>
                <w:color w:val="auto"/>
              </w:rPr>
            </w:pPr>
            <w:r>
              <w:rPr>
                <w:rFonts w:ascii="Times New Roman" w:cs="Times New Roman" w:eastAsia="Times New Roman" w:hAnsi="Times New Roman"/>
                <w:sz w:val="17"/>
                <w:szCs w:val="17"/>
                <w:color w:val="auto"/>
              </w:rPr>
              <w:t>considered shares present at the Meeting for purposes of establishing a quorum. As such, we expect that abstentions and</w:t>
            </w:r>
          </w:p>
        </w:tc>
      </w:tr>
      <w:tr>
        <w:trPr>
          <w:trHeight w:val="223"/>
        </w:trPr>
        <w:tc>
          <w:tcPr>
            <w:tcW w:w="2580" w:type="dxa"/>
            <w:vAlign w:val="bottom"/>
          </w:tcPr>
          <w:p>
            <w:pPr>
              <w:spacing w:after="0"/>
              <w:rPr>
                <w:sz w:val="19"/>
                <w:szCs w:val="19"/>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broker non-votes will have no effect on Proposal Nos. 2 and 3.</w:t>
            </w:r>
          </w:p>
        </w:tc>
      </w:tr>
      <w:tr>
        <w:trPr>
          <w:trHeight w:val="448"/>
        </w:trPr>
        <w:tc>
          <w:tcPr>
            <w:tcW w:w="25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177"/>
        </w:trPr>
        <w:tc>
          <w:tcPr>
            <w:tcW w:w="2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Revocation of Proxies</w:t>
            </w:r>
          </w:p>
        </w:tc>
        <w:tc>
          <w:tcPr>
            <w:tcW w:w="8660" w:type="dxa"/>
            <w:vAlign w:val="bottom"/>
            <w:shd w:val="clear" w:color="auto" w:fill="CCEEFF"/>
          </w:tcPr>
          <w:p>
            <w:pPr>
              <w:ind w:left="380"/>
              <w:spacing w:after="0" w:line="177" w:lineRule="exact"/>
              <w:rPr>
                <w:sz w:val="20"/>
                <w:szCs w:val="20"/>
                <w:color w:val="auto"/>
              </w:rPr>
            </w:pPr>
            <w:r>
              <w:rPr>
                <w:rFonts w:ascii="Times New Roman" w:cs="Times New Roman" w:eastAsia="Times New Roman" w:hAnsi="Times New Roman"/>
                <w:sz w:val="17"/>
                <w:szCs w:val="17"/>
                <w:color w:val="auto"/>
              </w:rPr>
              <w:t>You may revoke or change your proxy at any time before the Annual Meeting by filing, with our Corporate Secretary at</w:t>
            </w:r>
          </w:p>
        </w:tc>
      </w:tr>
      <w:tr>
        <w:trPr>
          <w:trHeight w:val="171"/>
        </w:trPr>
        <w:tc>
          <w:tcPr>
            <w:tcW w:w="2580" w:type="dxa"/>
            <w:vAlign w:val="bottom"/>
            <w:shd w:val="clear" w:color="auto" w:fill="CCEEFF"/>
          </w:tcPr>
          <w:p>
            <w:pPr>
              <w:spacing w:after="0"/>
              <w:rPr>
                <w:sz w:val="14"/>
                <w:szCs w:val="14"/>
                <w:color w:val="auto"/>
              </w:rPr>
            </w:pPr>
          </w:p>
        </w:tc>
        <w:tc>
          <w:tcPr>
            <w:tcW w:w="866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7"/>
                <w:szCs w:val="17"/>
                <w:color w:val="auto"/>
              </w:rPr>
              <w:t>our principal executive offices, located at 343 Allerton Avenue, South San Francisco, California 94080, a notice of</w:t>
            </w:r>
          </w:p>
        </w:tc>
      </w:tr>
      <w:tr>
        <w:trPr>
          <w:trHeight w:val="168"/>
        </w:trPr>
        <w:tc>
          <w:tcPr>
            <w:tcW w:w="2580" w:type="dxa"/>
            <w:vAlign w:val="bottom"/>
            <w:shd w:val="clear" w:color="auto" w:fill="CCEEFF"/>
          </w:tcPr>
          <w:p>
            <w:pPr>
              <w:spacing w:after="0"/>
              <w:rPr>
                <w:sz w:val="14"/>
                <w:szCs w:val="14"/>
                <w:color w:val="auto"/>
              </w:rPr>
            </w:pPr>
          </w:p>
        </w:tc>
        <w:tc>
          <w:tcPr>
            <w:tcW w:w="8660" w:type="dxa"/>
            <w:vAlign w:val="bottom"/>
            <w:shd w:val="clear" w:color="auto" w:fill="CCEEFF"/>
          </w:tcPr>
          <w:p>
            <w:pPr>
              <w:ind w:left="380"/>
              <w:spacing w:after="0" w:line="167" w:lineRule="exact"/>
              <w:rPr>
                <w:sz w:val="20"/>
                <w:szCs w:val="20"/>
                <w:color w:val="auto"/>
              </w:rPr>
            </w:pPr>
            <w:r>
              <w:rPr>
                <w:rFonts w:ascii="Times New Roman" w:cs="Times New Roman" w:eastAsia="Times New Roman" w:hAnsi="Times New Roman"/>
                <w:sz w:val="17"/>
                <w:szCs w:val="17"/>
                <w:color w:val="auto"/>
              </w:rPr>
              <w:t>revocation or another signed proxy with a later date. You may also revoke your proxy by virtually attending the Annual</w:t>
            </w:r>
          </w:p>
        </w:tc>
      </w:tr>
      <w:tr>
        <w:trPr>
          <w:trHeight w:val="177"/>
        </w:trPr>
        <w:tc>
          <w:tcPr>
            <w:tcW w:w="2580" w:type="dxa"/>
            <w:vAlign w:val="bottom"/>
            <w:shd w:val="clear" w:color="auto" w:fill="CCEEFF"/>
          </w:tcPr>
          <w:p>
            <w:pPr>
              <w:spacing w:after="0"/>
              <w:rPr>
                <w:sz w:val="15"/>
                <w:szCs w:val="15"/>
                <w:color w:val="auto"/>
              </w:rPr>
            </w:pPr>
          </w:p>
        </w:tc>
        <w:tc>
          <w:tcPr>
            <w:tcW w:w="8660" w:type="dxa"/>
            <w:vAlign w:val="bottom"/>
            <w:shd w:val="clear" w:color="auto" w:fill="CCEEFF"/>
          </w:tcPr>
          <w:p>
            <w:pPr>
              <w:ind w:left="380"/>
              <w:spacing w:after="0" w:line="177" w:lineRule="exact"/>
              <w:rPr>
                <w:sz w:val="20"/>
                <w:szCs w:val="20"/>
                <w:color w:val="auto"/>
              </w:rPr>
            </w:pPr>
            <w:r>
              <w:rPr>
                <w:rFonts w:ascii="Times New Roman" w:cs="Times New Roman" w:eastAsia="Times New Roman" w:hAnsi="Times New Roman"/>
                <w:sz w:val="17"/>
                <w:szCs w:val="17"/>
                <w:color w:val="auto"/>
              </w:rPr>
              <w:t>Meeting and voting at the Meeting. Your virtual attendance at the Annual Meeting will not, by itself, revoke your</w:t>
            </w:r>
          </w:p>
        </w:tc>
      </w:tr>
      <w:tr>
        <w:trPr>
          <w:trHeight w:val="223"/>
        </w:trPr>
        <w:tc>
          <w:tcPr>
            <w:tcW w:w="2580" w:type="dxa"/>
            <w:vAlign w:val="bottom"/>
            <w:shd w:val="clear" w:color="auto" w:fill="CCEEFF"/>
          </w:tcPr>
          <w:p>
            <w:pPr>
              <w:spacing w:after="0"/>
              <w:rPr>
                <w:sz w:val="19"/>
                <w:szCs w:val="19"/>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Solicitation</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Times New Roman" w:cs="Times New Roman" w:eastAsia="Times New Roman" w:hAnsi="Times New Roman"/>
          <w:sz w:val="17"/>
          <w:szCs w:val="17"/>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We have retained Saratoga Proxy Consulting, LLC, a proxy soliciting firm, to assist with</w:t>
      </w:r>
    </w:p>
    <w:p>
      <w:pPr>
        <w:spacing w:after="0" w:line="2" w:lineRule="exact"/>
        <w:rPr>
          <w:sz w:val="20"/>
          <w:szCs w:val="20"/>
          <w:color w:val="auto"/>
        </w:rPr>
      </w:pPr>
    </w:p>
    <w:p>
      <w:pPr>
        <w:sectPr>
          <w:pgSz w:w="11900" w:h="16838" w:orient="portrait"/>
          <w:cols w:equalWidth="0" w:num="2">
            <w:col w:w="2220" w:space="720"/>
            <w:col w:w="8260"/>
          </w:cols>
          <w:pgMar w:left="340" w:top="1126" w:right="359" w:bottom="1440" w:gutter="0" w:footer="0" w:header="0"/>
        </w:sectPr>
      </w:pPr>
    </w:p>
    <w:p>
      <w:pPr>
        <w:jc w:val="both"/>
        <w:ind w:left="2940"/>
        <w:spacing w:after="0" w:line="201" w:lineRule="auto"/>
        <w:rPr>
          <w:sz w:val="20"/>
          <w:szCs w:val="20"/>
          <w:color w:val="auto"/>
        </w:rPr>
      </w:pPr>
      <w:r>
        <w:rPr>
          <w:rFonts w:ascii="Times New Roman" w:cs="Times New Roman" w:eastAsia="Times New Roman" w:hAnsi="Times New Roman"/>
          <w:sz w:val="17"/>
          <w:szCs w:val="17"/>
          <w:color w:val="auto"/>
        </w:rPr>
        <w:t>the solicitation of proxies for a fee of approximately $10,000 plus fees for any retail stockholder outreach services and reimbursement for out-of-pocket expenses. Copies of any solicitation materials will be furnished to brokerage houses, fiduciaries and custodians holding shares in their names that are beneficially owned by others so that they may forward</w:t>
      </w:r>
    </w:p>
    <w:p>
      <w:pPr>
        <w:spacing w:after="0" w:line="1" w:lineRule="exact"/>
        <w:rPr>
          <w:sz w:val="20"/>
          <w:szCs w:val="20"/>
          <w:color w:val="auto"/>
        </w:rPr>
      </w:pPr>
    </w:p>
    <w:p>
      <w:pPr>
        <w:jc w:val="both"/>
        <w:ind w:left="2940"/>
        <w:spacing w:after="0" w:line="211" w:lineRule="auto"/>
        <w:rPr>
          <w:sz w:val="20"/>
          <w:szCs w:val="20"/>
          <w:color w:val="auto"/>
        </w:rPr>
      </w:pPr>
      <w:r>
        <w:rPr>
          <w:rFonts w:ascii="Times New Roman" w:cs="Times New Roman" w:eastAsia="Times New Roman" w:hAnsi="Times New Roman"/>
          <w:sz w:val="17"/>
          <w:szCs w:val="17"/>
          <w:color w:val="auto"/>
        </w:rPr>
        <w:t>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w:t>
      </w:r>
    </w:p>
    <w:p>
      <w:pPr>
        <w:spacing w:after="0" w:line="1" w:lineRule="exact"/>
        <w:rPr>
          <w:sz w:val="20"/>
          <w:szCs w:val="20"/>
          <w:color w:val="auto"/>
        </w:rPr>
      </w:pPr>
    </w:p>
    <w:p>
      <w:pPr>
        <w:ind w:left="2940"/>
        <w:spacing w:after="0" w:line="229" w:lineRule="auto"/>
        <w:rPr>
          <w:sz w:val="20"/>
          <w:szCs w:val="20"/>
          <w:color w:val="auto"/>
        </w:rPr>
      </w:pPr>
      <w:r>
        <w:rPr>
          <w:rFonts w:ascii="Times New Roman" w:cs="Times New Roman" w:eastAsia="Times New Roman" w:hAnsi="Times New Roman"/>
          <w:sz w:val="17"/>
          <w:szCs w:val="17"/>
          <w:color w:val="auto"/>
        </w:rPr>
        <w:t>additional compensation will be paid to these individuals for any such services. Except as described above, we do not presently intend to solicit proxies other than by the Internet, telephone, email and postal mail.</w:t>
      </w:r>
    </w:p>
    <w:p>
      <w:pPr>
        <w:sectPr>
          <w:pgSz w:w="11900" w:h="16838" w:orient="portrait"/>
          <w:cols w:equalWidth="0" w:num="1">
            <w:col w:w="11200"/>
          </w:cols>
          <w:pgMar w:left="340" w:top="1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126"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Special Note Regarding Forward-Looking Statements</w:t>
      </w:r>
    </w:p>
    <w:p>
      <w:pPr>
        <w:spacing w:after="0" w:line="23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This Proxy Statement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team, are inherently uncertain. As with all pharmaceutical products, there are substantial risks and uncertainties in the process of development and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commercialization, and actual results or developments may differ materially from those projected or implied in these forward-looking statements. There can be no guarantee that any of our product candidates will successfully complete ongoing or future clinical trials within estimated timelines or at all, receive regulatory approval or be commercially successful, or that we will be able to successfully replicate the results of past studies of any of our product candidates. These risks are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more fully discussed in the section entitled “Risk Factors” in our Annual Report on SEC Form 10-K for the fiscal year ended March 31, 2025, filed with the SEC on June 17, 2025, as well as discussions of potential risks, uncertainties, and other important factors in our other filings with the SEC. You should not place undue reliance on these forward-looking statements, which apply only as of the date of the Proxy Statement and should not be relied upon as representing our views as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MATTERS TO BE CONSIDERED AT THE ANNUAL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Our Bylaws provide that our Board of Directors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shall consist of not less than one director and not more than seven directors, with the exact number fixed at seven. In accordance with our Bylaws, the exact number of directors may only be amended by the vote or written consent of a majority of the outstanding shares of our voting securities.</w:t>
      </w:r>
    </w:p>
    <w:p>
      <w:pPr>
        <w:spacing w:after="0" w:line="189"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Each of the following directors is nominated for election at the Annual Meeting to serve until our next annual meeting of stockholders, or until her or his successor is duly elected and qualified. Each nominee has confirmed that she or he is able and willing to continue serving as a director if elected. If any of the nominees becomes unable or unwilling to serve before the Annual Meeting, your proxy will be voted for the election of a substitute nominee recommended by the current Board, if any.</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Our Board has nominated the following directors for election at our Annual Meeting:</w:t>
            </w:r>
          </w:p>
        </w:tc>
        <w:tc>
          <w:tcPr>
            <w:tcW w:w="3420" w:type="dxa"/>
            <w:vAlign w:val="bottom"/>
          </w:tcPr>
          <w:p>
            <w:pPr>
              <w:spacing w:after="0"/>
              <w:rPr>
                <w:sz w:val="19"/>
                <w:szCs w:val="19"/>
                <w:color w:val="auto"/>
              </w:rPr>
            </w:pPr>
          </w:p>
        </w:tc>
      </w:tr>
      <w:tr>
        <w:trPr>
          <w:trHeight w:val="444"/>
        </w:trPr>
        <w:tc>
          <w:tcPr>
            <w:tcW w:w="6020" w:type="dxa"/>
            <w:vAlign w:val="bottom"/>
          </w:tcPr>
          <w:p>
            <w:pPr>
              <w:jc w:val="center"/>
              <w:ind w:right="1534"/>
              <w:spacing w:after="0"/>
              <w:rPr>
                <w:sz w:val="20"/>
                <w:szCs w:val="20"/>
                <w:color w:val="auto"/>
              </w:rPr>
            </w:pPr>
            <w:r>
              <w:rPr>
                <w:rFonts w:ascii="Times New Roman" w:cs="Times New Roman" w:eastAsia="Times New Roman" w:hAnsi="Times New Roman"/>
                <w:sz w:val="17"/>
                <w:szCs w:val="17"/>
                <w:b w:val="1"/>
                <w:bCs w:val="1"/>
                <w:color w:val="auto"/>
              </w:rPr>
              <w:t>Margaret M. FitzPatrick, M.A.</w:t>
            </w:r>
          </w:p>
        </w:tc>
        <w:tc>
          <w:tcPr>
            <w:tcW w:w="3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Mary L. Rotunno, J.D.</w:t>
            </w:r>
          </w:p>
        </w:tc>
      </w:tr>
      <w:tr>
        <w:trPr>
          <w:trHeight w:val="227"/>
        </w:trPr>
        <w:tc>
          <w:tcPr>
            <w:tcW w:w="6020" w:type="dxa"/>
            <w:vAlign w:val="bottom"/>
          </w:tcPr>
          <w:p>
            <w:pPr>
              <w:jc w:val="center"/>
              <w:ind w:right="1554"/>
              <w:spacing w:after="0"/>
              <w:rPr>
                <w:sz w:val="20"/>
                <w:szCs w:val="20"/>
                <w:color w:val="auto"/>
              </w:rPr>
            </w:pPr>
            <w:r>
              <w:rPr>
                <w:rFonts w:ascii="Times New Roman" w:cs="Times New Roman" w:eastAsia="Times New Roman" w:hAnsi="Times New Roman"/>
                <w:sz w:val="17"/>
                <w:szCs w:val="17"/>
                <w:i w:val="1"/>
                <w:iCs w:val="1"/>
                <w:color w:val="auto"/>
              </w:rPr>
              <w:t>Chair and Independent Director</w:t>
            </w:r>
          </w:p>
        </w:tc>
        <w:tc>
          <w:tcPr>
            <w:tcW w:w="3420" w:type="dxa"/>
            <w:vAlign w:val="bottom"/>
          </w:tcPr>
          <w:p>
            <w:pPr>
              <w:jc w:val="center"/>
              <w:ind w:left="94"/>
              <w:spacing w:after="0"/>
              <w:rPr>
                <w:sz w:val="20"/>
                <w:szCs w:val="20"/>
                <w:color w:val="auto"/>
              </w:rPr>
            </w:pPr>
            <w:r>
              <w:rPr>
                <w:rFonts w:ascii="Times New Roman" w:cs="Times New Roman" w:eastAsia="Times New Roman" w:hAnsi="Times New Roman"/>
                <w:sz w:val="17"/>
                <w:szCs w:val="17"/>
                <w:i w:val="1"/>
                <w:iCs w:val="1"/>
                <w:color w:val="auto"/>
              </w:rPr>
              <w:t>Independent Director</w:t>
            </w:r>
          </w:p>
        </w:tc>
      </w:tr>
      <w:tr>
        <w:trPr>
          <w:trHeight w:val="457"/>
        </w:trPr>
        <w:tc>
          <w:tcPr>
            <w:tcW w:w="6020" w:type="dxa"/>
            <w:vAlign w:val="bottom"/>
          </w:tcPr>
          <w:p>
            <w:pPr>
              <w:jc w:val="center"/>
              <w:ind w:right="1554"/>
              <w:spacing w:after="0"/>
              <w:rPr>
                <w:sz w:val="20"/>
                <w:szCs w:val="20"/>
                <w:color w:val="auto"/>
              </w:rPr>
            </w:pPr>
            <w:r>
              <w:rPr>
                <w:rFonts w:ascii="Times New Roman" w:cs="Times New Roman" w:eastAsia="Times New Roman" w:hAnsi="Times New Roman"/>
                <w:sz w:val="17"/>
                <w:szCs w:val="17"/>
                <w:b w:val="1"/>
                <w:bCs w:val="1"/>
                <w:color w:val="auto"/>
              </w:rPr>
              <w:t>Ann M. Cunningham, MBA</w:t>
            </w:r>
          </w:p>
        </w:tc>
        <w:tc>
          <w:tcPr>
            <w:tcW w:w="3420" w:type="dxa"/>
            <w:vAlign w:val="bottom"/>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Jon S. Saxe, J.D., LL.M.</w:t>
            </w:r>
          </w:p>
        </w:tc>
      </w:tr>
      <w:tr>
        <w:trPr>
          <w:trHeight w:val="227"/>
        </w:trPr>
        <w:tc>
          <w:tcPr>
            <w:tcW w:w="6020" w:type="dxa"/>
            <w:vAlign w:val="bottom"/>
          </w:tcPr>
          <w:p>
            <w:pPr>
              <w:jc w:val="center"/>
              <w:ind w:right="1554"/>
              <w:spacing w:after="0"/>
              <w:rPr>
                <w:sz w:val="20"/>
                <w:szCs w:val="20"/>
                <w:color w:val="auto"/>
              </w:rPr>
            </w:pPr>
            <w:r>
              <w:rPr>
                <w:rFonts w:ascii="Times New Roman" w:cs="Times New Roman" w:eastAsia="Times New Roman" w:hAnsi="Times New Roman"/>
                <w:sz w:val="17"/>
                <w:szCs w:val="17"/>
                <w:i w:val="1"/>
                <w:iCs w:val="1"/>
                <w:color w:val="auto"/>
              </w:rPr>
              <w:t>Non-Independent Director</w:t>
            </w:r>
          </w:p>
        </w:tc>
        <w:tc>
          <w:tcPr>
            <w:tcW w:w="3420" w:type="dxa"/>
            <w:vAlign w:val="bottom"/>
          </w:tcPr>
          <w:p>
            <w:pPr>
              <w:jc w:val="center"/>
              <w:ind w:left="94"/>
              <w:spacing w:after="0"/>
              <w:rPr>
                <w:sz w:val="20"/>
                <w:szCs w:val="20"/>
                <w:color w:val="auto"/>
              </w:rPr>
            </w:pPr>
            <w:r>
              <w:rPr>
                <w:rFonts w:ascii="Times New Roman" w:cs="Times New Roman" w:eastAsia="Times New Roman" w:hAnsi="Times New Roman"/>
                <w:sz w:val="17"/>
                <w:szCs w:val="17"/>
                <w:i w:val="1"/>
                <w:iCs w:val="1"/>
                <w:color w:val="auto"/>
              </w:rPr>
              <w:t>Independent Director</w:t>
            </w:r>
          </w:p>
        </w:tc>
      </w:tr>
      <w:tr>
        <w:trPr>
          <w:trHeight w:val="457"/>
        </w:trPr>
        <w:tc>
          <w:tcPr>
            <w:tcW w:w="6020" w:type="dxa"/>
            <w:vAlign w:val="bottom"/>
          </w:tcPr>
          <w:p>
            <w:pPr>
              <w:jc w:val="center"/>
              <w:ind w:right="1534"/>
              <w:spacing w:after="0"/>
              <w:rPr>
                <w:sz w:val="20"/>
                <w:szCs w:val="20"/>
                <w:color w:val="auto"/>
              </w:rPr>
            </w:pPr>
            <w:r>
              <w:rPr>
                <w:rFonts w:ascii="Times New Roman" w:cs="Times New Roman" w:eastAsia="Times New Roman" w:hAnsi="Times New Roman"/>
                <w:sz w:val="17"/>
                <w:szCs w:val="17"/>
                <w:b w:val="1"/>
                <w:bCs w:val="1"/>
                <w:color w:val="auto"/>
              </w:rPr>
              <w:t>Joanne Curley, Ph.D.</w:t>
            </w:r>
          </w:p>
        </w:tc>
        <w:tc>
          <w:tcPr>
            <w:tcW w:w="3420" w:type="dxa"/>
            <w:vAlign w:val="bottom"/>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Shawn K. Singh, J.D.</w:t>
            </w:r>
          </w:p>
        </w:tc>
      </w:tr>
      <w:tr>
        <w:trPr>
          <w:trHeight w:val="227"/>
        </w:trPr>
        <w:tc>
          <w:tcPr>
            <w:tcW w:w="6020" w:type="dxa"/>
            <w:vAlign w:val="bottom"/>
          </w:tcPr>
          <w:p>
            <w:pPr>
              <w:jc w:val="center"/>
              <w:ind w:right="1574"/>
              <w:spacing w:after="0"/>
              <w:rPr>
                <w:sz w:val="20"/>
                <w:szCs w:val="20"/>
                <w:color w:val="auto"/>
              </w:rPr>
            </w:pPr>
            <w:r>
              <w:rPr>
                <w:rFonts w:ascii="Times New Roman" w:cs="Times New Roman" w:eastAsia="Times New Roman" w:hAnsi="Times New Roman"/>
                <w:sz w:val="17"/>
                <w:szCs w:val="17"/>
                <w:i w:val="1"/>
                <w:iCs w:val="1"/>
                <w:color w:val="auto"/>
              </w:rPr>
              <w:t>Independent Director</w:t>
            </w:r>
          </w:p>
        </w:tc>
        <w:tc>
          <w:tcPr>
            <w:tcW w:w="3420" w:type="dxa"/>
            <w:vAlign w:val="bottom"/>
          </w:tcPr>
          <w:p>
            <w:pPr>
              <w:jc w:val="center"/>
              <w:ind w:left="54"/>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of Dr. Jerry B. Gin</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July 23, 2025, Jerry B. Gin, Ph.D., MBA, an independent member of our Board, notified us of his intention to retire from the Board and all Board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committee positions held at the end of his current term, which term expires at the Annual Meeting, and, as such, he is not standing for reelection at the Annual Meeting. Dr. Gin has been a distinguished member of the Board since March 2016 and currently serves as Chair of our Compensation Committee and as a member of our Audit Committee. Dr. Gin’s decision to retire after nine years of dedicated service to the Company is not due to any disagreement with the Company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any matter relating to our operations, policies or practices.</w:t>
      </w:r>
    </w:p>
    <w:p>
      <w:pPr>
        <w:spacing w:after="0" w:line="187"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Board expresses its deepest appreciation and sincere thanks to Dr. Gin for his many years of service on the Board and for his expertise and valuable contributions to the Company throughout his distinguished tenure.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 and Recommendation</w:t>
      </w:r>
    </w:p>
    <w:p>
      <w:pPr>
        <w:spacing w:after="0" w:line="183"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Directors shall be elected by a plurality of the votes cast, whether present or represented by proxy, and entitled to vote at the Annual Meeting. The six nominees receiving the highest number of “FOR” votes will be elected to serve on our Board until our next annual meeting of stockholders, or until her or his successor is duly elected and qualified. Withholding the authority to vote your shares with respect to one or more director nominees will have no effect on the election of those nominees. Broker non-votes are not considered votes cast and will also have no effect on the election of the nominees. Unless otherwise instructed or unless authority to vote is withheld, shares represented by executed proxies will be voted “FOR” the election of the nominees.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Our Board unanimously recommends that the stockholders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election of Ms. FitzPatrick, Ms. Cunningham, Dr. Curley, Ms.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Rotunno, Mr. Saxe and Mr.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Nominee Qualification and Experience</w:t>
      </w:r>
    </w:p>
    <w:p>
      <w:pPr>
        <w:spacing w:after="0" w:line="209"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Our Board believes that our six director nominees provide our Company with the combined skills, experience and personal qualities needed for an effective, engaged and well-functioning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Nominee Experience</w:t>
      </w:r>
    </w:p>
    <w:p>
      <w:pPr>
        <w:spacing w:after="0" w:line="236"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Our directors come from diverse backgrounds, drawing on their substantial experience in the biopharmaceutical industry, finance, law and business. The following is a brief description of our current directors, each of whom has been nominated by the Board to stand for re-election as a director at the Annual Meeting. The age indicated in each nominee’s biography is as of July 28, 2025, the date of this Proxy Statement. There are no arrangements or understandings by which any of the directors or nominees for director of the Company were selected, and there are no family relationships between any of the directors, nominees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7138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Margaret M. FitzPatrick,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-1986280</wp:posOffset>
            </wp:positionV>
            <wp:extent cx="1180465" cy="1762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0465" cy="176212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Chair and Independent Director</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Age 59</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Ms. FitzPatrick has served on our Board of Directors since July 2021, and as Chair since October 2023. Ms. FitzPatrick is the Founder of FitzPatrick &amp; Co., LLC, a business advisory firm founded in July 2020. Prior to the founding of FitzPatrick &amp; Co. LLC, Ms. FitzPatrick served as Senior Vice President, Corporate Affairs, Philanthropy and Customer Engagement at Exelon Corporation (Nasdaq: EXC), a diversified clean energy company, from 2016 to 2020, as Global Chief Communications Officer at Johnson &amp; Johnson (NYSE: JNJ), one of the largest and most broadly-based healthcare companies, from 2013 to 2016, as Global Chief Communication Officer and President of the Foundation at CIGNA from 2010 to 2013. Ms. FitzPatrick also served as Executive Vice President at APCO Worldwide, a global public affairs and strategic communications consultancy, where she counseled executives on major global reputation efforts for notable industry leaders. Ms. FitzPatrick currently serves on the board of directors of AN2 Therapeutics, Inc. (Nasdaq: ANTX), where she is lead independent director and a member of the Nominating and Corporate Governance Committee. Ms. FitzPatrick holds a B.A. in English and Policy Studies from Syracuse University, and an M.A. in Public Policy from The George Washington University. In 2018, she completed the Harvard Business School program for corporate directors. She is a National Association of Corporate Directors (</w:t>
      </w:r>
      <w:r>
        <w:rPr>
          <w:rFonts w:ascii="Times New Roman" w:cs="Times New Roman" w:eastAsia="Times New Roman" w:hAnsi="Times New Roman"/>
          <w:sz w:val="17"/>
          <w:szCs w:val="17"/>
          <w:i w:val="1"/>
          <w:iCs w:val="1"/>
          <w:color w:val="auto"/>
        </w:rPr>
        <w:t>NACD</w:t>
      </w:r>
      <w:r>
        <w:rPr>
          <w:rFonts w:ascii="Times New Roman" w:cs="Times New Roman" w:eastAsia="Times New Roman" w:hAnsi="Times New Roman"/>
          <w:sz w:val="17"/>
          <w:szCs w:val="17"/>
          <w:color w:val="auto"/>
        </w:rPr>
        <w:t>) Certified Director and a faculty member of NACD's Board Advisory Services.</w:t>
      </w:r>
    </w:p>
    <w:p>
      <w:pPr>
        <w:spacing w:after="0" w:line="18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We selected Ms. FitzPatrick to serve as Chair of our Board due to her extensive experience in corporate governance and leadership at some of the world's most successful companies. The Board believes Ms. FitzPatrick’s expertise in healthcare and her work in the global pharmaceutical market provides valuable contributions as the Company continues to advance the development of its product candidates to address unmet patient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840740</wp:posOffset>
            </wp:positionV>
            <wp:extent cx="7138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500"/>
          </w:cols>
          <w:pgMar w:left="32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2" w:name="page13"/>
    <w:bookmarkEnd w:id="12"/>
    <w:p>
      <w:pPr>
        <w:jc w:val="both"/>
        <w:ind w:left="372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580390</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8255"/>
                    </a:xfrm>
                    <a:prstGeom prst="rect">
                      <a:avLst/>
                    </a:prstGeom>
                    <a:noFill/>
                  </pic:spPr>
                </pic:pic>
              </a:graphicData>
            </a:graphic>
          </wp:anchor>
        </w:drawing>
        <w:t>Ms. Cunningham has served as a member of our Board since January 2019 and served as the Company's Chief Commercial Officer from May 2021 to November 2022. Currently, Ms. Cunningham is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(NYSE: TEVA) from 2015 to 2018, as Senior Marketing Director for Otsuka Pharmaceutical Companies from 2013 to 2015 and in several marketing-focused positions for Eli Lily and Company (NYSE: LLY) from 1999 to 2013, including serving as Global Marketing Senior Director from 2009 to 2013. Ms. Cunningham holds a B.A. in Psychology from Yale University and a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-1195070</wp:posOffset>
            </wp:positionV>
            <wp:extent cx="1180465" cy="1762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0465" cy="1762125"/>
                    </a:xfrm>
                    <a:prstGeom prst="rect">
                      <a:avLst/>
                    </a:prstGeom>
                    <a:noFill/>
                  </pic:spPr>
                </pic:pic>
              </a:graphicData>
            </a:graphic>
          </wp:anchor>
        </w:drawing>
      </w:r>
    </w:p>
    <w:p>
      <w:pPr>
        <w:spacing w:after="0" w:line="158" w:lineRule="exact"/>
        <w:rPr>
          <w:sz w:val="20"/>
          <w:szCs w:val="20"/>
          <w:color w:val="auto"/>
        </w:rPr>
      </w:pPr>
    </w:p>
    <w:p>
      <w:pPr>
        <w:jc w:val="both"/>
        <w:ind w:left="3720"/>
        <w:spacing w:after="0" w:line="257" w:lineRule="auto"/>
        <w:rPr>
          <w:sz w:val="20"/>
          <w:szCs w:val="20"/>
          <w:color w:val="auto"/>
        </w:rPr>
      </w:pPr>
      <w:r>
        <w:rPr>
          <w:rFonts w:ascii="Times New Roman" w:cs="Times New Roman" w:eastAsia="Times New Roman" w:hAnsi="Times New Roman"/>
          <w:sz w:val="17"/>
          <w:szCs w:val="17"/>
          <w:color w:val="auto"/>
        </w:rPr>
        <w:t>We selected Ms. Cunningham to serve on our Board due to her substantial experience in healthcare commercialization and marketing, particularly in the successful development, positioning and commercial launch of products to treat neuropsychiatric disorders. Ms. Cunningham brings an insightful commercial perspective to us and to our Board that is critical as our pipeline products move from clinical development to commercialization.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 M. Cunningham, MBA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Non-Executive, Non-Independent Director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244475</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1186815</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40" w:top="10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Joanne Curley,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-1445260</wp:posOffset>
            </wp:positionV>
            <wp:extent cx="1180465" cy="1106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0465" cy="110617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Age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Dr. Curley has served as a member of our Board of Directors since April 2021. Dr. Curley brings more than 25 years of experience in the development and commercialization of pharmaceutical products, including research and development governance. From March 2020 until her retirement in October 2023, Dr. Curley served as the Chief Development Officer at Vera Therapeutics, Inc. (Nasdaq: VERA). Prior to joining Vera Therapeutics, from June 2005 to March 2020, Dr. Curley held various director-level positions with Gilead Sciences, Inc. (Nasdaq: GILD),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(Nasdaq: NKTR).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selected Dr. Curley to serve on our Board due to her extensive experience in early product development, regulatory approval and commercialization of pharmaceutical products, giving her a unique perspective of the life cycle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632460</wp:posOffset>
            </wp:positionV>
            <wp:extent cx="7138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480"/>
          </w:cols>
          <w:pgMar w:left="340" w:top="107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078" w:right="3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Mr. Saxe has served as a director on our Board since 2000, and served as Chair of our Board until October</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2023. He currently serves as the Chair of our Audit Committee. Mr. Saxe is the retired President and was a</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director of PDL BioPharma from 1989 to 2008. From 1989 to 1993, he was President, Chief Executive</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Officer and a director of Synergen, Inc. (acquired by Amgen). Mr. Saxe served as Vice President,</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Licensing &amp; Corporate Development for Hoffmann-Roche from 1984 through 1989, and Head of Patent</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Law for Hoffmann-Roche from 1978 through 1989. Mr. Saxe currently is the lead director of K2x</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Technology and Life Sciences, is Chair of the board of directors of Epalex Corporation, and serves as a</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director of five additional private life science companies, Aether, Inc., Achelios Therapeutics, Inc., Arbor</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Vita Corporation, NuvOx Pharma, LLC and Trellis Bioscience, Inc. In addition, Mr. Saxe serves as a board</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observer of InGeneron, Inc. and Renexxion, Inc. Mr. Saxe has also served as a director of other</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biotechnology and pharmaceutical companies, including ID Biomedical (acquired by GlaxoSmithKline),</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Sciele Pharmaceuticals, Inc. (acquired by Shionogi), Amalyte (acquired by Kemin Industries), Cell</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Pathways (acquired by OSI Pharmaceuticals), Lumos Pharma, Inc. (merged with New Link Genetics) and</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other companies, both public and private. Mr. Saxe has a B.S.Ch.E. from Carnegie-Mellon University, a J.D.</w:t>
            </w:r>
          </w:p>
        </w:tc>
        <w:tc>
          <w:tcPr>
            <w:tcW w:w="0" w:type="dxa"/>
            <w:vAlign w:val="bottom"/>
          </w:tcPr>
          <w:p>
            <w:pPr>
              <w:spacing w:after="0"/>
              <w:rPr>
                <w:sz w:val="1"/>
                <w:szCs w:val="1"/>
                <w:color w:val="auto"/>
              </w:rPr>
            </w:pPr>
          </w:p>
        </w:tc>
      </w:tr>
      <w:tr>
        <w:trPr>
          <w:trHeight w:val="207"/>
        </w:trPr>
        <w:tc>
          <w:tcPr>
            <w:tcW w:w="27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Jon S. Saxe, J.D., LL.M.</w:t>
            </w: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degree from George Washington University and an LL.M. degree from New York University. In addition,</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Mr. Saxe has a Certificate in Management from Fuqua School of Business, Duke University.</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tc>
        <w:tc>
          <w:tcPr>
            <w:tcW w:w="8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Age 89</w:t>
            </w: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We selected Mr. Saxe to serve as a director on our Board of Directors due to his numerous years of</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experience as a senior executive with major pharmaceutical and biotechnology companies, including Protein</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Design Labs, Inc., Synergen, Inc. and Hoffmann-Roche, Inc., as well as his extensive experience serving as</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a director of numerous private and public biotechnology and pharmaceutical companies, serving as</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Chairman, and Chair and member of audit, compensation and governance committees of both private and</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public companies.  Mr. Saxe provides us and our Board of Directors with highly valuable insight and</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perspective into the biotechnology and pharmaceutical industries, as well as the strategic opportunities and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8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challenges that we face.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580390</wp:posOffset>
            </wp:positionV>
            <wp:extent cx="7138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737235</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-3220720</wp:posOffset>
            </wp:positionV>
            <wp:extent cx="1180465" cy="1762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046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078"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957580</wp:posOffset>
            </wp:positionV>
            <wp:extent cx="1180465" cy="1762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8046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Mary L. Rotunno, J.D.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Age 65</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Ms. Rotunno has served as a member of our Board since July 2021. Prior to her retirement in March 2024, Ms. Rotunno served as General Counsel of El Camino Health, a health care system, since January 2014, and as a Member of the Executive Leadership Team at El Camino Health since August 2015. Ms. Rotunno is also Chair of the Compensation Committee for healthcare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B.S. in Nursing. She worked as a registered nurse before earning her J.D. degree, cum laude, from the University of California, Hastings College of Law, San Francisco. She obtained certification by the NACD, Stanford Directors College, the Women’s Corporate Board Readiness Program at Santa Clara University and completed the Hastings Leadership Academy for Women and Dignity Health Ministry Leadership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-1824990</wp:posOffset>
            </wp:positionV>
            <wp:extent cx="7138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selected Ms. Rotunno to serve on our Board due to her extensive experience as an advocate for both patients and healthcare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930910</wp:posOffset>
            </wp:positionV>
            <wp:extent cx="7138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48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224790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744855</wp:posOffset>
            </wp:positionV>
            <wp:extent cx="1180465" cy="1573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80465"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Shawn K. Singh, J.D.</w:t>
      </w:r>
    </w:p>
    <w:p>
      <w:pPr>
        <w:spacing w:after="0" w:line="34"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7"/>
          <w:szCs w:val="17"/>
          <w:i w:val="1"/>
          <w:iCs w:val="1"/>
          <w:color w:val="auto"/>
        </w:rPr>
        <w:t>Chief Executive Officer and Director Age 62</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7"/>
          <w:szCs w:val="17"/>
          <w:color w:val="auto"/>
        </w:rPr>
        <w:t>Mr. Singh has served as our Chief Executive Officer and as a member of our Board since August 2009, and as President since December 2024.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(now Allucent), a contract research organization (</w:t>
      </w:r>
      <w:r>
        <w:rPr>
          <w:rFonts w:ascii="Times New Roman" w:cs="Times New Roman" w:eastAsia="Times New Roman" w:hAnsi="Times New Roman"/>
          <w:sz w:val="17"/>
          <w:szCs w:val="17"/>
          <w:i w:val="1"/>
          <w:iCs w:val="1"/>
          <w:color w:val="auto"/>
        </w:rPr>
        <w:t>CRO</w:t>
      </w:r>
      <w:r>
        <w:rPr>
          <w:rFonts w:ascii="Times New Roman" w:cs="Times New Roman" w:eastAsia="Times New Roman" w:hAnsi="Times New Roman"/>
          <w:sz w:val="17"/>
          <w:szCs w:val="17"/>
          <w:color w:val="auto"/>
        </w:rPr>
        <w:t>) previously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previously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from 1993 to 2000, and as a corporate finance associate of Morrison &amp; Foerster LLP, an international law firm, from 1991 to 1993. Mr. Singh earned a B.A., with honors, from the University of California, Berkeley, and a J.D. from the University of Maryland School of Law. Mr. Singh is a member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-2082165</wp:posOffset>
            </wp:positionV>
            <wp:extent cx="7138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selected Mr. Singh to serve on our Board due to his substantial practical experience and expertise in multiple senior leadership roles with private and public biotechnology, pharmaceutical and medical device companies, and his extensive experience in corporate finance and capital markets, venture capital, corporate governance, drug development, intellectual property, regulatory affairs and strategic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882015</wp:posOffset>
            </wp:positionV>
            <wp:extent cx="7138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480"/>
          </w:cols>
          <w:pgMar w:left="340" w:top="10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224790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078" w:right="35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30" w:lineRule="exact"/>
        <w:rPr>
          <w:sz w:val="20"/>
          <w:szCs w:val="20"/>
          <w:color w:val="auto"/>
        </w:rPr>
      </w:pPr>
    </w:p>
    <w:p>
      <w:pPr>
        <w:ind w:firstLine="620"/>
        <w:spacing w:after="0" w:line="276" w:lineRule="auto"/>
        <w:rPr>
          <w:sz w:val="20"/>
          <w:szCs w:val="20"/>
          <w:color w:val="auto"/>
        </w:rPr>
      </w:pPr>
      <w:r>
        <w:rPr>
          <w:rFonts w:ascii="Times New Roman" w:cs="Times New Roman" w:eastAsia="Times New Roman" w:hAnsi="Times New Roman"/>
          <w:sz w:val="17"/>
          <w:szCs w:val="17"/>
          <w:color w:val="auto"/>
        </w:rPr>
        <w:t>During our fiscal year ended March 31, 2025 (</w:t>
      </w:r>
      <w:r>
        <w:rPr>
          <w:rFonts w:ascii="Times New Roman" w:cs="Times New Roman" w:eastAsia="Times New Roman" w:hAnsi="Times New Roman"/>
          <w:sz w:val="17"/>
          <w:szCs w:val="17"/>
          <w:i w:val="1"/>
          <w:iCs w:val="1"/>
          <w:color w:val="auto"/>
        </w:rPr>
        <w:t>Fiscal 2025</w:t>
      </w:r>
      <w:r>
        <w:rPr>
          <w:rFonts w:ascii="Times New Roman" w:cs="Times New Roman" w:eastAsia="Times New Roman" w:hAnsi="Times New Roman"/>
          <w:sz w:val="17"/>
          <w:szCs w:val="17"/>
          <w:color w:val="auto"/>
        </w:rPr>
        <w:t xml:space="preserve">), our Board utilized the following director compensation plan for the non-executive members of our Board (the </w:t>
      </w:r>
      <w:r>
        <w:rPr>
          <w:rFonts w:ascii="Times New Roman" w:cs="Times New Roman" w:eastAsia="Times New Roman" w:hAnsi="Times New Roman"/>
          <w:sz w:val="17"/>
          <w:szCs w:val="17"/>
          <w:i w:val="1"/>
          <w:iCs w:val="1"/>
          <w:color w:val="auto"/>
        </w:rPr>
        <w:t>Director Compensation Plan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b w:val="1"/>
          <w:bCs w:val="1"/>
          <w:color w:val="auto"/>
        </w:rPr>
        <w:t>Current Schedule of Director Fees During Fiscal 2024</w:t>
      </w:r>
    </w:p>
    <w:p>
      <w:pPr>
        <w:spacing w:after="0" w:line="32"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b w:val="1"/>
          <w:bCs w:val="1"/>
          <w:color w:val="auto"/>
        </w:rPr>
        <w:t>Effective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22860</wp:posOffset>
            </wp:positionV>
            <wp:extent cx="2991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p>
      <w:pPr>
        <w:spacing w:after="0" w:line="55"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tcPr>
          <w:p>
            <w:pPr>
              <w:spacing w:after="0"/>
              <w:rPr>
                <w:sz w:val="21"/>
                <w:szCs w:val="21"/>
                <w:color w:val="auto"/>
              </w:rPr>
            </w:pPr>
          </w:p>
        </w:tc>
      </w:tr>
      <w:tr>
        <w:trPr>
          <w:trHeight w:val="225"/>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Director Annual Retainer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9"/>
                <w:szCs w:val="19"/>
                <w:color w:val="auto"/>
              </w:rPr>
            </w:pPr>
          </w:p>
        </w:tc>
      </w:tr>
      <w:tr>
        <w:trPr>
          <w:trHeight w:val="239"/>
        </w:trPr>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Additional fee for Board Chair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20" w:type="dxa"/>
            <w:vAlign w:val="bottom"/>
          </w:tcPr>
          <w:p>
            <w:pPr>
              <w:spacing w:after="0"/>
              <w:rPr>
                <w:sz w:val="20"/>
                <w:szCs w:val="20"/>
                <w:color w:val="auto"/>
              </w:rPr>
            </w:pPr>
          </w:p>
        </w:tc>
      </w:tr>
      <w:tr>
        <w:trPr>
          <w:trHeight w:val="251"/>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Audit Committee</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5"/>
        </w:trPr>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Chair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20" w:type="dxa"/>
            <w:vAlign w:val="bottom"/>
          </w:tcPr>
          <w:p>
            <w:pPr>
              <w:spacing w:after="0"/>
              <w:rPr>
                <w:sz w:val="21"/>
                <w:szCs w:val="21"/>
                <w:color w:val="auto"/>
              </w:rPr>
            </w:pPr>
          </w:p>
        </w:tc>
      </w:tr>
      <w:tr>
        <w:trPr>
          <w:trHeight w:val="245"/>
        </w:trPr>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shd w:val="clear" w:color="auto" w:fill="CCEEFF"/>
          </w:tcPr>
          <w:p>
            <w:pPr>
              <w:spacing w:after="0"/>
              <w:rPr>
                <w:sz w:val="21"/>
                <w:szCs w:val="21"/>
                <w:color w:val="auto"/>
              </w:rPr>
            </w:pPr>
          </w:p>
        </w:tc>
      </w:tr>
      <w:tr>
        <w:trPr>
          <w:trHeight w:val="24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Compensation Committee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5"/>
        </w:trPr>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Chair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shd w:val="clear" w:color="auto" w:fill="CCEEFF"/>
          </w:tcPr>
          <w:p>
            <w:pPr>
              <w:spacing w:after="0"/>
              <w:rPr>
                <w:sz w:val="21"/>
                <w:szCs w:val="21"/>
                <w:color w:val="auto"/>
              </w:rPr>
            </w:pPr>
          </w:p>
        </w:tc>
      </w:tr>
      <w:tr>
        <w:trPr>
          <w:trHeight w:val="245"/>
        </w:trPr>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21"/>
                <w:szCs w:val="21"/>
                <w:color w:val="auto"/>
              </w:rPr>
            </w:pPr>
          </w:p>
        </w:tc>
      </w:tr>
      <w:tr>
        <w:trPr>
          <w:trHeight w:val="245"/>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Governance and Nominating Committee</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5"/>
        </w:trPr>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Chair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21"/>
                <w:szCs w:val="21"/>
                <w:color w:val="auto"/>
              </w:rPr>
            </w:pPr>
          </w:p>
        </w:tc>
      </w:tr>
      <w:tr>
        <w:trPr>
          <w:trHeight w:val="245"/>
        </w:trPr>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shd w:val="clear" w:color="auto" w:fill="CCEEFF"/>
          </w:tcPr>
          <w:p>
            <w:pPr>
              <w:spacing w:after="0"/>
              <w:rPr>
                <w:sz w:val="21"/>
                <w:szCs w:val="21"/>
                <w:color w:val="auto"/>
              </w:rPr>
            </w:pPr>
          </w:p>
        </w:tc>
      </w:tr>
    </w:tbl>
    <w:p>
      <w:pPr>
        <w:spacing w:after="0" w:line="294" w:lineRule="exact"/>
        <w:rPr>
          <w:sz w:val="20"/>
          <w:szCs w:val="20"/>
          <w:color w:val="auto"/>
        </w:rPr>
      </w:pPr>
    </w:p>
    <w:p>
      <w:pPr>
        <w:ind w:left="1620" w:hanging="361"/>
        <w:spacing w:after="0"/>
        <w:tabs>
          <w:tab w:leader="none" w:pos="162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fees payable in quarterly installments.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994"/>
        <w:spacing w:after="0"/>
        <w:rPr>
          <w:sz w:val="20"/>
          <w:szCs w:val="20"/>
          <w:color w:val="auto"/>
        </w:rPr>
      </w:pP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1942465" cy="1712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2465" cy="1712595"/>
                    </a:xfrm>
                    <a:prstGeom prst="rect">
                      <a:avLst/>
                    </a:prstGeom>
                    <a:noFill/>
                  </pic:spPr>
                </pic:pic>
              </a:graphicData>
            </a:graphic>
          </wp:anchor>
        </w:drawing>
      </w:r>
    </w:p>
    <w:p>
      <w:pPr>
        <w:spacing w:after="0" w:line="47" w:lineRule="exact"/>
        <w:rPr>
          <w:sz w:val="20"/>
          <w:szCs w:val="20"/>
          <w:color w:val="auto"/>
        </w:rPr>
      </w:pPr>
    </w:p>
    <w:p>
      <w:pPr>
        <w:jc w:val="both"/>
        <w:ind w:left="6" w:right="1000"/>
        <w:spacing w:after="0" w:line="224" w:lineRule="auto"/>
        <w:rPr>
          <w:sz w:val="20"/>
          <w:szCs w:val="20"/>
          <w:color w:val="auto"/>
        </w:rPr>
      </w:pPr>
      <w:r>
        <w:rPr>
          <w:rFonts w:ascii="Times New Roman" w:cs="Times New Roman" w:eastAsia="Times New Roman" w:hAnsi="Times New Roman"/>
          <w:sz w:val="17"/>
          <w:szCs w:val="17"/>
          <w:color w:val="auto"/>
        </w:rPr>
        <w:t>Non-executive members of our Board will be entitled to the following equity awards:</w:t>
      </w:r>
    </w:p>
    <w:p>
      <w:pPr>
        <w:spacing w:after="0" w:line="2" w:lineRule="exact"/>
        <w:rPr>
          <w:sz w:val="20"/>
          <w:szCs w:val="20"/>
          <w:color w:val="auto"/>
        </w:rPr>
      </w:pPr>
    </w:p>
    <w:p>
      <w:pPr>
        <w:jc w:val="both"/>
        <w:ind w:left="6" w:right="1000" w:hanging="6"/>
        <w:spacing w:after="0" w:line="216" w:lineRule="auto"/>
        <w:tabs>
          <w:tab w:leader="none" w:pos="2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one-time grant of stock options upon appointment to the Board equal to 2x the annual grant otherwise payable to directors, and (ii) an annual grant of stock options equal to 0.046% of the Company's issued and outstanding common stock on the grant date. Annual awards will be granted to directors following the Company's annual meeting of stockholders.</w:t>
      </w:r>
    </w:p>
    <w:p>
      <w:pPr>
        <w:spacing w:after="0" w:line="1384" w:lineRule="exact"/>
        <w:rPr>
          <w:sz w:val="20"/>
          <w:szCs w:val="20"/>
          <w:color w:val="auto"/>
        </w:rPr>
      </w:pPr>
    </w:p>
    <w:p>
      <w:pPr>
        <w:sectPr>
          <w:pgSz w:w="11900" w:h="16838" w:orient="portrait"/>
          <w:cols w:equalWidth="0" w:num="2">
            <w:col w:w="7200" w:space="14"/>
            <w:col w:w="4026"/>
          </w:cols>
          <w:pgMar w:left="320" w:top="1100" w:right="339" w:bottom="1440" w:gutter="0" w:footer="0" w:header="0"/>
          <w:type w:val="continuous"/>
        </w:sectPr>
      </w:pPr>
    </w:p>
    <w:p>
      <w:pPr>
        <w:jc w:val="both"/>
        <w:ind w:left="1620" w:right="860" w:hanging="361"/>
        <w:spacing w:after="0"/>
        <w:tabs>
          <w:tab w:leader="none" w:pos="162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Director Compensation Table</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a summary of the compensation earned by our non-executive directors in Fiscal 2025.</w:t>
      </w:r>
    </w:p>
    <w:p>
      <w:pPr>
        <w:spacing w:after="0" w:line="26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Fees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220" w:type="dxa"/>
            <w:vAlign w:val="bottom"/>
          </w:tcPr>
          <w:p>
            <w:pPr>
              <w:spacing w:after="0"/>
              <w:rPr>
                <w:sz w:val="17"/>
                <w:szCs w:val="17"/>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9"/>
                <w:szCs w:val="9"/>
                <w:b w:val="1"/>
                <w:bCs w:val="1"/>
                <w:color w:val="auto"/>
              </w:rPr>
              <w:t>(2)(3)</w:t>
            </w:r>
          </w:p>
        </w:tc>
        <w:tc>
          <w:tcPr>
            <w:tcW w:w="22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40" w:type="dxa"/>
            <w:vAlign w:val="bottom"/>
          </w:tcPr>
          <w:p>
            <w:pPr>
              <w:spacing w:after="0"/>
              <w:rPr>
                <w:sz w:val="21"/>
                <w:szCs w:val="21"/>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3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8"/>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Margaret M. FitzPatrick, M.A.</w:t>
            </w:r>
            <w:r>
              <w:rPr>
                <w:rFonts w:ascii="Times New Roman" w:cs="Times New Roman" w:eastAsia="Times New Roman" w:hAnsi="Times New Roman"/>
                <w:sz w:val="9"/>
                <w:szCs w:val="9"/>
                <w:color w:val="auto"/>
              </w:rPr>
              <w:t>(4)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133,726</w:t>
            </w:r>
          </w:p>
        </w:tc>
      </w:tr>
      <w:tr>
        <w:trPr>
          <w:trHeight w:val="25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Ann M. Cunningham, MBA</w:t>
            </w:r>
            <w:r>
              <w:rPr>
                <w:rFonts w:ascii="Times New Roman" w:cs="Times New Roman" w:eastAsia="Times New Roman" w:hAnsi="Times New Roman"/>
                <w:sz w:val="9"/>
                <w:szCs w:val="9"/>
                <w:color w:val="auto"/>
              </w:rPr>
              <w:t>(5)</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52,500</w:t>
            </w:r>
          </w:p>
        </w:tc>
        <w:tc>
          <w:tcPr>
            <w:tcW w:w="120" w:type="dxa"/>
            <w:vAlign w:val="bottom"/>
          </w:tcPr>
          <w:p>
            <w:pPr>
              <w:spacing w:after="0"/>
              <w:rPr>
                <w:sz w:val="22"/>
                <w:szCs w:val="22"/>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96,226</w:t>
            </w:r>
          </w:p>
        </w:tc>
      </w:tr>
      <w:tr>
        <w:trPr>
          <w:trHeight w:val="258"/>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Joanne Curley, Ph.D.</w:t>
            </w:r>
            <w:r>
              <w:rPr>
                <w:rFonts w:ascii="Times New Roman" w:cs="Times New Roman" w:eastAsia="Times New Roman" w:hAnsi="Times New Roman"/>
                <w:sz w:val="9"/>
                <w:szCs w:val="9"/>
                <w:color w:val="auto"/>
              </w:rPr>
              <w:t>(6)</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98,726</w:t>
            </w:r>
          </w:p>
        </w:tc>
      </w:tr>
      <w:tr>
        <w:trPr>
          <w:trHeight w:val="25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Jerry B. Gin, Ph.D., MBA</w:t>
            </w:r>
            <w:r>
              <w:rPr>
                <w:rFonts w:ascii="Times New Roman" w:cs="Times New Roman" w:eastAsia="Times New Roman" w:hAnsi="Times New Roman"/>
                <w:sz w:val="9"/>
                <w:szCs w:val="9"/>
                <w:color w:val="auto"/>
              </w:rPr>
              <w:t>(7)</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20" w:type="dxa"/>
            <w:vAlign w:val="bottom"/>
          </w:tcPr>
          <w:p>
            <w:pPr>
              <w:spacing w:after="0"/>
              <w:rPr>
                <w:sz w:val="22"/>
                <w:szCs w:val="22"/>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113,726</w:t>
            </w:r>
          </w:p>
        </w:tc>
      </w:tr>
      <w:tr>
        <w:trPr>
          <w:trHeight w:val="258"/>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 L. Rotunno, J.D.</w:t>
            </w:r>
            <w:r>
              <w:rPr>
                <w:rFonts w:ascii="Times New Roman" w:cs="Times New Roman" w:eastAsia="Times New Roman" w:hAnsi="Times New Roman"/>
                <w:sz w:val="9"/>
                <w:szCs w:val="9"/>
                <w:color w:val="auto"/>
              </w:rPr>
              <w:t>(8)</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113,726</w:t>
            </w:r>
          </w:p>
        </w:tc>
      </w:tr>
      <w:tr>
        <w:trPr>
          <w:trHeight w:val="25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Jon S. Saxe, J.D., LL.M.</w:t>
            </w:r>
            <w:r>
              <w:rPr>
                <w:rFonts w:ascii="Times New Roman" w:cs="Times New Roman" w:eastAsia="Times New Roman" w:hAnsi="Times New Roman"/>
                <w:sz w:val="9"/>
                <w:szCs w:val="9"/>
                <w:color w:val="auto"/>
              </w:rPr>
              <w:t>(9)</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20" w:type="dxa"/>
            <w:vAlign w:val="bottom"/>
          </w:tcPr>
          <w:p>
            <w:pPr>
              <w:spacing w:after="0"/>
              <w:rPr>
                <w:sz w:val="22"/>
                <w:szCs w:val="22"/>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118,726</w:t>
            </w:r>
          </w:p>
        </w:tc>
      </w:tr>
    </w:tbl>
    <w:p>
      <w:pPr>
        <w:spacing w:after="0" w:line="323" w:lineRule="exact"/>
        <w:rPr>
          <w:sz w:val="20"/>
          <w:szCs w:val="20"/>
          <w:color w:val="auto"/>
        </w:rPr>
      </w:pPr>
    </w:p>
    <w:p>
      <w:pPr>
        <w:jc w:val="both"/>
        <w:ind w:left="1020" w:right="840" w:hanging="380"/>
        <w:spacing w:after="0" w:line="212" w:lineRule="auto"/>
        <w:tabs>
          <w:tab w:leader="none" w:pos="102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amounts shown in the table above represent fees earned for service on our Board, as well as service on our Audit Committee, Compensation Committee and/or Corporate Governance and Nominating Committee during Fiscal 2025, as applicable, which amounts were paid in full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17" w:name="page18"/>
    <w:bookmarkEnd w:id="17"/>
    <w:p>
      <w:pPr>
        <w:jc w:val="both"/>
        <w:ind w:left="380" w:hanging="380"/>
        <w:spacing w:after="0" w:line="214" w:lineRule="auto"/>
        <w:tabs>
          <w:tab w:leader="none" w:pos="38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amounts shown in the “Option Awards” column do not represent any cash payments actually received by Ms. FitzPatrick, Ms. Cunningham, Dr. Curley, Dr. Gin, Ms. Rotunno or Mr. Saxe during Fiscal 2025. Rather, the amounts shown represent the aggregate grant date fair value of options to purchase shares of our common stock awarded to each of Ms. FitzPatrick, Ms. Cunningham, Dr. Curley, Dr. Gin, Ms. Rotunno or Mr. Saxe during Fiscal 2025, computed in accordance with Financial Accounting Standards Board’s Accounting Standards Codification Topic 718, Compensation – Stock Compensation (</w:t>
      </w:r>
      <w:r>
        <w:rPr>
          <w:rFonts w:ascii="Times New Roman" w:cs="Times New Roman" w:eastAsia="Times New Roman" w:hAnsi="Times New Roman"/>
          <w:sz w:val="15"/>
          <w:szCs w:val="15"/>
          <w:i w:val="1"/>
          <w:iCs w:val="1"/>
          <w:color w:val="auto"/>
        </w:rPr>
        <w:t>ASC 718</w:t>
      </w:r>
      <w:r>
        <w:rPr>
          <w:rFonts w:ascii="Times New Roman" w:cs="Times New Roman" w:eastAsia="Times New Roman" w:hAnsi="Times New Roman"/>
          <w:sz w:val="15"/>
          <w:szCs w:val="15"/>
          <w:color w:val="auto"/>
        </w:rPr>
        <w:t>). To date, Ms. FitzPatrick, Ms. Cunningham, Dr. Curley, Dr. Gin, Ms. Rotunno or Mr. Saxe have not exercised any of the options granted during Fiscal 2025, and there can be no assurance that any of them will ever realize all or any portion of the full ASC 718 grant date fair value amounts presented above in the “Option Awards” column.</w:t>
      </w:r>
    </w:p>
    <w:p>
      <w:pPr>
        <w:spacing w:after="0" w:line="111" w:lineRule="exact"/>
        <w:rPr>
          <w:rFonts w:ascii="Times New Roman" w:cs="Times New Roman" w:eastAsia="Times New Roman" w:hAnsi="Times New Roman"/>
          <w:sz w:val="20"/>
          <w:szCs w:val="20"/>
          <w:color w:val="auto"/>
          <w:vertAlign w:val="superscript"/>
        </w:rPr>
      </w:pPr>
    </w:p>
    <w:p>
      <w:pPr>
        <w:jc w:val="both"/>
        <w:ind w:left="380" w:hanging="380"/>
        <w:spacing w:after="0" w:line="212" w:lineRule="auto"/>
        <w:tabs>
          <w:tab w:leader="none" w:pos="38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table below provides information regarding the option awards we granted to our independent Board members, as well as to Ms. Cunningham, who is a non-executive, non-independent member of our Board, during Fiscal 2025 and the weighted average assumptions used in the Black Scholes Option Pricing Model to determine the grant date fair values of the respective awards.</w:t>
      </w: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Option Grant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9/6/2024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2"/>
        </w:trPr>
        <w:tc>
          <w:tcPr>
            <w:tcW w:w="49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Option Shares Granted</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 FitzPatrick</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 Cunningham</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 Curley</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Dr. Gin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 Rotunno</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Saxe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14,100</w:t>
            </w:r>
          </w:p>
        </w:tc>
        <w:tc>
          <w:tcPr>
            <w:tcW w:w="120" w:type="dxa"/>
            <w:vAlign w:val="bottom"/>
            <w:shd w:val="clear" w:color="auto" w:fill="CCEEFF"/>
          </w:tcPr>
          <w:p>
            <w:pPr>
              <w:spacing w:after="0"/>
              <w:rPr>
                <w:sz w:val="18"/>
                <w:szCs w:val="18"/>
                <w:color w:val="auto"/>
              </w:rPr>
            </w:pPr>
          </w:p>
        </w:tc>
      </w:tr>
      <w:tr>
        <w:trPr>
          <w:trHeight w:val="207"/>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Option Award Compensation</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 FitzPatrick</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 Cunningham</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 Curley</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Dr. Gin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 Rotunno</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Saxe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w:t>
            </w:r>
          </w:p>
        </w:tc>
        <w:tc>
          <w:tcPr>
            <w:tcW w:w="120" w:type="dxa"/>
            <w:vAlign w:val="bottom"/>
            <w:shd w:val="clear" w:color="auto" w:fill="CCEEFF"/>
          </w:tcPr>
          <w:p>
            <w:pPr>
              <w:spacing w:after="0"/>
              <w:rPr>
                <w:sz w:val="18"/>
                <w:szCs w:val="18"/>
                <w:color w:val="auto"/>
              </w:rPr>
            </w:pPr>
          </w:p>
        </w:tc>
      </w:tr>
      <w:tr>
        <w:trPr>
          <w:trHeight w:val="207"/>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Option Award Assumptions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 price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Grant date market price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 free interest rate</w:t>
            </w:r>
          </w:p>
        </w:tc>
        <w:tc>
          <w:tcPr>
            <w:tcW w:w="200" w:type="dxa"/>
            <w:vAlign w:val="bottom"/>
          </w:tcPr>
          <w:p>
            <w:pPr>
              <w:spacing w:after="0"/>
              <w:rPr>
                <w:sz w:val="17"/>
                <w:szCs w:val="17"/>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3.49 %</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200" w:type="dxa"/>
            <w:vAlign w:val="bottom"/>
          </w:tcPr>
          <w:p>
            <w:pPr>
              <w:spacing w:after="0"/>
              <w:rPr>
                <w:sz w:val="17"/>
                <w:szCs w:val="17"/>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131.73 %</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Rate</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0.00 %</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7"/>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per share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Aggregate option shares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329" w:lineRule="exact"/>
        <w:rPr>
          <w:sz w:val="20"/>
          <w:szCs w:val="20"/>
          <w:color w:val="auto"/>
        </w:rPr>
      </w:pPr>
    </w:p>
    <w:p>
      <w:pPr>
        <w:jc w:val="both"/>
        <w:ind w:left="380" w:right="240" w:hanging="380"/>
        <w:spacing w:after="0" w:line="213" w:lineRule="auto"/>
        <w:tabs>
          <w:tab w:leader="none" w:pos="38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FitzPatrick was appointed to our Board in July 2021 and was appointed to serve as Chair of our Board in October 2023, Ms. FitzPatrick has also served as a member of our Corporate Governance and Nominating Committee since her appointment. On November 21, 2022, Ms. FitzPatrick was also appointed as a member of the Compensation Committee. At March 31, 2025, Ms. FitzPatrick held options to purchase 32,434 registered shares of our common stock, of which options to purchase 27,147 shares were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217805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760"/>
          </w:cols>
          <w:pgMar w:left="960" w:top="915" w:right="1179" w:bottom="1440" w:gutter="0" w:footer="0" w:header="0"/>
        </w:sectPr>
      </w:pPr>
    </w:p>
    <w:bookmarkStart w:id="18" w:name="page19"/>
    <w:bookmarkEnd w:id="18"/>
    <w:p>
      <w:pPr>
        <w:jc w:val="both"/>
        <w:ind w:left="380" w:hanging="380"/>
        <w:spacing w:after="0" w:line="213"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Cunningham served as an independent member of our Board and as a member of our Corporate Governance and Nominating Committee from January 2019 through April 30, 2021. On May 1, 2021, Ms. Cunningham joined the Company as its Chief Commercial Officer (</w:t>
      </w:r>
      <w:r>
        <w:rPr>
          <w:rFonts w:ascii="Times New Roman" w:cs="Times New Roman" w:eastAsia="Times New Roman" w:hAnsi="Times New Roman"/>
          <w:sz w:val="15"/>
          <w:szCs w:val="15"/>
          <w:i w:val="1"/>
          <w:iCs w:val="1"/>
          <w:color w:val="auto"/>
        </w:rPr>
        <w:t>CCO</w:t>
      </w:r>
      <w:r>
        <w:rPr>
          <w:rFonts w:ascii="Times New Roman" w:cs="Times New Roman" w:eastAsia="Times New Roman" w:hAnsi="Times New Roman"/>
          <w:sz w:val="15"/>
          <w:szCs w:val="15"/>
          <w:color w:val="auto"/>
        </w:rPr>
        <w:t>) and served in such capacity through November 11, 2022. During the period in which she served as CCO, her service on the Corporate Governance and Nominating Committee terminated. Ms. Cunningham re-joined the Corporate Governance and Nominating Committee from November 2022 until voluntarily stepping down from the position in September 2024.</w:t>
      </w:r>
    </w:p>
    <w:p>
      <w:pPr>
        <w:spacing w:after="0" w:line="190" w:lineRule="exact"/>
        <w:rPr>
          <w:rFonts w:ascii="Times New Roman" w:cs="Times New Roman" w:eastAsia="Times New Roman" w:hAnsi="Times New Roman"/>
          <w:sz w:val="20"/>
          <w:szCs w:val="20"/>
          <w:color w:val="auto"/>
          <w:vertAlign w:val="superscript"/>
        </w:rPr>
      </w:pPr>
    </w:p>
    <w:p>
      <w:pPr>
        <w:ind w:left="380"/>
        <w:spacing w:after="0" w:line="253"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March 31, 2025, Ms. Cunningham held options to purchase 51,603 registered shares of our common stock, of which options to purchase 45,900 shares were exercisable.</w:t>
      </w:r>
    </w:p>
    <w:p>
      <w:pPr>
        <w:spacing w:after="0" w:line="333" w:lineRule="exact"/>
        <w:rPr>
          <w:rFonts w:ascii="Times New Roman" w:cs="Times New Roman" w:eastAsia="Times New Roman" w:hAnsi="Times New Roman"/>
          <w:sz w:val="20"/>
          <w:szCs w:val="20"/>
          <w:color w:val="auto"/>
          <w:vertAlign w:val="superscript"/>
        </w:rPr>
      </w:pPr>
    </w:p>
    <w:p>
      <w:pPr>
        <w:jc w:val="both"/>
        <w:ind w:left="380" w:right="60" w:hanging="380"/>
        <w:spacing w:after="0" w:line="212"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Dr. Curley was appointed to our Board in April 2021 and has also served as a member of our Corporate Governance and Nominating Committee since her appointment. At March 31, 2025, Dr. Curley held options to purchase 32,934 registered shares of our common stock, of which options to purchase 27,147 shares were exercisable.</w:t>
      </w:r>
    </w:p>
    <w:p>
      <w:pPr>
        <w:spacing w:after="0" w:line="124" w:lineRule="exact"/>
        <w:rPr>
          <w:rFonts w:ascii="Times New Roman" w:cs="Times New Roman" w:eastAsia="Times New Roman" w:hAnsi="Times New Roman"/>
          <w:sz w:val="20"/>
          <w:szCs w:val="20"/>
          <w:color w:val="auto"/>
          <w:vertAlign w:val="superscript"/>
        </w:rPr>
      </w:pPr>
    </w:p>
    <w:p>
      <w:pPr>
        <w:jc w:val="both"/>
        <w:ind w:left="380" w:hanging="380"/>
        <w:spacing w:after="0" w:line="213"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Dr. Gin has served as a member of our Board and as a member of our Audit Committee since his appointment to the Board in 2016. Beginning in July 2021, he was also appointed as the chairperson of our Compensation Committee. At March 31, 2025, Dr. Gin beneficially held: (i) 13,334 shares of our common stock, which amount includes 6,667 shares held by Dr. Gin’s wife, and (ii) options to purchase 50,271 registered shares of our common stock, of which options to purchase 44,984 shares were exercisable.</w:t>
      </w:r>
    </w:p>
    <w:p>
      <w:pPr>
        <w:spacing w:after="0" w:line="111" w:lineRule="exact"/>
        <w:rPr>
          <w:rFonts w:ascii="Times New Roman" w:cs="Times New Roman" w:eastAsia="Times New Roman" w:hAnsi="Times New Roman"/>
          <w:sz w:val="20"/>
          <w:szCs w:val="20"/>
          <w:color w:val="auto"/>
          <w:vertAlign w:val="superscript"/>
        </w:rPr>
      </w:pPr>
    </w:p>
    <w:p>
      <w:pPr>
        <w:ind w:left="380"/>
        <w:spacing w:after="0" w:line="253"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June 23, 2025, Dr. Gin notified the Board of his intention to retire from the Board and all Board committee positions held at the end of his current term, which expires at the Annual Meeting.</w:t>
      </w:r>
    </w:p>
    <w:p>
      <w:pPr>
        <w:spacing w:after="0" w:line="113" w:lineRule="exact"/>
        <w:rPr>
          <w:rFonts w:ascii="Times New Roman" w:cs="Times New Roman" w:eastAsia="Times New Roman" w:hAnsi="Times New Roman"/>
          <w:sz w:val="20"/>
          <w:szCs w:val="20"/>
          <w:color w:val="auto"/>
          <w:vertAlign w:val="superscript"/>
        </w:rPr>
      </w:pPr>
    </w:p>
    <w:p>
      <w:pPr>
        <w:jc w:val="both"/>
        <w:ind w:left="380" w:hanging="380"/>
        <w:spacing w:after="0" w:line="212"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Rotunno was appointed to our Board in July 2021 and, since her appointment to the Board, serves as a member of our Audit Committee and as chairperson of the Corporate Governance and Nominating Committee. At March 31, 2025, Ms. Rotunno held options to purchase 32,434 registered shares of our common stock, of which options to purchase 27,147 shares were exercisable.</w:t>
      </w:r>
    </w:p>
    <w:p>
      <w:pPr>
        <w:spacing w:after="0" w:line="111" w:lineRule="exact"/>
        <w:rPr>
          <w:rFonts w:ascii="Times New Roman" w:cs="Times New Roman" w:eastAsia="Times New Roman" w:hAnsi="Times New Roman"/>
          <w:sz w:val="20"/>
          <w:szCs w:val="20"/>
          <w:color w:val="auto"/>
          <w:vertAlign w:val="superscript"/>
        </w:rPr>
      </w:pPr>
    </w:p>
    <w:p>
      <w:pPr>
        <w:jc w:val="both"/>
        <w:ind w:left="380" w:right="60" w:hanging="380"/>
        <w:spacing w:after="0" w:line="212" w:lineRule="auto"/>
        <w:tabs>
          <w:tab w:leader="none" w:pos="3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Saxe currently serves as Chair of our Audit Committee and as a member of our Compensation Committee, and previously served as Chairman of our Board until October 2023. At March 31, 2025, Mr. Saxe held (i) 1,858 shares of our common stock and (ii) options to purchase 49,437 registered shares of our common stock, of which options to purchase 44,150 shares were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217805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760"/>
          </w:cols>
          <w:pgMar w:left="960" w:top="915" w:right="11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Board Attendance at Board of Directors, Committee and Stockholder Meetings</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Our Board met six times and acted by unanimous written consent two times during our fiscal year ended March 31, 2025. In addition, during the year ended March 31, 2025: (i) our Audit Committee met four times and acted by unanimous written consent once; (ii) our Compensation Committee met three times and acted by unanimous written consent four times; and (iii) our Corporate Governance and Nominating Committee met seven times. During Fiscal 2025, each of</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our directors attended at least 75% of the total number of meetings of our Board and the total number of all meetings of committees on which such director served, in each case during the periods in which they served.</w:t>
      </w:r>
    </w:p>
    <w:p>
      <w:pPr>
        <w:spacing w:after="0" w:line="177"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We do not have a formal policy regarding attendance by members of the Board at our annual meetings of stockholders, but directors are encouraged to attend. We held our 2024 Annual Meeting in a virtual meeting format, for which all of our directors were in attendance.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09"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17"/>
          <w:szCs w:val="17"/>
          <w:color w:val="auto"/>
        </w:rPr>
        <w:t>Our Bylaws provide that our Board shall consist of not less than one and not more than seven directors, with the exact number fixed at seven. Our Board currently consists of seven members, and will decrease to six members at the Annual Meeting when Dr. Gin's retirement from our Board held takes effect 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 of his current term, which takes effect at the Annual Meeting.</w:t>
      </w:r>
    </w:p>
    <w:p>
      <w:pPr>
        <w:spacing w:after="0" w:line="187"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In accordance with our Bylaws, the exact number of directors may only be amended by the vote or written consent of a majority of the outstanding shares of our voting securities. All actions of the Board require the approval of a majority of the directors in attendance at a meeting at which a quorum is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Our securities are currently listed on The Nasdaq Capital Market, which requires that a majority of our directors be “independent,” as such term is defined by Nasdaq Listing Rule 5605(a)(2). Accordingly, we evaluate director independence under the standards established by the SEC and the rules of The Nasdaq Stock Market.</w:t>
      </w:r>
    </w:p>
    <w:p>
      <w:pPr>
        <w:spacing w:after="0" w:line="199"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a controlling shareholder or an executive officer of any organization to which the Company made, or from which the Company received, payments for property or services in the current or any of the past three fiscal years that exceeds 5% of the recipient's gross revenues for that year, or $200,000, whichever is greater;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or in the past three years has been, employed in a professional capacity by our independent public accountants, or has worked for such firm in any capacity on our audit.</w:t>
      </w:r>
    </w:p>
    <w:p>
      <w:pPr>
        <w:spacing w:after="0" w:line="208"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Our Board has undertaken a review of its composition, the composition of its committees and the independence of each director. Based upon information requested from and provided by each director concerning her or his background, employment and affiliations, including family relationships, our Board has determined that, as of the date of this Proxy Statement, each of Ms. FitzPatrick, Dr. Curley, Dr. Gin, Mr. Saxe and Ms. Rotunno is “independent” as that term is defined by Nasdaq Listing Rule 5605(a)(2). In addition, in mid-November 2025, the Board expects that Ms. Cunningham will become “independent” under Nasdaq Listing Rule 5605(a)(2), if she is re-elected to by stockholders for another term at the Annual Meeting.</w:t>
      </w:r>
    </w:p>
    <w:p>
      <w:pPr>
        <w:spacing w:after="0" w:line="202"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In making these determinations, our Board considered the current and prior relationships that each non-employee director has with the Company and all other facts and circumstances that our Board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Board Committees and Charters</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Our Board has established an Audit Committee, a Compensation Committee and a Corporate Governance and Nominating Committee. Directors currently serving on each committee of the Board, including positions held by Dr. Gin who intends to retire from the Board and all Board committee positions held at the end of his current term which expires at the Annual Meeting,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5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and Nominating</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2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0" w:type="dxa"/>
            <w:vAlign w:val="bottom"/>
          </w:tcPr>
          <w:p>
            <w:pPr>
              <w:spacing w:after="0"/>
              <w:rPr>
                <w:sz w:val="1"/>
                <w:szCs w:val="1"/>
                <w:color w:val="auto"/>
              </w:rPr>
            </w:pPr>
          </w:p>
        </w:tc>
      </w:tr>
      <w:tr>
        <w:trPr>
          <w:trHeight w:val="21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Margaret M. FitzPatrick, M.A.</w:t>
            </w:r>
          </w:p>
        </w:tc>
        <w:tc>
          <w:tcPr>
            <w:tcW w:w="2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8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0" w:type="dxa"/>
            <w:vAlign w:val="bottom"/>
          </w:tcPr>
          <w:p>
            <w:pPr>
              <w:spacing w:after="0"/>
              <w:rPr>
                <w:sz w:val="1"/>
                <w:szCs w:val="1"/>
                <w:color w:val="auto"/>
              </w:rPr>
            </w:pP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 Cunningham, MBA</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Joanne Curley, Ph.D.</w:t>
            </w:r>
          </w:p>
        </w:tc>
        <w:tc>
          <w:tcPr>
            <w:tcW w:w="2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0" w:type="dxa"/>
            <w:vAlign w:val="bottom"/>
          </w:tcPr>
          <w:p>
            <w:pPr>
              <w:spacing w:after="0"/>
              <w:rPr>
                <w:sz w:val="1"/>
                <w:szCs w:val="1"/>
                <w:color w:val="auto"/>
              </w:rPr>
            </w:pP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Jerry B. Gin, Ph.D.</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540" w:type="dxa"/>
            <w:vAlign w:val="bottom"/>
            <w:gridSpan w:val="2"/>
          </w:tcPr>
          <w:p>
            <w:pPr>
              <w:ind w:left="660"/>
              <w:spacing w:after="0"/>
              <w:rPr>
                <w:sz w:val="20"/>
                <w:szCs w:val="20"/>
                <w:color w:val="auto"/>
              </w:rPr>
            </w:pPr>
            <w:r>
              <w:rPr>
                <w:rFonts w:ascii="Times New Roman" w:cs="Times New Roman" w:eastAsia="Times New Roman" w:hAnsi="Times New Roman"/>
                <w:sz w:val="17"/>
                <w:szCs w:val="17"/>
                <w:i w:val="1"/>
                <w:iCs w:val="1"/>
                <w:color w:val="auto"/>
              </w:rPr>
              <w:t>Chair</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 L. Rotunno, J.D.</w:t>
            </w:r>
          </w:p>
        </w:tc>
        <w:tc>
          <w:tcPr>
            <w:tcW w:w="2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Chair</w:t>
            </w:r>
          </w:p>
        </w:tc>
        <w:tc>
          <w:tcPr>
            <w:tcW w:w="0" w:type="dxa"/>
            <w:vAlign w:val="bottom"/>
          </w:tcPr>
          <w:p>
            <w:pPr>
              <w:spacing w:after="0"/>
              <w:rPr>
                <w:sz w:val="1"/>
                <w:szCs w:val="1"/>
                <w:color w:val="auto"/>
              </w:rPr>
            </w:pP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Jon S. Saxe, J.D., LL.M.</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Chair</w:t>
            </w:r>
          </w:p>
        </w:tc>
        <w:tc>
          <w:tcPr>
            <w:tcW w:w="2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Member</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Appointed Board members serve on these committees until their resignation or until otherwise determined by our Board. In anticipation of Dr. Gin's expected retirement from the Board and all Board committee positions held at the Annual Meeting, our Board will consider appointment of other directors who are considered “independent” under Nasdaq Listing Rule 5605(a)(2) to fill Dr. Gin's committee positions.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3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During our fiscal year ended March 31, 2025, the Audit Committee of our Board consisted of Mr. Saxe, who serves as the Audit Committee Chair, Dr. Gin and Ms. Rotunno. Mr. Saxe is our Audit Committee financial expert, as that term is defined under SEC rules implementing Section 407 of the Sarbanes Oxley Act of 2002, and has certified that he possesses the requisite financial sophistication, as defined under applicable rules. The Audit Committee operates under a written charter. Our Audit Committee charter is available on our website at www.vistagen.com. Our Audit Committee is primarily responsible for, among other things, the following:</w:t>
      </w:r>
    </w:p>
    <w:p>
      <w:pPr>
        <w:spacing w:after="0" w:line="228" w:lineRule="exact"/>
        <w:rPr>
          <w:sz w:val="20"/>
          <w:szCs w:val="20"/>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accounting and financial reporting process;</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certain areas of risk for the Company, including our cybersecurity;</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retaining and replacing our independent auditors and evaluating their qualifications, independence and performance;</w:t>
      </w:r>
    </w:p>
    <w:p>
      <w:pPr>
        <w:spacing w:after="0" w:line="16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scope of the annual audit and audit fees;</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rotation of partners of independent auditors on engagement team as required by law;</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and independent auditors the results of annual audit and review of quarterly financial statements;</w:t>
      </w:r>
    </w:p>
    <w:p>
      <w:pPr>
        <w:spacing w:after="0" w:line="16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adequacy and effectiveness of internal control policies and procedures;</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retention of independent auditors to perform any proposed permissible non-audit services;</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internal audit functions and annually reviewing Audit Committee charter and committee performance; and</w:t>
      </w:r>
    </w:p>
    <w:p>
      <w:pPr>
        <w:spacing w:after="0" w:line="16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During our fiscal year ended March 31, 2025, the Compensation Committee of our Board was composed of Dr. Gin, who served as the Compensation Committee Chair, Ms. FitzPatrick and Mr. Saxe. Our Compensation Committee charter is available on our website at www.vistagen.com. Our Compensation Committee is primarily responsible for, among other things, the following:</w:t>
      </w:r>
    </w:p>
    <w:p>
      <w:pPr>
        <w:spacing w:after="0" w:line="225" w:lineRule="exact"/>
        <w:rPr>
          <w:sz w:val="20"/>
          <w:szCs w:val="20"/>
          <w:color w:val="auto"/>
        </w:rPr>
      </w:pPr>
    </w:p>
    <w:p>
      <w:pPr>
        <w:jc w:val="both"/>
        <w:ind w:left="1180" w:right="20" w:hanging="385"/>
        <w:spacing w:after="0" w:line="226"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reviewing and approving our compensation programs and arrangements applicable to our executive officers (as defined in Rule I 6a-I (f) of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1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philosophy and objectives of our executive officer compensation programs;</w:t>
      </w:r>
    </w:p>
    <w:p>
      <w:pPr>
        <w:spacing w:after="0" w:line="178" w:lineRule="exact"/>
        <w:rPr>
          <w:rFonts w:ascii="Times New Roman" w:cs="Times New Roman" w:eastAsia="Times New Roman" w:hAnsi="Times New Roman"/>
          <w:sz w:val="17"/>
          <w:szCs w:val="17"/>
          <w:color w:val="auto"/>
        </w:rPr>
      </w:pPr>
    </w:p>
    <w:p>
      <w:pPr>
        <w:ind w:left="1180" w:right="20" w:hanging="385"/>
        <w:spacing w:after="0"/>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corporate performance measures and goals regarding executive officer compensation are set and determining the extent to which they are achieved, and any related compensation earned;</w:t>
      </w:r>
    </w:p>
    <w:p>
      <w:pPr>
        <w:spacing w:after="0" w:line="112" w:lineRule="exact"/>
        <w:rPr>
          <w:rFonts w:ascii="Times New Roman" w:cs="Times New Roman" w:eastAsia="Times New Roman" w:hAnsi="Times New Roman"/>
          <w:sz w:val="17"/>
          <w:szCs w:val="17"/>
          <w:color w:val="auto"/>
        </w:rPr>
      </w:pPr>
    </w:p>
    <w:p>
      <w:pPr>
        <w:ind w:left="1180" w:right="20" w:hanging="385"/>
        <w:spacing w:after="0" w:line="255"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goals and objectives relevant to Chief Executive Officer compensation and determining Chief Executive Officer compensation based on the performance evaluation conducted by the Corporate Governance and Nominating Committee;</w:t>
      </w:r>
    </w:p>
    <w:p>
      <w:pPr>
        <w:spacing w:after="0" w:line="100" w:lineRule="exact"/>
        <w:rPr>
          <w:rFonts w:ascii="Times New Roman" w:cs="Times New Roman" w:eastAsia="Times New Roman" w:hAnsi="Times New Roman"/>
          <w:sz w:val="17"/>
          <w:szCs w:val="17"/>
          <w:color w:val="auto"/>
        </w:rPr>
      </w:pPr>
    </w:p>
    <w:p>
      <w:pPr>
        <w:jc w:val="both"/>
        <w:ind w:left="1180" w:right="20" w:hanging="385"/>
        <w:spacing w:after="0" w:line="233"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compensation consultant,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14"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new equity compensation plan or any material change to an existing plan; and</w:t>
      </w:r>
    </w:p>
    <w:p>
      <w:pPr>
        <w:spacing w:after="0" w:line="165" w:lineRule="exact"/>
        <w:rPr>
          <w:rFonts w:ascii="Times New Roman" w:cs="Times New Roman" w:eastAsia="Times New Roman" w:hAnsi="Times New Roman"/>
          <w:sz w:val="17"/>
          <w:szCs w:val="17"/>
          <w:color w:val="auto"/>
        </w:rPr>
      </w:pPr>
    </w:p>
    <w:p>
      <w:pPr>
        <w:ind w:left="1180" w:right="20" w:hanging="385"/>
        <w:spacing w:after="0" w:line="255"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stock option award or any other type of award as may be required for complying with any tax, securities, or other regulatory requirement, or otherwise determined to be appropriate or desirable by the Compensation Committee or Board.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Governance and Nominating Committee</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During our fiscal year ended March 31, 2025, the Corporate Governance and Nominating Committee of our Board was composed of Ms. Rotunno, who served as the Corporate Governance and Nominating Committee Chair, Dr. Curley and Ms. FitzPatrick. Ms. Cunningham previously served on the Corporate Governance and Nominating Committee, and voluntarily stepped down from this role in September 2024. Our Corporate Governance and Nominating Committee charter is available on our website at www.vistagen.com. Our Corporate Governance and Nominating Committee is primarily responsible for, among other things, the following:</w:t>
      </w:r>
    </w:p>
    <w:p>
      <w:pPr>
        <w:spacing w:after="0" w:line="224" w:lineRule="exact"/>
        <w:rPr>
          <w:sz w:val="20"/>
          <w:szCs w:val="20"/>
          <w:color w:val="auto"/>
        </w:rPr>
      </w:pPr>
    </w:p>
    <w:p>
      <w:pPr>
        <w:ind w:left="1180" w:hanging="385"/>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size and composition of our Board;</w:t>
      </w:r>
    </w:p>
    <w:p>
      <w:pPr>
        <w:spacing w:after="0" w:line="16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periodic assessments of our Board;</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with respect to the nominations or elections of our directors;</w:t>
      </w:r>
    </w:p>
    <w:p>
      <w:pPr>
        <w:spacing w:after="0" w:line="178" w:lineRule="exact"/>
        <w:rPr>
          <w:rFonts w:ascii="Times New Roman" w:cs="Times New Roman" w:eastAsia="Times New Roman" w:hAnsi="Times New Roman"/>
          <w:sz w:val="17"/>
          <w:szCs w:val="17"/>
          <w:color w:val="auto"/>
        </w:rPr>
      </w:pPr>
    </w:p>
    <w:p>
      <w:pPr>
        <w:ind w:left="1180" w:right="20" w:hanging="385"/>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an annual evaluation of our Chief Executive Officer in light of corporate performance measures and goals set by the Compensation Committee;</w:t>
      </w:r>
    </w:p>
    <w:p>
      <w:pPr>
        <w:spacing w:after="0" w:line="112" w:lineRule="exact"/>
        <w:rPr>
          <w:rFonts w:ascii="Times New Roman" w:cs="Times New Roman" w:eastAsia="Times New Roman" w:hAnsi="Times New Roman"/>
          <w:sz w:val="17"/>
          <w:szCs w:val="17"/>
          <w:color w:val="auto"/>
        </w:rPr>
      </w:pPr>
    </w:p>
    <w:p>
      <w:pPr>
        <w:ind w:left="1180" w:right="20" w:hanging="385"/>
        <w:spacing w:after="0" w:line="25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of our corporate governance policies and procedures and our Code of Business Conduct, and recommending any proposed changes to our Board for approval; and</w:t>
      </w:r>
    </w:p>
    <w:p>
      <w:pPr>
        <w:spacing w:after="0" w:line="100" w:lineRule="exact"/>
        <w:rPr>
          <w:rFonts w:ascii="Times New Roman" w:cs="Times New Roman" w:eastAsia="Times New Roman" w:hAnsi="Times New Roman"/>
          <w:sz w:val="17"/>
          <w:szCs w:val="17"/>
          <w:color w:val="auto"/>
        </w:rPr>
      </w:pPr>
    </w:p>
    <w:p>
      <w:pPr>
        <w:ind w:left="1180" w:right="20" w:hanging="385"/>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any requests for waivers from our Code of Business Conduct and ensure that we disclose such waivers as may be required by the exchange on which we are listed, if any, and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09"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The Compensation Committee of our Board currently consists of Dr. Gin, Ms. FitzPatrick and Mr. Saxe, each of whom is an independent, non-employee director. No member of the Compensation Committee has a relationship that would constitute an interlocking relationship with any executive officer or director of another entity.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Board currently separates the roles of Chief Executive Officer and Chair of the Board. Our Chief Executive Officer, who is also a member of our Board, is responsible for setting the strategic direction of the Company and the day-to-day leadership and operation of the Company. The Chair of our Board provides guidance to the Chief Executive Officer, assists with setting the agenda for the Board meetings and presides over Board meetings. Although these roles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are currently separate, the Board believes it should be able to freely select the Chair of the Board based on criteria that it deems to be in the best interest of the Company and its stockholders, and therefore one person may, in the future, serve as both the Chief Executive Officer and Chair of the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Role in Risk Assessment</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outside legal counsel and the Company’s independent registered public accountants relating to risk assessment and management. Audit Committee members meet privately in executive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sessions with representatives of the Company’s independent registered public accountants. The Board also provides risk oversight through its periodic reviews of the financial and operational performance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corporate responsibility is fundamental to our mission and we are committed to holding ourselves to high ethical standards. Beyond our quest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to develop transformative treatment options to improve the lives of individuals underserved by the current standard of care for multiple highly prevalent indications, including social anxiety disorder, major depressive disorder, and multiple women’s health conditions, including vasomotor symptoms (hot flashes) associated with menopause, we strive to have a positive impact on our employees, our local communities, our stockholders, patients, healthcare providers,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healthcare ecosystem, and society as a whole.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 and Leadership</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As a late clinical-stage biopharmaceutical company leveraging a deep understanding of nose-to-brain neurocircuitry to develop and commercialize a broad and diverse pipeline of clinical-stage product candidates from a new class of intranasal therapies called pherines, we believe creating an environment that allows our team to collectively thrive and achieve its full potential begins with our Board, which consists of directors with diverse and dynamic backgrounds in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pharmaceutical research and development, commercial affairs, corporate finance, corporate governance, intellectual property, law, and strategic collaborations. Applying the Nasdaq Stock Market’s continued listing standards for director independence, five of our seven directors are considered independent. At the management level, we have built a team of highly experienced professionals that we believe provide us with a broad, diverse and inclusive corporate culture, while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also providing the critical know-how necessary to allow us to achieve our mission, which includes developing and advancing a strategic environmental, social and governance (</w:t>
      </w:r>
      <w:r>
        <w:rPr>
          <w:rFonts w:ascii="Times New Roman" w:cs="Times New Roman" w:eastAsia="Times New Roman" w:hAnsi="Times New Roman"/>
          <w:sz w:val="17"/>
          <w:szCs w:val="17"/>
          <w:i w:val="1"/>
          <w:iCs w:val="1"/>
          <w:color w:val="auto"/>
        </w:rPr>
        <w:t>ESG</w:t>
      </w:r>
      <w:r>
        <w:rPr>
          <w:rFonts w:ascii="Times New Roman" w:cs="Times New Roman" w:eastAsia="Times New Roman" w:hAnsi="Times New Roman"/>
          <w:sz w:val="17"/>
          <w:szCs w:val="17"/>
          <w:color w:val="auto"/>
        </w:rPr>
        <w:t>) framework to guide our operations and to ensure that we continue to operate in a manner that is consistent with our mission to develop transformative treatment options to improve the lives of individuals underserved by the current standard of care for multiple highly prevalent indications.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Core Values and Ethics</w:t>
      </w:r>
    </w:p>
    <w:p>
      <w:pPr>
        <w:spacing w:after="0" w:line="183"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17"/>
          <w:szCs w:val="17"/>
          <w:color w:val="auto"/>
        </w:rPr>
        <w:t>We are committed to driving improvement and innovation in the care of patients underserved by the current standard of care for multiple highly prevalent indications, including social anxiety disorder, major depressive disorder, and multiple women’s health conditions, including vasomotor symptoms (hot flashes)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associated with menopause. In this pursuit, our core values of integrity, compassion, teamwork, and excellence guide our internal processes and define our mission to radically improve mental health and physical health and well-being of individuals worldwide. In addition, all of our directors, officers and employees are responsible for upholding these values as set forth in our Code of Business Conduct, which forms the fundamental foundation of our policies and practices.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Code of Business Conduct is available on our website at www.vistagen.com.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7"/>
          <w:szCs w:val="17"/>
          <w:i w:val="1"/>
          <w:iCs w:val="1"/>
          <w:color w:val="auto"/>
        </w:rPr>
        <w:t>Environmental Commitment</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adopted a Code of Business Conduct applicable to our employees, officers and directors. Our Code of Business Conduct is available on our</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website at www.vistagen.com. We intend to disclose any future amendments to certain provisions of our Code of Business Conduct, or waivers of these provisions, on our website or in filings with the SEC under the Exchange 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Equity Ownership</w:t>
      </w:r>
    </w:p>
    <w:p>
      <w:pPr>
        <w:spacing w:after="0" w:line="179"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17"/>
          <w:szCs w:val="17"/>
          <w:color w:val="auto"/>
        </w:rPr>
        <w:t>We do not have a policy on equity ownership at this time. However, as illustrated in the “S</w:t>
      </w:r>
      <w:r>
        <w:rPr>
          <w:rFonts w:ascii="Times New Roman" w:cs="Times New Roman" w:eastAsia="Times New Roman" w:hAnsi="Times New Roman"/>
          <w:sz w:val="17"/>
          <w:szCs w:val="17"/>
          <w:i w:val="1"/>
          <w:iCs w:val="1"/>
          <w:color w:val="auto"/>
        </w:rPr>
        <w:t>ecurity Ownership of Management and Certain 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Owners</w:t>
      </w:r>
      <w:r>
        <w:rPr>
          <w:rFonts w:ascii="Times New Roman" w:cs="Times New Roman" w:eastAsia="Times New Roman" w:hAnsi="Times New Roman"/>
          <w:sz w:val="17"/>
          <w:szCs w:val="17"/>
          <w:color w:val="auto"/>
        </w:rPr>
        <w:t>” table on page 39, each of our NEOs and directors are beneficial owners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Recovery and Clawback Policy</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October 2023, our Board adopted our Policy for Recovery of Erroneously Awarded Compensation (the </w:t>
      </w:r>
      <w:r>
        <w:rPr>
          <w:rFonts w:ascii="Times New Roman" w:cs="Times New Roman" w:eastAsia="Times New Roman" w:hAnsi="Times New Roman"/>
          <w:sz w:val="17"/>
          <w:szCs w:val="17"/>
          <w:i w:val="1"/>
          <w:iCs w:val="1"/>
          <w:color w:val="auto"/>
        </w:rPr>
        <w:t>Clawback Policy</w:t>
      </w:r>
      <w:r>
        <w:rPr>
          <w:rFonts w:ascii="Times New Roman" w:cs="Times New Roman" w:eastAsia="Times New Roman" w:hAnsi="Times New Roman"/>
          <w:sz w:val="17"/>
          <w:szCs w:val="17"/>
          <w:color w:val="auto"/>
        </w:rPr>
        <w:t>), designed to comply with</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defined in the Clawback Policy) is subject to recoupment.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Trading/Anti-Hedging Policies</w:t>
      </w:r>
    </w:p>
    <w:p>
      <w:pPr>
        <w:spacing w:after="0" w:line="209"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17"/>
          <w:szCs w:val="17"/>
          <w:color w:val="auto"/>
        </w:rPr>
        <w:t>All employees, officers and directors of, and consultants and contractors to us or any of our subsidiaries are subject to our Insider Trading Policy, a copy of which is filed as Exhibit 19.1 to our Annual Report, filed with the SEC on June 17, 2025. The policy prohibits the unauthorized disclosure of any non-public</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information acquired in the workplace, and the misuse of material non-public information in securities trading. The policy also includes specific anti-hedging provisions.</w:t>
      </w:r>
    </w:p>
    <w:p>
      <w:pPr>
        <w:spacing w:after="0" w:line="12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To ensure compliance with the policy and applicable federal and state securities laws, all individuals subject to our Insider Trading Policy must refrain from the purchase or sale of our securities except in limited and designated trading windows or pursuant to to certain exclusions enumerated in the Insider Trading Policy, including preapproved 10b5-1 trading plans, exercises of stock options or other equity awards, surrender of shares to the Company in payment of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exercise price of stock options or in satisfaction of certain eligible tax withholding obligations, or periodic contributions to the Company’s 2019 Employee Stock Purchase Plan, as amended. The anti-hedging provisions prohibit all employees, officers and directors from engaging in “short sales” of our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you wish to communicate with the Board, you may send your communication in writing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Vistagen Therapeutics,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343 Allerton Avenue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South San Francisco, California 94080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Attn: Corporate Secretary</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You must include your name and address in the written communication and indicate whether you are a stockholder of the Company. The Corporate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NON-BINDING ADVISORY VOTE TO APPROVE 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9"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We are providing our stockholders with the opportunity to approve, on a non-binding advisory basis, the compensation of our Named Executive Officers (</w:t>
      </w:r>
      <w:r>
        <w:rPr>
          <w:rFonts w:ascii="Times New Roman" w:cs="Times New Roman" w:eastAsia="Times New Roman" w:hAnsi="Times New Roman"/>
          <w:sz w:val="17"/>
          <w:szCs w:val="17"/>
          <w:i w:val="1"/>
          <w:iCs w:val="1"/>
          <w:color w:val="auto"/>
        </w:rPr>
        <w:t>NEOs</w:t>
      </w:r>
      <w:r>
        <w:rPr>
          <w:rFonts w:ascii="Times New Roman" w:cs="Times New Roman" w:eastAsia="Times New Roman" w:hAnsi="Times New Roman"/>
          <w:sz w:val="17"/>
          <w:szCs w:val="17"/>
          <w:color w:val="auto"/>
        </w:rPr>
        <w:t xml:space="preserve">) as disclosed in this Proxy Statement in accordance with rules promulgated by the SEC. This Say-on-Pay proposal is required by the Dodd-Frank Wall Street Reform and Consumer Protection Act of 2010 (the </w:t>
      </w:r>
      <w:r>
        <w:rPr>
          <w:rFonts w:ascii="Times New Roman" w:cs="Times New Roman" w:eastAsia="Times New Roman" w:hAnsi="Times New Roman"/>
          <w:sz w:val="17"/>
          <w:szCs w:val="17"/>
          <w:i w:val="1"/>
          <w:iCs w:val="1"/>
          <w:color w:val="auto"/>
        </w:rPr>
        <w:t>Dodd-Frank Act</w:t>
      </w:r>
      <w:r>
        <w:rPr>
          <w:rFonts w:ascii="Times New Roman" w:cs="Times New Roman" w:eastAsia="Times New Roman" w:hAnsi="Times New Roman"/>
          <w:sz w:val="17"/>
          <w:szCs w:val="17"/>
          <w:color w:val="auto"/>
        </w:rPr>
        <w:t>), which added Section 14A to the Exchange Act.</w:t>
      </w:r>
    </w:p>
    <w:p>
      <w:pPr>
        <w:spacing w:after="0" w:line="199"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Our executive compensation program is designed to attract key employees and to retain, motivate and reward our NEOs for their performance and contribution to our operations and long-term success. Under these programs, our NEOs are rewarded for the achievement of corporate and individual performance objectives, and our NEOs’ incentives are intended to be aligned with stockholder value creation. These goals may include the achievement of specific financial or corporate development goals, including, but not limited to, research and development goals. In addition, our Compensation Committee seeks to set performance goals that reach across all business areas and include achievements in finance/business development, as well as the advancement of our research and development programs.</w:t>
      </w:r>
    </w:p>
    <w:p>
      <w:pPr>
        <w:spacing w:after="0" w:line="19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beginning on page 26 below describes our executive compensation programs and the decisions made by our Board’s Compensation Committee with respect to our fiscal years ended March 31, 2025 and 2024. In general, we seek to implement a pay mix for our NEOs that is aligned with our peer group, providing a competitive salary with a significant portion of compensation awarded for achievement of corporate performance measures.</w:t>
      </w:r>
    </w:p>
    <w:p>
      <w:pPr>
        <w:spacing w:after="0" w:line="395"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As an advisory vote, the outcome of this proposal is not binding. The outcome of this Say-on-Pay proposal does not overrule any prior or future decision by the Company, the Board, or the Board's Compensation Committee, create or imply any change to the fiduciary duties of the Company or the Board, or create or imply any additional fiduciary duties for the Company or the Board. However, the Board and the Board's Compensation Committee values the opinions expressed by our stockholders in their vote on this proposal and will consider the outcome of the vote when making future compensation decisions for NEOs.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OUR BOARD OF DIRECTORS UNANIMOUSLY RECOMMENDS 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FOLLOWING ADVISORY RESOLUTION:</w:t>
      </w:r>
    </w:p>
    <w:p>
      <w:pPr>
        <w:spacing w:after="0" w:line="205"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compensation paid to the Company’s named executive officers, as disclosed in the Company’s proxy statement for the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of Stockholders of Vistagen Therapeutics, Inc., pursuant to Item 402 of Regulation S-K, including the compensation tables and narrative discussion, is hereby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Recommendation</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this non-binding advisory matter, the affirmative vote of at least a majority of the votes cast, whether in person or by proxy, at the Annual Meeting is required to approve this Proposal No. 2 (meaning the number of shares voted “FOR” this proposal must exceed the number of shares voted “AGAINST” this proposal). Abstentions and broker non-votes will have no effect on this Proposal No. 2 as they are not considered votes cast for the foregoing purposes.</w:t>
      </w:r>
    </w:p>
    <w:p>
      <w:pPr>
        <w:spacing w:after="0" w:line="162" w:lineRule="exact"/>
        <w:rPr>
          <w:sz w:val="20"/>
          <w:szCs w:val="20"/>
          <w:color w:val="auto"/>
        </w:rPr>
      </w:pPr>
    </w:p>
    <w:p>
      <w:pPr>
        <w:jc w:val="both"/>
        <w:ind w:firstLine="62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Our Board unanimously recommends that stockholders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non-binding advisory resolution above, approving of the compensation paid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NEOs,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09"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17"/>
          <w:szCs w:val="17"/>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12"/>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Shawn K. Singh, J.D.</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24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1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Cynthia L. Anderson, CPA</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2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and Chief Financial Officer</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Reid G. Adler, J.D.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24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Legal Officer</w:t>
            </w:r>
          </w:p>
        </w:tc>
      </w:tr>
      <w:tr>
        <w:trPr>
          <w:trHeight w:val="21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Elissa Cote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c>
          <w:tcPr>
            <w:tcW w:w="2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Corporate Development Officer</w:t>
            </w:r>
          </w:p>
        </w:tc>
      </w:tr>
      <w:tr>
        <w:trPr>
          <w:trHeight w:val="21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Joshua S. Prince, MBA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24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Shawn K. Singh, J.D. </w:t>
      </w:r>
      <w:r>
        <w:rPr>
          <w:rFonts w:ascii="Times New Roman" w:cs="Times New Roman" w:eastAsia="Times New Roman" w:hAnsi="Times New Roman"/>
          <w:sz w:val="17"/>
          <w:szCs w:val="17"/>
          <w:color w:val="auto"/>
        </w:rPr>
        <w:t>Please see Mr. Singh’s biography on page 12 of this Proxy Statement, under the section titled “</w:t>
      </w:r>
      <w:r>
        <w:rPr>
          <w:rFonts w:ascii="Times New Roman" w:cs="Times New Roman" w:eastAsia="Times New Roman" w:hAnsi="Times New Roman"/>
          <w:sz w:val="17"/>
          <w:szCs w:val="17"/>
          <w:i w:val="1"/>
          <w:iCs w:val="1"/>
          <w:color w:val="auto"/>
        </w:rPr>
        <w:t>Directors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Cynthia L. Anderson, CPA </w:t>
      </w:r>
      <w:r>
        <w:rPr>
          <w:rFonts w:ascii="Times New Roman" w:cs="Times New Roman" w:eastAsia="Times New Roman" w:hAnsi="Times New Roman"/>
          <w:sz w:val="17"/>
          <w:szCs w:val="17"/>
          <w:color w:val="auto"/>
        </w:rPr>
        <w:t>has served as our Chief Financial Officer since August 2023 and as Treasurer since December 2024. Ms. Anderson has 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15 years of senior leadership experience in the biopharmaceutical industry. Prior to joining the Company, Ms. Anderson served as Chief Accounting Officer for Alnylam Pharmaceuticals, Inc. (Nasdaq: ALNY), a position she held from 2019 to 2023. From 2011 to 2019, Ms. Anderson served in senior financial reporting roles at Alexion Pharmaceuticals, Inc. Ms. Anderson also previously served as an Audit Senior Manager at Ernst &amp; Young LLP and in various audit roles at PricewaterhouseCoopers LLP. Ms. Anderson holds a B.S. in Business Administration from the University of Connecticut, and a Master of Science in Accounting from the University of Texas at Dallas. She is a certified public accountant, having earned that status in Texas.</w:t>
      </w:r>
    </w:p>
    <w:p>
      <w:pPr>
        <w:spacing w:after="0" w:line="197"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Reid G. Adler, J.D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our Chief Legal Officer since May 2022. Prior to joining the Company, Mr. Adler was in private law practice from 2011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2022, during which time he founded Capital Technology Law Group in 2019 and served as co-managing partner. While in private practice, Mr. Adler represented the Company with respect to certain technology transactions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National Institutes of Health, Office of Technology Transfer, where he recruited a team of over 40 people involved in the translation of research projects into health care products. Mr. Adler holds a B.S. in Chemistry from the University of Maryland and a J.D. from George Washington University.</w:t>
      </w:r>
    </w:p>
    <w:p>
      <w:pPr>
        <w:spacing w:after="0" w:line="198"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Elissa Cote </w:t>
      </w:r>
      <w:r>
        <w:rPr>
          <w:rFonts w:ascii="Times New Roman" w:cs="Times New Roman" w:eastAsia="Times New Roman" w:hAnsi="Times New Roman"/>
          <w:sz w:val="17"/>
          <w:szCs w:val="17"/>
          <w:color w:val="auto"/>
        </w:rPr>
        <w:t>has served as our Chief Corporate Development Officer since June 2025. Ms. Cote brings with her seasoned leadership and broad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across small to large-cap public biopharmaceutical companies, with a strong track record in strategic, transactional, and operational roles. Her therapeutic expertise spans neuropsychiatry, central nervous system disorders, immunology, infectious diseases, and more. Since 2022 and prior to joining Vistagen, Ms. Cote served as fractional Chief Business Officer and strategic advisor to several biopharmaceutical clients. From 2015 to 2022, Ms. Cote served in multiple senior-level roles at Mallinckrodt Pharmaceuticals and Sucampo Pharmaceuticals (acquired by Mallinckrodt Pharmaceuticals in 2018), including Chief Strategy and Business Development Officer, where she led business development, licensing transactions, and strategic divestitures aligned with the global enterprise strategy. Ms. Cote has also held leadership positions and roles of increasing responsibility MedImmune Inc., the global biologics division of AstraZeneca PLC. Earlier in her career, Ms. Cote was a management consultant with Accenture plc. Ms. Cote holds a B.A. from Union College and a Corporate M&amp;A certification from Columbia Business School.</w:t>
      </w:r>
    </w:p>
    <w:p>
      <w:pPr>
        <w:spacing w:after="0" w:line="201"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Joshua S. Prince, MBA</w:t>
      </w:r>
      <w:r>
        <w:rPr>
          <w:rFonts w:ascii="Times New Roman" w:cs="Times New Roman" w:eastAsia="Times New Roman" w:hAnsi="Times New Roman"/>
          <w:sz w:val="17"/>
          <w:szCs w:val="17"/>
          <w:color w:val="auto"/>
        </w:rPr>
        <w:t>, has served as our Chief Operating Officer since October 2023 and served as our Senior Vice President, Business Operations,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November 2021 until October 2023. Mr. Prince has over 20 years of experience in the pharmaceutical industry. Throughout his career, he has developed extensive expertise from early development through commercial launch of pharmaceuticals across a range of therapeutic areas. Prior to joining the Company, Mr. Prince held multiple positions at CSL Behring (ASX: CSL), Teva Pharmaceuticals (NYSE: TEVA), and AstraZeneca PLC (Nasdaq: AZN), including North American Lead, Commercial Insight and Analytics, Senior Director of CNS Global Insight, and Director of Forecasting &amp; Performance Analytics. Mr. Prince holds a B.S. in Mechanical Engineering from the University of Missouri-Rolla, and an MBA from The Pennsylvania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Stockholder Engagement and “Say-on-Pay” Voting</w:t>
      </w:r>
    </w:p>
    <w:p>
      <w:pPr>
        <w:spacing w:after="0" w:line="23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The Company is committed to engagement with its stockholders. We review any feedback we receive from our stockholders about our executive compensation program, including through the Say-on-Pay advisory vote, discussed below, to ensure that we understand key matters of interest to them, and to enable us to take that feedback into consideration for our compensation decisions.</w:t>
      </w:r>
    </w:p>
    <w:p>
      <w:pPr>
        <w:spacing w:after="0" w:line="199"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At our 2024 Annual Meeting of Stockholders, we held a non-binding advisory vote on executive compensation. This Say-on-Pay advisory vote received overwhelming support from our stockholders, with over 94% of votes cast in support of the proposal (excluding broker non-votes and abstentions). The Compensation Committee believes this vote demonstrated our stockholders’ positive view of our overall compensation philosophy and the appropriateness of our executive compensation structure.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Fiscal 2025 Named Executive Officers</w:t>
      </w:r>
    </w:p>
    <w:p>
      <w:pPr>
        <w:spacing w:after="0" w:line="23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Our NEOs for the fiscal year ended March 31, 2025, consist of our principal executive officer, our principal financial officer and our two other most highly compensated executive officers during Fiscal 2025. Our NEOs for Fiscal 2025 were:</w:t>
      </w:r>
    </w:p>
    <w:p>
      <w:pPr>
        <w:spacing w:after="0" w:line="230" w:lineRule="exact"/>
        <w:rPr>
          <w:sz w:val="20"/>
          <w:szCs w:val="20"/>
          <w:color w:val="auto"/>
        </w:rPr>
      </w:pPr>
    </w:p>
    <w:p>
      <w:pPr>
        <w:ind w:left="1180" w:hanging="385"/>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Shawn K. Singh, J.D., our President, Chief Executive Officer and member of our Board;</w:t>
      </w:r>
    </w:p>
    <w:p>
      <w:pPr>
        <w:spacing w:after="0" w:line="165"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Cynthia L. Anderson, CPA, our Chief Financial Officer and Treasurer;</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Reid G. Adler, J.D., our Chief Legal Officer;</w:t>
      </w:r>
    </w:p>
    <w:p>
      <w:pPr>
        <w:spacing w:after="0" w:line="178"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Joshua S. Prince, MBA, our Chief Operating Officer.</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Compensation Philosophy</w:t>
      </w:r>
    </w:p>
    <w:p>
      <w:pPr>
        <w:spacing w:after="0" w:line="196"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Our compensation philosophy is designed to attract, retain, motivate and reward our NEOs for their performance and contribution to our operations and long-term success. Our Board, through the Compensation Committee, seeks to compensate our executive officers by a mix of cash that is awarded upon achievement of corporate-wide and, to a lesser extent, individual performance objectives, and retention-focused equity incentives, in order to align our NEOs’ incentives with opportunities for stockholder value creation.</w:t>
      </w:r>
    </w:p>
    <w:p>
      <w:pPr>
        <w:spacing w:after="0" w:line="202"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The Compensation Committee makes decisions regarding salaries, annual cash bonus payments, if any, and equity incentive compensation, if any, for our NEOs, approves the compensation philosophy for our NEOs, which includes target payouts for the achievement of pre-determined corporate-wide goals and objectives. The Compensation Committee solicits input from our executive compensation consultant regarding the compensation of our NEOs, as well as from our Chief Executive Officer regarding the performance of our non-NEO executive officers. Finally, the Compensation Committee also administers our incentive compensation and benefit plans, including the Amended and Restated 2019 Omnibus Equity Incentive Plan, as amended (</w:t>
      </w:r>
      <w:r>
        <w:rPr>
          <w:rFonts w:ascii="Times New Roman" w:cs="Times New Roman" w:eastAsia="Times New Roman" w:hAnsi="Times New Roman"/>
          <w:sz w:val="17"/>
          <w:szCs w:val="17"/>
          <w:i w:val="1"/>
          <w:iCs w:val="1"/>
          <w:color w:val="auto"/>
        </w:rPr>
        <w:t>2019 Plan</w:t>
      </w:r>
      <w:r>
        <w:rPr>
          <w:rFonts w:ascii="Times New Roman" w:cs="Times New Roman" w:eastAsia="Times New Roman" w:hAnsi="Times New Roman"/>
          <w:sz w:val="17"/>
          <w:szCs w:val="17"/>
          <w:color w:val="auto"/>
        </w:rPr>
        <w:t>) and the 2019 Employee Stock Purchase Plan, as amended (</w:t>
      </w:r>
      <w:r>
        <w:rPr>
          <w:rFonts w:ascii="Times New Roman" w:cs="Times New Roman" w:eastAsia="Times New Roman" w:hAnsi="Times New Roman"/>
          <w:sz w:val="17"/>
          <w:szCs w:val="17"/>
          <w:i w:val="1"/>
          <w:iCs w:val="1"/>
          <w:color w:val="auto"/>
        </w:rPr>
        <w:t>2019 ESPP</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Components</w:t>
      </w:r>
    </w:p>
    <w:p>
      <w:pPr>
        <w:spacing w:after="0" w:line="236"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11"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Base salaries for our NEOs are established based on the scope of their responsibilities and their prior relevant experience, taking into account competitive market compensation paid by companies in our peer group for similar positions and the overall market demand for such executives, both initially at the time of hire and thereafter, to ensure that we retain our executive management team. A NEO’s base salary is also determined by reviewing the executive officer’s other compensation to ensure that the executive officer’s total compensation is in line with our overall compensation philosophy and peer group-based input from our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27" w:name="page28"/>
    <w:bookmarkEnd w:id="27"/>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Base salaries are reviewed periodically as deemed necessary by the Compensation Committee and increased for merit reasons, based on a NEO’s or other executive officer’s success in meeting or exceeding individual objectives. Additionally, we may adjust base salaries as warranted throughout the year for promotions or other changes in the scope or breadth of a NEO’s or other executive officer’s role or responsibilities. During Fiscal 2025, the Compensation Committee adjusted base salaries for Ms. Anderson and for Mr. Prince, so as to align them with our overall compensation philosophy and certain peer group-based input.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Bonus</w:t>
      </w:r>
    </w:p>
    <w:p>
      <w:pPr>
        <w:spacing w:after="0" w:line="23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Using our compensation philosophy as a guide, the Compensation Committee assesses each NEO’s contribution to achieving our corporate-wide goals and overall corporate performance for the applicable year when considering annual discretionary cash bonus payments. Payment of any cash bonus is determined in the sole discretion of our Compensation Committee. Should the Compensation Committee approve of any annual cash bonus payments, the amount of the cash bonus depends on the level of achievement of corporate and/or individual performance goals, with a target bonus generally set as a percentage of base salary. Currently, at the discretion of our Compensation Committee, our CEO is eligible to receive an annual cash bonus of up to 50% of his base salary and each of our other NEOs is eligible to receive annual cash bonuses of up to 45% of their base salary.</w:t>
      </w:r>
    </w:p>
    <w:p>
      <w:pPr>
        <w:spacing w:after="0" w:line="197"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17"/>
          <w:szCs w:val="17"/>
          <w:i w:val="1"/>
          <w:iCs w:val="1"/>
          <w:color w:val="auto"/>
        </w:rPr>
        <w:t>Fiscal 2025</w:t>
      </w:r>
      <w:r>
        <w:rPr>
          <w:rFonts w:ascii="Times New Roman" w:cs="Times New Roman" w:eastAsia="Times New Roman" w:hAnsi="Times New Roman"/>
          <w:sz w:val="17"/>
          <w:szCs w:val="17"/>
          <w:color w:val="auto"/>
        </w:rPr>
        <w:t>. For Fiscal 2025, our Compensation Committee determined that the Company continued to advance the development of five clinical-stage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intranasal pherine product candidates, including fasedienol, the Company’s lead product candidate in a U.S. registration-directed Phase 3 development program for the acute treatment of social anxiety disorder (</w:t>
      </w:r>
      <w:r>
        <w:rPr>
          <w:rFonts w:ascii="Times New Roman" w:cs="Times New Roman" w:eastAsia="Times New Roman" w:hAnsi="Times New Roman"/>
          <w:sz w:val="17"/>
          <w:szCs w:val="17"/>
          <w:i w:val="1"/>
          <w:iCs w:val="1"/>
          <w:color w:val="auto"/>
        </w:rPr>
        <w:t>SAD</w:t>
      </w:r>
      <w:r>
        <w:rPr>
          <w:rFonts w:ascii="Times New Roman" w:cs="Times New Roman" w:eastAsia="Times New Roman" w:hAnsi="Times New Roman"/>
          <w:sz w:val="17"/>
          <w:szCs w:val="17"/>
          <w:color w:val="auto"/>
        </w:rPr>
        <w:t>). The following milestones achieved by the Company during Fiscal 2025 were considered by the Compensation Committee when determining the appropriate payout of discretionary cash bonuses for our NEOs:</w:t>
      </w:r>
    </w:p>
    <w:p>
      <w:pPr>
        <w:spacing w:after="0" w:line="251" w:lineRule="exact"/>
        <w:rPr>
          <w:sz w:val="20"/>
          <w:szCs w:val="20"/>
          <w:color w:val="auto"/>
        </w:rPr>
      </w:pPr>
    </w:p>
    <w:p>
      <w:pPr>
        <w:ind w:left="1180" w:hanging="385"/>
        <w:spacing w:after="0"/>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advancement of the PALISADE-3 Phase 3 trial of fasedienol;</w:t>
      </w:r>
    </w:p>
    <w:p>
      <w:pPr>
        <w:spacing w:after="0" w:line="178" w:lineRule="exact"/>
        <w:rPr>
          <w:rFonts w:ascii="Times New Roman" w:cs="Times New Roman" w:eastAsia="Times New Roman" w:hAnsi="Times New Roman"/>
          <w:sz w:val="17"/>
          <w:szCs w:val="17"/>
          <w:color w:val="auto"/>
        </w:rPr>
      </w:pPr>
    </w:p>
    <w:p>
      <w:pPr>
        <w:ind w:left="1180" w:right="20" w:hanging="385"/>
        <w:spacing w:after="0" w:line="271"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the remaining key components of the Company’s U.S. registration-directed PALISADE Program, including initiating both the PALISADE-4 Phase 3 trial and the PALISADE repeat dose study, and other nonclinical studies for fasedienol;</w:t>
      </w:r>
    </w:p>
    <w:p>
      <w:pPr>
        <w:spacing w:after="0" w:line="109" w:lineRule="exact"/>
        <w:rPr>
          <w:rFonts w:ascii="Times New Roman" w:cs="Times New Roman" w:eastAsia="Times New Roman" w:hAnsi="Times New Roman"/>
          <w:sz w:val="17"/>
          <w:szCs w:val="17"/>
          <w:color w:val="auto"/>
        </w:rPr>
      </w:pPr>
    </w:p>
    <w:p>
      <w:pPr>
        <w:ind w:left="1180" w:right="20" w:hanging="385"/>
        <w:spacing w:after="0" w:line="276"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advancement of certain elements of the U.S. Investigational New Drug (</w:t>
      </w:r>
      <w:r>
        <w:rPr>
          <w:rFonts w:ascii="Times New Roman" w:cs="Times New Roman" w:eastAsia="Times New Roman" w:hAnsi="Times New Roman"/>
          <w:sz w:val="17"/>
          <w:szCs w:val="17"/>
          <w:i w:val="1"/>
          <w:iCs w:val="1"/>
          <w:color w:val="auto"/>
        </w:rPr>
        <w:t>IND</w:t>
      </w:r>
      <w:r>
        <w:rPr>
          <w:rFonts w:ascii="Times New Roman" w:cs="Times New Roman" w:eastAsia="Times New Roman" w:hAnsi="Times New Roman"/>
          <w:sz w:val="17"/>
          <w:szCs w:val="17"/>
          <w:color w:val="auto"/>
        </w:rPr>
        <w:t>)-enabling programs to facilitate additional potential Phase 2 development of itruvone for major depressive disorder and PH80 for vasomotor symptoms (hot flashes) due to menopause; and</w:t>
      </w:r>
    </w:p>
    <w:p>
      <w:pPr>
        <w:spacing w:after="0" w:line="96" w:lineRule="exact"/>
        <w:rPr>
          <w:rFonts w:ascii="Times New Roman" w:cs="Times New Roman" w:eastAsia="Times New Roman" w:hAnsi="Times New Roman"/>
          <w:sz w:val="17"/>
          <w:szCs w:val="17"/>
          <w:color w:val="auto"/>
        </w:rPr>
      </w:pPr>
    </w:p>
    <w:p>
      <w:pPr>
        <w:ind w:left="1180" w:hanging="385"/>
        <w:spacing w:after="0"/>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corporate expenses and other general and administrative goals.</w:t>
      </w:r>
    </w:p>
    <w:p>
      <w:pPr>
        <w:spacing w:after="0" w:line="35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Compensation Committee also determined that the Company was not able to fully achieve certain of the corporate goals set for Fiscal 2025 due to certain unforeseen delays in development programs for product candidates other than fasedienol and other factors beyond the Company’s control. As such, the Compensation Committee determined that the Company achieved an aggregate total of 85% of its Fiscal 2025 corporate goals.</w:t>
      </w:r>
    </w:p>
    <w:p>
      <w:pPr>
        <w:spacing w:after="0" w:line="192"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For NEOs other than Mr. Singh, the Compensation Committee considered achievement of certain individual performance goals alongside the Fiscal 2025 corporate goals, resulting in the awarding of 100% of the respective discretionary cash bonus opportunities to Ms. Anderson, Mr. Adler and Mr. Prince. For Mr. Singh, the Compensation Committee customarily aligned the payment of Mr. Singh’s discretionary cash bonus solely with the Company's achievement of the Fiscal 2025 corporate goals, resulting in the payment of 85% of his annual discretionary cash bonus.</w:t>
      </w:r>
    </w:p>
    <w:p>
      <w:pPr>
        <w:spacing w:after="0" w:line="179"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i w:val="1"/>
          <w:iCs w:val="1"/>
          <w:color w:val="auto"/>
        </w:rPr>
        <w:t>Fiscal 2024</w:t>
      </w:r>
      <w:r>
        <w:rPr>
          <w:rFonts w:ascii="Times New Roman" w:cs="Times New Roman" w:eastAsia="Times New Roman" w:hAnsi="Times New Roman"/>
          <w:sz w:val="17"/>
          <w:szCs w:val="17"/>
          <w:color w:val="auto"/>
        </w:rPr>
        <w:t>. For the fiscal year ended March 31, 2024 (</w:t>
      </w:r>
      <w:r>
        <w:rPr>
          <w:rFonts w:ascii="Times New Roman" w:cs="Times New Roman" w:eastAsia="Times New Roman" w:hAnsi="Times New Roman"/>
          <w:sz w:val="17"/>
          <w:szCs w:val="17"/>
          <w:i w:val="1"/>
          <w:iCs w:val="1"/>
          <w:color w:val="auto"/>
        </w:rPr>
        <w:t>Fiscal 2024</w:t>
      </w:r>
      <w:r>
        <w:rPr>
          <w:rFonts w:ascii="Times New Roman" w:cs="Times New Roman" w:eastAsia="Times New Roman" w:hAnsi="Times New Roman"/>
          <w:sz w:val="17"/>
          <w:szCs w:val="17"/>
          <w:color w:val="auto"/>
        </w:rPr>
        <w:t>), the following three significant corporate milestones were among the factors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supporting NEO compensation-related decisions: (i) the substantial progress in our U.S. registration-directed PALISADE program for our lead pherine drug candidate, fasedienol, for the acute treatment of social anxiety disorder (</w:t>
      </w:r>
      <w:r>
        <w:rPr>
          <w:rFonts w:ascii="Times New Roman" w:cs="Times New Roman" w:eastAsia="Times New Roman" w:hAnsi="Times New Roman"/>
          <w:sz w:val="17"/>
          <w:szCs w:val="17"/>
          <w:i w:val="1"/>
          <w:iCs w:val="1"/>
          <w:color w:val="auto"/>
        </w:rPr>
        <w:t>SAD</w:t>
      </w:r>
      <w:r>
        <w:rPr>
          <w:rFonts w:ascii="Times New Roman" w:cs="Times New Roman" w:eastAsia="Times New Roman" w:hAnsi="Times New Roman"/>
          <w:sz w:val="17"/>
          <w:szCs w:val="17"/>
          <w:color w:val="auto"/>
        </w:rPr>
        <w:t>), including from our PALISADE-2 Phase 3 trial, which was the first-ever positive, statistically significant Phase 3 public speaking challenge study of an investigational agent for the acute treatment of SAD, reported in the second fiscal quarter of Fiscal 2024; (ii) completion of public financing with aggregate net proceeds to the Company totaling approximately $125 million in Fiscal 2024, including an underwritten public offering of Company equity securities in the third fiscal quarter of Fiscal 2024 resulting in net proceeds to us of $93.5 million; and (iii) initiation of our PALISADE-3 Phase 3 trial of fasedienol for the acute treatment of SAD in the fourth fiscal quarter of Fiscal 2024. Each of these milestones primarily enabled the Company to make substantial progress in its U.S. registration-directed PALISADE Phase 3 program for fasedienol as a first-in-class and fundamentally differentiated acute treatment of anxiety for adults with SAD and also allowed the Company to advance the development of certain other clinical-stage product candidates in our neuroscience pipeline. As a result, the Compensation Committee awarded each of Fiscal 2024 NEOs 100% of their then-current respective cash bonus opportunities, as adjusted for those NEOs who joined the Company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Equity Incentives</w:t>
      </w:r>
    </w:p>
    <w:p>
      <w:pPr>
        <w:spacing w:after="0" w:line="211"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The Compensation Committee believes that to attract, retain and incentivize management, employees and independent directors, the compensation paid to these persons should include non-cash equity-based compensation that is competitive with peer companies. The Compensation Committee, in consultation with our overall compensation philosophy and peer group-based input from our compensation consultant, determines the amount and terms of equity-based compensation granted to our NEOs, employees and non-employee directors. Any long-term equity compensation granted to our NEOs, employees and non-employee directors does not represent cash payments made to such individuals, and there is no guarantee that any recipients of equity awards granted as long-term equity compensation will realize any cash value as a result of the equity awards.</w:t>
      </w:r>
    </w:p>
    <w:p>
      <w:pPr>
        <w:spacing w:after="0" w:line="203"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7"/>
          <w:szCs w:val="17"/>
          <w:color w:val="auto"/>
        </w:rPr>
        <w:t>Historically, our Compensation Committee has approved of the issuance of stock options as long-term equity incentives designed to retain and incentivize our NEOs and employees. As such, stock options granted to our NEOs and other employees during Fiscal 2024 and Fiscal 2025 have a term of ten years, an exercise price that was at least 100% of the market price of our common stock on the grant date and a four-year vesting schedule that begins one-year after the grant date.</w:t>
      </w:r>
    </w:p>
    <w:p>
      <w:pPr>
        <w:spacing w:after="0" w:line="392"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i w:val="1"/>
          <w:iCs w:val="1"/>
          <w:color w:val="auto"/>
        </w:rPr>
        <w:t>Stock Option Awards to Our NEOs in Fiscal 2024 and Fiscal 2025</w:t>
      </w:r>
      <w:r>
        <w:rPr>
          <w:rFonts w:ascii="Times New Roman" w:cs="Times New Roman" w:eastAsia="Times New Roman" w:hAnsi="Times New Roman"/>
          <w:sz w:val="17"/>
          <w:szCs w:val="17"/>
          <w:color w:val="auto"/>
        </w:rPr>
        <w:t>. Because we had a limited number of shares available for issuance under our 2019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during Fiscal 2024, at the recommendation of our CEO, our Compensation Committee elected to utilize substantially all of the available shares under the 2019 Plan for stock option grants to current and newly-hired employees of the Company, rather than to any NEOs, as we continued to advance our U.S. registration-directed PALISADE program for fasedienol in SAD. Accordingly, the Compensation Committee did not grant stock options or any other equity incentives to any of our NEOs in Fiscal 2024, other than a new-hire stock option award granted to Ms. Anderson upon commencement of her employment as our Chief Financial Officer in August 2023.</w:t>
      </w:r>
    </w:p>
    <w:p>
      <w:pPr>
        <w:spacing w:after="0" w:line="202"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 xml:space="preserve">To address the limited number of shares available for issuance under our 2019 Plan, our Board recommended, and our stockholders approved at a special meeting of stockholders held on May 29, 2024 (the </w:t>
      </w:r>
      <w:r>
        <w:rPr>
          <w:rFonts w:ascii="Times New Roman" w:cs="Times New Roman" w:eastAsia="Times New Roman" w:hAnsi="Times New Roman"/>
          <w:sz w:val="17"/>
          <w:szCs w:val="17"/>
          <w:i w:val="1"/>
          <w:iCs w:val="1"/>
          <w:color w:val="auto"/>
        </w:rPr>
        <w:t>Special Meeting</w:t>
      </w:r>
      <w:r>
        <w:rPr>
          <w:rFonts w:ascii="Times New Roman" w:cs="Times New Roman" w:eastAsia="Times New Roman" w:hAnsi="Times New Roman"/>
          <w:sz w:val="17"/>
          <w:szCs w:val="17"/>
          <w:color w:val="auto"/>
        </w:rPr>
        <w:t>), an amendment to the 2019 Plan to increase the number of shares of common stock available for issuance thereunder from 1.0 million shares to 5.0 million shares. Subsequent to the Special Meeting and during Fiscal 2025, our Compensation Committee, in consultation with our overall compensation philosophy and peer group-based input from our compensation consultant, granted equity awards to our NEOs in order to align the long-term interests of our NEOs with our stockholders. The grant date fair value of these stock option awards is reflected in the Summary Compensation Table below.</w:t>
      </w:r>
    </w:p>
    <w:p>
      <w:pPr>
        <w:spacing w:after="0" w:line="201"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Subsequent to the end of Fiscal 2025, our Compensation Committee awarded stock options to each of our NEOs in accordance with our long-term equity incentive philosophy to retain and align our NEOs with the long-term interest of our stockholders. The grant date fair value of these stock option awards will appear in the summary compensation table for the fiscal year ending March 31, 2026 for the identified NEOs during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2025 Summary Compensation Table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information regarding the compensation of our NEOs for services performed in Fiscal 2025 and Fiscal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440" w:type="dxa"/>
            <w:vAlign w:val="bottom"/>
          </w:tcPr>
          <w:p>
            <w:pPr>
              <w:spacing w:after="0"/>
              <w:rPr>
                <w:sz w:val="21"/>
                <w:szCs w:val="21"/>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1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Bonus</w:t>
            </w:r>
            <w:r>
              <w:rPr>
                <w:rFonts w:ascii="Times New Roman" w:cs="Times New Roman" w:eastAsia="Times New Roman" w:hAnsi="Times New Roman"/>
                <w:sz w:val="9"/>
                <w:szCs w:val="9"/>
                <w:b w:val="1"/>
                <w:bCs w:val="1"/>
                <w:color w:val="auto"/>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9"/>
                <w:szCs w:val="9"/>
                <w:b w:val="1"/>
                <w:bCs w:val="1"/>
                <w:color w:val="auto"/>
              </w:rPr>
              <w:t>(2)</w:t>
            </w:r>
          </w:p>
        </w:tc>
        <w:tc>
          <w:tcPr>
            <w:tcW w:w="360" w:type="dxa"/>
            <w:vAlign w:val="bottom"/>
          </w:tcPr>
          <w:p>
            <w:pPr>
              <w:spacing w:after="0"/>
              <w:rPr>
                <w:sz w:val="21"/>
                <w:szCs w:val="21"/>
                <w:color w:val="auto"/>
              </w:rPr>
            </w:pP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1"/>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Shawn K. Singh, J.D.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650,000</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276,250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1,551,432</w:t>
            </w:r>
          </w:p>
        </w:tc>
        <w:tc>
          <w:tcPr>
            <w:tcW w:w="3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2,477,682</w:t>
            </w:r>
          </w:p>
        </w:tc>
        <w:tc>
          <w:tcPr>
            <w:tcW w:w="0" w:type="dxa"/>
            <w:vAlign w:val="bottom"/>
          </w:tcPr>
          <w:p>
            <w:pPr>
              <w:spacing w:after="0"/>
              <w:rPr>
                <w:sz w:val="1"/>
                <w:szCs w:val="1"/>
                <w:color w:val="auto"/>
              </w:rPr>
            </w:pPr>
          </w:p>
        </w:tc>
      </w:tr>
      <w:tr>
        <w:trPr>
          <w:trHeight w:val="21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44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622,917</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325,000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947,917</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Cynthia L. Anderson, CPA</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40" w:type="dxa"/>
            <w:vAlign w:val="bottom"/>
          </w:tcPr>
          <w:p>
            <w:pPr>
              <w:spacing w:after="0"/>
              <w:rPr>
                <w:sz w:val="22"/>
                <w:szCs w:val="22"/>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443,750</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198,450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465,256</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1,107,456</w:t>
            </w:r>
          </w:p>
        </w:tc>
        <w:tc>
          <w:tcPr>
            <w:tcW w:w="0" w:type="dxa"/>
            <w:vAlign w:val="bottom"/>
          </w:tcPr>
          <w:p>
            <w:pPr>
              <w:spacing w:after="0"/>
              <w:rPr>
                <w:sz w:val="1"/>
                <w:szCs w:val="1"/>
                <w:color w:val="auto"/>
              </w:rPr>
            </w:pPr>
          </w:p>
        </w:tc>
      </w:tr>
      <w:tr>
        <w:trPr>
          <w:trHeight w:val="21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tc>
        <w:tc>
          <w:tcPr>
            <w:tcW w:w="7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9"/>
              </w:rPr>
              <w:t>2024</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ind w:left="400"/>
              <w:spacing w:after="0" w:line="220" w:lineRule="exact"/>
              <w:rPr>
                <w:sz w:val="20"/>
                <w:szCs w:val="20"/>
                <w:color w:val="auto"/>
              </w:rPr>
            </w:pPr>
            <w:r>
              <w:rPr>
                <w:rFonts w:ascii="Times New Roman" w:cs="Times New Roman" w:eastAsia="Times New Roman" w:hAnsi="Times New Roman"/>
                <w:sz w:val="17"/>
                <w:szCs w:val="17"/>
                <w:color w:val="auto"/>
              </w:rPr>
              <w:t xml:space="preserve">261,198 </w:t>
            </w:r>
            <w:r>
              <w:rPr>
                <w:rFonts w:ascii="Times New Roman" w:cs="Times New Roman" w:eastAsia="Times New Roman" w:hAnsi="Times New Roman"/>
                <w:sz w:val="22"/>
                <w:szCs w:val="22"/>
                <w:color w:val="auto"/>
                <w:vertAlign w:val="superscript"/>
              </w:rPr>
              <w:t>(4)</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42,993</w:t>
            </w:r>
          </w:p>
        </w:tc>
        <w:tc>
          <w:tcPr>
            <w:tcW w:w="3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434,191</w:t>
            </w: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Reid G. Adler, J.D.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450,000</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198,450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527,357</w:t>
            </w:r>
          </w:p>
        </w:tc>
        <w:tc>
          <w:tcPr>
            <w:tcW w:w="3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1,175,807</w:t>
            </w:r>
          </w:p>
        </w:tc>
        <w:tc>
          <w:tcPr>
            <w:tcW w:w="0" w:type="dxa"/>
            <w:vAlign w:val="bottom"/>
          </w:tcPr>
          <w:p>
            <w:pPr>
              <w:spacing w:after="0"/>
              <w:rPr>
                <w:sz w:val="1"/>
                <w:szCs w:val="1"/>
                <w:color w:val="auto"/>
              </w:rPr>
            </w:pPr>
          </w:p>
        </w:tc>
      </w:tr>
      <w:tr>
        <w:trPr>
          <w:trHeight w:val="21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Chief Legal Officer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44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450,000</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225,000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Joshua S. Prince, MBA</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40" w:type="dxa"/>
            <w:vAlign w:val="bottom"/>
          </w:tcPr>
          <w:p>
            <w:pPr>
              <w:spacing w:after="0"/>
              <w:rPr>
                <w:sz w:val="22"/>
                <w:szCs w:val="22"/>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410,000</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183,015</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465,235</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1,058,250</w:t>
            </w:r>
          </w:p>
        </w:tc>
        <w:tc>
          <w:tcPr>
            <w:tcW w:w="0" w:type="dxa"/>
            <w:vAlign w:val="bottom"/>
          </w:tcPr>
          <w:p>
            <w:pPr>
              <w:spacing w:after="0"/>
              <w:rPr>
                <w:sz w:val="1"/>
                <w:szCs w:val="1"/>
                <w:color w:val="auto"/>
              </w:rPr>
            </w:pPr>
          </w:p>
        </w:tc>
      </w:tr>
      <w:tr>
        <w:trPr>
          <w:trHeight w:val="146"/>
        </w:trPr>
        <w:tc>
          <w:tcPr>
            <w:tcW w:w="4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4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rPr>
              <w:t>(6)</w:t>
            </w:r>
          </w:p>
        </w:tc>
        <w:tc>
          <w:tcPr>
            <w:tcW w:w="13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368,437</w:t>
            </w:r>
          </w:p>
        </w:tc>
        <w:tc>
          <w:tcPr>
            <w:tcW w:w="11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200,000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568,437</w:t>
            </w:r>
          </w:p>
        </w:tc>
        <w:tc>
          <w:tcPr>
            <w:tcW w:w="0" w:type="dxa"/>
            <w:vAlign w:val="bottom"/>
          </w:tcPr>
          <w:p>
            <w:pPr>
              <w:spacing w:after="0"/>
              <w:rPr>
                <w:sz w:val="1"/>
                <w:szCs w:val="1"/>
                <w:color w:val="auto"/>
              </w:rPr>
            </w:pPr>
          </w:p>
        </w:tc>
      </w:tr>
      <w:tr>
        <w:trPr>
          <w:trHeight w:val="74"/>
        </w:trPr>
        <w:tc>
          <w:tcPr>
            <w:tcW w:w="4460" w:type="dxa"/>
            <w:vAlign w:val="bottom"/>
            <w:gridSpan w:val="2"/>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400" w:hanging="380"/>
        <w:spacing w:after="0"/>
        <w:tabs>
          <w:tab w:leader="none" w:pos="4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reported in the Bonus column for Fiscal 2025 and Fiscal 2024 reflect bonuses awarded by the Compensation Committee that were earned in the same period.</w:t>
      </w:r>
    </w:p>
    <w:p>
      <w:pPr>
        <w:spacing w:after="0" w:line="122" w:lineRule="exact"/>
        <w:rPr>
          <w:rFonts w:ascii="Times New Roman" w:cs="Times New Roman" w:eastAsia="Times New Roman" w:hAnsi="Times New Roman"/>
          <w:sz w:val="20"/>
          <w:szCs w:val="20"/>
          <w:color w:val="auto"/>
          <w:vertAlign w:val="superscript"/>
        </w:rPr>
      </w:pPr>
    </w:p>
    <w:p>
      <w:pPr>
        <w:jc w:val="both"/>
        <w:ind w:left="400" w:right="40" w:hanging="380"/>
        <w:spacing w:after="0" w:line="212" w:lineRule="auto"/>
        <w:tabs>
          <w:tab w:leader="none" w:pos="4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amounts shown in the “Option Awards” column do not represent any cash payments actually received by any NEO during Fiscal 2025. Rather, the amounts shown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5"/>
          <w:szCs w:val="15"/>
          <w:i w:val="1"/>
          <w:iCs w:val="1"/>
          <w:color w:val="auto"/>
        </w:rPr>
        <w:t>ASC 718</w:t>
      </w:r>
      <w:r>
        <w:rPr>
          <w:rFonts w:ascii="Times New Roman" w:cs="Times New Roman" w:eastAsia="Times New Roman" w:hAnsi="Times New Roman"/>
          <w:sz w:val="15"/>
          <w:szCs w:val="15"/>
          <w:color w:val="auto"/>
        </w:rPr>
        <w:t>).</w:t>
      </w:r>
    </w:p>
    <w:p>
      <w:pPr>
        <w:spacing w:after="0" w:line="111" w:lineRule="exact"/>
        <w:rPr>
          <w:rFonts w:ascii="Times New Roman" w:cs="Times New Roman" w:eastAsia="Times New Roman" w:hAnsi="Times New Roman"/>
          <w:sz w:val="20"/>
          <w:szCs w:val="20"/>
          <w:color w:val="auto"/>
          <w:vertAlign w:val="superscript"/>
        </w:rPr>
      </w:pPr>
    </w:p>
    <w:p>
      <w:pPr>
        <w:ind w:left="400" w:right="40" w:hanging="380"/>
        <w:spacing w:after="0" w:line="211" w:lineRule="auto"/>
        <w:tabs>
          <w:tab w:leader="none" w:pos="4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following below provides information regarding the stock option awards granted to our NEOs in Fiscal 2025 and the assumptions used in the Black Scholes Option Pricing Model to determine the grant date fair values of the respective awards.</w:t>
      </w:r>
    </w:p>
    <w:p>
      <w:pPr>
        <w:spacing w:after="0" w:line="352"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 Award Compensation</w:t>
            </w: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Option Grant</w:t>
            </w:r>
          </w:p>
        </w:tc>
      </w:tr>
      <w:tr>
        <w:trPr>
          <w:trHeight w:val="20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 Ended March 31, 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6/24/2024</w:t>
            </w:r>
          </w:p>
        </w:tc>
        <w:tc>
          <w:tcPr>
            <w:tcW w:w="100" w:type="dxa"/>
            <w:vAlign w:val="bottom"/>
            <w:tcBorders>
              <w:bottom w:val="single" w:sz="8" w:color="CCEEFF"/>
            </w:tcBorders>
          </w:tcPr>
          <w:p>
            <w:pPr>
              <w:spacing w:after="0"/>
              <w:rPr>
                <w:sz w:val="18"/>
                <w:szCs w:val="18"/>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Singh</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shd w:val="clear" w:color="auto" w:fill="CCEEFF"/>
          </w:tcPr>
          <w:p>
            <w:pPr>
              <w:spacing w:after="0"/>
              <w:rPr>
                <w:sz w:val="17"/>
                <w:szCs w:val="17"/>
                <w:color w:val="auto"/>
              </w:rPr>
            </w:pPr>
          </w:p>
        </w:tc>
      </w:tr>
      <w:tr>
        <w:trPr>
          <w:trHeight w:val="204"/>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Ms. Anderson</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00" w:type="dxa"/>
            <w:vAlign w:val="bottom"/>
          </w:tcPr>
          <w:p>
            <w:pPr>
              <w:spacing w:after="0"/>
              <w:rPr>
                <w:sz w:val="17"/>
                <w:szCs w:val="17"/>
                <w:color w:val="auto"/>
              </w:rPr>
            </w:pPr>
          </w:p>
        </w:tc>
      </w:tr>
      <w:tr>
        <w:trPr>
          <w:trHeight w:val="20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Adler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170,000</w:t>
            </w:r>
          </w:p>
        </w:tc>
        <w:tc>
          <w:tcPr>
            <w:tcW w:w="100" w:type="dxa"/>
            <w:vAlign w:val="bottom"/>
            <w:shd w:val="clear" w:color="auto" w:fill="CCEEFF"/>
          </w:tcPr>
          <w:p>
            <w:pPr>
              <w:spacing w:after="0"/>
              <w:rPr>
                <w:sz w:val="18"/>
                <w:szCs w:val="18"/>
                <w:color w:val="auto"/>
              </w:rPr>
            </w:pPr>
          </w:p>
        </w:tc>
      </w:tr>
      <w:tr>
        <w:trPr>
          <w:trHeight w:val="20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Prince</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00" w:type="dxa"/>
            <w:vAlign w:val="bottom"/>
          </w:tcPr>
          <w:p>
            <w:pPr>
              <w:spacing w:after="0"/>
              <w:rPr>
                <w:sz w:val="17"/>
                <w:szCs w:val="17"/>
                <w:color w:val="auto"/>
              </w:rPr>
            </w:pPr>
          </w:p>
        </w:tc>
      </w:tr>
    </w:tbl>
    <w:p>
      <w:pPr>
        <w:spacing w:after="0" w:line="351"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 Award Compensation</w:t>
            </w:r>
          </w:p>
        </w:tc>
        <w:tc>
          <w:tcPr>
            <w:tcW w:w="30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Option Grant</w:t>
            </w:r>
          </w:p>
        </w:tc>
      </w:tr>
      <w:tr>
        <w:trPr>
          <w:trHeight w:val="209"/>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 Ended March 31, 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6/24/2024</w:t>
            </w:r>
          </w:p>
        </w:tc>
        <w:tc>
          <w:tcPr>
            <w:tcW w:w="100" w:type="dxa"/>
            <w:vAlign w:val="bottom"/>
            <w:tcBorders>
              <w:bottom w:val="single" w:sz="8" w:color="CCEEFF"/>
            </w:tcBorders>
          </w:tcPr>
          <w:p>
            <w:pPr>
              <w:spacing w:after="0"/>
              <w:rPr>
                <w:sz w:val="18"/>
                <w:szCs w:val="18"/>
                <w:color w:val="auto"/>
              </w:rPr>
            </w:pPr>
          </w:p>
        </w:tc>
      </w:tr>
      <w:tr>
        <w:trPr>
          <w:trHeight w:val="202"/>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Singh</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1,551,432</w:t>
            </w:r>
          </w:p>
        </w:tc>
        <w:tc>
          <w:tcPr>
            <w:tcW w:w="100" w:type="dxa"/>
            <w:vAlign w:val="bottom"/>
            <w:shd w:val="clear" w:color="auto" w:fill="CCEEFF"/>
          </w:tcPr>
          <w:p>
            <w:pPr>
              <w:spacing w:after="0"/>
              <w:rPr>
                <w:sz w:val="17"/>
                <w:szCs w:val="17"/>
                <w:color w:val="auto"/>
              </w:rPr>
            </w:pPr>
          </w:p>
        </w:tc>
      </w:tr>
      <w:tr>
        <w:trPr>
          <w:trHeight w:val="204"/>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Ms. Anderson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465,256</w:t>
            </w:r>
          </w:p>
        </w:tc>
        <w:tc>
          <w:tcPr>
            <w:tcW w:w="100" w:type="dxa"/>
            <w:vAlign w:val="bottom"/>
          </w:tcPr>
          <w:p>
            <w:pPr>
              <w:spacing w:after="0"/>
              <w:rPr>
                <w:sz w:val="17"/>
                <w:szCs w:val="17"/>
                <w:color w:val="auto"/>
              </w:rPr>
            </w:pPr>
          </w:p>
        </w:tc>
      </w:tr>
      <w:tr>
        <w:trPr>
          <w:trHeight w:val="209"/>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Mr. Adler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527,357</w:t>
            </w:r>
          </w:p>
        </w:tc>
        <w:tc>
          <w:tcPr>
            <w:tcW w:w="100" w:type="dxa"/>
            <w:vAlign w:val="bottom"/>
            <w:shd w:val="clear" w:color="auto" w:fill="CCEEFF"/>
          </w:tcPr>
          <w:p>
            <w:pPr>
              <w:spacing w:after="0"/>
              <w:rPr>
                <w:sz w:val="18"/>
                <w:szCs w:val="18"/>
                <w:color w:val="auto"/>
              </w:rPr>
            </w:pPr>
          </w:p>
        </w:tc>
      </w:tr>
      <w:tr>
        <w:trPr>
          <w:trHeight w:val="201"/>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Mr. Prince</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465,235</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80"/>
          </w:cols>
          <w:pgMar w:left="320" w:top="1100" w:right="699" w:bottom="1440" w:gutter="0" w:footer="0" w:header="0"/>
        </w:sectPr>
      </w:pPr>
    </w:p>
    <w:bookmarkStart w:id="30" w:name="page31"/>
    <w:bookmarkEnd w:id="30"/>
    <w:tbl>
      <w:tblPr>
        <w:tblLayout w:type="fixed"/>
        <w:tblInd w:w="1240" w:type="dxa"/>
        <w:tblCellMar>
          <w:top w:w="0" w:type="dxa"/>
          <w:left w:w="0" w:type="dxa"/>
          <w:bottom w:w="0" w:type="dxa"/>
          <w:right w:w="0" w:type="dxa"/>
        </w:tblCellMar>
      </w:tblPr>
      <w:tr>
        <w:trPr>
          <w:trHeight w:val="217"/>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Option Award Assumptions </w:t>
            </w: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Option Grant</w:t>
            </w:r>
          </w:p>
        </w:tc>
      </w:tr>
      <w:tr>
        <w:trPr>
          <w:trHeight w:val="20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 Ended March 31,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6/24/2024</w:t>
            </w:r>
          </w:p>
        </w:tc>
        <w:tc>
          <w:tcPr>
            <w:tcW w:w="300" w:type="dxa"/>
            <w:vAlign w:val="bottom"/>
            <w:tcBorders>
              <w:bottom w:val="single" w:sz="8" w:color="CCEEFF"/>
            </w:tcBorders>
          </w:tcPr>
          <w:p>
            <w:pPr>
              <w:spacing w:after="0"/>
              <w:rPr>
                <w:sz w:val="18"/>
                <w:szCs w:val="18"/>
                <w:color w:val="auto"/>
              </w:rPr>
            </w:pPr>
          </w:p>
        </w:tc>
      </w:tr>
      <w:tr>
        <w:trPr>
          <w:trHeight w:val="202"/>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price per share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3.25</w:t>
            </w:r>
          </w:p>
        </w:tc>
        <w:tc>
          <w:tcPr>
            <w:tcW w:w="300" w:type="dxa"/>
            <w:vAlign w:val="bottom"/>
            <w:shd w:val="clear" w:color="auto" w:fill="CCEEFF"/>
          </w:tcPr>
          <w:p>
            <w:pPr>
              <w:spacing w:after="0"/>
              <w:rPr>
                <w:sz w:val="17"/>
                <w:szCs w:val="17"/>
                <w:color w:val="auto"/>
              </w:rPr>
            </w:pPr>
          </w:p>
        </w:tc>
      </w:tr>
      <w:tr>
        <w:trPr>
          <w:trHeight w:val="20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Exercise price per share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3.25</w:t>
            </w:r>
          </w:p>
        </w:tc>
        <w:tc>
          <w:tcPr>
            <w:tcW w:w="300" w:type="dxa"/>
            <w:vAlign w:val="bottom"/>
          </w:tcPr>
          <w:p>
            <w:pPr>
              <w:spacing w:after="0"/>
              <w:rPr>
                <w:sz w:val="17"/>
                <w:szCs w:val="17"/>
                <w:color w:val="auto"/>
              </w:rPr>
            </w:pPr>
          </w:p>
        </w:tc>
      </w:tr>
      <w:tr>
        <w:trPr>
          <w:trHeight w:val="20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4.22 %</w:t>
            </w:r>
          </w:p>
        </w:tc>
      </w:tr>
      <w:tr>
        <w:trPr>
          <w:trHeight w:val="20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2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167.17 %</w:t>
            </w:r>
          </w:p>
        </w:tc>
      </w:tr>
      <w:tr>
        <w:trPr>
          <w:trHeight w:val="20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300" w:type="dxa"/>
            <w:vAlign w:val="bottom"/>
            <w:shd w:val="clear" w:color="auto" w:fill="CCEEFF"/>
          </w:tcPr>
          <w:p>
            <w:pPr>
              <w:spacing w:after="0"/>
              <w:rPr>
                <w:sz w:val="18"/>
                <w:szCs w:val="18"/>
                <w:color w:val="auto"/>
              </w:rPr>
            </w:pPr>
          </w:p>
        </w:tc>
      </w:tr>
      <w:tr>
        <w:trPr>
          <w:trHeight w:val="20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Dividend rate</w:t>
            </w:r>
          </w:p>
        </w:tc>
        <w:tc>
          <w:tcPr>
            <w:tcW w:w="20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0.0 %</w:t>
            </w:r>
          </w:p>
        </w:tc>
      </w:tr>
      <w:tr>
        <w:trPr>
          <w:trHeight w:val="20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per share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w:t>
            </w:r>
          </w:p>
        </w:tc>
        <w:tc>
          <w:tcPr>
            <w:tcW w:w="300" w:type="dxa"/>
            <w:vAlign w:val="bottom"/>
            <w:shd w:val="clear" w:color="auto" w:fill="CCEEFF"/>
          </w:tcPr>
          <w:p>
            <w:pPr>
              <w:spacing w:after="0"/>
              <w:rPr>
                <w:sz w:val="18"/>
                <w:szCs w:val="18"/>
                <w:color w:val="auto"/>
              </w:rPr>
            </w:pPr>
          </w:p>
        </w:tc>
      </w:tr>
      <w:tr>
        <w:trPr>
          <w:trHeight w:val="201"/>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Aggregate shares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970,000</w:t>
            </w:r>
          </w:p>
        </w:tc>
        <w:tc>
          <w:tcPr>
            <w:tcW w:w="300" w:type="dxa"/>
            <w:vAlign w:val="bottom"/>
          </w:tcPr>
          <w:p>
            <w:pPr>
              <w:spacing w:after="0"/>
              <w:rPr>
                <w:sz w:val="17"/>
                <w:szCs w:val="17"/>
                <w:color w:val="auto"/>
              </w:rPr>
            </w:pPr>
          </w:p>
        </w:tc>
      </w:tr>
    </w:tbl>
    <w:p>
      <w:pPr>
        <w:spacing w:after="0" w:line="200" w:lineRule="exact"/>
        <w:rPr>
          <w:sz w:val="20"/>
          <w:szCs w:val="20"/>
          <w:color w:val="auto"/>
        </w:rPr>
      </w:pPr>
    </w:p>
    <w:p>
      <w:pPr>
        <w:spacing w:after="0" w:line="374" w:lineRule="exact"/>
        <w:rPr>
          <w:sz w:val="20"/>
          <w:szCs w:val="20"/>
          <w:color w:val="auto"/>
        </w:rPr>
      </w:pPr>
    </w:p>
    <w:p>
      <w:pPr>
        <w:ind w:left="400" w:right="400" w:hanging="380"/>
        <w:spacing w:after="0" w:line="211" w:lineRule="auto"/>
        <w:tabs>
          <w:tab w:leader="none" w:pos="40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Anderson was appointed as the Company’s Chief Financial Officer in August 2023. As such, base salary paid to Ms. Anderson is for services rendered during a portion of Fiscal 2024.</w:t>
      </w:r>
    </w:p>
    <w:p>
      <w:pPr>
        <w:spacing w:after="0" w:line="123" w:lineRule="exact"/>
        <w:rPr>
          <w:rFonts w:ascii="Times New Roman" w:cs="Times New Roman" w:eastAsia="Times New Roman" w:hAnsi="Times New Roman"/>
          <w:sz w:val="20"/>
          <w:szCs w:val="20"/>
          <w:color w:val="auto"/>
          <w:vertAlign w:val="superscript"/>
        </w:rPr>
      </w:pPr>
    </w:p>
    <w:p>
      <w:pPr>
        <w:jc w:val="both"/>
        <w:ind w:left="400" w:right="400" w:hanging="380"/>
        <w:spacing w:after="0" w:line="212" w:lineRule="auto"/>
        <w:tabs>
          <w:tab w:leader="none" w:pos="40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Anderson received a grant of options to purchase 8,333 registered shares of our common stock upon commencement of her employment by the Company in August 2023. The table below provides information regarding the stock option granted to Ms. Anderson upon commencement of her employment by the Company during Fiscal 2024 and the assumptions used in the Black Scholes Option Pricing Model to determine the grant date fair value of her new-hire award.</w:t>
      </w:r>
    </w:p>
    <w:p>
      <w:pPr>
        <w:spacing w:after="0" w:line="353"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 Award Compensation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Option Grant</w:t>
            </w:r>
          </w:p>
        </w:tc>
      </w:tr>
      <w:tr>
        <w:trPr>
          <w:trHeight w:val="209"/>
        </w:trPr>
        <w:tc>
          <w:tcPr>
            <w:tcW w:w="6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 Ended March 31, 2024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8/21/2023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 Anderson</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42,993</w:t>
            </w:r>
          </w:p>
        </w:tc>
        <w:tc>
          <w:tcPr>
            <w:tcW w:w="100" w:type="dxa"/>
            <w:vAlign w:val="bottom"/>
            <w:shd w:val="clear" w:color="auto" w:fill="CCEEFF"/>
          </w:tcPr>
          <w:p>
            <w:pPr>
              <w:spacing w:after="0"/>
              <w:rPr>
                <w:sz w:val="17"/>
                <w:szCs w:val="17"/>
                <w:color w:val="auto"/>
              </w:rPr>
            </w:pPr>
          </w:p>
        </w:tc>
      </w:tr>
      <w:tr>
        <w:trPr>
          <w:trHeight w:val="5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Option Award Assumptions </w:t>
            </w: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Option Grant</w:t>
            </w:r>
          </w:p>
        </w:tc>
      </w:tr>
      <w:tr>
        <w:trPr>
          <w:trHeight w:val="20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 Ended March 31, 2024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8/21/2023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price per share</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Exercise price per share</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4.39 %</w:t>
            </w:r>
          </w:p>
        </w:tc>
      </w:tr>
      <w:tr>
        <w:trPr>
          <w:trHeight w:val="20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167.68 %</w:t>
            </w:r>
          </w:p>
        </w:tc>
      </w:tr>
      <w:tr>
        <w:trPr>
          <w:trHeight w:val="20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term (years)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Dividend rate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0.0 %</w:t>
            </w:r>
          </w:p>
        </w:tc>
      </w:tr>
      <w:tr>
        <w:trPr>
          <w:trHeight w:val="20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per share</w:t>
            </w: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Aggregate 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316" w:lineRule="exact"/>
        <w:rPr>
          <w:sz w:val="20"/>
          <w:szCs w:val="20"/>
          <w:color w:val="auto"/>
        </w:rPr>
      </w:pPr>
    </w:p>
    <w:p>
      <w:pPr>
        <w:ind w:left="400" w:right="400" w:hanging="380"/>
        <w:spacing w:after="0" w:line="211" w:lineRule="auto"/>
        <w:tabs>
          <w:tab w:leader="none" w:pos="40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Prince was appointed as the Company’s Chief Operating Officer in October 2023. Prior to this appointment, Mr. Prince served as the Company’s Senior Vice President, Business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We maintain, through a registered agent, a retirement and deferred savings plan for our officers and employees. This plan is intended to qualify as a tax-qualified plan under Section 401(k) of the Internal Revenue Code (</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The retirement and deferred savings plan provides that each participant may contribute a portion of her or his pre-tax compensation, subject to statutory limits. Under the plan, each employee is fully vested in her or his deferred salary contributions. Employee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any participating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auto"/>
        </w:rPr>
        <w:t>2019 Employee Stock Purchase Plan</w:t>
      </w:r>
    </w:p>
    <w:p>
      <w:pPr>
        <w:spacing w:after="0" w:line="211"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Following the approval of the 2019 ESPP by our stockholders in September 2019, the 2019 ESPP became operational effective January 1, 2020. Under our 2019 ESPP, shares of our common stock are available for purchase by eligible officers and employees, including our NEOs, each of whom participates in the 2019 ESPP. Eligible employees will be entitled to purchase, by means of payroll deductions, limited amounts of our common stock at a discount to the market price during periodic option periods under the 2019 ESPP. The table below indicates the number of shares purchased by each of our Fiscal 2025 NEOs and the per share purchase price for each option period completed in Fiscal 2025 and Fiscal 2024.</w:t>
      </w:r>
    </w:p>
    <w:p>
      <w:pPr>
        <w:spacing w:after="0" w:line="202"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As a result of certain limitations in the 2019 ESPP, participating employees were only permitted to purchase up to a maximum of 5,000 shares of common stock in each periodic option period, which amount was adjusted to a maximum 167 shares per period to reflect the impact of the 1-for-30 reverse split of our common stock on June 6, 2023 (</w:t>
      </w:r>
      <w:r>
        <w:rPr>
          <w:rFonts w:ascii="Times New Roman" w:cs="Times New Roman" w:eastAsia="Times New Roman" w:hAnsi="Times New Roman"/>
          <w:sz w:val="17"/>
          <w:szCs w:val="17"/>
          <w:i w:val="1"/>
          <w:iCs w:val="1"/>
          <w:color w:val="auto"/>
        </w:rPr>
        <w:t>Reverse Split</w:t>
      </w:r>
      <w:r>
        <w:rPr>
          <w:rFonts w:ascii="Times New Roman" w:cs="Times New Roman" w:eastAsia="Times New Roman" w:hAnsi="Times New Roman"/>
          <w:sz w:val="17"/>
          <w:szCs w:val="17"/>
          <w:color w:val="auto"/>
        </w:rPr>
        <w:t>). In March 2024, our Compensation Committee removed this limitation. Participation in the 2019 ESPP is now subject to the following limits:</w:t>
      </w:r>
    </w:p>
    <w:p>
      <w:pPr>
        <w:spacing w:after="0" w:line="221" w:lineRule="exact"/>
        <w:rPr>
          <w:sz w:val="20"/>
          <w:szCs w:val="20"/>
          <w:color w:val="auto"/>
        </w:rPr>
      </w:pPr>
    </w:p>
    <w:p>
      <w:pPr>
        <w:ind w:left="1180" w:right="20" w:hanging="385"/>
        <w:spacing w:after="0"/>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contribute less than 1% or more than 15% of his or her compensation to the purchase of stock under the 2019 ESPP in any one payroll period;</w:t>
      </w:r>
    </w:p>
    <w:p>
      <w:pPr>
        <w:spacing w:after="0" w:line="9" w:lineRule="exact"/>
        <w:rPr>
          <w:rFonts w:ascii="Times New Roman" w:cs="Times New Roman" w:eastAsia="Times New Roman" w:hAnsi="Times New Roman"/>
          <w:sz w:val="17"/>
          <w:szCs w:val="17"/>
          <w:color w:val="auto"/>
        </w:rPr>
      </w:pPr>
    </w:p>
    <w:p>
      <w:pPr>
        <w:jc w:val="both"/>
        <w:ind w:left="1180" w:right="20" w:hanging="385"/>
        <w:spacing w:after="0" w:line="233"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accrue rights to purchase more than a maximum of $25,000 of common stock (valued at the grant date of the applicable offering period and without giving effect to any discount reflected in the purchase price for the stock) for each calendar year in which an option is outstanding; and</w:t>
      </w:r>
    </w:p>
    <w:p>
      <w:pPr>
        <w:spacing w:after="0" w:line="2" w:lineRule="exact"/>
        <w:rPr>
          <w:rFonts w:ascii="Times New Roman" w:cs="Times New Roman" w:eastAsia="Times New Roman" w:hAnsi="Times New Roman"/>
          <w:sz w:val="17"/>
          <w:szCs w:val="17"/>
          <w:color w:val="auto"/>
        </w:rPr>
      </w:pPr>
    </w:p>
    <w:p>
      <w:pPr>
        <w:jc w:val="both"/>
        <w:ind w:left="1180" w:right="20" w:hanging="385"/>
        <w:spacing w:after="0" w:line="232" w:lineRule="auto"/>
        <w:tabs>
          <w:tab w:leader="none" w:pos="1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will not be granted an option under the 2019 ESPP if it would cause the participant to own common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$25,000 annual purchase limit and the 5% ownership limit referred to above are required under the Internal Revenue Code of 1986, as amended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noted, all share references and related purchase prices have been revised to give effect to the Reverse Split.</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820"/>
              <w:spacing w:after="0"/>
              <w:rPr>
                <w:sz w:val="20"/>
                <w:szCs w:val="20"/>
                <w:color w:val="auto"/>
              </w:rPr>
            </w:pPr>
            <w:r>
              <w:rPr>
                <w:rFonts w:ascii="Times New Roman" w:cs="Times New Roman" w:eastAsia="Times New Roman" w:hAnsi="Times New Roman"/>
                <w:sz w:val="17"/>
                <w:szCs w:val="17"/>
                <w:b w:val="1"/>
                <w:bCs w:val="1"/>
                <w:color w:val="auto"/>
              </w:rPr>
              <w:t>Semi-Annual</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Purchase Period Ended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07"/>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purchase price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2.5075</w:t>
            </w:r>
          </w:p>
        </w:tc>
      </w:tr>
      <w:tr>
        <w:trPr>
          <w:trHeight w:val="23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Shares purchased by</w:t>
            </w: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3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Mr. Singh</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Ms. Anderson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w:t>
            </w:r>
          </w:p>
        </w:tc>
      </w:tr>
      <w:tr>
        <w:trPr>
          <w:trHeight w:val="219"/>
        </w:trPr>
        <w:tc>
          <w:tcPr>
            <w:tcW w:w="3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Mr. Adler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Mr. Prince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w:t>
            </w:r>
          </w:p>
        </w:tc>
      </w:tr>
    </w:tbl>
    <w:p>
      <w:pPr>
        <w:spacing w:after="0" w:line="307" w:lineRule="exact"/>
        <w:rPr>
          <w:sz w:val="20"/>
          <w:szCs w:val="20"/>
          <w:color w:val="auto"/>
        </w:rPr>
      </w:pPr>
    </w:p>
    <w:p>
      <w:pPr>
        <w:ind w:left="1020" w:right="520" w:hanging="380"/>
        <w:spacing w:after="0" w:line="211" w:lineRule="auto"/>
        <w:tabs>
          <w:tab w:leader="none" w:pos="102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Both Mr. Singh and Mr. Adler met the annual purchase limit of $25,000 under the Code with their respective purchases for the June 30, 2024 purchase period. As such, pursuant to the Code, they were not eligible to make any additional purchases during the December 31, 2024 purchase period.</w:t>
      </w:r>
    </w:p>
    <w:p>
      <w:pPr>
        <w:spacing w:after="0" w:line="123" w:lineRule="exact"/>
        <w:rPr>
          <w:rFonts w:ascii="Times New Roman" w:cs="Times New Roman" w:eastAsia="Times New Roman" w:hAnsi="Times New Roman"/>
          <w:sz w:val="20"/>
          <w:szCs w:val="20"/>
          <w:color w:val="auto"/>
          <w:vertAlign w:val="superscript"/>
        </w:rPr>
      </w:pPr>
    </w:p>
    <w:p>
      <w:pPr>
        <w:ind w:left="1020" w:right="560" w:hanging="380"/>
        <w:spacing w:after="0" w:line="211" w:lineRule="auto"/>
        <w:tabs>
          <w:tab w:leader="none" w:pos="102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Anderson joined the Company in August 2023, and, as such, was not eligible to participate in the 2019 ESPP until the purchase option period ending June 30,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March 31, 2025</w:t>
      </w:r>
    </w:p>
    <w:p>
      <w:pPr>
        <w:spacing w:after="0" w:line="222" w:lineRule="exact"/>
        <w:rPr>
          <w:sz w:val="20"/>
          <w:szCs w:val="20"/>
          <w:color w:val="auto"/>
        </w:rPr>
      </w:pPr>
    </w:p>
    <w:p>
      <w:pPr>
        <w:ind w:right="380" w:firstLine="620"/>
        <w:spacing w:after="0" w:line="271" w:lineRule="auto"/>
        <w:rPr>
          <w:sz w:val="20"/>
          <w:szCs w:val="20"/>
          <w:color w:val="auto"/>
        </w:rPr>
      </w:pPr>
      <w:r>
        <w:rPr>
          <w:rFonts w:ascii="Times New Roman" w:cs="Times New Roman" w:eastAsia="Times New Roman" w:hAnsi="Times New Roman"/>
          <w:sz w:val="17"/>
          <w:szCs w:val="17"/>
          <w:color w:val="auto"/>
        </w:rPr>
        <w:t>The following table provides information regarding outstanding equity awards held by each of our Fiscal 2025 NEOs as of the end of Fiscal 2025 on March 31, 2025, consisting exclusively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7"/>
        </w:trPr>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Stock Options at March 31, 2025</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05"/>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Securities Underlying</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Underlying</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40" w:type="dxa"/>
            <w:vAlign w:val="bottom"/>
          </w:tcPr>
          <w:p>
            <w:pPr>
              <w:spacing w:after="0"/>
              <w:rPr>
                <w:sz w:val="17"/>
                <w:szCs w:val="17"/>
                <w:color w:val="auto"/>
              </w:rPr>
            </w:pPr>
          </w:p>
        </w:tc>
      </w:tr>
      <w:tr>
        <w:trPr>
          <w:trHeight w:val="207"/>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Unexercised Options</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 Options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Expiration</w:t>
            </w:r>
          </w:p>
        </w:tc>
      </w:tr>
      <w:tr>
        <w:trPr>
          <w:trHeight w:val="253"/>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21"/>
                <w:szCs w:val="21"/>
                <w:color w:val="auto"/>
              </w:rPr>
            </w:pPr>
          </w:p>
        </w:tc>
        <w:tc>
          <w:tcPr>
            <w:tcW w:w="260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9"/>
              </w:rPr>
              <w:t>(#) Exercisable</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Unexercisable</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12"/>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Shawn K. Singh, J.D.</w:t>
            </w: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6,667</w:t>
            </w:r>
          </w:p>
        </w:tc>
        <w:tc>
          <w:tcPr>
            <w:tcW w:w="3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6/19/2026</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11/9/2026</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4/26/2027</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4,167</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9/19/2027</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2/2/2028</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7,334</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1/14/2029</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5/23/2029</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9/5/2029</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10,001</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10/21/2029</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10,001</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4/23/2030</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10,001</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12/30/2030</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10,001</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3/1/2032</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380" w:type="dxa"/>
            <w:vAlign w:val="bottom"/>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6/24/2034</w:t>
            </w: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Total:</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207,341</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24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Cynthia L. Anderson, CPA</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8/21/2033</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380" w:type="dxa"/>
            <w:vAlign w:val="bottom"/>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112,500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6/24/2024</w:t>
            </w: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Total:</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40,798</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24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51"/>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Reid G. Adler, J.D.</w:t>
            </w:r>
            <w:r>
              <w:rPr>
                <w:rFonts w:ascii="Times New Roman" w:cs="Times New Roman" w:eastAsia="Times New Roman" w:hAnsi="Times New Roman"/>
                <w:sz w:val="9"/>
                <w:szCs w:val="9"/>
                <w:b w:val="1"/>
                <w:bCs w:val="1"/>
                <w:color w:val="auto"/>
              </w:rPr>
              <w:t>(2)</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3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9/19/2027</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2/2/2028</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5/23/2029</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10/21/2029</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4/23/2030</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7/16/2031</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3/1/2032</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4,724</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5/2/2032</w:t>
            </w:r>
          </w:p>
        </w:tc>
      </w:tr>
      <w:tr>
        <w:trPr>
          <w:trHeight w:val="219"/>
        </w:trPr>
        <w:tc>
          <w:tcPr>
            <w:tcW w:w="246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42,500</w:t>
            </w:r>
          </w:p>
        </w:tc>
        <w:tc>
          <w:tcPr>
            <w:tcW w:w="38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8"/>
              </w:rPr>
              <w:t>6/24/2024</w:t>
            </w: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Total:</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55,394</w:t>
            </w: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9"/>
        </w:trPr>
        <w:tc>
          <w:tcPr>
            <w:tcW w:w="2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Joshua S. Prince, MBA</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11/15/2031</w:t>
            </w:r>
          </w:p>
        </w:tc>
      </w:tr>
      <w:tr>
        <w:trPr>
          <w:trHeight w:val="219"/>
        </w:trPr>
        <w:tc>
          <w:tcPr>
            <w:tcW w:w="246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3/1/2032</w:t>
            </w:r>
          </w:p>
        </w:tc>
      </w:tr>
      <w:tr>
        <w:trPr>
          <w:trHeight w:val="219"/>
        </w:trPr>
        <w:tc>
          <w:tcPr>
            <w:tcW w:w="24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3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11/16/2032</w:t>
            </w:r>
          </w:p>
        </w:tc>
      </w:tr>
      <w:tr>
        <w:trPr>
          <w:trHeight w:val="219"/>
        </w:trPr>
        <w:tc>
          <w:tcPr>
            <w:tcW w:w="246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38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112,500</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8"/>
              </w:rPr>
              <w:t>6/24/2024</w:t>
            </w: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Total:</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47,923</w:t>
            </w: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217805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80"/>
          </w:cols>
          <w:pgMar w:left="640" w:top="1345" w:right="679" w:bottom="1440" w:gutter="0" w:footer="0" w:header="0"/>
        </w:sectPr>
      </w:pPr>
    </w:p>
    <w:bookmarkStart w:id="33" w:name="page34"/>
    <w:bookmarkEnd w:id="33"/>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500,000 shares of our common stock at $3.23 per share granted on June 24, 2024 when the market price of our common stock was $3.23 per share. The option will vest in equal monthly installments over a three-year period and become fully vested on June 24, 2027,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shares of our common stock at $5.34 per share granted on August 21, 2023 when the market price of our common stock was $5.34 per share. The option will become exercisable for 25% of the shares granted on the first anniversary of the grant date, with the remaining 75% of the shares becoming exercisable ratably monthly through August 21, 2027,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150,000 shares of our common stock at $3.23 per share granted on June 24, 2024 when the market price of our common stock was $3.23 per share. The option will vest in equal monthly installments over a three-year period and become fully vested on June 24, 2027,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ind w:left="1200" w:hanging="560"/>
        <w:spacing w:after="0" w:line="200"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All options held by Mr. Adler to purchase shares of our common stock reflected in this table as expiring on or before March 1, 2032 were awarded to him for services to the Company as a legal advisor prior to his employment by the Company effective May 2, 2022.</w:t>
      </w:r>
    </w:p>
    <w:p>
      <w:pPr>
        <w:spacing w:after="0" w:line="110" w:lineRule="exact"/>
        <w:rPr>
          <w:rFonts w:ascii="Times New Roman" w:cs="Times New Roman" w:eastAsia="Times New Roman" w:hAnsi="Times New Roman"/>
          <w:sz w:val="22"/>
          <w:szCs w:val="22"/>
          <w:color w:val="auto"/>
          <w:vertAlign w:val="superscript"/>
        </w:rPr>
      </w:pPr>
    </w:p>
    <w:p>
      <w:pPr>
        <w:jc w:val="both"/>
        <w:ind w:left="1200" w:hanging="560"/>
        <w:spacing w:after="0"/>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6,667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p>
      <w:pPr>
        <w:spacing w:after="0" w:line="163"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170,000 shares of our common stock at $3.23 per share granted on June 24, 2024 when the market price of our common stock was $3.23 per share. The option will vest in equal monthly installments over a three-year period and become fully vested on June 24, 2027,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shares of our common stock at $64.50 per share granted on November 15, 2021 when the market price of our common stock was $64.50 per share. The option will become exercisable for 25% of the shares granted on the first anniversary of the grant date, with the remaining 75% of the shares becoming exercisable ratably monthly through November 15, 2025,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150,000 shares of our common stock at $3.23 per share granted on June 24, 2024 when the market price of our common stock was $3.23 per share. The option will vest in equal monthly installments over a three-year period and become fully vested on June 24, 2027, when all shares granted will be fully exercisable.</w:t>
      </w:r>
    </w:p>
    <w:p>
      <w:pPr>
        <w:spacing w:after="0" w:line="111" w:lineRule="exact"/>
        <w:rPr>
          <w:rFonts w:ascii="Times New Roman" w:cs="Times New Roman" w:eastAsia="Times New Roman" w:hAnsi="Times New Roman"/>
          <w:sz w:val="22"/>
          <w:szCs w:val="22"/>
          <w:color w:val="auto"/>
          <w:vertAlign w:val="superscript"/>
        </w:rPr>
      </w:pPr>
    </w:p>
    <w:p>
      <w:pPr>
        <w:jc w:val="both"/>
        <w:ind w:left="1200" w:hanging="560"/>
        <w:spacing w:after="0" w:line="204" w:lineRule="auto"/>
        <w:tabs>
          <w:tab w:leader="none" w:pos="1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an option to purchase shares of our common stock at $4.437 per share granted on November 16, 2022 when the market price of our common stock was $4.437 per share. The option will become exercisable for 25% of the shares granted on the first anniversary of the grant date, with the remaining 75% of the shares becoming exercisable ratably monthly through November 16, 2026, when all shares granted will be fully exercisable.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grants to employees, executive officers and non-employee directors are made by the Compensation Committee under the 2019 Plan from time to time, as</w:t>
      </w:r>
    </w:p>
    <w:p>
      <w:pPr>
        <w:spacing w:after="0" w:line="3" w:lineRule="exact"/>
        <w:rPr>
          <w:sz w:val="20"/>
          <w:szCs w:val="20"/>
          <w:color w:val="auto"/>
        </w:rPr>
      </w:pPr>
    </w:p>
    <w:p>
      <w:pPr>
        <w:jc w:val="both"/>
        <w:ind w:right="100"/>
        <w:spacing w:after="0" w:line="209" w:lineRule="auto"/>
        <w:rPr>
          <w:sz w:val="20"/>
          <w:szCs w:val="20"/>
          <w:color w:val="auto"/>
        </w:rPr>
      </w:pPr>
      <w:r>
        <w:rPr>
          <w:rFonts w:ascii="Times New Roman" w:cs="Times New Roman" w:eastAsia="Times New Roman" w:hAnsi="Times New Roman"/>
          <w:sz w:val="17"/>
          <w:szCs w:val="17"/>
          <w:color w:val="auto"/>
        </w:rPr>
        <w:t>determined by the Compensation Committee. 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commencement of employment or promotion effective date).</w:t>
      </w:r>
    </w:p>
    <w:p>
      <w:pPr>
        <w:spacing w:after="0" w:line="187"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7"/>
          <w:szCs w:val="17"/>
          <w:color w:val="auto"/>
        </w:rPr>
        <w:t>During Fiscal 2025,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4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Employment Agreements and Arrangements</w:t>
      </w:r>
    </w:p>
    <w:p>
      <w:pPr>
        <w:spacing w:after="0" w:line="183"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17"/>
          <w:szCs w:val="17"/>
          <w:color w:val="auto"/>
        </w:rPr>
        <w:t>We have an employment agreement with Mr. Singh, the material terms of which are described below. Aside from Mr. Singh, we have not entered into an employment agreement with any of our NEOs. Instead, offer letters provided to Ms. Anderson and Messrs. Adler and Prince prior to the commencement of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 by the Company contain certain compensation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with Mr. Singh</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entered into an employment agreement with Mr. Singh on April 28, 2010. Under this employment agreement, as amended on June 22, 2016, Mr.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incentive cash bonus of up</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to 50% of his base salary. Mr. Singh was awarded a cash bonus of $325,000 during Fiscal 2024 for the attainment of multiple performance-based objectives. At the recommendation of Mr. Singh for strategic cash-preservation purposes, the Compensation Committee did not award Mr. Singh or any of our other NEOs a cash bonus in Fiscal 2023. The award of Mr. Singh’s incentive cash bonus, if any, is at the discretion of the Compensation Committee. In the event we terminate Mr.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Singh’s employment without cause, he is entitled to receive severance in an amount equal to:</w:t>
      </w:r>
    </w:p>
    <w:p>
      <w:pPr>
        <w:spacing w:after="0" w:line="212" w:lineRule="exact"/>
        <w:rPr>
          <w:sz w:val="20"/>
          <w:szCs w:val="20"/>
          <w:color w:val="auto"/>
        </w:rPr>
      </w:pPr>
    </w:p>
    <w:p>
      <w:pPr>
        <w:ind w:left="1180" w:hanging="385"/>
        <w:spacing w:after="0"/>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twelve months of his then-current base salary payable in the form of salary continuation;</w:t>
      </w:r>
    </w:p>
    <w:p>
      <w:pPr>
        <w:spacing w:after="0" w:line="178" w:lineRule="exact"/>
        <w:rPr>
          <w:rFonts w:ascii="Times New Roman" w:cs="Times New Roman" w:eastAsia="Times New Roman" w:hAnsi="Times New Roman"/>
          <w:sz w:val="17"/>
          <w:szCs w:val="17"/>
          <w:color w:val="auto"/>
        </w:rPr>
      </w:pPr>
    </w:p>
    <w:p>
      <w:pPr>
        <w:ind w:left="1180" w:right="20" w:hanging="385"/>
        <w:spacing w:after="0"/>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portion of the incentive cash bonus that the Board of Directors determines in good faith that Mr. Singh earned prior to such termination; and</w:t>
      </w:r>
    </w:p>
    <w:p>
      <w:pPr>
        <w:spacing w:after="0" w:line="121" w:lineRule="exact"/>
        <w:rPr>
          <w:rFonts w:ascii="Times New Roman" w:cs="Times New Roman" w:eastAsia="Times New Roman" w:hAnsi="Times New Roman"/>
          <w:sz w:val="17"/>
          <w:szCs w:val="17"/>
          <w:color w:val="auto"/>
        </w:rPr>
      </w:pPr>
    </w:p>
    <w:p>
      <w:pPr>
        <w:ind w:left="1180" w:right="20" w:hanging="385"/>
        <w:spacing w:after="0" w:line="292" w:lineRule="auto"/>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amounts required to reimburse him for Consolidated Omnibus Budget Reconciliation Act (</w:t>
      </w:r>
      <w:r>
        <w:rPr>
          <w:rFonts w:ascii="Times New Roman" w:cs="Times New Roman" w:eastAsia="Times New Roman" w:hAnsi="Times New Roman"/>
          <w:sz w:val="17"/>
          <w:szCs w:val="17"/>
          <w:i w:val="1"/>
          <w:iCs w:val="1"/>
          <w:color w:val="auto"/>
        </w:rPr>
        <w:t>COBRA</w:t>
      </w:r>
      <w:r>
        <w:rPr>
          <w:rFonts w:ascii="Times New Roman" w:cs="Times New Roman" w:eastAsia="Times New Roman" w:hAnsi="Times New Roman"/>
          <w:sz w:val="17"/>
          <w:szCs w:val="17"/>
          <w:color w:val="auto"/>
        </w:rPr>
        <w:t>) payments for continuation of his medical health benefits for a twelve-month period from such termination.</w:t>
      </w:r>
    </w:p>
    <w:p>
      <w:pPr>
        <w:spacing w:after="0" w:line="251" w:lineRule="exact"/>
        <w:rPr>
          <w:sz w:val="20"/>
          <w:szCs w:val="20"/>
          <w:color w:val="auto"/>
        </w:rPr>
      </w:pPr>
    </w:p>
    <w:p>
      <w:pPr>
        <w:ind w:firstLine="620"/>
        <w:spacing w:after="0"/>
        <w:rPr>
          <w:sz w:val="20"/>
          <w:szCs w:val="20"/>
          <w:color w:val="auto"/>
        </w:rPr>
      </w:pPr>
      <w:r>
        <w:rPr>
          <w:rFonts w:ascii="Times New Roman" w:cs="Times New Roman" w:eastAsia="Times New Roman" w:hAnsi="Times New Roman"/>
          <w:sz w:val="17"/>
          <w:szCs w:val="17"/>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of Control Provisions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his employment agreement, Mr. Singh is entitled to severance if he terminates his employment for good reason after a change of control.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his agreement, “good reason” means any of the following events, if we affect the event without Mr. Singh’s consent (subject to our right to cure):</w:t>
      </w:r>
    </w:p>
    <w:p>
      <w:pPr>
        <w:spacing w:after="0" w:line="212" w:lineRule="exact"/>
        <w:rPr>
          <w:sz w:val="20"/>
          <w:szCs w:val="20"/>
          <w:color w:val="auto"/>
        </w:rPr>
      </w:pPr>
    </w:p>
    <w:p>
      <w:pPr>
        <w:ind w:left="1180" w:hanging="385"/>
        <w:spacing w:after="0"/>
        <w:tabs>
          <w:tab w:leader="none" w:pos="1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responsibility; or</w:t>
      </w:r>
    </w:p>
    <w:p>
      <w:pPr>
        <w:spacing w:after="0" w:line="178" w:lineRule="exact"/>
        <w:rPr>
          <w:rFonts w:ascii="Times New Roman" w:cs="Times New Roman" w:eastAsia="Times New Roman" w:hAnsi="Times New Roman"/>
          <w:sz w:val="17"/>
          <w:szCs w:val="17"/>
          <w:color w:val="auto"/>
        </w:rPr>
      </w:pPr>
    </w:p>
    <w:p>
      <w:pPr>
        <w:ind w:left="1180" w:right="20" w:hanging="385"/>
        <w:spacing w:after="0"/>
        <w:tabs>
          <w:tab w:leader="none" w:pos="1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base salary except for reductions that are comparable to reductions generally applicable to similarly situated executives the Company.</w:t>
      </w: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event we terminate Mr. Singh without cause within twelve months of a change of control, his remaining unvested option shares become fully</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vested and exercisable. Upon a change of control in which the successor corporation does not assume Mr. Singh’s stock options, the stock options granted to him become fully vested and exercisable.</w:t>
      </w:r>
    </w:p>
    <w:p>
      <w:pPr>
        <w:spacing w:after="0" w:line="12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26"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In the event that, following termination of employment, amounts are payable to Mr. Singh pursuant to his employment agreement, his eligibility for severance is conditioned on his having first signed a release agreement.</w:t>
      </w:r>
    </w:p>
    <w:p>
      <w:pPr>
        <w:spacing w:after="0" w:line="125"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The following table presents certain information regarding compensation paid to our Chief Executive Officer, who serves as our Principal Executive Officer (</w:t>
      </w:r>
      <w:r>
        <w:rPr>
          <w:rFonts w:ascii="Times New Roman" w:cs="Times New Roman" w:eastAsia="Times New Roman" w:hAnsi="Times New Roman"/>
          <w:sz w:val="17"/>
          <w:szCs w:val="17"/>
          <w:i w:val="1"/>
          <w:iCs w:val="1"/>
          <w:color w:val="auto"/>
        </w:rPr>
        <w:t>PEO</w:t>
      </w:r>
      <w:r>
        <w:rPr>
          <w:rFonts w:ascii="Times New Roman" w:cs="Times New Roman" w:eastAsia="Times New Roman" w:hAnsi="Times New Roman"/>
          <w:sz w:val="17"/>
          <w:szCs w:val="17"/>
          <w:color w:val="auto"/>
        </w:rPr>
        <w:t>), and other NEOs (</w:t>
      </w:r>
      <w:r>
        <w:rPr>
          <w:rFonts w:ascii="Times New Roman" w:cs="Times New Roman" w:eastAsia="Times New Roman" w:hAnsi="Times New Roman"/>
          <w:sz w:val="17"/>
          <w:szCs w:val="17"/>
          <w:i w:val="1"/>
          <w:iCs w:val="1"/>
          <w:color w:val="auto"/>
        </w:rPr>
        <w:t>Other NEOs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Non-PEOs</w:t>
      </w:r>
      <w:r>
        <w:rPr>
          <w:rFonts w:ascii="Times New Roman" w:cs="Times New Roman" w:eastAsia="Times New Roman" w:hAnsi="Times New Roman"/>
          <w:sz w:val="17"/>
          <w:szCs w:val="17"/>
          <w:color w:val="auto"/>
        </w:rPr>
        <w:t>), and certain measures of financial performance for Fiscal 2023, Fiscal 2024 and Fiscal 2025. The amounts shown below are calculated in accordance with Item 402(v) of Regulation S-K. The Compensation Committee did not consider the pay versus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disclosure below in making its pay decisions for any of the years shown.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4"/>
          </w:tcPr>
          <w:p>
            <w:pPr>
              <w:jc w:val="center"/>
              <w:ind w:left="1019"/>
              <w:spacing w:after="0"/>
              <w:rPr>
                <w:sz w:val="20"/>
                <w:szCs w:val="20"/>
                <w:color w:val="auto"/>
              </w:rPr>
            </w:pPr>
            <w:r>
              <w:rPr>
                <w:rFonts w:ascii="Times New Roman" w:cs="Times New Roman" w:eastAsia="Times New Roman" w:hAnsi="Times New Roman"/>
                <w:sz w:val="17"/>
                <w:szCs w:val="17"/>
                <w:b w:val="1"/>
                <w:bCs w:val="1"/>
                <w:color w:val="auto"/>
                <w:w w:val="99"/>
              </w:rPr>
              <w:t>Pay Versus Performance Table</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8"/>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Average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Summary</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8"/>
              </w:rPr>
              <w:t>Value of</w:t>
            </w:r>
          </w:p>
        </w:tc>
        <w:tc>
          <w:tcPr>
            <w:tcW w:w="28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Net Income</w:t>
            </w: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Compensation</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9"/>
              </w:rPr>
              <w:t>Compensation</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8"/>
              </w:rPr>
              <w:t>Initial $100</w:t>
            </w:r>
          </w:p>
        </w:tc>
        <w:tc>
          <w:tcPr>
            <w:tcW w:w="2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(Loss)</w:t>
            </w: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7"/>
                <w:szCs w:val="17"/>
                <w:color w:val="auto"/>
                <w:w w:val="99"/>
              </w:rPr>
              <w:t>Summary</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6"/>
              </w:rPr>
              <w:t>Total for</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Actually Paid</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Investment</w:t>
            </w:r>
          </w:p>
        </w:tc>
        <w:tc>
          <w:tcPr>
            <w:tcW w:w="28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9"/>
              </w:rPr>
              <w:t>Attributable</w:t>
            </w: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jc w:val="center"/>
              <w:ind w:right="159"/>
              <w:spacing w:after="0"/>
              <w:rPr>
                <w:sz w:val="20"/>
                <w:szCs w:val="20"/>
                <w:color w:val="auto"/>
              </w:rPr>
            </w:pPr>
            <w:r>
              <w:rPr>
                <w:rFonts w:ascii="Times New Roman" w:cs="Times New Roman" w:eastAsia="Times New Roman" w:hAnsi="Times New Roman"/>
                <w:sz w:val="17"/>
                <w:szCs w:val="17"/>
                <w:color w:val="auto"/>
              </w:rPr>
              <w:t>Compensation</w:t>
            </w:r>
          </w:p>
        </w:tc>
        <w:tc>
          <w:tcPr>
            <w:tcW w:w="24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7"/>
                <w:szCs w:val="17"/>
                <w:color w:val="auto"/>
              </w:rPr>
              <w:t>Compensation</w:t>
            </w: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7"/>
              </w:rPr>
              <w:t>Non-</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to Non-PEO</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based on</w:t>
            </w:r>
          </w:p>
        </w:tc>
        <w:tc>
          <w:tcPr>
            <w:tcW w:w="28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to</w:t>
            </w: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7"/>
                <w:szCs w:val="17"/>
                <w:color w:val="auto"/>
                <w:w w:val="98"/>
              </w:rPr>
              <w:t>Table</w:t>
            </w:r>
          </w:p>
        </w:tc>
        <w:tc>
          <w:tcPr>
            <w:tcW w:w="24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7"/>
                <w:szCs w:val="17"/>
                <w:color w:val="auto"/>
              </w:rPr>
              <w:t>Actually</w:t>
            </w: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PEO Named</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Named</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4"/>
              </w:rPr>
              <w:t>Total</w:t>
            </w:r>
          </w:p>
        </w:tc>
        <w:tc>
          <w:tcPr>
            <w:tcW w:w="2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Common</w:t>
            </w:r>
          </w:p>
        </w:tc>
      </w:tr>
      <w:tr>
        <w:trPr>
          <w:trHeight w:val="207"/>
        </w:trPr>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jc w:val="center"/>
              <w:ind w:right="159"/>
              <w:spacing w:after="0"/>
              <w:rPr>
                <w:sz w:val="20"/>
                <w:szCs w:val="20"/>
                <w:color w:val="auto"/>
              </w:rPr>
            </w:pPr>
            <w:r>
              <w:rPr>
                <w:rFonts w:ascii="Times New Roman" w:cs="Times New Roman" w:eastAsia="Times New Roman" w:hAnsi="Times New Roman"/>
                <w:sz w:val="17"/>
                <w:szCs w:val="17"/>
                <w:color w:val="auto"/>
                <w:w w:val="99"/>
              </w:rPr>
              <w:t>Total for</w:t>
            </w:r>
          </w:p>
        </w:tc>
        <w:tc>
          <w:tcPr>
            <w:tcW w:w="24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7"/>
                <w:szCs w:val="17"/>
                <w:color w:val="auto"/>
              </w:rPr>
              <w:t>Paid to</w:t>
            </w:r>
          </w:p>
        </w:tc>
        <w:tc>
          <w:tcPr>
            <w:tcW w:w="30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Executive</w:t>
            </w:r>
          </w:p>
        </w:tc>
        <w:tc>
          <w:tcPr>
            <w:tcW w:w="30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Executive</w:t>
            </w:r>
          </w:p>
        </w:tc>
        <w:tc>
          <w:tcPr>
            <w:tcW w:w="32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9"/>
              </w:rPr>
              <w:t>Stockholder</w:t>
            </w:r>
          </w:p>
        </w:tc>
        <w:tc>
          <w:tcPr>
            <w:tcW w:w="28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Stockholders</w:t>
            </w:r>
          </w:p>
        </w:tc>
      </w:tr>
      <w:tr>
        <w:trPr>
          <w:trHeight w:val="24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w:t>
            </w:r>
          </w:p>
        </w:tc>
        <w:tc>
          <w:tcPr>
            <w:tcW w:w="560" w:type="dxa"/>
            <w:vAlign w:val="bottom"/>
          </w:tcPr>
          <w:p>
            <w:pPr>
              <w:spacing w:after="0"/>
              <w:rPr>
                <w:sz w:val="21"/>
                <w:szCs w:val="21"/>
                <w:color w:val="auto"/>
              </w:rPr>
            </w:pPr>
          </w:p>
        </w:tc>
        <w:tc>
          <w:tcPr>
            <w:tcW w:w="1400" w:type="dxa"/>
            <w:vAlign w:val="bottom"/>
          </w:tcPr>
          <w:p>
            <w:pPr>
              <w:jc w:val="center"/>
              <w:ind w:right="159"/>
              <w:spacing w:after="0" w:line="249" w:lineRule="exact"/>
              <w:rPr>
                <w:sz w:val="20"/>
                <w:szCs w:val="20"/>
                <w:color w:val="auto"/>
              </w:rPr>
            </w:pPr>
            <w:r>
              <w:rPr>
                <w:rFonts w:ascii="Times New Roman" w:cs="Times New Roman" w:eastAsia="Times New Roman" w:hAnsi="Times New Roman"/>
                <w:sz w:val="28"/>
                <w:szCs w:val="28"/>
                <w:color w:val="auto"/>
                <w:w w:val="96"/>
                <w:vertAlign w:val="subscript"/>
              </w:rPr>
              <w:t>PEO</w:t>
            </w:r>
            <w:r>
              <w:rPr>
                <w:rFonts w:ascii="Times New Roman" w:cs="Times New Roman" w:eastAsia="Times New Roman" w:hAnsi="Times New Roman"/>
                <w:sz w:val="9"/>
                <w:szCs w:val="9"/>
                <w:color w:val="auto"/>
                <w:w w:val="96"/>
              </w:rPr>
              <w:t>(1)</w:t>
            </w:r>
          </w:p>
        </w:tc>
        <w:tc>
          <w:tcPr>
            <w:tcW w:w="240" w:type="dxa"/>
            <w:vAlign w:val="bottom"/>
          </w:tcPr>
          <w:p>
            <w:pPr>
              <w:spacing w:after="0"/>
              <w:rPr>
                <w:sz w:val="21"/>
                <w:szCs w:val="21"/>
                <w:color w:val="auto"/>
              </w:rPr>
            </w:pPr>
          </w:p>
        </w:tc>
        <w:tc>
          <w:tcPr>
            <w:tcW w:w="1300" w:type="dxa"/>
            <w:vAlign w:val="bottom"/>
          </w:tcPr>
          <w:p>
            <w:pPr>
              <w:jc w:val="center"/>
              <w:ind w:right="99"/>
              <w:spacing w:after="0" w:line="249" w:lineRule="exact"/>
              <w:rPr>
                <w:sz w:val="20"/>
                <w:szCs w:val="20"/>
                <w:color w:val="auto"/>
              </w:rPr>
            </w:pPr>
            <w:r>
              <w:rPr>
                <w:rFonts w:ascii="Times New Roman" w:cs="Times New Roman" w:eastAsia="Times New Roman" w:hAnsi="Times New Roman"/>
                <w:sz w:val="28"/>
                <w:szCs w:val="28"/>
                <w:color w:val="auto"/>
                <w:w w:val="96"/>
                <w:vertAlign w:val="subscript"/>
              </w:rPr>
              <w:t>PEO</w:t>
            </w:r>
            <w:r>
              <w:rPr>
                <w:rFonts w:ascii="Times New Roman" w:cs="Times New Roman" w:eastAsia="Times New Roman" w:hAnsi="Times New Roman"/>
                <w:sz w:val="9"/>
                <w:szCs w:val="9"/>
                <w:color w:val="auto"/>
                <w:w w:val="96"/>
              </w:rPr>
              <w:t>(2)</w:t>
            </w:r>
          </w:p>
        </w:tc>
        <w:tc>
          <w:tcPr>
            <w:tcW w:w="300" w:type="dxa"/>
            <w:vAlign w:val="bottom"/>
          </w:tcPr>
          <w:p>
            <w:pPr>
              <w:spacing w:after="0"/>
              <w:rPr>
                <w:sz w:val="21"/>
                <w:szCs w:val="21"/>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Officers</w:t>
            </w:r>
            <w:r>
              <w:rPr>
                <w:rFonts w:ascii="Times New Roman" w:cs="Times New Roman" w:eastAsia="Times New Roman" w:hAnsi="Times New Roman"/>
                <w:sz w:val="9"/>
                <w:szCs w:val="9"/>
                <w:color w:val="auto"/>
                <w:w w:val="99"/>
              </w:rPr>
              <w:t>(3)</w:t>
            </w:r>
          </w:p>
        </w:tc>
        <w:tc>
          <w:tcPr>
            <w:tcW w:w="300" w:type="dxa"/>
            <w:vAlign w:val="bottom"/>
          </w:tcPr>
          <w:p>
            <w:pPr>
              <w:spacing w:after="0"/>
              <w:rPr>
                <w:sz w:val="21"/>
                <w:szCs w:val="21"/>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9"/>
              </w:rPr>
              <w:t>Officers</w:t>
            </w:r>
            <w:r>
              <w:rPr>
                <w:rFonts w:ascii="Times New Roman" w:cs="Times New Roman" w:eastAsia="Times New Roman" w:hAnsi="Times New Roman"/>
                <w:sz w:val="9"/>
                <w:szCs w:val="9"/>
                <w:color w:val="auto"/>
                <w:w w:val="99"/>
              </w:rPr>
              <w:t>(4)</w:t>
            </w:r>
          </w:p>
        </w:tc>
        <w:tc>
          <w:tcPr>
            <w:tcW w:w="320" w:type="dxa"/>
            <w:vAlign w:val="bottom"/>
          </w:tcPr>
          <w:p>
            <w:pPr>
              <w:spacing w:after="0"/>
              <w:rPr>
                <w:sz w:val="21"/>
                <w:szCs w:val="21"/>
                <w:color w:val="auto"/>
              </w:rPr>
            </w:pPr>
          </w:p>
        </w:tc>
        <w:tc>
          <w:tcPr>
            <w:tcW w:w="132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Return</w:t>
            </w:r>
            <w:r>
              <w:rPr>
                <w:rFonts w:ascii="Times New Roman" w:cs="Times New Roman" w:eastAsia="Times New Roman" w:hAnsi="Times New Roman"/>
                <w:sz w:val="9"/>
                <w:szCs w:val="9"/>
                <w:color w:val="auto"/>
              </w:rPr>
              <w:t>(5)</w:t>
            </w:r>
          </w:p>
        </w:tc>
        <w:tc>
          <w:tcPr>
            <w:tcW w:w="280" w:type="dxa"/>
            <w:vAlign w:val="bottom"/>
          </w:tcPr>
          <w:p>
            <w:pPr>
              <w:spacing w:after="0"/>
              <w:rPr>
                <w:sz w:val="21"/>
                <w:szCs w:val="21"/>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2025</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2,477,682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2,063,866</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1,113,838</w:t>
            </w:r>
          </w:p>
        </w:tc>
        <w:tc>
          <w:tcPr>
            <w:tcW w:w="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982,081</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7.25</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(51,418,000)</w:t>
            </w:r>
          </w:p>
        </w:tc>
      </w:tr>
      <w:tr>
        <w:trPr>
          <w:trHeight w:val="23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2024</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947,917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1,175,054</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559,209</w:t>
            </w: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575,433</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8.42</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(29,362,000)</w:t>
            </w:r>
          </w:p>
        </w:tc>
      </w:tr>
      <w:tr>
        <w:trPr>
          <w:trHeight w:val="251"/>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2023</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225,350</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493,409</w:t>
            </w:r>
          </w:p>
        </w:tc>
        <w:tc>
          <w:tcPr>
            <w:tcW w:w="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304,160</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5.85</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(59,247,700)</w:t>
            </w:r>
          </w:p>
        </w:tc>
      </w:tr>
    </w:tbl>
    <w:p>
      <w:pPr>
        <w:spacing w:after="0" w:line="271" w:lineRule="exact"/>
        <w:rPr>
          <w:sz w:val="20"/>
          <w:szCs w:val="20"/>
          <w:color w:val="auto"/>
        </w:rPr>
      </w:pPr>
    </w:p>
    <w:p>
      <w:pPr>
        <w:ind w:left="400" w:hanging="380"/>
        <w:spacing w:after="0"/>
        <w:tabs>
          <w:tab w:leader="none" w:pos="4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Shawn K. Singh, J.D. served as our PEO for each of Fiscal 2025, Fiscal 2024 and Fiscal 2023.</w:t>
      </w:r>
    </w:p>
    <w:p>
      <w:pPr>
        <w:spacing w:after="0" w:line="105" w:lineRule="exact"/>
        <w:rPr>
          <w:rFonts w:ascii="Times New Roman" w:cs="Times New Roman" w:eastAsia="Times New Roman" w:hAnsi="Times New Roman"/>
          <w:sz w:val="22"/>
          <w:szCs w:val="22"/>
          <w:color w:val="auto"/>
          <w:vertAlign w:val="superscript"/>
        </w:rPr>
      </w:pPr>
    </w:p>
    <w:p>
      <w:pPr>
        <w:ind w:left="400" w:right="40" w:hanging="380"/>
        <w:spacing w:after="0" w:line="202" w:lineRule="auto"/>
        <w:tabs>
          <w:tab w:leader="none" w:pos="4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following amounts were added to and deducted from the Summary Compensation Table (</w:t>
      </w:r>
      <w:r>
        <w:rPr>
          <w:rFonts w:ascii="Times New Roman" w:cs="Times New Roman" w:eastAsia="Times New Roman" w:hAnsi="Times New Roman"/>
          <w:sz w:val="15"/>
          <w:szCs w:val="15"/>
          <w:i w:val="1"/>
          <w:iCs w:val="1"/>
          <w:color w:val="auto"/>
        </w:rPr>
        <w:t>SCT</w:t>
      </w:r>
      <w:r>
        <w:rPr>
          <w:rFonts w:ascii="Times New Roman" w:cs="Times New Roman" w:eastAsia="Times New Roman" w:hAnsi="Times New Roman"/>
          <w:sz w:val="15"/>
          <w:szCs w:val="15"/>
          <w:color w:val="auto"/>
        </w:rPr>
        <w:t>) amount to determine the compensation actually paid to the PEO as determined in accordance with SEC regulations:</w:t>
      </w:r>
    </w:p>
    <w:p>
      <w:pPr>
        <w:spacing w:after="0" w:line="200" w:lineRule="exact"/>
        <w:rPr>
          <w:sz w:val="20"/>
          <w:szCs w:val="20"/>
          <w:color w:val="auto"/>
        </w:rPr>
      </w:pPr>
    </w:p>
    <w:p>
      <w:pPr>
        <w:spacing w:after="0" w:line="341" w:lineRule="exact"/>
        <w:rPr>
          <w:sz w:val="20"/>
          <w:szCs w:val="20"/>
          <w:color w:val="auto"/>
        </w:rPr>
      </w:pPr>
    </w:p>
    <w:tbl>
      <w:tblPr>
        <w:tblLayout w:type="fixed"/>
        <w:tblInd w:w="900" w:type="dxa"/>
        <w:tblCellMar>
          <w:top w:w="0" w:type="dxa"/>
          <w:left w:w="0" w:type="dxa"/>
          <w:bottom w:w="0" w:type="dxa"/>
          <w:right w:w="0" w:type="dxa"/>
        </w:tblCellMar>
      </w:tblPr>
      <w:tr>
        <w:trPr>
          <w:trHeight w:val="253"/>
        </w:trPr>
        <w:tc>
          <w:tcPr>
            <w:tcW w:w="4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Adjustments to Determine Compensation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Actually Paid</w:t>
            </w: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20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200" w:type="dxa"/>
            <w:vAlign w:val="bottom"/>
          </w:tcPr>
          <w:p>
            <w:pPr>
              <w:spacing w:after="0"/>
              <w:rPr>
                <w:sz w:val="21"/>
                <w:szCs w:val="21"/>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0" w:type="dxa"/>
            <w:vAlign w:val="bottom"/>
          </w:tcPr>
          <w:p>
            <w:pPr>
              <w:spacing w:after="0"/>
              <w:rPr>
                <w:sz w:val="1"/>
                <w:szCs w:val="1"/>
                <w:color w:val="auto"/>
              </w:rPr>
            </w:pPr>
          </w:p>
        </w:tc>
      </w:tr>
      <w:tr>
        <w:trPr>
          <w:trHeight w:val="148"/>
        </w:trPr>
        <w:tc>
          <w:tcPr>
            <w:tcW w:w="49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auto"/>
              </w:rPr>
              <w:t>Deduction for amount reported under the “Stock Awards” column in</w:t>
            </w: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SCT</w:t>
            </w: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Deduction for amount reported under the “Option Awards” column in</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(1,551,432)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the SCT</w:t>
            </w: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Increase for the fair value of awards granted during year that remain</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865,150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year-end</w:t>
            </w: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Increase for the fair value of awards granted during year that remain</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288,223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vested as of year-end</w:t>
            </w: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Increase/deduction for change in fair value from prior year-end to</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current year-end of awards granted prior to year-end that were</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and unvested as of year-end</w:t>
            </w: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Increase/deduction for change in fair value from prior year-end to</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vesting date of awards granted prior to year-end that vested during</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(15,758)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(287,486)</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year</w:t>
            </w: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9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Deduction of fair value of awards granted prior to year-end that were</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 during year</w:t>
            </w: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Increase based upon incremental fair value of awards modified</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during year</w:t>
            </w: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Increase based on dividends or other earnings paid during year prior</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 vesting date of award.</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960" w:type="dxa"/>
            <w:vAlign w:val="bottom"/>
          </w:tcPr>
          <w:p>
            <w:pPr>
              <w:ind w:left="3460"/>
              <w:spacing w:after="0"/>
              <w:rPr>
                <w:sz w:val="20"/>
                <w:szCs w:val="20"/>
                <w:color w:val="auto"/>
              </w:rPr>
            </w:pPr>
            <w:r>
              <w:rPr>
                <w:rFonts w:ascii="Times New Roman" w:cs="Times New Roman" w:eastAsia="Times New Roman" w:hAnsi="Times New Roman"/>
                <w:sz w:val="17"/>
                <w:szCs w:val="17"/>
                <w:b w:val="1"/>
                <w:bCs w:val="1"/>
                <w:color w:val="auto"/>
              </w:rPr>
              <w:t>Total Adjustments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(413,817)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(374,650)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6" w:name="page37"/>
    <w:bookmarkEnd w:id="36"/>
    <w:p>
      <w:pPr>
        <w:ind w:left="380" w:hanging="380"/>
        <w:spacing w:after="0" w:line="211" w:lineRule="auto"/>
        <w:tabs>
          <w:tab w:leader="none" w:pos="38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Fiscal 2025 and Fiscal 2024, our other NEOs consisted of Cynthia L. Anderson, Reid G. Adler and Joshua S. Prince. For Fiscal 2023, our other NEOs consisted of Jerrold D. Dotson, CPA, our former Chief Financial Officer, and Mr. Adler.</w:t>
      </w:r>
    </w:p>
    <w:p>
      <w:pPr>
        <w:spacing w:after="0" w:line="110" w:lineRule="exact"/>
        <w:rPr>
          <w:rFonts w:ascii="Times New Roman" w:cs="Times New Roman" w:eastAsia="Times New Roman" w:hAnsi="Times New Roman"/>
          <w:sz w:val="20"/>
          <w:szCs w:val="20"/>
          <w:color w:val="auto"/>
          <w:vertAlign w:val="superscript"/>
        </w:rPr>
      </w:pPr>
    </w:p>
    <w:p>
      <w:pPr>
        <w:ind w:left="380" w:hanging="380"/>
        <w:spacing w:after="0" w:line="200" w:lineRule="auto"/>
        <w:tabs>
          <w:tab w:leader="none" w:pos="3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 our other NEOs, the following amounts were added and deducted to the SCT amount to determine the average compensation “actually paid” as determined in accordance with SEC regulations.</w:t>
      </w:r>
    </w:p>
    <w:p>
      <w:pPr>
        <w:spacing w:after="0" w:line="334"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Adjustments to Determine Compensation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Actually Paid</w:t>
            </w: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18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60" w:type="dxa"/>
            <w:vAlign w:val="bottom"/>
          </w:tcPr>
          <w:p>
            <w:pPr>
              <w:spacing w:after="0"/>
              <w:rPr>
                <w:sz w:val="21"/>
                <w:szCs w:val="21"/>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0" w:type="dxa"/>
            <w:vAlign w:val="bottom"/>
          </w:tcPr>
          <w:p>
            <w:pPr>
              <w:spacing w:after="0"/>
              <w:rPr>
                <w:sz w:val="1"/>
                <w:szCs w:val="1"/>
                <w:color w:val="auto"/>
              </w:rPr>
            </w:pPr>
          </w:p>
        </w:tc>
      </w:tr>
      <w:tr>
        <w:trPr>
          <w:trHeight w:val="148"/>
        </w:trPr>
        <w:tc>
          <w:tcPr>
            <w:tcW w:w="44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Deduction for amount reported under the “Stock Awards”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column in the SCT</w:t>
            </w:r>
          </w:p>
        </w:tc>
        <w:tc>
          <w:tcPr>
            <w:tcW w:w="1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Deduction for amount reported under the “Option Awards”</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(485,949)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(90,284)</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column in the SCT</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Increase for the fair value of awards granted during year that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275,840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 unvested as of year-end</w:t>
            </w:r>
          </w:p>
        </w:tc>
        <w:tc>
          <w:tcPr>
            <w:tcW w:w="1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Increase for the fair value of awards granted during year that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91,798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remain vested as of year-end</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Increase/deduction for change in fair value from prior year-</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end to current year-end of awards granted prior to year-end</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(19,664)</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that were outstanding and unvested as of year-end</w:t>
            </w: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Increase/deduction for change in fair value from prior year-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4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end to vesting date of awards granted prior to year-end that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(83,607)</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during year</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Deduction of fair value of awards granted prior to year-end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that were forfeited during year</w:t>
            </w:r>
          </w:p>
        </w:tc>
        <w:tc>
          <w:tcPr>
            <w:tcW w:w="1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Increase based upon incremental fair value of awards modified</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during year</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Increase based on dividends or other earnings paid during year</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to vesting date of award.</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Adjustments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(131,756)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16,224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(189,249)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360"/>
        <w:spacing w:after="0" w:line="225" w:lineRule="auto"/>
        <w:rPr>
          <w:sz w:val="20"/>
          <w:szCs w:val="20"/>
          <w:color w:val="auto"/>
        </w:rPr>
      </w:pPr>
      <w:r>
        <w:rPr>
          <w:rFonts w:ascii="Times New Roman" w:cs="Times New Roman" w:eastAsia="Times New Roman" w:hAnsi="Times New Roman"/>
          <w:sz w:val="15"/>
          <w:szCs w:val="15"/>
          <w:color w:val="auto"/>
        </w:rPr>
        <w:t>Fair values used in the determination of CAP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actually paid to or actually realized by Messrs. Dotson or Adler.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26 above.</w:t>
      </w:r>
    </w:p>
    <w:p>
      <w:pPr>
        <w:spacing w:after="0" w:line="114" w:lineRule="exact"/>
        <w:rPr>
          <w:sz w:val="20"/>
          <w:szCs w:val="20"/>
          <w:color w:val="auto"/>
        </w:rPr>
      </w:pPr>
    </w:p>
    <w:p>
      <w:pPr>
        <w:jc w:val="both"/>
        <w:ind w:left="380" w:hanging="380"/>
        <w:spacing w:after="0" w:line="204" w:lineRule="auto"/>
        <w:tabs>
          <w:tab w:leader="none" w:pos="3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Assumes $100 invested in our common stock on March 31, 2022, and calculated based on the difference between the closing price of our common stock, as reported on The Nasdaq Capital Market, on March 31, 2025, March 31, 2024 and 2023, the end and beginning of the measurement period, respectively, and adjusted to give effect to the Reverse Split completed in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40" w:top="915"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Performance</w:t>
      </w:r>
    </w:p>
    <w:p>
      <w:pPr>
        <w:spacing w:after="0" w:line="209"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the information presented in the Pay Versus Performance table. The disclosure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included in this section is prescribed by SEC rules and does not necessarily align with how the Company or the Compensation Committee views the relationship between the Company’s performance and the compensation of our NEOs.</w:t>
      </w:r>
    </w:p>
    <w:p>
      <w:pPr>
        <w:spacing w:after="0" w:line="125"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The graphs below describe the relationship between compensation actually paid to our NEOs and the Company’s cumulative Total Shareholder Return and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19685</wp:posOffset>
            </wp:positionV>
            <wp:extent cx="7080885" cy="3983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0885" cy="398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19685</wp:posOffset>
            </wp:positionV>
            <wp:extent cx="7080885" cy="3983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0885" cy="398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43"/>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All information provided above under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Pay Versus Performance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THE APPOINTMENT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KPMG LLP TO SERVE AS THE COMPANY'S INDEPENDENT</w:t>
      </w: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PUBLIC ACCOUNTING FIRM FOR THE CURRENT FISCAL YEAR</w:t>
      </w:r>
    </w:p>
    <w:p>
      <w:pPr>
        <w:spacing w:after="0" w:line="208"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7"/>
          <w:szCs w:val="17"/>
          <w:color w:val="auto"/>
        </w:rPr>
        <w:t>Upon recommendation of the Audit Committee, our Board appointed KPMG LLP (</w:t>
      </w:r>
      <w:r>
        <w:rPr>
          <w:rFonts w:ascii="Times New Roman" w:cs="Times New Roman" w:eastAsia="Times New Roman" w:hAnsi="Times New Roman"/>
          <w:sz w:val="17"/>
          <w:szCs w:val="17"/>
          <w:i w:val="1"/>
          <w:iCs w:val="1"/>
          <w:color w:val="auto"/>
        </w:rPr>
        <w:t>KPMG</w:t>
      </w:r>
      <w:r>
        <w:rPr>
          <w:rFonts w:ascii="Times New Roman" w:cs="Times New Roman" w:eastAsia="Times New Roman" w:hAnsi="Times New Roman"/>
          <w:sz w:val="17"/>
          <w:szCs w:val="17"/>
          <w:color w:val="auto"/>
        </w:rPr>
        <w:t>) as our independent registered public accounting firm for the current fiscal year ending March 31, 2026, and hereby unanimously recommends that the stockholders ratify such appointment. Representatives of KPMG have been invited to be present at the Annual Meeting, and it is expected that they will attend. If present, representatives from KPMG will have an opportunity to make a statement if they so choose, and will be available to respond to appropriate questions from stockholders.</w:t>
      </w:r>
    </w:p>
    <w:p>
      <w:pPr>
        <w:spacing w:after="0" w:line="196"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Board may terminate the appointment of KPMG as the Company’s independent registered public accounting firm without the approval of the Company’s stockholders whenever the Board deems such termination necessary or appropriate.</w:t>
      </w:r>
    </w:p>
    <w:p>
      <w:pPr>
        <w:spacing w:after="0" w:line="178"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If the stockholders do not ratify the selection of KPMG as the independent registered public accounting firm for the Company for Fiscal 2026, the Audit Committee will reconsider whether to engage KPMG but may ultimately determine to continue the engagement of KPMG or engage another audit firm without resubmitting the matter to stockholders.</w:t>
      </w:r>
    </w:p>
    <w:p>
      <w:pPr>
        <w:spacing w:after="0" w:line="192"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Even if the selection of KPMG is ratified by the stockholders at the Annual Meeting, the Audit Committee, in its discretion, may direct the selection of a different independent registered public accounting firm at any time during the year, although it has no current intention to do so.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Fees and Services</w:t>
      </w:r>
    </w:p>
    <w:p>
      <w:pPr>
        <w:spacing w:after="0" w:line="236"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Our Board previously appointed, and stockholders ratified, KPMG as our independent registered public accounting firm for Fiscal 2025. Prior to the engagement of KPMG, WithumSmith+Brown, PC (</w:t>
      </w:r>
      <w:r>
        <w:rPr>
          <w:rFonts w:ascii="Times New Roman" w:cs="Times New Roman" w:eastAsia="Times New Roman" w:hAnsi="Times New Roman"/>
          <w:sz w:val="17"/>
          <w:szCs w:val="17"/>
          <w:i w:val="1"/>
          <w:iCs w:val="1"/>
          <w:color w:val="auto"/>
        </w:rPr>
        <w:t>Withum</w:t>
      </w:r>
      <w:r>
        <w:rPr>
          <w:rFonts w:ascii="Times New Roman" w:cs="Times New Roman" w:eastAsia="Times New Roman" w:hAnsi="Times New Roman"/>
          <w:sz w:val="17"/>
          <w:szCs w:val="17"/>
          <w:color w:val="auto"/>
        </w:rPr>
        <w:t>) served as our independent registered public accounting firm for Fiscal 2024. The information provided below includes fees for professional services provided to us by Withum for Fiscal 2024.</w:t>
      </w:r>
    </w:p>
    <w:p>
      <w:pPr>
        <w:spacing w:after="0" w:line="200" w:lineRule="exact"/>
        <w:rPr>
          <w:sz w:val="20"/>
          <w:szCs w:val="20"/>
          <w:color w:val="auto"/>
        </w:rPr>
      </w:pPr>
    </w:p>
    <w:p>
      <w:pPr>
        <w:spacing w:after="0" w:line="25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Fiscal Years Ended</w:t>
      </w:r>
    </w:p>
    <w:p>
      <w:pPr>
        <w:spacing w:after="0" w:line="3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9" w:lineRule="exact"/>
        <w:rPr>
          <w:sz w:val="20"/>
          <w:szCs w:val="20"/>
          <w:color w:val="auto"/>
        </w:rPr>
      </w:pPr>
    </w:p>
    <w:tbl>
      <w:tblPr>
        <w:tblLayout w:type="fixed"/>
        <w:tblInd w:w="540" w:type="dxa"/>
        <w:tblCellMar>
          <w:top w:w="0" w:type="dxa"/>
          <w:left w:w="0" w:type="dxa"/>
          <w:bottom w:w="0" w:type="dxa"/>
          <w:right w:w="0" w:type="dxa"/>
        </w:tblCellMar>
      </w:tblPr>
      <w:tr>
        <w:trPr>
          <w:trHeight w:val="227"/>
        </w:trPr>
        <w:tc>
          <w:tcPr>
            <w:tcW w:w="6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 fees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542,000</w:t>
            </w:r>
          </w:p>
        </w:tc>
      </w:tr>
      <w:tr>
        <w:trPr>
          <w:trHeight w:val="219"/>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Audit-related fees</w:t>
            </w:r>
          </w:p>
        </w:tc>
        <w:tc>
          <w:tcPr>
            <w:tcW w:w="3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fees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24,000</w:t>
            </w:r>
          </w:p>
        </w:tc>
      </w:tr>
      <w:tr>
        <w:trPr>
          <w:trHeight w:val="219"/>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 other fees</w:t>
            </w:r>
          </w:p>
        </w:tc>
        <w:tc>
          <w:tcPr>
            <w:tcW w:w="3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fees</w:t>
            </w: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566,000</w:t>
            </w: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Fees:</w:t>
      </w:r>
    </w:p>
    <w:p>
      <w:pPr>
        <w:spacing w:after="0" w:line="20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Audit fees include fees billed for the annual audit of the Company’s financial statements and quarterly reviews for Fiscal 2025 and Fiscal 2024, and for services normally provided by each of KPMG and Withum in connection with routine statutory and regulatory filings or engagements, as well as the issuance of consents and comfort letters in connection with registration statements, including the filing of our registration statements on Form S-3 and Form S-8.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Audit-Related Fees:</w:t>
      </w:r>
    </w:p>
    <w:p>
      <w:pPr>
        <w:spacing w:after="0" w:line="20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Audit-related fees include fees billed for assurance and related services that are reasonably related to the performance of the audit or review of the Company’s financial statements and are not reported under Audit fees. During Fiscal 2025 and Fiscal 2024, no such fees were billed by KPMG or Withum.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color w:val="auto"/>
        </w:rPr>
        <w:t>Tax Fees:</w:t>
      </w:r>
    </w:p>
    <w:p>
      <w:pPr>
        <w:spacing w:after="0" w:line="209"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Tax fees include fees for professional services for tax compliance, tax advice and tax planning for billed by Withum in Fiscal 2024. No such fees were billed by KPMG in Fiscal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 Other Fees:</w:t>
      </w:r>
    </w:p>
    <w:p>
      <w:pPr>
        <w:spacing w:after="0" w:line="209"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All other fees include fees for products and services other than those described above. During Fiscal 2025 and Fiscal 2024, no such fees were billed by either KPMG or Withum.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 and Recommendation</w:t>
      </w:r>
    </w:p>
    <w:p>
      <w:pPr>
        <w:spacing w:after="0" w:line="209"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Ratification of the appointment of KPMG as the Company’s independent registered public accounting firm for our fiscal year ending March 31, 2026 requires the affirmative vote of a majority of the votes cast, either present or represented by proxy (meaning the number of shares voted “FOR” this proposal must exceed the number of shares voted “AGAINST” this proposal). Abstentions and broker non-votes will have no effect on the ratification of KPMG as the Company’s independent registered public accounting firm for our fiscal year ending March 31, 2026. Unless otherwise instructed on the proxy or unless authority to vote is withheld, shares represented by executed proxies will be voted “FOR” the ratification of KPMG as the Company’s independent registered public accounting firm for our fiscal year ending March 31, 2026.</w:t>
      </w:r>
    </w:p>
    <w:p>
      <w:pPr>
        <w:spacing w:after="0" w:line="210" w:lineRule="exact"/>
        <w:rPr>
          <w:sz w:val="20"/>
          <w:szCs w:val="20"/>
          <w:color w:val="auto"/>
        </w:rPr>
      </w:pPr>
    </w:p>
    <w:p>
      <w:pPr>
        <w:ind w:right="60" w:firstLine="62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Our Board unanimously recommends that stockholders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ratification of the appointment of KPMG as our independent registered public accounting firm for our fiscal year ending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209"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The Audit Committee has reviewed and discussed with management and KPMG, our independent registered public accounting firm for our fiscal year ended March 31, 2025, the audited consolidated financial statements in the Company’s Annual Report on Form 10-K for the year ended March 31, 2025. The Audit Committee also discussed with KPMG those matters required to be discussed by Public Company Accounting Oversight Board (</w:t>
      </w:r>
      <w:r>
        <w:rPr>
          <w:rFonts w:ascii="Times New Roman" w:cs="Times New Roman" w:eastAsia="Times New Roman" w:hAnsi="Times New Roman"/>
          <w:sz w:val="17"/>
          <w:szCs w:val="17"/>
          <w:i w:val="1"/>
          <w:iCs w:val="1"/>
          <w:color w:val="auto"/>
        </w:rPr>
        <w:t>PCAOB</w:t>
      </w:r>
      <w:r>
        <w:rPr>
          <w:rFonts w:ascii="Times New Roman" w:cs="Times New Roman" w:eastAsia="Times New Roman" w:hAnsi="Times New Roman"/>
          <w:sz w:val="17"/>
          <w:szCs w:val="17"/>
          <w:color w:val="auto"/>
        </w:rPr>
        <w:t>) Auditing Standard No. 16.</w:t>
      </w:r>
    </w:p>
    <w:p>
      <w:pPr>
        <w:spacing w:after="0" w:line="398"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KPMG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2"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that the audited financial statements be included in our Annual Report on Form 10-K for the fiscal year ended March 31, 2025.</w:t>
      </w:r>
    </w:p>
    <w:p>
      <w:pPr>
        <w:spacing w:after="0" w:line="2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Respectfully Submitted by:</w:t>
      </w:r>
    </w:p>
    <w:p>
      <w:pPr>
        <w:spacing w:after="0" w:line="2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MEMBERS OF THE AUDIT COMMITTEE</w:t>
      </w:r>
    </w:p>
    <w:p>
      <w:pPr>
        <w:spacing w:after="0" w:line="23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Jon S. Saxe, Audit Committee Chair</w:t>
      </w:r>
    </w:p>
    <w:p>
      <w:pPr>
        <w:spacing w:after="0" w:line="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Jerry B. Gin*</w:t>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Mary L. Rotunno</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June 9, 2025</w:t>
      </w:r>
    </w:p>
    <w:p>
      <w:pPr>
        <w:spacing w:after="0" w:line="157" w:lineRule="exact"/>
        <w:rPr>
          <w:sz w:val="20"/>
          <w:szCs w:val="20"/>
          <w:color w:val="auto"/>
        </w:rPr>
      </w:pPr>
    </w:p>
    <w:p>
      <w:pPr>
        <w:ind w:left="640" w:right="40" w:hanging="366"/>
        <w:spacing w:after="0" w:line="253" w:lineRule="auto"/>
        <w:tabs>
          <w:tab w:leader="none" w:pos="6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Gin notified the Board of his intention to retire from the Board and all Board committee positions held at the end of his current term, which term expires at the Annual Meeting.</w:t>
      </w:r>
    </w:p>
    <w:p>
      <w:pPr>
        <w:spacing w:after="0" w:line="260" w:lineRule="exact"/>
        <w:rPr>
          <w:sz w:val="20"/>
          <w:szCs w:val="20"/>
          <w:color w:val="auto"/>
        </w:rPr>
      </w:pPr>
    </w:p>
    <w:p>
      <w:pPr>
        <w:ind w:firstLine="620"/>
        <w:spacing w:after="0" w:line="227" w:lineRule="auto"/>
        <w:rPr>
          <w:sz w:val="20"/>
          <w:szCs w:val="20"/>
          <w:color w:val="auto"/>
        </w:rPr>
      </w:pPr>
      <w:r>
        <w:rPr>
          <w:rFonts w:ascii="Times New Roman" w:cs="Times New Roman" w:eastAsia="Times New Roman" w:hAnsi="Times New Roman"/>
          <w:sz w:val="17"/>
          <w:szCs w:val="17"/>
          <w:color w:val="auto"/>
        </w:rPr>
        <w:t>The information contained above under the caption “</w:t>
      </w:r>
      <w:r>
        <w:rPr>
          <w:rFonts w:ascii="Times New Roman" w:cs="Times New Roman" w:eastAsia="Times New Roman" w:hAnsi="Times New Roman"/>
          <w:sz w:val="17"/>
          <w:szCs w:val="17"/>
          <w:i w:val="1"/>
          <w:iCs w:val="1"/>
          <w:color w:val="auto"/>
        </w:rPr>
        <w:t>Report of the Audit Committee of the Board of Directors</w:t>
      </w:r>
      <w:r>
        <w:rPr>
          <w:rFonts w:ascii="Times New Roman" w:cs="Times New Roman" w:eastAsia="Times New Roman" w:hAnsi="Times New Roman"/>
          <w:sz w:val="17"/>
          <w:szCs w:val="17"/>
          <w:color w:val="auto"/>
        </w:rPr>
        <w:t>” shall not be deemed to be soliciting material or to be filed with the SEC, nor shall such information be incorporated by reference into any future filing under the Securities Act of 1933, as amended,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the beneficial ownership of our common stock as of July 16, 2025 for:</w:t>
      </w:r>
    </w:p>
    <w:p>
      <w:pPr>
        <w:spacing w:after="0" w:line="158" w:lineRule="exact"/>
        <w:rPr>
          <w:sz w:val="20"/>
          <w:szCs w:val="20"/>
          <w:color w:val="auto"/>
        </w:rPr>
      </w:pPr>
    </w:p>
    <w:p>
      <w:pPr>
        <w:ind w:left="1180" w:hanging="385"/>
        <w:spacing w:after="0"/>
        <w:tabs>
          <w:tab w:leader="none" w:pos="118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each of our NEOs;</w:t>
      </w:r>
    </w:p>
    <w:p>
      <w:pPr>
        <w:spacing w:after="0" w:line="52" w:lineRule="exact"/>
        <w:rPr>
          <w:rFonts w:ascii="Times New Roman" w:cs="Times New Roman" w:eastAsia="Times New Roman" w:hAnsi="Times New Roman"/>
          <w:sz w:val="28"/>
          <w:szCs w:val="28"/>
          <w:color w:val="auto"/>
          <w:vertAlign w:val="superscript"/>
        </w:rPr>
      </w:pPr>
    </w:p>
    <w:p>
      <w:pPr>
        <w:ind w:left="1180" w:hanging="385"/>
        <w:spacing w:after="0" w:line="186" w:lineRule="auto"/>
        <w:tabs>
          <w:tab w:leader="none" w:pos="11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each of our directors;</w:t>
      </w:r>
    </w:p>
    <w:p>
      <w:pPr>
        <w:spacing w:after="0" w:line="53" w:lineRule="exact"/>
        <w:rPr>
          <w:rFonts w:ascii="Times New Roman" w:cs="Times New Roman" w:eastAsia="Times New Roman" w:hAnsi="Times New Roman"/>
          <w:sz w:val="23"/>
          <w:szCs w:val="23"/>
          <w:color w:val="auto"/>
          <w:vertAlign w:val="superscript"/>
        </w:rPr>
      </w:pPr>
    </w:p>
    <w:p>
      <w:pPr>
        <w:ind w:left="1180" w:hanging="385"/>
        <w:spacing w:after="0" w:line="186" w:lineRule="auto"/>
        <w:tabs>
          <w:tab w:leader="none" w:pos="11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 of our directors and NEOs as a group; and</w:t>
      </w:r>
    </w:p>
    <w:p>
      <w:pPr>
        <w:spacing w:after="0" w:line="53" w:lineRule="exact"/>
        <w:rPr>
          <w:rFonts w:ascii="Times New Roman" w:cs="Times New Roman" w:eastAsia="Times New Roman" w:hAnsi="Times New Roman"/>
          <w:sz w:val="23"/>
          <w:szCs w:val="23"/>
          <w:color w:val="auto"/>
          <w:vertAlign w:val="superscript"/>
        </w:rPr>
      </w:pPr>
    </w:p>
    <w:p>
      <w:pPr>
        <w:ind w:left="1180" w:hanging="385"/>
        <w:spacing w:after="0" w:line="186" w:lineRule="auto"/>
        <w:tabs>
          <w:tab w:leader="none" w:pos="11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5%+ stockholders.</w:t>
      </w:r>
    </w:p>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Applicable percentage ownership is based on 29,859,961 shares of common stock outstanding at July 16, 2025.</w:t>
      </w:r>
    </w:p>
    <w:p>
      <w:pPr>
        <w:spacing w:after="0" w:line="153"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17"/>
          <w:szCs w:val="17"/>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July 16,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122"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Unless otherwise noted below, the address of each beneficial owner listed in the table is c/o Vistagen Therapeutics, Inc., 343 Allerton Avenue, South San Francisco, California 94080.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44"/>
        </w:trPr>
        <w:tc>
          <w:tcPr>
            <w:tcW w:w="7580" w:type="dxa"/>
            <w:vAlign w:val="bottom"/>
          </w:tcPr>
          <w:p>
            <w:pPr>
              <w:spacing w:after="0"/>
              <w:rPr>
                <w:sz w:val="24"/>
                <w:szCs w:val="2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Percent of</w:t>
            </w:r>
          </w:p>
        </w:tc>
      </w:tr>
      <w:tr>
        <w:trPr>
          <w:trHeight w:val="207"/>
        </w:trPr>
        <w:tc>
          <w:tcPr>
            <w:tcW w:w="758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shares</w:t>
            </w:r>
          </w:p>
        </w:tc>
      </w:tr>
      <w:tr>
        <w:trPr>
          <w:trHeight w:val="207"/>
        </w:trPr>
        <w:tc>
          <w:tcPr>
            <w:tcW w:w="758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beneficially</w:t>
            </w:r>
          </w:p>
        </w:tc>
      </w:tr>
      <w:tr>
        <w:trPr>
          <w:trHeight w:val="25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owned</w:t>
            </w:r>
            <w:r>
              <w:rPr>
                <w:rFonts w:ascii="Times New Roman" w:cs="Times New Roman" w:eastAsia="Times New Roman" w:hAnsi="Times New Roman"/>
                <w:sz w:val="9"/>
                <w:szCs w:val="9"/>
                <w:b w:val="1"/>
                <w:bCs w:val="1"/>
                <w:color w:val="auto"/>
              </w:rPr>
              <w:t>(1)</w:t>
            </w: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w:t>
            </w: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Shawn K. Singh, J.D. </w:t>
            </w:r>
            <w:r>
              <w:rPr>
                <w:rFonts w:ascii="Times New Roman" w:cs="Times New Roman" w:eastAsia="Times New Roman" w:hAnsi="Times New Roman"/>
                <w:sz w:val="9"/>
                <w:szCs w:val="9"/>
                <w:color w:val="auto"/>
              </w:rPr>
              <w:t>(2)</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332,355</w:t>
            </w:r>
          </w:p>
        </w:tc>
        <w:tc>
          <w:tcPr>
            <w:tcW w:w="2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1.10 %</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Cynthia L. Anderson, CPA </w:t>
            </w:r>
            <w:r>
              <w:rPr>
                <w:rFonts w:ascii="Times New Roman" w:cs="Times New Roman" w:eastAsia="Times New Roman" w:hAnsi="Times New Roman"/>
                <w:sz w:val="9"/>
                <w:szCs w:val="9"/>
                <w:color w:val="auto"/>
              </w:rPr>
              <w:t>(3)</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80,856</w:t>
            </w: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Reid G. Adler, J.D. </w:t>
            </w:r>
            <w:r>
              <w:rPr>
                <w:rFonts w:ascii="Times New Roman" w:cs="Times New Roman" w:eastAsia="Times New Roman" w:hAnsi="Times New Roman"/>
                <w:sz w:val="9"/>
                <w:szCs w:val="9"/>
                <w:color w:val="auto"/>
              </w:rPr>
              <w:t>(4)</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Legal Officer</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109,445</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
        </w:trPr>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77"/>
        </w:trPr>
        <w:tc>
          <w:tcPr>
            <w:tcW w:w="7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Joshua S. Prince, MBA </w:t>
            </w:r>
            <w:r>
              <w:rPr>
                <w:rFonts w:ascii="Times New Roman" w:cs="Times New Roman" w:eastAsia="Times New Roman" w:hAnsi="Times New Roman"/>
                <w:sz w:val="9"/>
                <w:szCs w:val="9"/>
                <w:color w:val="auto"/>
              </w:rPr>
              <w:t>(5)</w:t>
            </w: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5"/>
                <w:szCs w:val="15"/>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86,215</w:t>
            </w: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r>
      <w:tr>
        <w:trPr>
          <w:trHeight w:val="177"/>
        </w:trPr>
        <w:tc>
          <w:tcPr>
            <w:tcW w:w="7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Margaret M. FitzPatrick, M.A. </w:t>
            </w:r>
            <w:r>
              <w:rPr>
                <w:rFonts w:ascii="Times New Roman" w:cs="Times New Roman" w:eastAsia="Times New Roman" w:hAnsi="Times New Roman"/>
                <w:sz w:val="9"/>
                <w:szCs w:val="9"/>
                <w:color w:val="auto"/>
              </w:rPr>
              <w:t>(6)</w:t>
            </w:r>
          </w:p>
        </w:tc>
        <w:tc>
          <w:tcPr>
            <w:tcW w:w="15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32,434</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5"/>
                <w:szCs w:val="15"/>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Board Chair</w:t>
            </w:r>
          </w:p>
        </w:tc>
        <w:tc>
          <w:tcPr>
            <w:tcW w:w="1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177"/>
        </w:trPr>
        <w:tc>
          <w:tcPr>
            <w:tcW w:w="75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Ann M. Cunningham, MBA </w:t>
            </w:r>
            <w:r>
              <w:rPr>
                <w:rFonts w:ascii="Times New Roman" w:cs="Times New Roman" w:eastAsia="Times New Roman" w:hAnsi="Times New Roman"/>
                <w:sz w:val="9"/>
                <w:szCs w:val="9"/>
                <w:color w:val="auto"/>
              </w:rPr>
              <w:t>(7)</w:t>
            </w:r>
          </w:p>
        </w:tc>
        <w:tc>
          <w:tcPr>
            <w:tcW w:w="15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51,603</w:t>
            </w:r>
          </w:p>
        </w:tc>
        <w:tc>
          <w:tcPr>
            <w:tcW w:w="24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5"/>
                <w:szCs w:val="15"/>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
        </w:trPr>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77"/>
        </w:trPr>
        <w:tc>
          <w:tcPr>
            <w:tcW w:w="7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Joanne Curley, Ph.D. </w:t>
            </w:r>
            <w:r>
              <w:rPr>
                <w:rFonts w:ascii="Times New Roman" w:cs="Times New Roman" w:eastAsia="Times New Roman" w:hAnsi="Times New Roman"/>
                <w:sz w:val="9"/>
                <w:szCs w:val="9"/>
                <w:color w:val="auto"/>
              </w:rPr>
              <w:t>(8)</w:t>
            </w:r>
          </w:p>
        </w:tc>
        <w:tc>
          <w:tcPr>
            <w:tcW w:w="15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32,434</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5"/>
                <w:szCs w:val="15"/>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177"/>
        </w:trPr>
        <w:tc>
          <w:tcPr>
            <w:tcW w:w="75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Jerry B. Gin, Ph.D., MBA </w:t>
            </w:r>
            <w:r>
              <w:rPr>
                <w:rFonts w:ascii="Times New Roman" w:cs="Times New Roman" w:eastAsia="Times New Roman" w:hAnsi="Times New Roman"/>
                <w:sz w:val="9"/>
                <w:szCs w:val="9"/>
                <w:color w:val="auto"/>
              </w:rPr>
              <w:t>(9)</w:t>
            </w:r>
          </w:p>
        </w:tc>
        <w:tc>
          <w:tcPr>
            <w:tcW w:w="15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63,605</w:t>
            </w:r>
          </w:p>
        </w:tc>
        <w:tc>
          <w:tcPr>
            <w:tcW w:w="24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5"/>
                <w:szCs w:val="15"/>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
        </w:trPr>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77"/>
        </w:trPr>
        <w:tc>
          <w:tcPr>
            <w:tcW w:w="7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Mary L. Rotunno, J.D. </w:t>
            </w:r>
            <w:r>
              <w:rPr>
                <w:rFonts w:ascii="Times New Roman" w:cs="Times New Roman" w:eastAsia="Times New Roman" w:hAnsi="Times New Roman"/>
                <w:sz w:val="9"/>
                <w:szCs w:val="9"/>
                <w:color w:val="auto"/>
              </w:rPr>
              <w:t>(10)</w:t>
            </w:r>
          </w:p>
        </w:tc>
        <w:tc>
          <w:tcPr>
            <w:tcW w:w="15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32,434</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5"/>
                <w:szCs w:val="15"/>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177"/>
        </w:trPr>
        <w:tc>
          <w:tcPr>
            <w:tcW w:w="75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b w:val="1"/>
                <w:bCs w:val="1"/>
                <w:color w:val="auto"/>
              </w:rPr>
              <w:t xml:space="preserve">Jon S. Saxe, J.D., LL.M. </w:t>
            </w:r>
            <w:r>
              <w:rPr>
                <w:rFonts w:ascii="Times New Roman" w:cs="Times New Roman" w:eastAsia="Times New Roman" w:hAnsi="Times New Roman"/>
                <w:sz w:val="9"/>
                <w:szCs w:val="9"/>
                <w:color w:val="auto"/>
              </w:rPr>
              <w:t>(11)</w:t>
            </w:r>
          </w:p>
        </w:tc>
        <w:tc>
          <w:tcPr>
            <w:tcW w:w="150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51,295</w:t>
            </w:r>
          </w:p>
        </w:tc>
        <w:tc>
          <w:tcPr>
            <w:tcW w:w="24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5"/>
                <w:szCs w:val="15"/>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
        </w:trPr>
        <w:tc>
          <w:tcPr>
            <w:tcW w:w="7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All executive officers and directors as a group (11 persons) </w:t>
            </w:r>
            <w:r>
              <w:rPr>
                <w:rFonts w:ascii="Times New Roman" w:cs="Times New Roman" w:eastAsia="Times New Roman" w:hAnsi="Times New Roman"/>
                <w:sz w:val="9"/>
                <w:szCs w:val="9"/>
                <w:color w:val="auto"/>
              </w:rPr>
              <w:t>(12)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872,676</w:t>
            </w: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2.85 %</w:t>
            </w:r>
          </w:p>
        </w:tc>
      </w:tr>
      <w:tr>
        <w:trPr>
          <w:trHeight w:val="25"/>
        </w:trPr>
        <w:tc>
          <w:tcPr>
            <w:tcW w:w="75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205105</wp:posOffset>
            </wp:positionH>
            <wp:positionV relativeFrom="page">
              <wp:posOffset>580390</wp:posOffset>
            </wp:positionV>
            <wp:extent cx="7122160" cy="163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t>5%+ Stockholders: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Commodore Capital Master Fund LP </w:t>
      </w:r>
      <w:r>
        <w:rPr>
          <w:rFonts w:ascii="Times New Roman" w:cs="Times New Roman" w:eastAsia="Times New Roman" w:hAnsi="Times New Roman"/>
          <w:sz w:val="9"/>
          <w:szCs w:val="9"/>
          <w:color w:val="auto"/>
        </w:rPr>
        <w:t>(13)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444 Madison Ave., Floor 35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7122160" cy="426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2160" cy="4260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TCG Crossover Fund II, L.P. </w:t>
      </w:r>
      <w:r>
        <w:rPr>
          <w:rFonts w:ascii="Times New Roman" w:cs="Times New Roman" w:eastAsia="Times New Roman" w:hAnsi="Times New Roman"/>
          <w:sz w:val="9"/>
          <w:szCs w:val="9"/>
          <w:color w:val="auto"/>
        </w:rPr>
        <w:t>(14)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705 High 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California 94301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Nantahala Capital Management, LLC </w:t>
      </w:r>
      <w:r>
        <w:rPr>
          <w:rFonts w:ascii="Times New Roman" w:cs="Times New Roman" w:eastAsia="Times New Roman" w:hAnsi="Times New Roman"/>
          <w:sz w:val="9"/>
          <w:szCs w:val="9"/>
          <w:color w:val="auto"/>
        </w:rPr>
        <w:t>(15)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 Main St., 2</w:t>
      </w:r>
      <w:r>
        <w:rPr>
          <w:rFonts w:ascii="Times New Roman" w:cs="Times New Roman" w:eastAsia="Times New Roman" w:hAnsi="Times New Roman"/>
          <w:sz w:val="9"/>
          <w:szCs w:val="9"/>
          <w:color w:val="auto"/>
        </w:rPr>
        <w:t>nd</w:t>
      </w:r>
      <w:r>
        <w:rPr>
          <w:rFonts w:ascii="Times New Roman" w:cs="Times New Roman" w:eastAsia="Times New Roman" w:hAnsi="Times New Roman"/>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Canaan, Connecticut 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7122160" cy="426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2160" cy="4260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StemPoint Capital Master Fund LP </w:t>
      </w:r>
      <w:r>
        <w:rPr>
          <w:rFonts w:ascii="Times New Roman" w:cs="Times New Roman" w:eastAsia="Times New Roman" w:hAnsi="Times New Roman"/>
          <w:sz w:val="9"/>
          <w:szCs w:val="9"/>
          <w:color w:val="auto"/>
        </w:rPr>
        <w:t>(16)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Madison, Ave., 19</w:t>
      </w:r>
      <w:r>
        <w:rPr>
          <w:rFonts w:ascii="Times New Roman" w:cs="Times New Roman" w:eastAsia="Times New Roman" w:hAnsi="Times New Roman"/>
          <w:sz w:val="9"/>
          <w:szCs w:val="9"/>
          <w:color w:val="auto"/>
        </w:rPr>
        <w:t>th</w:t>
      </w:r>
      <w:r>
        <w:rPr>
          <w:rFonts w:ascii="Times New Roman" w:cs="Times New Roman" w:eastAsia="Times New Roman" w:hAnsi="Times New Roman"/>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Entities affiliated with BVF, Inc. </w:t>
      </w:r>
      <w:r>
        <w:rPr>
          <w:rFonts w:ascii="Times New Roman" w:cs="Times New Roman" w:eastAsia="Times New Roman" w:hAnsi="Times New Roman"/>
          <w:sz w:val="9"/>
          <w:szCs w:val="9"/>
          <w:color w:val="auto"/>
        </w:rPr>
        <w:t>(17)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Montgomery 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 94104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Vanguard Group </w:t>
      </w:r>
      <w:r>
        <w:rPr>
          <w:rFonts w:ascii="Times New Roman" w:cs="Times New Roman" w:eastAsia="Times New Roman" w:hAnsi="Times New Roman"/>
          <w:sz w:val="9"/>
          <w:szCs w:val="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22160" cy="401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2160" cy="401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Malvern, Pennsylvania 19355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Great Point Partners, LLC </w:t>
      </w:r>
      <w:r>
        <w:rPr>
          <w:rFonts w:ascii="Times New Roman" w:cs="Times New Roman" w:eastAsia="Times New Roman" w:hAnsi="Times New Roman"/>
          <w:sz w:val="9"/>
          <w:szCs w:val="9"/>
          <w:color w:val="auto"/>
        </w:rPr>
        <w:t>(19)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165 Mason St.,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Greenwich, Connecticut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color w:val="auto"/>
        </w:rPr>
        <w:t>7,447,944</w:t>
      </w:r>
      <w:r>
        <w:rPr>
          <w:sz w:val="20"/>
          <w:szCs w:val="20"/>
          <w:color w:val="auto"/>
        </w:rPr>
        <w:tab/>
      </w:r>
      <w:r>
        <w:rPr>
          <w:rFonts w:ascii="Times New Roman" w:cs="Times New Roman" w:eastAsia="Times New Roman" w:hAnsi="Times New Roman"/>
          <w:sz w:val="16"/>
          <w:szCs w:val="16"/>
          <w:color w:val="auto"/>
        </w:rPr>
        <w:t>20.84 %</w:t>
      </w:r>
    </w:p>
    <w:p>
      <w:pPr>
        <w:spacing w:after="0" w:line="200" w:lineRule="exact"/>
        <w:rPr>
          <w:sz w:val="20"/>
          <w:szCs w:val="20"/>
          <w:color w:val="auto"/>
        </w:rPr>
      </w:pPr>
    </w:p>
    <w:p>
      <w:pPr>
        <w:spacing w:after="0" w:line="24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color w:val="auto"/>
        </w:rPr>
        <w:t>5,636,983</w:t>
      </w:r>
      <w:r>
        <w:rPr>
          <w:sz w:val="20"/>
          <w:szCs w:val="20"/>
          <w:color w:val="auto"/>
        </w:rPr>
        <w:tab/>
      </w:r>
      <w:r>
        <w:rPr>
          <w:rFonts w:ascii="Times New Roman" w:cs="Times New Roman" w:eastAsia="Times New Roman" w:hAnsi="Times New Roman"/>
          <w:sz w:val="16"/>
          <w:szCs w:val="16"/>
          <w:color w:val="auto"/>
        </w:rPr>
        <w:t>13.18 %</w:t>
      </w:r>
    </w:p>
    <w:p>
      <w:pPr>
        <w:spacing w:after="0" w:line="200" w:lineRule="exact"/>
        <w:rPr>
          <w:sz w:val="20"/>
          <w:szCs w:val="20"/>
          <w:color w:val="auto"/>
        </w:rPr>
      </w:pPr>
    </w:p>
    <w:p>
      <w:pPr>
        <w:spacing w:after="0" w:line="28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color w:val="auto"/>
        </w:rPr>
        <w:t>3,545,423</w:t>
      </w:r>
      <w:r>
        <w:rPr>
          <w:sz w:val="20"/>
          <w:szCs w:val="20"/>
          <w:color w:val="auto"/>
        </w:rPr>
        <w:tab/>
      </w:r>
      <w:r>
        <w:rPr>
          <w:rFonts w:ascii="Times New Roman" w:cs="Times New Roman" w:eastAsia="Times New Roman" w:hAnsi="Times New Roman"/>
          <w:sz w:val="16"/>
          <w:szCs w:val="16"/>
          <w:color w:val="auto"/>
        </w:rPr>
        <w:t>11.32 %</w:t>
      </w:r>
    </w:p>
    <w:p>
      <w:pPr>
        <w:spacing w:after="0" w:line="200" w:lineRule="exact"/>
        <w:rPr>
          <w:sz w:val="20"/>
          <w:szCs w:val="20"/>
          <w:color w:val="auto"/>
        </w:rPr>
      </w:pPr>
    </w:p>
    <w:p>
      <w:pPr>
        <w:spacing w:after="0" w:line="28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color w:val="auto"/>
        </w:rPr>
        <w:t>3,293,329</w:t>
      </w:r>
      <w:r>
        <w:rPr>
          <w:sz w:val="20"/>
          <w:szCs w:val="20"/>
          <w:color w:val="auto"/>
        </w:rPr>
        <w:tab/>
      </w:r>
      <w:r>
        <w:rPr>
          <w:rFonts w:ascii="Times New Roman" w:cs="Times New Roman" w:eastAsia="Times New Roman" w:hAnsi="Times New Roman"/>
          <w:sz w:val="16"/>
          <w:szCs w:val="16"/>
          <w:color w:val="auto"/>
        </w:rPr>
        <w:t>10.81 %</w:t>
      </w:r>
    </w:p>
    <w:p>
      <w:pPr>
        <w:spacing w:after="0" w:line="200" w:lineRule="exact"/>
        <w:rPr>
          <w:sz w:val="20"/>
          <w:szCs w:val="20"/>
          <w:color w:val="auto"/>
        </w:rPr>
      </w:pPr>
    </w:p>
    <w:p>
      <w:pPr>
        <w:spacing w:after="0" w:line="28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6"/>
          <w:szCs w:val="16"/>
          <w:color w:val="auto"/>
        </w:rPr>
        <w:t>3,037,835</w:t>
      </w:r>
      <w:r>
        <w:rPr>
          <w:sz w:val="20"/>
          <w:szCs w:val="20"/>
          <w:color w:val="auto"/>
        </w:rPr>
        <w:tab/>
      </w:r>
      <w:r>
        <w:rPr>
          <w:rFonts w:ascii="Times New Roman" w:cs="Times New Roman" w:eastAsia="Times New Roman" w:hAnsi="Times New Roman"/>
          <w:sz w:val="16"/>
          <w:szCs w:val="16"/>
          <w:color w:val="auto"/>
        </w:rPr>
        <w:t>9.23 %</w:t>
      </w:r>
    </w:p>
    <w:p>
      <w:pPr>
        <w:spacing w:after="0" w:line="200" w:lineRule="exact"/>
        <w:rPr>
          <w:sz w:val="20"/>
          <w:szCs w:val="20"/>
          <w:color w:val="auto"/>
        </w:rPr>
      </w:pPr>
    </w:p>
    <w:p>
      <w:pPr>
        <w:spacing w:after="0" w:line="28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6"/>
          <w:szCs w:val="16"/>
          <w:color w:val="auto"/>
        </w:rPr>
        <w:t>1,976,172</w:t>
      </w:r>
      <w:r>
        <w:rPr>
          <w:sz w:val="20"/>
          <w:szCs w:val="20"/>
          <w:color w:val="auto"/>
        </w:rPr>
        <w:tab/>
      </w:r>
      <w:r>
        <w:rPr>
          <w:rFonts w:ascii="Times New Roman" w:cs="Times New Roman" w:eastAsia="Times New Roman" w:hAnsi="Times New Roman"/>
          <w:sz w:val="16"/>
          <w:szCs w:val="16"/>
          <w:color w:val="auto"/>
        </w:rPr>
        <w:t>6.62 %</w:t>
      </w:r>
    </w:p>
    <w:p>
      <w:pPr>
        <w:spacing w:after="0" w:line="200" w:lineRule="exact"/>
        <w:rPr>
          <w:sz w:val="20"/>
          <w:szCs w:val="20"/>
          <w:color w:val="auto"/>
        </w:rPr>
      </w:pPr>
    </w:p>
    <w:p>
      <w:pPr>
        <w:spacing w:after="0" w:line="248"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6"/>
          <w:szCs w:val="16"/>
          <w:color w:val="auto"/>
        </w:rPr>
        <w:t>2,055,834</w:t>
      </w:r>
      <w:r>
        <w:rPr>
          <w:sz w:val="20"/>
          <w:szCs w:val="20"/>
          <w:color w:val="auto"/>
        </w:rPr>
        <w:tab/>
      </w:r>
      <w:r>
        <w:rPr>
          <w:rFonts w:ascii="Times New Roman" w:cs="Times New Roman" w:eastAsia="Times New Roman" w:hAnsi="Times New Roman"/>
          <w:sz w:val="16"/>
          <w:szCs w:val="16"/>
          <w:color w:val="auto"/>
        </w:rPr>
        <w:t>6.44 %</w:t>
      </w:r>
    </w:p>
    <w:p>
      <w:pPr>
        <w:spacing w:after="0" w:line="654" w:lineRule="exact"/>
        <w:rPr>
          <w:sz w:val="20"/>
          <w:szCs w:val="20"/>
          <w:color w:val="auto"/>
        </w:rPr>
      </w:pPr>
    </w:p>
    <w:p>
      <w:pPr>
        <w:sectPr>
          <w:pgSz w:w="11900" w:h="16838" w:orient="portrait"/>
          <w:cols w:equalWidth="0" w:num="2">
            <w:col w:w="7640" w:space="720"/>
            <w:col w:w="2620"/>
          </w:cols>
          <w:pgMar w:left="340" w:top="917" w:right="579" w:bottom="1440" w:gutter="0" w:footer="0" w:header="0"/>
        </w:sectPr>
      </w:pPr>
    </w:p>
    <w:p>
      <w:pPr>
        <w:spacing w:after="0" w:line="147" w:lineRule="exact"/>
        <w:rPr>
          <w:sz w:val="20"/>
          <w:szCs w:val="20"/>
          <w:color w:val="auto"/>
        </w:rPr>
      </w:pPr>
    </w:p>
    <w:p>
      <w:pPr>
        <w:ind w:left="380" w:hanging="380"/>
        <w:spacing w:after="0"/>
        <w:tabs>
          <w:tab w:leader="none" w:pos="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less than 1%</w:t>
      </w:r>
    </w:p>
    <w:p>
      <w:pPr>
        <w:spacing w:after="0" w:line="153" w:lineRule="exact"/>
        <w:rPr>
          <w:sz w:val="20"/>
          <w:szCs w:val="20"/>
          <w:color w:val="auto"/>
        </w:rPr>
      </w:pPr>
    </w:p>
    <w:p>
      <w:pPr>
        <w:ind w:left="380" w:right="180" w:hanging="380"/>
        <w:spacing w:after="0" w:line="214"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on 29,859,961 shares of common stock outstanding as of July 16, 2025. Percentages reported herein do not give effect to beneficial ownership blockers contained within outstanding common stock purchase warrants.</w:t>
      </w:r>
    </w:p>
    <w:p>
      <w:pPr>
        <w:spacing w:after="0" w:line="162" w:lineRule="exact"/>
        <w:rPr>
          <w:rFonts w:ascii="Times New Roman" w:cs="Times New Roman" w:eastAsia="Times New Roman" w:hAnsi="Times New Roman"/>
          <w:sz w:val="22"/>
          <w:szCs w:val="22"/>
          <w:color w:val="auto"/>
          <w:vertAlign w:val="superscript"/>
        </w:rPr>
      </w:pPr>
    </w:p>
    <w:p>
      <w:pPr>
        <w:ind w:left="380" w:right="160" w:hanging="380"/>
        <w:spacing w:after="0" w:line="214"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(i) 38,903 shares of common stock, of which 20,875 shares of common stock are held by The 1997 Singh Family Trust, and (ii) stock options to purchase up to 293,452 shares of registered common stock exercisable within 60 days of July 16, 2025.</w:t>
      </w:r>
    </w:p>
    <w:p>
      <w:pPr>
        <w:spacing w:after="0" w:line="304" w:lineRule="exact"/>
        <w:rPr>
          <w:rFonts w:ascii="Times New Roman" w:cs="Times New Roman" w:eastAsia="Times New Roman" w:hAnsi="Times New Roman"/>
          <w:sz w:val="22"/>
          <w:szCs w:val="22"/>
          <w:color w:val="auto"/>
          <w:vertAlign w:val="superscript"/>
        </w:rPr>
      </w:pPr>
    </w:p>
    <w:p>
      <w:pPr>
        <w:ind w:left="380" w:right="380" w:hanging="380"/>
        <w:spacing w:after="0" w:line="200"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(i) 12,801 shares of common stock, and (ii) stock options to purchase up to 68,055 shares of registered common stock exercisable within 60 days of July 16, 2025.</w:t>
      </w:r>
    </w:p>
    <w:p>
      <w:pPr>
        <w:spacing w:after="0" w:line="122" w:lineRule="exact"/>
        <w:rPr>
          <w:rFonts w:ascii="Times New Roman" w:cs="Times New Roman" w:eastAsia="Times New Roman" w:hAnsi="Times New Roman"/>
          <w:sz w:val="22"/>
          <w:szCs w:val="22"/>
          <w:color w:val="auto"/>
          <w:vertAlign w:val="superscript"/>
        </w:rPr>
      </w:pPr>
    </w:p>
    <w:p>
      <w:pPr>
        <w:ind w:left="380" w:right="160" w:hanging="380"/>
        <w:spacing w:after="0" w:line="222"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(i) 24,050 shares of common stock, and (ii) stock options to purchase up to 85,395 shares of registered common stock exercisable within 60 days of July 16, 2025.</w:t>
      </w:r>
    </w:p>
    <w:p>
      <w:pPr>
        <w:spacing w:after="0" w:line="148" w:lineRule="exact"/>
        <w:rPr>
          <w:rFonts w:ascii="Times New Roman" w:cs="Times New Roman" w:eastAsia="Times New Roman" w:hAnsi="Times New Roman"/>
          <w:sz w:val="22"/>
          <w:szCs w:val="22"/>
          <w:color w:val="auto"/>
          <w:vertAlign w:val="superscript"/>
        </w:rPr>
      </w:pPr>
    </w:p>
    <w:p>
      <w:pPr>
        <w:ind w:left="380" w:right="160" w:hanging="380"/>
        <w:spacing w:after="0" w:line="214"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of (i) 10,863 shares of common stock, and (ii) stock options to purchase up to 75,352 shares of registered common stock exercisable within 60 days of July 16, 2025.</w:t>
      </w:r>
    </w:p>
    <w:p>
      <w:pPr>
        <w:spacing w:after="0" w:line="109" w:lineRule="exact"/>
        <w:rPr>
          <w:rFonts w:ascii="Times New Roman" w:cs="Times New Roman" w:eastAsia="Times New Roman" w:hAnsi="Times New Roman"/>
          <w:sz w:val="22"/>
          <w:szCs w:val="22"/>
          <w:color w:val="auto"/>
          <w:vertAlign w:val="superscript"/>
        </w:rPr>
      </w:pPr>
    </w:p>
    <w:p>
      <w:pPr>
        <w:ind w:left="380" w:hanging="380"/>
        <w:spacing w:after="0"/>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stock options to purchase up to 32,434 shares of registered common stock exercisable within 60 days of July 16, 2025.</w:t>
      </w:r>
    </w:p>
    <w:p>
      <w:pPr>
        <w:spacing w:after="0" w:line="82" w:lineRule="exact"/>
        <w:rPr>
          <w:rFonts w:ascii="Times New Roman" w:cs="Times New Roman" w:eastAsia="Times New Roman" w:hAnsi="Times New Roman"/>
          <w:sz w:val="22"/>
          <w:szCs w:val="22"/>
          <w:color w:val="auto"/>
          <w:vertAlign w:val="superscript"/>
        </w:rPr>
      </w:pPr>
    </w:p>
    <w:p>
      <w:pPr>
        <w:ind w:left="380" w:hanging="380"/>
        <w:spacing w:after="0"/>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stock options to purchase up to 51,603 shares of registered common stock exercisable within 60 days of July 16, 2025.</w:t>
      </w:r>
    </w:p>
    <w:p>
      <w:pPr>
        <w:spacing w:after="0" w:line="95" w:lineRule="exact"/>
        <w:rPr>
          <w:rFonts w:ascii="Times New Roman" w:cs="Times New Roman" w:eastAsia="Times New Roman" w:hAnsi="Times New Roman"/>
          <w:sz w:val="22"/>
          <w:szCs w:val="22"/>
          <w:color w:val="auto"/>
          <w:vertAlign w:val="superscript"/>
        </w:rPr>
      </w:pPr>
    </w:p>
    <w:p>
      <w:pPr>
        <w:ind w:left="380" w:hanging="380"/>
        <w:spacing w:after="0"/>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stock options to purchase up to 32,434 shares of registered common stock exercisable within 60 days of July 16, 2025.</w:t>
      </w:r>
    </w:p>
    <w:p>
      <w:pPr>
        <w:spacing w:after="0" w:line="148" w:lineRule="exact"/>
        <w:rPr>
          <w:rFonts w:ascii="Times New Roman" w:cs="Times New Roman" w:eastAsia="Times New Roman" w:hAnsi="Times New Roman"/>
          <w:sz w:val="22"/>
          <w:szCs w:val="22"/>
          <w:color w:val="auto"/>
          <w:vertAlign w:val="superscript"/>
        </w:rPr>
      </w:pPr>
    </w:p>
    <w:p>
      <w:pPr>
        <w:ind w:left="380" w:right="160" w:hanging="380"/>
        <w:spacing w:after="0" w:line="214"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(i) 13,334 shares of common stock, of which 667 shares are held by Dr. Gin’s wife, and (ii) stock options to purchase up to 50,271 shares of registered common stock exercisable within 60 days of July 16, 2025.</w:t>
      </w:r>
    </w:p>
    <w:p>
      <w:pPr>
        <w:spacing w:after="0" w:line="214" w:lineRule="exact"/>
        <w:rPr>
          <w:rFonts w:ascii="Times New Roman" w:cs="Times New Roman" w:eastAsia="Times New Roman" w:hAnsi="Times New Roman"/>
          <w:sz w:val="22"/>
          <w:szCs w:val="22"/>
          <w:color w:val="auto"/>
          <w:vertAlign w:val="superscript"/>
        </w:rPr>
      </w:pPr>
    </w:p>
    <w:p>
      <w:pPr>
        <w:ind w:left="380" w:right="180"/>
        <w:spacing w:after="0" w:line="30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previously noted, on June 23, 2025, Dr. Gin notified the Board of his intention to retire from the Board and all Board committee positions held at the end of his current term, which expires at the Annual Meeting.</w:t>
      </w:r>
    </w:p>
    <w:p>
      <w:pPr>
        <w:spacing w:after="0" w:line="47" w:lineRule="exact"/>
        <w:rPr>
          <w:rFonts w:ascii="Times New Roman" w:cs="Times New Roman" w:eastAsia="Times New Roman" w:hAnsi="Times New Roman"/>
          <w:sz w:val="22"/>
          <w:szCs w:val="22"/>
          <w:color w:val="auto"/>
          <w:vertAlign w:val="superscript"/>
        </w:rPr>
      </w:pPr>
    </w:p>
    <w:p>
      <w:pPr>
        <w:ind w:left="380" w:hanging="380"/>
        <w:spacing w:after="0"/>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stock options to purchase up to 32,434 shares of registered common stock exercisable within 60 days of July 16, 2025.</w:t>
      </w:r>
    </w:p>
    <w:p>
      <w:pPr>
        <w:spacing w:after="0" w:line="148" w:lineRule="exact"/>
        <w:rPr>
          <w:rFonts w:ascii="Times New Roman" w:cs="Times New Roman" w:eastAsia="Times New Roman" w:hAnsi="Times New Roman"/>
          <w:sz w:val="22"/>
          <w:szCs w:val="22"/>
          <w:color w:val="auto"/>
          <w:vertAlign w:val="superscript"/>
        </w:rPr>
      </w:pPr>
    </w:p>
    <w:p>
      <w:pPr>
        <w:ind w:left="380" w:right="160" w:hanging="380"/>
        <w:spacing w:after="0" w:line="214" w:lineRule="auto"/>
        <w:tabs>
          <w:tab w:leader="none" w:pos="3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(i) 1,858 shares of common stock, and (ii) stock options to purchase up to 49,437 shares of registered common stock exercisable within 60 days of July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80"/>
          </w:cols>
          <w:pgMar w:left="340" w:top="917" w:right="579" w:bottom="1440" w:gutter="0" w:footer="0" w:header="0"/>
          <w:type w:val="continuous"/>
        </w:sectPr>
      </w:pPr>
    </w:p>
    <w:bookmarkStart w:id="44" w:name="page45"/>
    <w:bookmarkEnd w:id="44"/>
    <w:p>
      <w:pPr>
        <w:ind w:left="380" w:right="60" w:hanging="380"/>
        <w:spacing w:after="0" w:line="214" w:lineRule="auto"/>
        <w:tabs>
          <w:tab w:leader="none" w:pos="3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 of shares beneficially held consists of an aggregate of (i) 101,809 shares of common stock, and (ii) stock options to purchase up to 770,867 shares of registered common stock exercisable within 60 days of July 16, 2025.</w:t>
      </w:r>
    </w:p>
    <w:p>
      <w:pPr>
        <w:spacing w:after="0" w:line="145" w:lineRule="exact"/>
        <w:rPr>
          <w:rFonts w:ascii="Times New Roman" w:cs="Times New Roman" w:eastAsia="Times New Roman" w:hAnsi="Times New Roman"/>
          <w:sz w:val="22"/>
          <w:szCs w:val="22"/>
          <w:color w:val="auto"/>
          <w:vertAlign w:val="superscript"/>
        </w:rPr>
      </w:pPr>
    </w:p>
    <w:p>
      <w:pPr>
        <w:jc w:val="both"/>
        <w:ind w:left="380" w:right="60" w:hanging="380"/>
        <w:spacing w:after="0" w:line="232" w:lineRule="auto"/>
        <w:tabs>
          <w:tab w:leader="none" w:pos="3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Amendment No. 1 to Schedule 13G filed by Commodore Capital LP (</w:t>
      </w:r>
      <w:r>
        <w:rPr>
          <w:rFonts w:ascii="Times New Roman" w:cs="Times New Roman" w:eastAsia="Times New Roman" w:hAnsi="Times New Roman"/>
          <w:sz w:val="15"/>
          <w:szCs w:val="15"/>
          <w:i w:val="1"/>
          <w:iCs w:val="1"/>
          <w:color w:val="auto"/>
        </w:rPr>
        <w:t>Commodore</w:t>
      </w:r>
      <w:r>
        <w:rPr>
          <w:rFonts w:ascii="Times New Roman" w:cs="Times New Roman" w:eastAsia="Times New Roman" w:hAnsi="Times New Roman"/>
          <w:sz w:val="15"/>
          <w:szCs w:val="15"/>
          <w:color w:val="auto"/>
        </w:rPr>
        <w:t>) on October 6, 2023 and Company records. Number of shares beneficially held consists of (i) 1,575,000 shares of common stock and (ii) up to 5,872,944 shares of common stock issuable upon exercise of certain warrants beneficially held by Commodore.</w:t>
      </w:r>
    </w:p>
    <w:p>
      <w:pPr>
        <w:spacing w:after="0" w:line="157" w:lineRule="exact"/>
        <w:rPr>
          <w:rFonts w:ascii="Times New Roman" w:cs="Times New Roman" w:eastAsia="Times New Roman" w:hAnsi="Times New Roman"/>
          <w:sz w:val="22"/>
          <w:szCs w:val="22"/>
          <w:color w:val="auto"/>
          <w:vertAlign w:val="superscript"/>
        </w:rPr>
      </w:pPr>
    </w:p>
    <w:p>
      <w:pPr>
        <w:ind w:left="380" w:right="60"/>
        <w:spacing w:after="0" w:line="295"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Commodore is the investment manager to Commodore Capital Master LP (</w:t>
      </w:r>
      <w:r>
        <w:rPr>
          <w:rFonts w:ascii="Times New Roman" w:cs="Times New Roman" w:eastAsia="Times New Roman" w:hAnsi="Times New Roman"/>
          <w:sz w:val="15"/>
          <w:szCs w:val="15"/>
          <w:i w:val="1"/>
          <w:iCs w:val="1"/>
          <w:color w:val="auto"/>
        </w:rPr>
        <w:t>Commodore Master</w:t>
      </w:r>
      <w:r>
        <w:rPr>
          <w:rFonts w:ascii="Times New Roman" w:cs="Times New Roman" w:eastAsia="Times New Roman" w:hAnsi="Times New Roman"/>
          <w:sz w:val="15"/>
          <w:szCs w:val="15"/>
          <w:color w:val="auto"/>
        </w:rPr>
        <w:t>) and Messrs. Michael Kramarz and Robert Egen are the managing partners of Commodore. As such, Commodore, Mr. Kramarz and Mr. Egen may be deemed to beneficially own the shares beneficially held by Commodore Master.</w:t>
      </w:r>
    </w:p>
    <w:p>
      <w:pPr>
        <w:spacing w:after="0" w:line="337" w:lineRule="exact"/>
        <w:rPr>
          <w:rFonts w:ascii="Times New Roman" w:cs="Times New Roman" w:eastAsia="Times New Roman" w:hAnsi="Times New Roman"/>
          <w:sz w:val="22"/>
          <w:szCs w:val="22"/>
          <w:color w:val="auto"/>
          <w:vertAlign w:val="superscript"/>
        </w:rPr>
      </w:pPr>
    </w:p>
    <w:p>
      <w:pPr>
        <w:jc w:val="both"/>
        <w:ind w:left="380" w:right="60" w:hanging="380"/>
        <w:spacing w:after="0" w:line="232" w:lineRule="auto"/>
        <w:tabs>
          <w:tab w:leader="none" w:pos="3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Schedule 13G filed by TCG Crossover GP II, LLC (</w:t>
      </w:r>
      <w:r>
        <w:rPr>
          <w:rFonts w:ascii="Times New Roman" w:cs="Times New Roman" w:eastAsia="Times New Roman" w:hAnsi="Times New Roman"/>
          <w:sz w:val="15"/>
          <w:szCs w:val="15"/>
          <w:i w:val="1"/>
          <w:iCs w:val="1"/>
          <w:color w:val="auto"/>
        </w:rPr>
        <w:t>TCG Crossover</w:t>
      </w:r>
      <w:r>
        <w:rPr>
          <w:rFonts w:ascii="Times New Roman" w:cs="Times New Roman" w:eastAsia="Times New Roman" w:hAnsi="Times New Roman"/>
          <w:sz w:val="15"/>
          <w:szCs w:val="15"/>
          <w:color w:val="auto"/>
        </w:rPr>
        <w:t>) on October 16, 2023 and Company records. Number of shares beneficially held consists of (i) 2,007,435 shares of common stock and (ii) up to 2,220,302 shares of common stock issuable upon exercise of certain warrants beneficially held by TCG Crossover.</w:t>
      </w:r>
    </w:p>
    <w:p>
      <w:pPr>
        <w:spacing w:after="0" w:line="161" w:lineRule="exact"/>
        <w:rPr>
          <w:rFonts w:ascii="Times New Roman" w:cs="Times New Roman" w:eastAsia="Times New Roman" w:hAnsi="Times New Roman"/>
          <w:sz w:val="22"/>
          <w:szCs w:val="22"/>
          <w:color w:val="auto"/>
          <w:vertAlign w:val="superscript"/>
        </w:rPr>
      </w:pPr>
    </w:p>
    <w:p>
      <w:pPr>
        <w:ind w:left="380" w:right="40"/>
        <w:spacing w:after="0" w:line="30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TCG Crossover is the General Partner of TCG Crossover Fund II, L.P. and Dr. Chen Yu is the Managing Member of TCG Crossover. As such, TCG Crossover and Dr. Yu may be deemed to beneficially own the shares beneficially held by TCG Crossover.</w:t>
      </w:r>
    </w:p>
    <w:p>
      <w:pPr>
        <w:spacing w:after="0" w:line="329" w:lineRule="exact"/>
        <w:rPr>
          <w:rFonts w:ascii="Times New Roman" w:cs="Times New Roman" w:eastAsia="Times New Roman" w:hAnsi="Times New Roman"/>
          <w:sz w:val="22"/>
          <w:szCs w:val="22"/>
          <w:color w:val="auto"/>
          <w:vertAlign w:val="superscript"/>
        </w:rPr>
      </w:pPr>
    </w:p>
    <w:p>
      <w:pPr>
        <w:jc w:val="both"/>
        <w:ind w:left="380" w:right="40" w:hanging="380"/>
        <w:spacing w:after="0" w:line="226" w:lineRule="auto"/>
        <w:tabs>
          <w:tab w:leader="none" w:pos="3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Amendment No. 1 to Schedule 13G filed by Nantahala Capital Management, LLC (</w:t>
      </w:r>
      <w:r>
        <w:rPr>
          <w:rFonts w:ascii="Times New Roman" w:cs="Times New Roman" w:eastAsia="Times New Roman" w:hAnsi="Times New Roman"/>
          <w:sz w:val="15"/>
          <w:szCs w:val="15"/>
          <w:i w:val="1"/>
          <w:iCs w:val="1"/>
          <w:color w:val="auto"/>
        </w:rPr>
        <w:t>Nantahala</w:t>
      </w:r>
      <w:r>
        <w:rPr>
          <w:rFonts w:ascii="Times New Roman" w:cs="Times New Roman" w:eastAsia="Times New Roman" w:hAnsi="Times New Roman"/>
          <w:sz w:val="15"/>
          <w:szCs w:val="15"/>
          <w:color w:val="auto"/>
        </w:rPr>
        <w:t>) on November 14, 2024 and Company records. Number of shares beneficially held consists of (i) 2,095,492 shares of common stock and (ii) up to 1,449,931 shares of common stock issuable upon exercise of certain warrants beneficially held by Nantahala and Blackwell Partners LLC-Series A, a fund advised by Nantahala.</w:t>
      </w:r>
    </w:p>
    <w:p>
      <w:pPr>
        <w:spacing w:after="0" w:line="163" w:lineRule="exact"/>
        <w:rPr>
          <w:rFonts w:ascii="Times New Roman" w:cs="Times New Roman" w:eastAsia="Times New Roman" w:hAnsi="Times New Roman"/>
          <w:sz w:val="22"/>
          <w:szCs w:val="22"/>
          <w:color w:val="auto"/>
          <w:vertAlign w:val="superscript"/>
        </w:rPr>
      </w:pPr>
    </w:p>
    <w:p>
      <w:pPr>
        <w:ind w:left="380" w:right="40"/>
        <w:spacing w:after="0" w:line="289"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Messrs. Wilmot B. Harkey and Daniel Mack are the managing members of Nantahala and, as such, may be deemed to beneficially own the shares beneficially held by Nantahala.</w:t>
      </w:r>
    </w:p>
    <w:p>
      <w:pPr>
        <w:spacing w:after="0" w:line="109" w:lineRule="exact"/>
        <w:rPr>
          <w:rFonts w:ascii="Times New Roman" w:cs="Times New Roman" w:eastAsia="Times New Roman" w:hAnsi="Times New Roman"/>
          <w:sz w:val="22"/>
          <w:szCs w:val="22"/>
          <w:color w:val="auto"/>
          <w:vertAlign w:val="superscript"/>
        </w:rPr>
      </w:pPr>
    </w:p>
    <w:p>
      <w:pPr>
        <w:jc w:val="both"/>
        <w:ind w:left="440" w:hanging="397"/>
        <w:spacing w:after="0" w:line="232" w:lineRule="auto"/>
        <w:tabs>
          <w:tab w:leader="none" w:pos="440" w:val="left"/>
        </w:tabs>
        <w:numPr>
          <w:ilvl w:val="1"/>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Amendment No. 1 Schedule 13G filed by StemPoint Capital LP (</w:t>
      </w:r>
      <w:r>
        <w:rPr>
          <w:rFonts w:ascii="Times New Roman" w:cs="Times New Roman" w:eastAsia="Times New Roman" w:hAnsi="Times New Roman"/>
          <w:sz w:val="15"/>
          <w:szCs w:val="15"/>
          <w:i w:val="1"/>
          <w:iCs w:val="1"/>
          <w:color w:val="auto"/>
        </w:rPr>
        <w:t>StemPoint</w:t>
      </w:r>
      <w:r>
        <w:rPr>
          <w:rFonts w:ascii="Times New Roman" w:cs="Times New Roman" w:eastAsia="Times New Roman" w:hAnsi="Times New Roman"/>
          <w:sz w:val="15"/>
          <w:szCs w:val="15"/>
          <w:color w:val="auto"/>
        </w:rPr>
        <w:t>) on February 14, 2025 and Company records. Number of shares beneficially held consists of (i) 2,676,580 shares of common stock and (ii) up to 616,749 shares of common stock issuable upon exercise of certain warrants beneficially held by StemPoint.</w:t>
      </w:r>
    </w:p>
    <w:p>
      <w:pPr>
        <w:spacing w:after="0" w:line="171" w:lineRule="exact"/>
        <w:rPr>
          <w:sz w:val="20"/>
          <w:szCs w:val="20"/>
          <w:color w:val="auto"/>
        </w:rPr>
      </w:pPr>
    </w:p>
    <w:p>
      <w:pPr>
        <w:ind w:left="440"/>
        <w:spacing w:after="0" w:line="295" w:lineRule="auto"/>
        <w:rPr>
          <w:sz w:val="20"/>
          <w:szCs w:val="20"/>
          <w:color w:val="auto"/>
        </w:rPr>
      </w:pPr>
      <w:r>
        <w:rPr>
          <w:rFonts w:ascii="Times New Roman" w:cs="Times New Roman" w:eastAsia="Times New Roman" w:hAnsi="Times New Roman"/>
          <w:sz w:val="15"/>
          <w:szCs w:val="15"/>
          <w:color w:val="auto"/>
        </w:rPr>
        <w:t>StemPoint Capital Management GP LLC (</w:t>
      </w:r>
      <w:r>
        <w:rPr>
          <w:rFonts w:ascii="Times New Roman" w:cs="Times New Roman" w:eastAsia="Times New Roman" w:hAnsi="Times New Roman"/>
          <w:sz w:val="15"/>
          <w:szCs w:val="15"/>
          <w:i w:val="1"/>
          <w:iCs w:val="1"/>
          <w:color w:val="auto"/>
        </w:rPr>
        <w:t>StemPoint GP</w:t>
      </w:r>
      <w:r>
        <w:rPr>
          <w:rFonts w:ascii="Times New Roman" w:cs="Times New Roman" w:eastAsia="Times New Roman" w:hAnsi="Times New Roman"/>
          <w:sz w:val="15"/>
          <w:szCs w:val="15"/>
          <w:color w:val="auto"/>
        </w:rPr>
        <w:t>) is the General Partner of StemPoint and Ms. Michelle Ross is the Managing Partner of StemPoint GP. As such, StemPoint GP and Ms. Ross may be deemed to beneficially own the shares beneficially held by StemPoint.</w:t>
      </w:r>
    </w:p>
    <w:p>
      <w:pPr>
        <w:spacing w:after="0" w:line="118" w:lineRule="exact"/>
        <w:rPr>
          <w:sz w:val="20"/>
          <w:szCs w:val="20"/>
          <w:color w:val="auto"/>
        </w:rPr>
      </w:pPr>
    </w:p>
    <w:p>
      <w:pPr>
        <w:ind w:left="380" w:right="40" w:hanging="380"/>
        <w:spacing w:after="0" w:line="216" w:lineRule="auto"/>
        <w:tabs>
          <w:tab w:leader="none" w:pos="38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Amendment No. 1 to Schedule 13G filed by Biotechnology Value Fund L.P. (</w:t>
      </w:r>
      <w:r>
        <w:rPr>
          <w:rFonts w:ascii="Times New Roman" w:cs="Times New Roman" w:eastAsia="Times New Roman" w:hAnsi="Times New Roman"/>
          <w:sz w:val="15"/>
          <w:szCs w:val="15"/>
          <w:i w:val="1"/>
          <w:iCs w:val="1"/>
          <w:color w:val="auto"/>
        </w:rPr>
        <w:t>BVF</w:t>
      </w:r>
      <w:r>
        <w:rPr>
          <w:rFonts w:ascii="Times New Roman" w:cs="Times New Roman" w:eastAsia="Times New Roman" w:hAnsi="Times New Roman"/>
          <w:sz w:val="15"/>
          <w:szCs w:val="15"/>
          <w:color w:val="auto"/>
        </w:rPr>
        <w:t>) on February 14, 2025. Number of shares beneficially held consists of up to 3,084,324 shares of common stock issuable upon exercise of certain warrants beneficially held by BVF, Inc. and its affiliates.</w:t>
      </w:r>
    </w:p>
    <w:p>
      <w:pPr>
        <w:spacing w:after="0" w:line="223" w:lineRule="exact"/>
        <w:rPr>
          <w:rFonts w:ascii="Times New Roman" w:cs="Times New Roman" w:eastAsia="Times New Roman" w:hAnsi="Times New Roman"/>
          <w:sz w:val="22"/>
          <w:szCs w:val="22"/>
          <w:color w:val="auto"/>
          <w:vertAlign w:val="superscript"/>
        </w:rPr>
      </w:pPr>
    </w:p>
    <w:p>
      <w:pPr>
        <w:jc w:val="both"/>
        <w:ind w:left="380" w:right="40"/>
        <w:spacing w:after="0" w:line="262"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Entities affiliated with BVF, Inc. consist of BVF, BVF I GP LLC (</w:t>
      </w:r>
      <w:r>
        <w:rPr>
          <w:rFonts w:ascii="Times New Roman" w:cs="Times New Roman" w:eastAsia="Times New Roman" w:hAnsi="Times New Roman"/>
          <w:sz w:val="15"/>
          <w:szCs w:val="15"/>
          <w:i w:val="1"/>
          <w:iCs w:val="1"/>
          <w:color w:val="auto"/>
        </w:rPr>
        <w:t>BVF GP</w:t>
      </w:r>
      <w:r>
        <w:rPr>
          <w:rFonts w:ascii="Times New Roman" w:cs="Times New Roman" w:eastAsia="Times New Roman" w:hAnsi="Times New Roman"/>
          <w:sz w:val="15"/>
          <w:szCs w:val="15"/>
          <w:color w:val="auto"/>
        </w:rPr>
        <w:t>), Biotechnology Value Fund II, L.P. (</w:t>
      </w:r>
      <w:r>
        <w:rPr>
          <w:rFonts w:ascii="Times New Roman" w:cs="Times New Roman" w:eastAsia="Times New Roman" w:hAnsi="Times New Roman"/>
          <w:sz w:val="15"/>
          <w:szCs w:val="15"/>
          <w:i w:val="1"/>
          <w:iCs w:val="1"/>
          <w:color w:val="auto"/>
        </w:rPr>
        <w:t>BVF2</w:t>
      </w:r>
      <w:r>
        <w:rPr>
          <w:rFonts w:ascii="Times New Roman" w:cs="Times New Roman" w:eastAsia="Times New Roman" w:hAnsi="Times New Roman"/>
          <w:sz w:val="15"/>
          <w:szCs w:val="15"/>
          <w:color w:val="auto"/>
        </w:rPr>
        <w:t>), BVF II GP LLC (</w:t>
      </w:r>
      <w:r>
        <w:rPr>
          <w:rFonts w:ascii="Times New Roman" w:cs="Times New Roman" w:eastAsia="Times New Roman" w:hAnsi="Times New Roman"/>
          <w:sz w:val="15"/>
          <w:szCs w:val="15"/>
          <w:i w:val="1"/>
          <w:iCs w:val="1"/>
          <w:color w:val="auto"/>
        </w:rPr>
        <w:t>BVF2 GP</w:t>
      </w:r>
      <w:r>
        <w:rPr>
          <w:rFonts w:ascii="Times New Roman" w:cs="Times New Roman" w:eastAsia="Times New Roman" w:hAnsi="Times New Roman"/>
          <w:sz w:val="15"/>
          <w:szCs w:val="15"/>
          <w:color w:val="auto"/>
        </w:rPr>
        <w:t>), Biotechnology Value Trading Fund OS LP (</w:t>
      </w:r>
      <w:r>
        <w:rPr>
          <w:rFonts w:ascii="Times New Roman" w:cs="Times New Roman" w:eastAsia="Times New Roman" w:hAnsi="Times New Roman"/>
          <w:sz w:val="15"/>
          <w:szCs w:val="15"/>
          <w:i w:val="1"/>
          <w:iCs w:val="1"/>
          <w:color w:val="auto"/>
        </w:rPr>
        <w:t>Trading Fund OS</w:t>
      </w:r>
      <w:r>
        <w:rPr>
          <w:rFonts w:ascii="Times New Roman" w:cs="Times New Roman" w:eastAsia="Times New Roman" w:hAnsi="Times New Roman"/>
          <w:sz w:val="15"/>
          <w:szCs w:val="15"/>
          <w:color w:val="auto"/>
        </w:rPr>
        <w:t>), BVF Partners OS Ltd. (</w:t>
      </w:r>
      <w:r>
        <w:rPr>
          <w:rFonts w:ascii="Times New Roman" w:cs="Times New Roman" w:eastAsia="Times New Roman" w:hAnsi="Times New Roman"/>
          <w:sz w:val="15"/>
          <w:szCs w:val="15"/>
          <w:i w:val="1"/>
          <w:iCs w:val="1"/>
          <w:color w:val="auto"/>
        </w:rPr>
        <w:t>Partners OS</w:t>
      </w:r>
      <w:r>
        <w:rPr>
          <w:rFonts w:ascii="Times New Roman" w:cs="Times New Roman" w:eastAsia="Times New Roman" w:hAnsi="Times New Roman"/>
          <w:sz w:val="15"/>
          <w:szCs w:val="15"/>
          <w:color w:val="auto"/>
        </w:rPr>
        <w:t>), BVF GP Holdings LLC (</w:t>
      </w:r>
      <w:r>
        <w:rPr>
          <w:rFonts w:ascii="Times New Roman" w:cs="Times New Roman" w:eastAsia="Times New Roman" w:hAnsi="Times New Roman"/>
          <w:sz w:val="15"/>
          <w:szCs w:val="15"/>
          <w:i w:val="1"/>
          <w:iCs w:val="1"/>
          <w:color w:val="auto"/>
        </w:rPr>
        <w:t>BVF GPH</w:t>
      </w:r>
      <w:r>
        <w:rPr>
          <w:rFonts w:ascii="Times New Roman" w:cs="Times New Roman" w:eastAsia="Times New Roman" w:hAnsi="Times New Roman"/>
          <w:sz w:val="15"/>
          <w:szCs w:val="15"/>
          <w:color w:val="auto"/>
        </w:rPr>
        <w:t>) and BVF Partners L.P. (</w:t>
      </w:r>
      <w:r>
        <w:rPr>
          <w:rFonts w:ascii="Times New Roman" w:cs="Times New Roman" w:eastAsia="Times New Roman" w:hAnsi="Times New Roman"/>
          <w:sz w:val="15"/>
          <w:szCs w:val="15"/>
          <w:i w:val="1"/>
          <w:iCs w:val="1"/>
          <w:color w:val="auto"/>
        </w:rPr>
        <w:t>Partners</w:t>
      </w:r>
      <w:r>
        <w:rPr>
          <w:rFonts w:ascii="Times New Roman" w:cs="Times New Roman" w:eastAsia="Times New Roman" w:hAnsi="Times New Roman"/>
          <w:sz w:val="15"/>
          <w:szCs w:val="15"/>
          <w:color w:val="auto"/>
        </w:rPr>
        <w:t>). BVF GP is the general partner of BVF and may be deemed to beneficially own the shares held by BVF. BVF2 GP is the general partner of BVF2 and may be deemed to beneficially own the shares held by BVF2. Partners OS is the general partner of Trading Fund OS and may be deemed to beneficially own the shares held by Trading Fund OS. BVF GPH is the sole member of each of BVF GP and BVF2 GP, and may be deemed to beneficially own in the aggregate the shares held by BVF and BVF2. Partners is the investment manager of BVF, BVF2 and Trading Fund OS, and is the sole member of Partners OS and may be deemed to beneficially own in the aggregate shares held by BVF, BVF2 and Trading Fund OS. BVF, Inc. is the general partner of Partners and may be deemed to beneficially own the shares held by Partners. Mr. Mark N. Lampert is a director and officer of BVF, Inc and may be deemed to beneficially own the shares held by BVF,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(18)</w:t>
      </w:r>
    </w:p>
    <w:p>
      <w:pPr>
        <w:ind w:left="380"/>
        <w:spacing w:after="0"/>
        <w:rPr>
          <w:sz w:val="20"/>
          <w:szCs w:val="20"/>
          <w:color w:val="auto"/>
        </w:rPr>
      </w:pPr>
      <w:r>
        <w:rPr>
          <w:rFonts w:ascii="Times New Roman" w:cs="Times New Roman" w:eastAsia="Times New Roman" w:hAnsi="Times New Roman"/>
          <w:sz w:val="15"/>
          <w:szCs w:val="15"/>
          <w:color w:val="auto"/>
        </w:rPr>
        <w:t>Reported holdings based upon Schedule 13G filed by The Vanguard Group (</w:t>
      </w:r>
      <w:r>
        <w:rPr>
          <w:rFonts w:ascii="Times New Roman" w:cs="Times New Roman" w:eastAsia="Times New Roman" w:hAnsi="Times New Roman"/>
          <w:sz w:val="15"/>
          <w:szCs w:val="15"/>
          <w:i w:val="1"/>
          <w:iCs w:val="1"/>
          <w:color w:val="auto"/>
        </w:rPr>
        <w:t>Vanguard</w:t>
      </w:r>
      <w:r>
        <w:rPr>
          <w:rFonts w:ascii="Times New Roman" w:cs="Times New Roman" w:eastAsia="Times New Roman" w:hAnsi="Times New Roman"/>
          <w:sz w:val="15"/>
          <w:szCs w:val="15"/>
          <w:color w:val="auto"/>
        </w:rPr>
        <w:t>) on February 13, 2024 and Company records.</w:t>
      </w:r>
    </w:p>
    <w:p>
      <w:pPr>
        <w:spacing w:after="0" w:line="143" w:lineRule="exact"/>
        <w:rPr>
          <w:sz w:val="20"/>
          <w:szCs w:val="20"/>
          <w:color w:val="auto"/>
        </w:rPr>
      </w:pPr>
    </w:p>
    <w:p>
      <w:pPr>
        <w:ind w:left="380" w:right="40" w:hanging="380"/>
        <w:spacing w:after="0" w:line="224" w:lineRule="auto"/>
        <w:tabs>
          <w:tab w:leader="none" w:pos="3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Reported holdings based upon Amendment No. 4 to Schedule 13G filed by Great Point Partners, LLC (</w:t>
      </w:r>
      <w:r>
        <w:rPr>
          <w:rFonts w:ascii="Times New Roman" w:cs="Times New Roman" w:eastAsia="Times New Roman" w:hAnsi="Times New Roman"/>
          <w:sz w:val="15"/>
          <w:szCs w:val="15"/>
          <w:i w:val="1"/>
          <w:iCs w:val="1"/>
          <w:color w:val="auto"/>
        </w:rPr>
        <w:t>Great Point</w:t>
      </w:r>
      <w:r>
        <w:rPr>
          <w:rFonts w:ascii="Times New Roman" w:cs="Times New Roman" w:eastAsia="Times New Roman" w:hAnsi="Times New Roman"/>
          <w:sz w:val="15"/>
          <w:szCs w:val="15"/>
          <w:color w:val="auto"/>
        </w:rPr>
        <w:t>) on May 15, 2025. Number of shares beneficially held consists of up to 2,055,834 shares of common stock issuable upon exercise of certain warrants beneficially held by Great Point.</w:t>
      </w:r>
    </w:p>
    <w:p>
      <w:pPr>
        <w:spacing w:after="0" w:line="161" w:lineRule="exact"/>
        <w:rPr>
          <w:rFonts w:ascii="Times New Roman" w:cs="Times New Roman" w:eastAsia="Times New Roman" w:hAnsi="Times New Roman"/>
          <w:sz w:val="22"/>
          <w:szCs w:val="22"/>
          <w:color w:val="auto"/>
          <w:vertAlign w:val="superscript"/>
        </w:rPr>
      </w:pPr>
    </w:p>
    <w:p>
      <w:pPr>
        <w:ind w:left="380" w:right="60"/>
        <w:spacing w:after="0" w:line="30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Jeffrey R. Jay, M.D. is the Senior Managing Director of Great Point and Ms. Lillian Nordahl is the Managing Director of Great Point. As such, Dr. Jay and Ms. Nordhahl may be deemed to beneficially own the shares beneficially held by Great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217805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60"/>
          </w:cols>
          <w:pgMar w:left="340" w:top="928"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Grants</w:t>
      </w:r>
    </w:p>
    <w:p>
      <w:pPr>
        <w:spacing w:after="0" w:line="211"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 xml:space="preserve">As of July 16, 2025, options to purchase a total of 4,746,914 registered shares of our common stock were outstanding at a weighted average exercise price of $7.61 per share, of which options to purchase 1,600,111 shares of our common stock were vested and exercisable at a weighted average exercise price of $16.99 per share and options to purchase 3,146,803 shares were unvested and not exercisable at a weighted average exercise price of $2.84 per share. These options were issued under our 2019 Plan and under our Amended and Restated 2016 Stock Incentive Plan, formerly titled the 2008 Stock Incentive Plan (the </w:t>
      </w:r>
      <w:r>
        <w:rPr>
          <w:rFonts w:ascii="Times New Roman" w:cs="Times New Roman" w:eastAsia="Times New Roman" w:hAnsi="Times New Roman"/>
          <w:sz w:val="17"/>
          <w:szCs w:val="17"/>
          <w:i w:val="1"/>
          <w:iCs w:val="1"/>
          <w:color w:val="auto"/>
        </w:rPr>
        <w:t>2016 Plan</w:t>
      </w:r>
      <w:r>
        <w:rPr>
          <w:rFonts w:ascii="Times New Roman" w:cs="Times New Roman" w:eastAsia="Times New Roman" w:hAnsi="Times New Roman"/>
          <w:sz w:val="17"/>
          <w:szCs w:val="17"/>
          <w:color w:val="auto"/>
        </w:rPr>
        <w:t>), as described below.</w:t>
      </w:r>
    </w:p>
    <w:p>
      <w:pPr>
        <w:spacing w:after="0" w:line="202"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The following table summarizes awards outstanding under the 2016 Plan and the 2019 Plan, as well as shares available for issuance under the 2019 Plan and our 2019 ESPP as of March 31, 2025. The following information does not reflect issuances or exercises under the 2016 Plan, 2019 Plan or the 2019 ESPP subsequent to March 31, 2025, and does not reflect the stockholder approved increase in shares available for grant under the 2019 Plan and 2019 ESPP as discussed above.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future</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issuance under</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168"/>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securities to be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ind w:right="375"/>
              <w:spacing w:after="0" w:line="181" w:lineRule="exact"/>
              <w:rPr>
                <w:sz w:val="20"/>
                <w:szCs w:val="20"/>
                <w:color w:val="auto"/>
              </w:rPr>
            </w:pPr>
            <w:r>
              <w:rPr>
                <w:rFonts w:ascii="Times New Roman" w:cs="Times New Roman" w:eastAsia="Times New Roman" w:hAnsi="Times New Roman"/>
                <w:sz w:val="17"/>
                <w:szCs w:val="17"/>
                <w:b w:val="1"/>
                <w:bCs w:val="1"/>
                <w:color w:val="auto"/>
              </w:rPr>
              <w:t>issued upon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7"/>
                <w:szCs w:val="17"/>
                <w:b w:val="1"/>
                <w:bCs w:val="1"/>
                <w:color w:val="auto"/>
              </w:rPr>
              <w:t>exercise price</w:t>
            </w: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plans</w:t>
            </w: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exercise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7"/>
                <w:szCs w:val="17"/>
                <w:b w:val="1"/>
                <w:bCs w:val="1"/>
                <w:color w:val="auto"/>
                <w:w w:val="99"/>
              </w:rPr>
              <w:t>of outstanding</w:t>
            </w: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(excluding</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reflected in</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vMerge w:val="restart"/>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warrants and</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column (a)</w:t>
            </w:r>
          </w:p>
        </w:tc>
        <w:tc>
          <w:tcPr>
            <w:tcW w:w="0" w:type="dxa"/>
            <w:vAlign w:val="bottom"/>
          </w:tcPr>
          <w:p>
            <w:pPr>
              <w:spacing w:after="0"/>
              <w:rPr>
                <w:sz w:val="1"/>
                <w:szCs w:val="1"/>
                <w:color w:val="auto"/>
              </w:rPr>
            </w:pPr>
          </w:p>
        </w:tc>
      </w:tr>
      <w:tr>
        <w:trPr>
          <w:trHeight w:val="168"/>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8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8"/>
              </w:rPr>
              <w:t>rights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600" w:type="dxa"/>
            <w:vAlign w:val="bottom"/>
            <w:gridSpan w:val="2"/>
            <w:vMerge w:val="continue"/>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(b)</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w:t>
            </w:r>
          </w:p>
        </w:tc>
        <w:tc>
          <w:tcPr>
            <w:tcW w:w="0" w:type="dxa"/>
            <w:vAlign w:val="bottom"/>
          </w:tcPr>
          <w:p>
            <w:pPr>
              <w:spacing w:after="0"/>
              <w:rPr>
                <w:sz w:val="1"/>
                <w:szCs w:val="1"/>
                <w:color w:val="auto"/>
              </w:rPr>
            </w:pPr>
          </w:p>
        </w:tc>
      </w:tr>
      <w:tr>
        <w:trPr>
          <w:trHeight w:val="212"/>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2019 Plan and 2016 Plan</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3,239,642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2,042,153</w:t>
            </w:r>
          </w:p>
        </w:tc>
        <w:tc>
          <w:tcPr>
            <w:tcW w:w="0" w:type="dxa"/>
            <w:vAlign w:val="bottom"/>
          </w:tcPr>
          <w:p>
            <w:pPr>
              <w:spacing w:after="0"/>
              <w:rPr>
                <w:sz w:val="1"/>
                <w:szCs w:val="1"/>
                <w:color w:val="auto"/>
              </w:rPr>
            </w:pPr>
          </w:p>
        </w:tc>
      </w:tr>
      <w:tr>
        <w:trPr>
          <w:trHeight w:val="21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 ESPP</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911,342</w:t>
            </w:r>
          </w:p>
        </w:tc>
        <w:tc>
          <w:tcPr>
            <w:tcW w:w="0" w:type="dxa"/>
            <w:vAlign w:val="bottom"/>
          </w:tcPr>
          <w:p>
            <w:pPr>
              <w:spacing w:after="0"/>
              <w:rPr>
                <w:sz w:val="1"/>
                <w:szCs w:val="1"/>
                <w:color w:val="auto"/>
              </w:rPr>
            </w:pPr>
          </w:p>
        </w:tc>
      </w:tr>
      <w:tr>
        <w:trPr>
          <w:trHeight w:val="219"/>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2,953,495</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2016 Plan</w:t>
      </w:r>
    </w:p>
    <w:p>
      <w:pPr>
        <w:spacing w:after="0" w:line="211"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17"/>
          <w:szCs w:val="17"/>
          <w:color w:val="auto"/>
        </w:rPr>
        <w:t>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dividend equivalent rights, collectively referred to as “Awards”. Stock options granted under the 2016 Plan were either incentive stock options under the provisions of Section 422 of the Code, or non-qualified stock options. We could grant incentive stock options only to employees of the Company or any parent or subsidiary of the Company. Awards other than incentive stock options could be granted to employees, directors and consultants. A total of 333,334 shares of our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common stock were authorized for issuance under the 2016 Plan, of which options to purchase approximately 215,828 shares remained outstanding at March 31, 2023. Upon the adoption of our 2019 Plan, no further grants were permissible under the 2016 Plan and approximately 46,667 authorized shares were transferred to the 2019 Plan and became issuable thereunder. All options granted from the 2016 Plan remain operative under the terms of the respective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2019 Plan</w:t>
      </w:r>
    </w:p>
    <w:p>
      <w:pPr>
        <w:spacing w:after="0" w:line="211" w:lineRule="exact"/>
        <w:rPr>
          <w:sz w:val="20"/>
          <w:szCs w:val="20"/>
          <w:color w:val="auto"/>
        </w:rPr>
      </w:pPr>
    </w:p>
    <w:p>
      <w:pPr>
        <w:ind w:firstLine="620"/>
        <w:spacing w:after="0"/>
        <w:rPr>
          <w:sz w:val="20"/>
          <w:szCs w:val="20"/>
          <w:color w:val="auto"/>
        </w:rPr>
      </w:pPr>
      <w:r>
        <w:rPr>
          <w:rFonts w:ascii="Times New Roman" w:cs="Times New Roman" w:eastAsia="Times New Roman" w:hAnsi="Times New Roman"/>
          <w:sz w:val="17"/>
          <w:szCs w:val="17"/>
          <w:color w:val="auto"/>
        </w:rPr>
        <w:t>Below is a summary of the terms and conditions of the 2019 Plan. Unless otherwise indicated, all capitalized terms shall have the same meaning as defined in the 2019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and</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Eligible</w:t>
            </w: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2019 Plan is designed to secure and retain the services of our employees, non-employee directors and consultants, to</w:t>
            </w:r>
          </w:p>
        </w:tc>
      </w:tr>
      <w:tr>
        <w:trPr>
          <w:trHeight w:val="168"/>
        </w:trPr>
        <w:tc>
          <w:tcPr>
            <w:tcW w:w="9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Participants</w:t>
            </w: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2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provide incentives for such persons to exert maximum efforts for the success of the Company and our affiliates, and to</w:t>
            </w:r>
          </w:p>
        </w:tc>
      </w:tr>
      <w:tr>
        <w:trPr>
          <w:trHeight w:val="177"/>
        </w:trPr>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2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7"/>
                <w:szCs w:val="17"/>
                <w:color w:val="auto"/>
              </w:rPr>
              <w:t>provide a means by which such persons may be given an opportunity to benefit from increases in the value of our common</w:t>
            </w:r>
          </w:p>
        </w:tc>
      </w:tr>
      <w:tr>
        <w:trPr>
          <w:trHeight w:val="223"/>
        </w:trPr>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The 2019 Plan is also designed to align employees’ interests with stockholder interests.</w:t>
            </w:r>
          </w:p>
        </w:tc>
      </w:tr>
      <w:tr>
        <w:trPr>
          <w:trHeight w:val="293"/>
        </w:trPr>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2019 Plan provides for the grant of stock options, stock appreciation rights (</w:t>
            </w:r>
            <w:r>
              <w:rPr>
                <w:rFonts w:ascii="Times New Roman" w:cs="Times New Roman" w:eastAsia="Times New Roman" w:hAnsi="Times New Roman"/>
                <w:sz w:val="17"/>
                <w:szCs w:val="17"/>
                <w:i w:val="1"/>
                <w:iCs w:val="1"/>
                <w:color w:val="auto"/>
              </w:rPr>
              <w:t>SARs</w:t>
            </w:r>
            <w:r>
              <w:rPr>
                <w:rFonts w:ascii="Times New Roman" w:cs="Times New Roman" w:eastAsia="Times New Roman" w:hAnsi="Times New Roman"/>
                <w:sz w:val="17"/>
                <w:szCs w:val="17"/>
                <w:color w:val="auto"/>
              </w:rPr>
              <w:t>), restricted stock, restricted stock units,</w:t>
            </w:r>
          </w:p>
        </w:tc>
      </w:tr>
      <w:tr>
        <w:trPr>
          <w:trHeight w:val="171"/>
        </w:trPr>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2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and other stock-based awards, and performance awards, collectively referred to as “Awards”. Awards may be granted under</w:t>
            </w:r>
          </w:p>
        </w:tc>
      </w:tr>
      <w:tr>
        <w:trPr>
          <w:trHeight w:val="168"/>
        </w:trPr>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2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the 2019 Plan to officers, employees and consultants of the Company and our subsidiaries and to our non-employee directors.</w:t>
            </w:r>
          </w:p>
        </w:tc>
      </w:tr>
      <w:tr>
        <w:trPr>
          <w:trHeight w:val="223"/>
        </w:trPr>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Incentive stock options may be granted only to employees of the Company or one of our subsidiaries.</w:t>
            </w:r>
          </w:p>
        </w:tc>
      </w:tr>
      <w:tr>
        <w:trPr>
          <w:trHeight w:val="241"/>
        </w:trPr>
        <w:tc>
          <w:tcPr>
            <w:tcW w:w="1620" w:type="dxa"/>
            <w:vAlign w:val="bottom"/>
            <w:gridSpan w:val="2"/>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820" w:type="dxa"/>
            <w:vAlign w:val="bottom"/>
            <w:shd w:val="clear" w:color="auto" w:fill="CCEEFF"/>
          </w:tcPr>
          <w:p>
            <w:pPr>
              <w:spacing w:after="0"/>
              <w:rPr>
                <w:sz w:val="20"/>
                <w:szCs w:val="20"/>
                <w:color w:val="auto"/>
              </w:rPr>
            </w:pPr>
          </w:p>
        </w:tc>
      </w:tr>
      <w:tr>
        <w:trPr>
          <w:trHeight w:val="168"/>
        </w:trPr>
        <w:tc>
          <w:tcPr>
            <w:tcW w:w="16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Plan Administration</w:t>
            </w:r>
          </w:p>
        </w:tc>
        <w:tc>
          <w:tcPr>
            <w:tcW w:w="800" w:type="dxa"/>
            <w:vAlign w:val="bottom"/>
          </w:tcPr>
          <w:p>
            <w:pPr>
              <w:spacing w:after="0"/>
              <w:rPr>
                <w:sz w:val="14"/>
                <w:szCs w:val="14"/>
                <w:color w:val="auto"/>
              </w:rPr>
            </w:pPr>
          </w:p>
        </w:tc>
        <w:tc>
          <w:tcPr>
            <w:tcW w:w="882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The 2019 Plan is administered by the Compensation Committee of the Board. The Compensation Committee, in its</w:t>
            </w:r>
          </w:p>
        </w:tc>
      </w:tr>
      <w:tr>
        <w:trPr>
          <w:trHeight w:val="168"/>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2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discretion, selects the individuals to whom awards may be granted, the time or times at which such awards are granted, and</w:t>
            </w:r>
          </w:p>
        </w:tc>
      </w:tr>
      <w:tr>
        <w:trPr>
          <w:trHeight w:val="223"/>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terms of such awards. The Compensation Committee may delegate its authority to the extent permitted by applicable law.</w:t>
            </w:r>
          </w:p>
        </w:tc>
      </w:tr>
    </w:tbl>
    <w:p>
      <w:pPr>
        <w:spacing w:after="0" w:line="122" w:lineRule="exact"/>
        <w:rPr>
          <w:sz w:val="20"/>
          <w:szCs w:val="20"/>
          <w:color w:val="auto"/>
        </w:rPr>
      </w:pPr>
    </w:p>
    <w:p>
      <w:pPr>
        <w:jc w:val="both"/>
        <w:ind w:left="2560" w:right="20"/>
        <w:spacing w:after="0" w:line="224" w:lineRule="auto"/>
        <w:rPr>
          <w:sz w:val="20"/>
          <w:szCs w:val="20"/>
          <w:color w:val="auto"/>
        </w:rPr>
      </w:pPr>
      <w:r>
        <w:rPr>
          <w:rFonts w:ascii="Times New Roman" w:cs="Times New Roman" w:eastAsia="Times New Roman" w:hAnsi="Times New Roman"/>
          <w:sz w:val="17"/>
          <w:szCs w:val="17"/>
          <w:color w:val="auto"/>
        </w:rPr>
        <w:t>The Compensation Committee sets stock option exercise prices and terms, except that stock options must be granted with an exercise price not less than 100% of the fair market value of the common stock on the date of grant. The Compensation</w:t>
      </w:r>
    </w:p>
    <w:p>
      <w:pPr>
        <w:spacing w:after="0" w:line="2" w:lineRule="exact"/>
        <w:rPr>
          <w:sz w:val="20"/>
          <w:szCs w:val="20"/>
          <w:color w:val="auto"/>
        </w:rPr>
      </w:pPr>
    </w:p>
    <w:p>
      <w:pPr>
        <w:jc w:val="both"/>
        <w:ind w:left="2560" w:right="20"/>
        <w:spacing w:after="0" w:line="221" w:lineRule="auto"/>
        <w:rPr>
          <w:sz w:val="20"/>
          <w:szCs w:val="20"/>
          <w:color w:val="auto"/>
        </w:rPr>
      </w:pPr>
      <w:r>
        <w:rPr>
          <w:rFonts w:ascii="Times New Roman" w:cs="Times New Roman" w:eastAsia="Times New Roman" w:hAnsi="Times New Roman"/>
          <w:sz w:val="17"/>
          <w:szCs w:val="17"/>
          <w:color w:val="auto"/>
        </w:rPr>
        <w:t>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26" w:lineRule="exact"/>
        <w:rPr>
          <w:sz w:val="20"/>
          <w:szCs w:val="20"/>
          <w:color w:val="auto"/>
        </w:rPr>
      </w:pPr>
    </w:p>
    <w:p>
      <w:pPr>
        <w:jc w:val="both"/>
        <w:ind w:left="2560" w:right="20"/>
        <w:spacing w:after="0" w:line="224" w:lineRule="auto"/>
        <w:rPr>
          <w:sz w:val="20"/>
          <w:szCs w:val="20"/>
          <w:color w:val="auto"/>
        </w:rPr>
      </w:pPr>
      <w:r>
        <w:rPr>
          <w:rFonts w:ascii="Times New Roman" w:cs="Times New Roman" w:eastAsia="Times New Roman" w:hAnsi="Times New Roman"/>
          <w:sz w:val="17"/>
          <w:szCs w:val="17"/>
          <w:color w:val="auto"/>
        </w:rPr>
        <w:t>The Compensation Committee may grant SARs as a right in tandem with the number of shares underlying stock options granted under the 2019 Plan or as a freestanding award. Upon exercise, SARs entitle the holder to receive payment per share</w:t>
      </w:r>
    </w:p>
    <w:p>
      <w:pPr>
        <w:spacing w:after="0" w:line="2" w:lineRule="exact"/>
        <w:rPr>
          <w:sz w:val="20"/>
          <w:szCs w:val="20"/>
          <w:color w:val="auto"/>
        </w:rPr>
      </w:pPr>
    </w:p>
    <w:p>
      <w:pPr>
        <w:jc w:val="both"/>
        <w:ind w:left="2560" w:right="20"/>
        <w:spacing w:after="0" w:line="229" w:lineRule="auto"/>
        <w:rPr>
          <w:sz w:val="20"/>
          <w:szCs w:val="20"/>
          <w:color w:val="auto"/>
        </w:rPr>
      </w:pPr>
      <w:r>
        <w:rPr>
          <w:rFonts w:ascii="Times New Roman" w:cs="Times New Roman" w:eastAsia="Times New Roman" w:hAnsi="Times New Roman"/>
          <w:sz w:val="17"/>
          <w:szCs w:val="17"/>
          <w:color w:val="auto"/>
        </w:rPr>
        <w:t>in stock or cash, or in a combination of stock and cash, equal to the excess of the share’s fair market value on the date of exercise over the grant price of the SAR.</w:t>
      </w:r>
    </w:p>
    <w:p>
      <w:pPr>
        <w:spacing w:after="0" w:line="125" w:lineRule="exact"/>
        <w:rPr>
          <w:sz w:val="20"/>
          <w:szCs w:val="20"/>
          <w:color w:val="auto"/>
        </w:rPr>
      </w:pPr>
    </w:p>
    <w:p>
      <w:pPr>
        <w:jc w:val="both"/>
        <w:ind w:left="2560" w:right="20"/>
        <w:spacing w:after="0" w:line="215" w:lineRule="auto"/>
        <w:rPr>
          <w:sz w:val="20"/>
          <w:szCs w:val="20"/>
          <w:color w:val="auto"/>
        </w:rPr>
      </w:pPr>
      <w:r>
        <w:rPr>
          <w:rFonts w:ascii="Times New Roman" w:cs="Times New Roman" w:eastAsia="Times New Roman" w:hAnsi="Times New Roman"/>
          <w:sz w:val="17"/>
          <w:szCs w:val="17"/>
          <w:color w:val="auto"/>
        </w:rPr>
        <w:t>The Compensation Committee may also grant awards of restricted stock, which are shares of common stock subject to specified restrictions, and restricted stock units, which represent the right to receive shares of common stock in the future. These awards may be made subject to repurchase, forfeiture or vesting restrictions at the Compensation Committee’s discretion. The restrictions may be based on continuous service with the Company or the attainment of specified performance</w:t>
      </w:r>
    </w:p>
    <w:p>
      <w:pPr>
        <w:spacing w:after="0" w:line="2" w:lineRule="exact"/>
        <w:rPr>
          <w:sz w:val="20"/>
          <w:szCs w:val="20"/>
          <w:color w:val="auto"/>
        </w:rPr>
      </w:pPr>
    </w:p>
    <w:p>
      <w:pPr>
        <w:jc w:val="both"/>
        <w:ind w:left="2560" w:right="20"/>
        <w:spacing w:after="0" w:line="229" w:lineRule="auto"/>
        <w:rPr>
          <w:sz w:val="20"/>
          <w:szCs w:val="20"/>
          <w:color w:val="auto"/>
        </w:rPr>
      </w:pPr>
      <w:r>
        <w:rPr>
          <w:rFonts w:ascii="Times New Roman" w:cs="Times New Roman" w:eastAsia="Times New Roman" w:hAnsi="Times New Roman"/>
          <w:sz w:val="17"/>
          <w:szCs w:val="17"/>
          <w:color w:val="auto"/>
        </w:rPr>
        <w:t>goals, as determined by the Compensation Committee. Stock units may be paid in stock or cash or a combination of stock and cash, as determined by the Compensation Committee.</w:t>
      </w:r>
    </w:p>
    <w:p>
      <w:pPr>
        <w:spacing w:after="0" w:line="125" w:lineRule="exact"/>
        <w:rPr>
          <w:sz w:val="20"/>
          <w:szCs w:val="20"/>
          <w:color w:val="auto"/>
        </w:rPr>
      </w:pPr>
    </w:p>
    <w:p>
      <w:pPr>
        <w:jc w:val="both"/>
        <w:ind w:left="2560" w:right="20"/>
        <w:spacing w:after="0" w:line="218" w:lineRule="auto"/>
        <w:rPr>
          <w:sz w:val="20"/>
          <w:szCs w:val="20"/>
          <w:color w:val="auto"/>
        </w:rPr>
      </w:pPr>
      <w:r>
        <w:rPr>
          <w:rFonts w:ascii="Times New Roman" w:cs="Times New Roman" w:eastAsia="Times New Roman" w:hAnsi="Times New Roman"/>
          <w:sz w:val="17"/>
          <w:szCs w:val="17"/>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At March 31, 2025, the Compensation Committee has not granted any performance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Authorized Shares</w:t>
            </w:r>
          </w:p>
        </w:tc>
        <w:tc>
          <w:tcPr>
            <w:tcW w:w="9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As of the date of this Proxy Statement, a total of 5.0 million shares of common stock is authorized for issuance under the</w:t>
            </w:r>
          </w:p>
        </w:tc>
      </w:tr>
      <w:tr>
        <w:trPr>
          <w:trHeight w:val="223"/>
        </w:trPr>
        <w:tc>
          <w:tcPr>
            <w:tcW w:w="1960" w:type="dxa"/>
            <w:vAlign w:val="bottom"/>
            <w:shd w:val="clear" w:color="auto" w:fill="CCEEFF"/>
          </w:tcPr>
          <w:p>
            <w:pPr>
              <w:spacing w:after="0"/>
              <w:rPr>
                <w:sz w:val="19"/>
                <w:szCs w:val="19"/>
                <w:color w:val="auto"/>
              </w:rPr>
            </w:pPr>
          </w:p>
        </w:tc>
        <w:tc>
          <w:tcPr>
            <w:tcW w:w="9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2019 Plan.</w:t>
            </w:r>
          </w:p>
        </w:tc>
      </w:tr>
      <w:tr>
        <w:trPr>
          <w:trHeight w:val="293"/>
        </w:trPr>
        <w:tc>
          <w:tcPr>
            <w:tcW w:w="1960" w:type="dxa"/>
            <w:vAlign w:val="bottom"/>
            <w:shd w:val="clear" w:color="auto" w:fill="CCEEFF"/>
          </w:tcPr>
          <w:p>
            <w:pPr>
              <w:spacing w:after="0"/>
              <w:rPr>
                <w:sz w:val="24"/>
                <w:szCs w:val="24"/>
                <w:color w:val="auto"/>
              </w:rPr>
            </w:pPr>
          </w:p>
        </w:tc>
        <w:tc>
          <w:tcPr>
            <w:tcW w:w="9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In the event any award under the 2019 Plan is canceled, terminates, expires or lapses for any reason prior to the issuance of</w:t>
            </w:r>
          </w:p>
        </w:tc>
      </w:tr>
      <w:tr>
        <w:trPr>
          <w:trHeight w:val="168"/>
        </w:trPr>
        <w:tc>
          <w:tcPr>
            <w:tcW w:w="1960" w:type="dxa"/>
            <w:vAlign w:val="bottom"/>
            <w:shd w:val="clear" w:color="auto" w:fill="CCEEFF"/>
          </w:tcPr>
          <w:p>
            <w:pPr>
              <w:spacing w:after="0"/>
              <w:rPr>
                <w:sz w:val="14"/>
                <w:szCs w:val="14"/>
                <w:color w:val="auto"/>
              </w:rPr>
            </w:pPr>
          </w:p>
        </w:tc>
        <w:tc>
          <w:tcPr>
            <w:tcW w:w="9280" w:type="dxa"/>
            <w:vAlign w:val="bottom"/>
            <w:shd w:val="clear" w:color="auto" w:fill="CCEEFF"/>
          </w:tcPr>
          <w:p>
            <w:pPr>
              <w:ind w:left="600"/>
              <w:spacing w:after="0" w:line="167" w:lineRule="exact"/>
              <w:rPr>
                <w:sz w:val="20"/>
                <w:szCs w:val="20"/>
                <w:color w:val="auto"/>
              </w:rPr>
            </w:pPr>
            <w:r>
              <w:rPr>
                <w:rFonts w:ascii="Times New Roman" w:cs="Times New Roman" w:eastAsia="Times New Roman" w:hAnsi="Times New Roman"/>
                <w:sz w:val="17"/>
                <w:szCs w:val="17"/>
                <w:color w:val="auto"/>
              </w:rPr>
              <w:t>shares or if shares are issued under the 2019 Plan and thereafter are forfeited to us, the shares subject to such awards and the</w:t>
            </w:r>
          </w:p>
        </w:tc>
      </w:tr>
      <w:tr>
        <w:trPr>
          <w:trHeight w:val="223"/>
        </w:trPr>
        <w:tc>
          <w:tcPr>
            <w:tcW w:w="1960" w:type="dxa"/>
            <w:vAlign w:val="bottom"/>
            <w:shd w:val="clear" w:color="auto" w:fill="CCEEFF"/>
          </w:tcPr>
          <w:p>
            <w:pPr>
              <w:spacing w:after="0"/>
              <w:rPr>
                <w:sz w:val="19"/>
                <w:szCs w:val="19"/>
                <w:color w:val="auto"/>
              </w:rPr>
            </w:pPr>
          </w:p>
        </w:tc>
        <w:tc>
          <w:tcPr>
            <w:tcW w:w="9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forfeited shares will again be available for grant under the 2019 Plan.</w:t>
            </w:r>
          </w:p>
        </w:tc>
      </w:tr>
      <w:tr>
        <w:trPr>
          <w:trHeight w:val="177"/>
        </w:trPr>
        <w:tc>
          <w:tcPr>
            <w:tcW w:w="1960" w:type="dxa"/>
            <w:vAlign w:val="bottom"/>
            <w:shd w:val="clear" w:color="auto" w:fill="CCEEFF"/>
          </w:tcPr>
          <w:p>
            <w:pPr>
              <w:spacing w:after="0"/>
              <w:rPr>
                <w:sz w:val="15"/>
                <w:szCs w:val="15"/>
                <w:color w:val="auto"/>
              </w:rPr>
            </w:pPr>
          </w:p>
        </w:tc>
        <w:tc>
          <w:tcPr>
            <w:tcW w:w="9280" w:type="dxa"/>
            <w:vAlign w:val="bottom"/>
            <w:shd w:val="clear" w:color="auto" w:fill="CCEEFF"/>
          </w:tcPr>
          <w:p>
            <w:pPr>
              <w:spacing w:after="0"/>
              <w:rPr>
                <w:sz w:val="15"/>
                <w:szCs w:val="15"/>
                <w:color w:val="auto"/>
              </w:rPr>
            </w:pPr>
          </w:p>
        </w:tc>
      </w:tr>
      <w:tr>
        <w:trPr>
          <w:trHeight w:val="168"/>
        </w:trPr>
        <w:tc>
          <w:tcPr>
            <w:tcW w:w="19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Vesting</w:t>
            </w:r>
          </w:p>
        </w:tc>
        <w:tc>
          <w:tcPr>
            <w:tcW w:w="928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No more than 25% of any equity-based awards granted under the 2019 Plan may vest on the grant date of such award. The</w:t>
            </w:r>
          </w:p>
        </w:tc>
      </w:tr>
      <w:tr>
        <w:trPr>
          <w:trHeight w:val="168"/>
        </w:trPr>
        <w:tc>
          <w:tcPr>
            <w:tcW w:w="1960" w:type="dxa"/>
            <w:vAlign w:val="bottom"/>
          </w:tcPr>
          <w:p>
            <w:pPr>
              <w:spacing w:after="0"/>
              <w:rPr>
                <w:sz w:val="14"/>
                <w:szCs w:val="14"/>
                <w:color w:val="auto"/>
              </w:rPr>
            </w:pPr>
          </w:p>
        </w:tc>
        <w:tc>
          <w:tcPr>
            <w:tcW w:w="928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Board believes this provision provides the Company the necessary flexibility to issue Awards that will both attract new talent,</w:t>
            </w:r>
          </w:p>
        </w:tc>
      </w:tr>
      <w:tr>
        <w:trPr>
          <w:trHeight w:val="177"/>
        </w:trPr>
        <w:tc>
          <w:tcPr>
            <w:tcW w:w="1960" w:type="dxa"/>
            <w:vAlign w:val="bottom"/>
          </w:tcPr>
          <w:p>
            <w:pPr>
              <w:spacing w:after="0"/>
              <w:rPr>
                <w:sz w:val="15"/>
                <w:szCs w:val="15"/>
                <w:color w:val="auto"/>
              </w:rPr>
            </w:pPr>
          </w:p>
        </w:tc>
        <w:tc>
          <w:tcPr>
            <w:tcW w:w="9280" w:type="dxa"/>
            <w:vAlign w:val="bottom"/>
          </w:tcPr>
          <w:p>
            <w:pPr>
              <w:ind w:left="600"/>
              <w:spacing w:after="0" w:line="177" w:lineRule="exact"/>
              <w:rPr>
                <w:sz w:val="20"/>
                <w:szCs w:val="20"/>
                <w:color w:val="auto"/>
              </w:rPr>
            </w:pPr>
            <w:r>
              <w:rPr>
                <w:rFonts w:ascii="Times New Roman" w:cs="Times New Roman" w:eastAsia="Times New Roman" w:hAnsi="Times New Roman"/>
                <w:sz w:val="17"/>
                <w:szCs w:val="17"/>
                <w:color w:val="auto"/>
              </w:rPr>
              <w:t>particularly as the Company advances its late-stage clinical development and commercialization plans for its drug candidates</w:t>
            </w:r>
          </w:p>
        </w:tc>
      </w:tr>
      <w:tr>
        <w:trPr>
          <w:trHeight w:val="223"/>
        </w:trPr>
        <w:tc>
          <w:tcPr>
            <w:tcW w:w="19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and provide incentives sufficient to retain the Company’s existing employees and directors.</w:t>
            </w:r>
          </w:p>
        </w:tc>
      </w:tr>
      <w:tr>
        <w:trPr>
          <w:trHeight w:val="293"/>
        </w:trPr>
        <w:tc>
          <w:tcPr>
            <w:tcW w:w="1960" w:type="dxa"/>
            <w:vAlign w:val="bottom"/>
          </w:tcPr>
          <w:p>
            <w:pPr>
              <w:spacing w:after="0"/>
              <w:rPr>
                <w:sz w:val="24"/>
                <w:szCs w:val="24"/>
                <w:color w:val="auto"/>
              </w:rPr>
            </w:pPr>
          </w:p>
        </w:tc>
        <w:tc>
          <w:tcPr>
            <w:tcW w:w="92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This requirement does not apply to (i) substitute awards resulting from acquisitions or (ii) shares delivered in lieu of fully</w:t>
            </w:r>
          </w:p>
        </w:tc>
      </w:tr>
      <w:tr>
        <w:trPr>
          <w:trHeight w:val="171"/>
        </w:trPr>
        <w:tc>
          <w:tcPr>
            <w:tcW w:w="1960" w:type="dxa"/>
            <w:vAlign w:val="bottom"/>
          </w:tcPr>
          <w:p>
            <w:pPr>
              <w:spacing w:after="0"/>
              <w:rPr>
                <w:sz w:val="14"/>
                <w:szCs w:val="14"/>
                <w:color w:val="auto"/>
              </w:rPr>
            </w:pPr>
          </w:p>
        </w:tc>
        <w:tc>
          <w:tcPr>
            <w:tcW w:w="9280" w:type="dxa"/>
            <w:vAlign w:val="bottom"/>
          </w:tcPr>
          <w:p>
            <w:pPr>
              <w:ind w:left="600"/>
              <w:spacing w:after="0" w:line="172" w:lineRule="exact"/>
              <w:rPr>
                <w:sz w:val="20"/>
                <w:szCs w:val="20"/>
                <w:color w:val="auto"/>
              </w:rPr>
            </w:pPr>
            <w:r>
              <w:rPr>
                <w:rFonts w:ascii="Times New Roman" w:cs="Times New Roman" w:eastAsia="Times New Roman" w:hAnsi="Times New Roman"/>
                <w:sz w:val="17"/>
                <w:szCs w:val="17"/>
                <w:color w:val="auto"/>
              </w:rPr>
              <w:t>vested cash awards. In addition, the minimum vesting requirement does not apply to the Compensation Committee’s</w:t>
            </w:r>
          </w:p>
        </w:tc>
      </w:tr>
      <w:tr>
        <w:trPr>
          <w:trHeight w:val="168"/>
        </w:trPr>
        <w:tc>
          <w:tcPr>
            <w:tcW w:w="1960" w:type="dxa"/>
            <w:vAlign w:val="bottom"/>
          </w:tcPr>
          <w:p>
            <w:pPr>
              <w:spacing w:after="0"/>
              <w:rPr>
                <w:sz w:val="14"/>
                <w:szCs w:val="14"/>
                <w:color w:val="auto"/>
              </w:rPr>
            </w:pPr>
          </w:p>
        </w:tc>
        <w:tc>
          <w:tcPr>
            <w:tcW w:w="928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discretion to provide for accelerated exercisability or vesting of any award, including in cases of retirement, death, disability</w:t>
            </w:r>
          </w:p>
        </w:tc>
      </w:tr>
      <w:tr>
        <w:trPr>
          <w:trHeight w:val="177"/>
        </w:trPr>
        <w:tc>
          <w:tcPr>
            <w:tcW w:w="1960" w:type="dxa"/>
            <w:vAlign w:val="bottom"/>
          </w:tcPr>
          <w:p>
            <w:pPr>
              <w:spacing w:after="0"/>
              <w:rPr>
                <w:sz w:val="15"/>
                <w:szCs w:val="15"/>
                <w:color w:val="auto"/>
              </w:rPr>
            </w:pPr>
          </w:p>
        </w:tc>
        <w:tc>
          <w:tcPr>
            <w:tcW w:w="9280" w:type="dxa"/>
            <w:vAlign w:val="bottom"/>
          </w:tcPr>
          <w:p>
            <w:pPr>
              <w:ind w:left="600"/>
              <w:spacing w:after="0" w:line="177" w:lineRule="exact"/>
              <w:rPr>
                <w:sz w:val="20"/>
                <w:szCs w:val="20"/>
                <w:color w:val="auto"/>
              </w:rPr>
            </w:pPr>
            <w:r>
              <w:rPr>
                <w:rFonts w:ascii="Times New Roman" w:cs="Times New Roman" w:eastAsia="Times New Roman" w:hAnsi="Times New Roman"/>
                <w:sz w:val="17"/>
                <w:szCs w:val="17"/>
                <w:color w:val="auto"/>
              </w:rPr>
              <w:t>or a change in control, in the terms of the award or otherwise. Awards are not transferable other than by will or the laws of</w:t>
            </w:r>
          </w:p>
        </w:tc>
      </w:tr>
      <w:tr>
        <w:trPr>
          <w:trHeight w:val="171"/>
        </w:trPr>
        <w:tc>
          <w:tcPr>
            <w:tcW w:w="1960" w:type="dxa"/>
            <w:vAlign w:val="bottom"/>
          </w:tcPr>
          <w:p>
            <w:pPr>
              <w:spacing w:after="0"/>
              <w:rPr>
                <w:sz w:val="14"/>
                <w:szCs w:val="14"/>
                <w:color w:val="auto"/>
              </w:rPr>
            </w:pPr>
          </w:p>
        </w:tc>
        <w:tc>
          <w:tcPr>
            <w:tcW w:w="9280" w:type="dxa"/>
            <w:vAlign w:val="bottom"/>
          </w:tcPr>
          <w:p>
            <w:pPr>
              <w:ind w:left="600"/>
              <w:spacing w:after="0" w:line="172" w:lineRule="exact"/>
              <w:rPr>
                <w:sz w:val="20"/>
                <w:szCs w:val="20"/>
                <w:color w:val="auto"/>
              </w:rPr>
            </w:pPr>
            <w:r>
              <w:rPr>
                <w:rFonts w:ascii="Times New Roman" w:cs="Times New Roman" w:eastAsia="Times New Roman" w:hAnsi="Times New Roman"/>
                <w:sz w:val="17"/>
                <w:szCs w:val="17"/>
                <w:color w:val="auto"/>
              </w:rPr>
              <w:t>descent and distribution, except that in certain instances transfers may be made to or for the benefit of designated family</w:t>
            </w:r>
          </w:p>
        </w:tc>
      </w:tr>
      <w:tr>
        <w:trPr>
          <w:trHeight w:val="223"/>
        </w:trPr>
        <w:tc>
          <w:tcPr>
            <w:tcW w:w="19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members of the participant for no consideration.</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Employee Stock Purchase Plan</w:t>
      </w:r>
    </w:p>
    <w:p>
      <w:pPr>
        <w:spacing w:after="0" w:line="207" w:lineRule="exact"/>
        <w:rPr>
          <w:sz w:val="20"/>
          <w:szCs w:val="20"/>
          <w:color w:val="auto"/>
        </w:rPr>
      </w:pPr>
    </w:p>
    <w:p>
      <w:pPr>
        <w:jc w:val="both"/>
        <w:ind w:firstLine="620"/>
        <w:spacing w:after="0" w:line="276" w:lineRule="auto"/>
        <w:rPr>
          <w:sz w:val="20"/>
          <w:szCs w:val="20"/>
          <w:color w:val="auto"/>
        </w:rPr>
      </w:pPr>
      <w:r>
        <w:rPr>
          <w:rFonts w:ascii="Times New Roman" w:cs="Times New Roman" w:eastAsia="Times New Roman" w:hAnsi="Times New Roman"/>
          <w:sz w:val="17"/>
          <w:szCs w:val="17"/>
          <w:color w:val="auto"/>
        </w:rPr>
        <w:t xml:space="preserve">Our Board approved the Vistagen Therapeutics, Inc. 2019 Employee Stock Purchase Plan (the </w:t>
      </w:r>
      <w:r>
        <w:rPr>
          <w:rFonts w:ascii="Times New Roman" w:cs="Times New Roman" w:eastAsia="Times New Roman" w:hAnsi="Times New Roman"/>
          <w:sz w:val="17"/>
          <w:szCs w:val="17"/>
          <w:i w:val="1"/>
          <w:iCs w:val="1"/>
          <w:color w:val="auto"/>
        </w:rPr>
        <w:t>2019 ESPP</w:t>
      </w:r>
      <w:r>
        <w:rPr>
          <w:rFonts w:ascii="Times New Roman" w:cs="Times New Roman" w:eastAsia="Times New Roman" w:hAnsi="Times New Roman"/>
          <w:sz w:val="17"/>
          <w:szCs w:val="17"/>
          <w:color w:val="auto"/>
        </w:rPr>
        <w:t>) on June 13, 2019. Our stockholders approved the 2019 ESPP at our annual meeting on September 5, 2019. The principal terms of our 2019 ESPP are summarized below.</w:t>
      </w:r>
    </w:p>
    <w:p>
      <w:pPr>
        <w:spacing w:after="0" w:line="174"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 million shares of our common stock may be purchased under the 2019 ESPP.</w:t>
      </w:r>
    </w:p>
    <w:p>
      <w:pPr>
        <w:spacing w:after="0" w:line="192"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five years or 27 months, depending on the terms of the offering. Generally, all full-time employees of the Company and its subsidiaries are eligible to participate in an option period.</w:t>
      </w:r>
    </w:p>
    <w:p>
      <w:pPr>
        <w:spacing w:after="0" w:line="182" w:lineRule="exact"/>
        <w:rPr>
          <w:sz w:val="20"/>
          <w:szCs w:val="20"/>
          <w:color w:val="auto"/>
        </w:rPr>
      </w:pPr>
    </w:p>
    <w:p>
      <w:pPr>
        <w:jc w:val="both"/>
        <w:ind w:firstLine="620"/>
        <w:spacing w:after="0" w:line="245" w:lineRule="auto"/>
        <w:rPr>
          <w:sz w:val="20"/>
          <w:szCs w:val="20"/>
          <w:color w:val="auto"/>
        </w:rPr>
      </w:pPr>
      <w:r>
        <w:rPr>
          <w:rFonts w:ascii="Times New Roman" w:cs="Times New Roman" w:eastAsia="Times New Roman" w:hAnsi="Times New Roman"/>
          <w:sz w:val="17"/>
          <w:szCs w:val="17"/>
          <w:color w:val="auto"/>
        </w:rPr>
        <w:t xml:space="preserve">On the first day of each option period (the </w:t>
      </w:r>
      <w:r>
        <w:rPr>
          <w:rFonts w:ascii="Times New Roman" w:cs="Times New Roman" w:eastAsia="Times New Roman" w:hAnsi="Times New Roman"/>
          <w:sz w:val="17"/>
          <w:szCs w:val="17"/>
          <w:i w:val="1"/>
          <w:iCs w:val="1"/>
          <w:color w:val="auto"/>
        </w:rPr>
        <w:t>Grant Date</w:t>
      </w:r>
      <w:r>
        <w:rPr>
          <w:rFonts w:ascii="Times New Roman" w:cs="Times New Roman" w:eastAsia="Times New Roman" w:hAnsi="Times New Roman"/>
          <w:sz w:val="17"/>
          <w:szCs w:val="17"/>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201"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Each participant’s payroll deductions under the 2019 ESPP will be credited to a liability account in his or her name under the 2019 ESPP. The aggregate liability for participant payroll deductions at March 31, 2025 and 2024 was determined by the Company to be an immaterial amount of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8" w:name="page49"/>
    <w:bookmarkEnd w:id="48"/>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7"/>
          <w:szCs w:val="17"/>
          <w:i w:val="1"/>
          <w:iCs w:val="1"/>
          <w:color w:val="auto"/>
        </w:rPr>
        <w:t>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 The number of shares acquired by a participant upon exercise of her or his option will be determined by dividing the participant’s 2019 ESPP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her or his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Participation in the 2019 ESPP is subject to the following limits:</w:t>
      </w:r>
    </w:p>
    <w:p>
      <w:pPr>
        <w:spacing w:after="0" w:line="230" w:lineRule="exact"/>
        <w:rPr>
          <w:sz w:val="20"/>
          <w:szCs w:val="20"/>
          <w:color w:val="auto"/>
        </w:rPr>
      </w:pPr>
    </w:p>
    <w:p>
      <w:pPr>
        <w:ind w:left="1160" w:right="40" w:hanging="378"/>
        <w:spacing w:after="0" w:line="247" w:lineRule="auto"/>
        <w:tabs>
          <w:tab w:leader="none" w:pos="11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contribute less than 1% or more than 15% of his or her compensation to the purchase of stock under the 2019 ESPP in any one payroll period;</w:t>
      </w:r>
    </w:p>
    <w:p>
      <w:pPr>
        <w:spacing w:after="0" w:line="1" w:lineRule="exact"/>
        <w:rPr>
          <w:rFonts w:ascii="Times New Roman" w:cs="Times New Roman" w:eastAsia="Times New Roman" w:hAnsi="Times New Roman"/>
          <w:sz w:val="17"/>
          <w:szCs w:val="17"/>
          <w:color w:val="auto"/>
        </w:rPr>
      </w:pPr>
    </w:p>
    <w:p>
      <w:pPr>
        <w:ind w:left="1160" w:right="40" w:hanging="378"/>
        <w:spacing w:after="0" w:line="245" w:lineRule="auto"/>
        <w:tabs>
          <w:tab w:leader="none" w:pos="11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accrue rights to purchase more than $25,000 of common stock (valued at the grant date of the applicable offering period and without giving effect to any discount reflected in the purchase price for the stock) for each calendar year in which an option is outstanding; and</w:t>
      </w:r>
    </w:p>
    <w:p>
      <w:pPr>
        <w:jc w:val="both"/>
        <w:ind w:left="1160" w:right="40" w:hanging="378"/>
        <w:spacing w:after="0" w:line="232" w:lineRule="auto"/>
        <w:tabs>
          <w:tab w:leader="none" w:pos="11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will not be granted an option under the 2019 ESPP if it would cause the participant to own common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$25,000 annual purchase limit and the 5% ownership limit referred to above are as required under the Code.</w:t>
      </w:r>
    </w:p>
    <w:p>
      <w:pPr>
        <w:spacing w:after="0" w:line="205"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95"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80"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2025, employees purchased an aggregate of 74,804 shares of our common stock under the 2019 ESPP and we received proceeds of $201,000. During Fiscal 2024, employees purchased an aggregate of 4,843 shares of our common stock under the 2019 ESPP and we received proceeds of $8,000.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3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17"/>
          <w:szCs w:val="17"/>
          <w:color w:val="auto"/>
        </w:rPr>
        <w:t>Our Audit Committee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the Audit Committee. As such, any request for the Company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the Audit Committee for review, consideration and approval. In approving or rejecting any such proposal, the Audit Committee is to consider the material facts of the transaction, including whether the transaction is on terms comparable to the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3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Since April 1, 2024, we have not participated in any related party transactions in which the amount involved exceeded or will exceed the lesser of $120,000 or 1% of the average of our total assets in a fiscal year,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have been reported pursuant to Item 402 of Regulation S-K or in the case of an executive officer who is not a named executive officer, would have been reported pursuant to Item 402 of Regulation S-K if such executive officer were a named executive officer provided such compensation has been approved, or recommended to the board of directors for approval, by the Compensation Committee (or group of independent directors performing a similar function).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30"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17"/>
          <w:szCs w:val="17"/>
          <w:color w:val="auto"/>
        </w:rPr>
        <w:t xml:space="preserve">Our Restated and Amended Articles of Incorporation, as amended (our </w:t>
      </w:r>
      <w:r>
        <w:rPr>
          <w:rFonts w:ascii="Times New Roman" w:cs="Times New Roman" w:eastAsia="Times New Roman" w:hAnsi="Times New Roman"/>
          <w:sz w:val="17"/>
          <w:szCs w:val="17"/>
          <w:i w:val="1"/>
          <w:iCs w:val="1"/>
          <w:color w:val="auto"/>
        </w:rPr>
        <w:t>Charter</w:t>
      </w:r>
      <w:r>
        <w:rPr>
          <w:rFonts w:ascii="Times New Roman" w:cs="Times New Roman" w:eastAsia="Times New Roman" w:hAnsi="Times New Roman"/>
          <w:sz w:val="17"/>
          <w:szCs w:val="17"/>
          <w:color w:val="auto"/>
        </w:rPr>
        <w:t>) contains provisions limiting the liability of directors, and our Bylaws provide that we will indemnify each of our directors and officers to the fullest extent permitted under Nevada law. Our Charter and Bylaws also provide the Board with discretion to indemnify our employees and other agents when determined appropriate by the Board. In addition, we have entered into an indemnification agreement with each of our directors and executive officers, which will require us to indemnify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50" w:name="page51"/>
    <w:bookmarkEnd w:id="50"/>
    <w:p>
      <w:pPr>
        <w:ind w:left="440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Deadline for Receipt of Stockholder Proposals for the 2025 Annual Meeting</w:t>
      </w:r>
    </w:p>
    <w:p>
      <w:pPr>
        <w:spacing w:after="0" w:line="234" w:lineRule="exact"/>
        <w:rPr>
          <w:sz w:val="20"/>
          <w:szCs w:val="20"/>
          <w:color w:val="auto"/>
        </w:rPr>
      </w:pPr>
    </w:p>
    <w:p>
      <w:pPr>
        <w:jc w:val="both"/>
        <w:ind w:firstLine="620"/>
        <w:spacing w:after="0" w:line="239" w:lineRule="auto"/>
        <w:rPr>
          <w:sz w:val="20"/>
          <w:szCs w:val="20"/>
          <w:color w:val="auto"/>
        </w:rPr>
      </w:pPr>
      <w:r>
        <w:rPr>
          <w:rFonts w:ascii="Times New Roman" w:cs="Times New Roman" w:eastAsia="Times New Roman" w:hAnsi="Times New Roman"/>
          <w:sz w:val="17"/>
          <w:szCs w:val="17"/>
          <w:color w:val="auto"/>
        </w:rPr>
        <w:t>Stockholder proposals that are intended to be presented by stockholders at the Company’s 2026 Annual Meeting of Stockholders must be received by the Secretary of the Company between June 11, 2026 and July 11, 2026 that they may be included, if appropriate, in the Company’s proxy statement and form of proxy relating to that meeting. A stockholder proposal not included in the Company’s proxy statement for the 2026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2026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34"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398"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34"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Notice, mailed to stockholders on or about July 29, 2025, contains instructions on how to access the Company’s Annual Report on Form 10-K for our fiscal year ended March 31, 2025. The Annual Report, which includes audited financial statements, does not form any part of the material for the solicitation of proxies.</w:t>
      </w:r>
    </w:p>
    <w:p>
      <w:pPr>
        <w:spacing w:after="0" w:line="192"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Board invites you to attend the Annual Meeting virtually. Whether or not you expect to attend the Annual Meeting virtually, please submit your vote by Internet, telephone or postal mail as promptly as possible so that your shares will be represented at the Annual Meeting.</w:t>
      </w:r>
    </w:p>
    <w:p>
      <w:pPr>
        <w:spacing w:after="0" w:line="187"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b w:val="1"/>
          <w:bCs w:val="1"/>
          <w:color w:val="auto"/>
        </w:rPr>
        <w:t>REGARDLESS OF WHETHER YOU PLAN TO ATTEND THE ANNUAL MEETING VIRTUALLY, PLEASE READ THIS PROXY STATEMENT AND THEN VOTE BY INTERNET, TELEPHONE OR POSTAL 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942975</wp:posOffset>
            </wp:positionH>
            <wp:positionV relativeFrom="page">
              <wp:posOffset>564515</wp:posOffset>
            </wp:positionV>
            <wp:extent cx="5671185" cy="7343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671185" cy="734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224790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942975</wp:posOffset>
            </wp:positionH>
            <wp:positionV relativeFrom="page">
              <wp:posOffset>564515</wp:posOffset>
            </wp:positionV>
            <wp:extent cx="5671185" cy="7343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671185" cy="734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4"/>
    </w:lvl>
  </w:abstractNum>
  <w:abstractNum w:abstractNumId="10">
    <w:nsid w:val="2D1D5AE9"/>
    <w:multiLevelType w:val="hybridMultilevel"/>
    <w:lvl w:ilvl="0">
      <w:lvlJc w:val="left"/>
      <w:lvlText w:val="(%1)"/>
      <w:numFmt w:val="decimal"/>
      <w:start w:val="5"/>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4"/>
    </w:lvl>
  </w:abstractNum>
  <w:abstractNum w:abstractNumId="18">
    <w:nsid w:val="54E49EB4"/>
    <w:multiLevelType w:val="hybridMultilevel"/>
    <w:lvl w:ilvl="0">
      <w:lvlJc w:val="left"/>
      <w:lvlText w:val="(%1)"/>
      <w:numFmt w:val="decimal"/>
      <w:start w:val="6"/>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decimal"/>
      <w:start w:val="5"/>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2"/>
    </w:lvl>
    <w:lvl w:ilvl="1">
      <w:lvlJc w:val="left"/>
      <w:lvlText w:val="(%2)"/>
      <w:numFmt w:val="decimal"/>
      <w:start w:val="16"/>
    </w:lvl>
  </w:abstractNum>
  <w:abstractNum w:abstractNumId="32">
    <w:nsid w:val="614FD4A1"/>
    <w:multiLevelType w:val="hybridMultilevel"/>
    <w:lvl w:ilvl="0">
      <w:lvlJc w:val="left"/>
      <w:lvlText w:val="(%1)"/>
      <w:numFmt w:val="decimal"/>
      <w:start w:val="17"/>
    </w:lvl>
  </w:abstractNum>
  <w:abstractNum w:abstractNumId="33">
    <w:nsid w:val="419AC241"/>
    <w:multiLevelType w:val="hybridMultilevel"/>
    <w:lvl w:ilvl="0">
      <w:lvlJc w:val="left"/>
      <w:lvlText w:val="(%1)"/>
      <w:numFmt w:val="decimal"/>
      <w:start w:val="19"/>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2025-07-28T16:19:44Z</dcterms:created>
  <dcterms:modified xsi:type="dcterms:W3CDTF">2025-07-28T16:19:44Z</dcterms:modified>
</cp:coreProperties>
</file>