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SEC Only (as permitted by Rule 14a-6(e)(2))</w:t>
      </w:r>
    </w:p>
    <w:p>
      <w:pPr>
        <w:spacing w:after="0" w:line="9"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Additional Materials</w:t>
      </w:r>
    </w:p>
    <w:p>
      <w:pPr>
        <w:spacing w:after="0" w:line="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360" w:hanging="350"/>
        <w:spacing w:after="0"/>
        <w:tabs>
          <w:tab w:leader="none" w:pos="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360" w:hanging="350"/>
        <w:spacing w:after="0"/>
        <w:tabs>
          <w:tab w:leader="none" w:pos="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360" w:hanging="350"/>
        <w:spacing w:after="0" w:line="250" w:lineRule="auto"/>
        <w:tabs>
          <w:tab w:leader="none" w:pos="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360" w:hanging="350"/>
        <w:spacing w:after="0"/>
        <w:tabs>
          <w:tab w:leader="none" w:pos="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360" w:hanging="350"/>
        <w:spacing w:after="0"/>
        <w:tabs>
          <w:tab w:leader="none" w:pos="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6"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500" w:hanging="1267"/>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500" w:hanging="1267"/>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500" w:hanging="1267"/>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500" w:hanging="1267"/>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3201670</wp:posOffset>
            </wp:positionH>
            <wp:positionV relativeFrom="page">
              <wp:posOffset>328930</wp:posOffset>
            </wp:positionV>
            <wp:extent cx="1166495" cy="90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90043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2018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19" w:lineRule="exact"/>
        <w:rPr>
          <w:sz w:val="20"/>
          <w:szCs w:val="20"/>
          <w:color w:val="auto"/>
        </w:rPr>
      </w:pPr>
    </w:p>
    <w:p>
      <w:pPr>
        <w:jc w:val="both"/>
        <w:ind w:left="180" w:right="40" w:firstLine="648"/>
        <w:spacing w:after="0" w:line="259" w:lineRule="auto"/>
        <w:rPr>
          <w:sz w:val="20"/>
          <w:szCs w:val="20"/>
          <w:color w:val="auto"/>
        </w:rPr>
      </w:pPr>
      <w:r>
        <w:rPr>
          <w:rFonts w:ascii="Arial" w:cs="Arial" w:eastAsia="Arial" w:hAnsi="Arial"/>
          <w:sz w:val="18"/>
          <w:szCs w:val="18"/>
          <w:color w:val="auto"/>
        </w:rPr>
        <w:t xml:space="preserve">You are cordially invited to attend the 2018 Annual Meeting of Stockholders of VistaGen Therapeutics, Inc. (the </w:t>
      </w:r>
      <w:r>
        <w:rPr>
          <w:rFonts w:ascii="Arial" w:cs="Arial" w:eastAsia="Arial" w:hAnsi="Arial"/>
          <w:sz w:val="18"/>
          <w:szCs w:val="18"/>
          <w:i w:val="1"/>
          <w:iCs w:val="1"/>
          <w:color w:val="auto"/>
        </w:rPr>
        <w:t>Annual Meeting</w:t>
      </w:r>
      <w:r>
        <w:rPr>
          <w:rFonts w:ascii="Arial" w:cs="Arial" w:eastAsia="Arial" w:hAnsi="Arial"/>
          <w:sz w:val="18"/>
          <w:szCs w:val="18"/>
          <w:color w:val="auto"/>
        </w:rPr>
        <w:t>). The Annual Meeting will be held at the San Francisco Airport Marriott Waterfront Hotel, located at 1800 Old Bayshore Highway, Burlingame, California 94010, on Friday, September 14, 2018, at 10:00 a.m. local time.</w:t>
      </w:r>
    </w:p>
    <w:p>
      <w:pPr>
        <w:spacing w:after="0" w:line="194" w:lineRule="exact"/>
        <w:rPr>
          <w:sz w:val="20"/>
          <w:szCs w:val="20"/>
          <w:color w:val="auto"/>
        </w:rPr>
      </w:pPr>
    </w:p>
    <w:p>
      <w:pPr>
        <w:jc w:val="both"/>
        <w:ind w:left="180" w:right="40" w:firstLine="648"/>
        <w:spacing w:after="0" w:line="298" w:lineRule="auto"/>
        <w:rPr>
          <w:sz w:val="20"/>
          <w:szCs w:val="20"/>
          <w:color w:val="auto"/>
        </w:rPr>
      </w:pPr>
      <w:r>
        <w:rPr>
          <w:rFonts w:ascii="Arial" w:cs="Arial" w:eastAsia="Arial" w:hAnsi="Arial"/>
          <w:sz w:val="16"/>
          <w:szCs w:val="16"/>
          <w:color w:val="auto"/>
        </w:rPr>
        <w:t xml:space="preserve">Details of the business to be conducted at the Annual Meeting are described both in the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you have received in the mail and in this Proxy Statement. We have also made our Annual Report on Form 10-K for our fiscal year ended March 31, 2018 (</w:t>
      </w:r>
      <w:r>
        <w:rPr>
          <w:rFonts w:ascii="Arial" w:cs="Arial" w:eastAsia="Arial" w:hAnsi="Arial"/>
          <w:sz w:val="16"/>
          <w:szCs w:val="16"/>
          <w:i w:val="1"/>
          <w:iCs w:val="1"/>
          <w:color w:val="auto"/>
        </w:rPr>
        <w:t>Annual Report</w:t>
      </w:r>
      <w:r>
        <w:rPr>
          <w:rFonts w:ascii="Arial" w:cs="Arial" w:eastAsia="Arial" w:hAnsi="Arial"/>
          <w:sz w:val="16"/>
          <w:szCs w:val="16"/>
          <w:color w:val="auto"/>
        </w:rPr>
        <w:t>) available to you with this Proxy Statement. We encourage you to read our Annual Report. It includes our audited financial statements and provides information about recent company highlights, upcoming milestones and progress executing on key priorities of our corporate strategy.</w:t>
      </w:r>
    </w:p>
    <w:p>
      <w:pPr>
        <w:spacing w:after="0" w:line="167" w:lineRule="exact"/>
        <w:rPr>
          <w:sz w:val="20"/>
          <w:szCs w:val="20"/>
          <w:color w:val="auto"/>
        </w:rPr>
      </w:pPr>
    </w:p>
    <w:p>
      <w:pPr>
        <w:jc w:val="both"/>
        <w:ind w:left="180" w:right="40" w:firstLine="648"/>
        <w:spacing w:after="0" w:line="256" w:lineRule="auto"/>
        <w:rPr>
          <w:sz w:val="20"/>
          <w:szCs w:val="20"/>
          <w:color w:val="auto"/>
        </w:rPr>
      </w:pPr>
      <w:r>
        <w:rPr>
          <w:rFonts w:ascii="Arial" w:cs="Arial" w:eastAsia="Arial" w:hAnsi="Arial"/>
          <w:sz w:val="18"/>
          <w:szCs w:val="18"/>
          <w:color w:val="auto"/>
        </w:rPr>
        <w:t>As part of our efforts to conserve environmental resources and prevent unnecessary corporate expenses, we have elected to provide access to our proxy materials electronically over the Internet, rather than producing and mailing paper copies. We believe that providing our proxy materials over the Internet increases our stockholders’ ability to access information they need, while also conserving natural resources and reducing the costs of our Annual Meeting.</w:t>
      </w:r>
    </w:p>
    <w:p>
      <w:pPr>
        <w:spacing w:after="0" w:line="191" w:lineRule="exact"/>
        <w:rPr>
          <w:sz w:val="20"/>
          <w:szCs w:val="20"/>
          <w:color w:val="auto"/>
        </w:rPr>
      </w:pPr>
    </w:p>
    <w:p>
      <w:pPr>
        <w:jc w:val="both"/>
        <w:ind w:left="180" w:right="40" w:firstLine="648"/>
        <w:spacing w:after="0" w:line="310" w:lineRule="auto"/>
        <w:rPr>
          <w:sz w:val="20"/>
          <w:szCs w:val="20"/>
          <w:color w:val="auto"/>
        </w:rPr>
      </w:pPr>
      <w:r>
        <w:rPr>
          <w:rFonts w:ascii="Arial" w:cs="Arial" w:eastAsia="Arial" w:hAnsi="Arial"/>
          <w:sz w:val="16"/>
          <w:szCs w:val="16"/>
          <w:color w:val="auto"/>
        </w:rPr>
        <w:t xml:space="preserve">Regardless of whether you plan to attend our Annual Meeting in person, </w:t>
      </w:r>
      <w:r>
        <w:rPr>
          <w:rFonts w:ascii="Arial" w:cs="Arial" w:eastAsia="Arial" w:hAnsi="Arial"/>
          <w:sz w:val="16"/>
          <w:szCs w:val="16"/>
          <w:b w:val="1"/>
          <w:bCs w:val="1"/>
          <w:color w:val="auto"/>
        </w:rPr>
        <w:t>please read the accompanying Proxy Statement and then vote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Internet, telephone or postal mail as promptly as possible. </w:t>
      </w:r>
      <w:r>
        <w:rPr>
          <w:rFonts w:ascii="Arial" w:cs="Arial" w:eastAsia="Arial" w:hAnsi="Arial"/>
          <w:sz w:val="16"/>
          <w:szCs w:val="16"/>
          <w:color w:val="auto"/>
        </w:rPr>
        <w:t>Please refer to the Notice for instructions on submitting your votes. Voting promptly will save us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expense in further soliciting proxies and will ensure that your shares are represented at the Annual Meeting.</w:t>
      </w:r>
    </w:p>
    <w:p>
      <w:pPr>
        <w:spacing w:after="0" w:line="157" w:lineRule="exact"/>
        <w:rPr>
          <w:sz w:val="20"/>
          <w:szCs w:val="20"/>
          <w:color w:val="auto"/>
        </w:rPr>
      </w:pPr>
    </w:p>
    <w:p>
      <w:pPr>
        <w:jc w:val="both"/>
        <w:ind w:left="180" w:right="40" w:firstLine="648"/>
        <w:spacing w:after="0" w:line="268" w:lineRule="auto"/>
        <w:rPr>
          <w:sz w:val="20"/>
          <w:szCs w:val="20"/>
          <w:color w:val="auto"/>
        </w:rPr>
      </w:pPr>
      <w:r>
        <w:rPr>
          <w:rFonts w:ascii="Arial" w:cs="Arial" w:eastAsia="Arial" w:hAnsi="Arial"/>
          <w:sz w:val="18"/>
          <w:szCs w:val="18"/>
          <w:color w:val="auto"/>
        </w:rPr>
        <w:t>Our Board of Directors has unanimously approved the proposals set forth in the accompanying Proxy Statement and we recommend that you vote in favor of each such proposal.</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look forward to seeing you at our Annual Meeting.</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1689735"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 S. Saxe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3201670</wp:posOffset>
            </wp:positionH>
            <wp:positionV relativeFrom="page">
              <wp:posOffset>346075</wp:posOffset>
            </wp:positionV>
            <wp:extent cx="1166495" cy="900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900430"/>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14,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25" w:lineRule="exact"/>
        <w:rPr>
          <w:sz w:val="20"/>
          <w:szCs w:val="20"/>
          <w:color w:val="auto"/>
        </w:rPr>
      </w:pPr>
    </w:p>
    <w:p>
      <w:pPr>
        <w:jc w:val="both"/>
        <w:ind w:left="180" w:right="40" w:firstLine="486"/>
        <w:spacing w:after="0" w:line="306" w:lineRule="auto"/>
        <w:rPr>
          <w:sz w:val="20"/>
          <w:szCs w:val="20"/>
          <w:color w:val="auto"/>
        </w:rPr>
      </w:pPr>
      <w:r>
        <w:rPr>
          <w:rFonts w:ascii="Arial" w:cs="Arial" w:eastAsia="Arial" w:hAnsi="Arial"/>
          <w:sz w:val="16"/>
          <w:szCs w:val="16"/>
          <w:color w:val="auto"/>
        </w:rPr>
        <w:t xml:space="preserve">We are pleased to invite you to attend the 2018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or </w:t>
      </w:r>
      <w:r>
        <w:rPr>
          <w:rFonts w:ascii="Arial" w:cs="Arial" w:eastAsia="Arial" w:hAnsi="Arial"/>
          <w:sz w:val="16"/>
          <w:szCs w:val="16"/>
          <w:i w:val="1"/>
          <w:iCs w:val="1"/>
          <w:color w:val="auto"/>
        </w:rPr>
        <w:t>our</w:t>
      </w:r>
      <w:r>
        <w:rPr>
          <w:rFonts w:ascii="Arial" w:cs="Arial" w:eastAsia="Arial" w:hAnsi="Arial"/>
          <w:sz w:val="16"/>
          <w:szCs w:val="16"/>
          <w:color w:val="auto"/>
        </w:rPr>
        <w:t>), which will be held at the San Francisco Airport Marriott Waterfront Hotel, located at 1800 Old Bayshore Highway, Burlingame, California 94010, on Friday, September 14, 2018, at 10:00 a.m. local time, for the following purposes:</w:t>
      </w:r>
    </w:p>
    <w:p>
      <w:pPr>
        <w:spacing w:after="0" w:line="161" w:lineRule="exact"/>
        <w:rPr>
          <w:sz w:val="20"/>
          <w:szCs w:val="20"/>
          <w:color w:val="auto"/>
        </w:rPr>
      </w:pPr>
    </w:p>
    <w:p>
      <w:pPr>
        <w:ind w:left="1140" w:right="20" w:hanging="484"/>
        <w:spacing w:after="0" w:line="26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directors to our Board of Directors, each to serve until our 2019 Annual Meeting of Stockholders, or until his respective successor is elected and qualified;</w:t>
      </w:r>
    </w:p>
    <w:p>
      <w:pPr>
        <w:spacing w:after="0" w:line="18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OUM &amp; Co. LLP as our independent registered public accounting firm for our fiscal year ending March 31, 2019; and</w:t>
      </w:r>
    </w:p>
    <w:p>
      <w:pPr>
        <w:spacing w:after="0" w:line="185" w:lineRule="exact"/>
        <w:rPr>
          <w:rFonts w:ascii="Arial" w:cs="Arial" w:eastAsia="Arial" w:hAnsi="Arial"/>
          <w:sz w:val="18"/>
          <w:szCs w:val="18"/>
          <w:color w:val="auto"/>
        </w:rPr>
      </w:pPr>
    </w:p>
    <w:p>
      <w:pPr>
        <w:ind w:left="660" w:right="200" w:hanging="4"/>
        <w:spacing w:after="0" w:line="501" w:lineRule="auto"/>
        <w:tabs>
          <w:tab w:leader="none" w:pos="11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upon such other matters as may properly come before the Annual Meeting or any adjournment or postponement of the Annual Meeting. These matters are more fully discussed in the attached Proxy Statement.</w:t>
      </w:r>
    </w:p>
    <w:p>
      <w:pPr>
        <w:jc w:val="both"/>
        <w:ind w:left="180" w:right="40" w:firstLine="486"/>
        <w:spacing w:after="0" w:line="253" w:lineRule="auto"/>
        <w:rPr>
          <w:sz w:val="20"/>
          <w:szCs w:val="20"/>
          <w:color w:val="auto"/>
        </w:rPr>
      </w:pPr>
      <w:r>
        <w:rPr>
          <w:rFonts w:ascii="Arial" w:cs="Arial" w:eastAsia="Arial" w:hAnsi="Arial"/>
          <w:sz w:val="18"/>
          <w:szCs w:val="18"/>
          <w:color w:val="auto"/>
        </w:rPr>
        <w:t>We have elected to provide access to our proxy materials primarily electronically over the Internet, pursuant to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We believe this process expedites stockholders’ receipt of proxy materials, conserves natural resources and reduces the costs of our Annual Meeting. On or about July 27, 2018, we mailed a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xml:space="preserve">) to each of our stockholders entitled to notice of and to vote at the Annual Meeting, which contained instructions for accessing the attached Proxy Statement, our Annual Report on Form 10-K for our fiscal year ended March 31, 2018 (the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voting instructions. The Notice also included instructions on how you can receive a paper copy of your proxy materials. </w:t>
      </w:r>
      <w:r>
        <w:rPr>
          <w:rFonts w:ascii="Arial" w:cs="Arial" w:eastAsia="Arial" w:hAnsi="Arial"/>
          <w:sz w:val="18"/>
          <w:szCs w:val="18"/>
          <w:b w:val="1"/>
          <w:bCs w:val="1"/>
          <w:color w:val="auto"/>
        </w:rPr>
        <w:t>The Proxy Statement and the Annual Report both are available on the Internet at:</w:t>
      </w:r>
      <w:r>
        <w:rPr>
          <w:rFonts w:ascii="Arial" w:cs="Arial" w:eastAsia="Arial" w:hAnsi="Arial"/>
          <w:sz w:val="18"/>
          <w:szCs w:val="18"/>
          <w:color w:val="auto"/>
        </w:rPr>
        <w:t xml:space="preserve"> </w:t>
      </w:r>
      <w:r>
        <w:rPr>
          <w:rFonts w:ascii="Arial" w:cs="Arial" w:eastAsia="Arial" w:hAnsi="Arial"/>
          <w:sz w:val="18"/>
          <w:szCs w:val="18"/>
          <w:b w:val="1"/>
          <w:bCs w:val="1"/>
          <w:color w:val="auto"/>
        </w:rPr>
        <w:t>www.envisionreports.com/VTGN</w:t>
      </w:r>
    </w:p>
    <w:p>
      <w:pPr>
        <w:spacing w:after="0" w:line="201" w:lineRule="exact"/>
        <w:rPr>
          <w:sz w:val="20"/>
          <w:szCs w:val="20"/>
          <w:color w:val="auto"/>
        </w:rPr>
      </w:pPr>
    </w:p>
    <w:p>
      <w:pPr>
        <w:jc w:val="both"/>
        <w:ind w:left="180" w:right="40" w:firstLine="486"/>
        <w:spacing w:after="0" w:line="294" w:lineRule="auto"/>
        <w:rPr>
          <w:sz w:val="20"/>
          <w:szCs w:val="20"/>
          <w:color w:val="auto"/>
        </w:rPr>
      </w:pPr>
      <w:r>
        <w:rPr>
          <w:rFonts w:ascii="Arial" w:cs="Arial" w:eastAsia="Arial" w:hAnsi="Arial"/>
          <w:sz w:val="16"/>
          <w:szCs w:val="16"/>
          <w:color w:val="auto"/>
        </w:rPr>
        <w:t xml:space="preserve">The close of business on Friday, July 20, 2018 (the </w:t>
      </w:r>
      <w:r>
        <w:rPr>
          <w:rFonts w:ascii="Arial" w:cs="Arial" w:eastAsia="Arial" w:hAnsi="Arial"/>
          <w:sz w:val="16"/>
          <w:szCs w:val="16"/>
          <w:i w:val="1"/>
          <w:iCs w:val="1"/>
          <w:color w:val="auto"/>
        </w:rPr>
        <w:t>Record Date</w:t>
      </w:r>
      <w:r>
        <w:rPr>
          <w:rFonts w:ascii="Arial" w:cs="Arial" w:eastAsia="Arial" w:hAnsi="Arial"/>
          <w:sz w:val="16"/>
          <w:szCs w:val="16"/>
          <w:color w:val="auto"/>
        </w:rPr>
        <w:t>)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at our corporate offices, located at 343 Allerton Avenue, South San Francisco, California 94080, during normal business hours for a period of ten days prior to the Annual Meeting, and at the time and place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123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t>YOUR VOTES ARE IMPORTANT</w:t>
      </w:r>
    </w:p>
    <w:p>
      <w:pPr>
        <w:spacing w:after="0" w:line="225"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b w:val="1"/>
          <w:bCs w:val="1"/>
          <w:color w:val="auto"/>
        </w:rPr>
        <w:t>All stockholders are cordially invited to attend the Annual Meeting in person. However, to ensure your representation at the Annual Meeting, you are urged to vote by Internet, telephone or postal mail as promptly as possible. Submitting your votes assures that a quorum will be present at the Annual Meeting and will avoid the additional expense of duplicate proxy solicitations. Any stockholder attending the Annual Meeting may vote in person, even if he or she has returned a proxy prior to the Annual Meeting.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b w:val="1"/>
          <w:bCs w:val="1"/>
          <w:color w:val="auto"/>
        </w:rPr>
        <w:t xml:space="preserve">Whether or not you expect to attend our Annual Meeting in person, we urge you to vote your shares as promptly as possible by Internet, telephone or postal mail so that your shares may be represented and voted at the Annual Meeting. </w:t>
      </w:r>
      <w:r>
        <w:rPr>
          <w:rFonts w:ascii="Arial" w:cs="Arial" w:eastAsia="Arial" w:hAnsi="Arial"/>
          <w:sz w:val="18"/>
          <w:szCs w:val="18"/>
          <w:color w:val="auto"/>
        </w:rPr>
        <w:t>If your shares are held in the name of a bank, broker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fiduciary, please follow the instructions on the voting instruction card furnished by the record holder.</w:t>
      </w:r>
    </w:p>
    <w:p>
      <w:pPr>
        <w:spacing w:after="0" w:line="18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Our Board of Directors has unanimously recommended that you vote “FOR” Annual Meeting Proposal Nos. 1 and 2, each of which is described in detail in the accompanying Proxy Statement.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ANNUAL REPORT AND PROXY STATEMENT ARE AVAILABLE ON THE INTERNET AT www.envisionreports.com/VTGN</w:t>
      </w:r>
    </w:p>
    <w:p>
      <w:pPr>
        <w:spacing w:after="0" w:line="200" w:lineRule="exact"/>
        <w:rPr>
          <w:sz w:val="20"/>
          <w:szCs w:val="20"/>
          <w:color w:val="auto"/>
        </w:rPr>
      </w:pPr>
    </w:p>
    <w:p>
      <w:pPr>
        <w:spacing w:after="0" w:line="24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10795</wp:posOffset>
            </wp:positionV>
            <wp:extent cx="128651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65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3201670</wp:posOffset>
            </wp:positionH>
            <wp:positionV relativeFrom="page">
              <wp:posOffset>328930</wp:posOffset>
            </wp:positionV>
            <wp:extent cx="1166495" cy="900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66495" cy="90043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enclosed proxy is solicited on behalf of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use at the Company’s 2018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to be held on Friday, September 14, 2018, at 10:00 a.m. local time, and at any adjournment or postponement thereof, at the San Francisco Airport Marriott Waterfront Hotel, located at 1800 Old Bayshore Highway, Burlingame, California 94010.</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provide access to the proxy materials for the Annual Meeting primarily over the Internet in accordance with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On or about July 27, 2018, we mailed a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to each of our stockholders entitled to notice of and to vote at our Annual Meeting. The Notice contained instructions for accessing this Proxy Statement, our Annual Report on Form 10-K for our fiscal year ended March 31, 2018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Annual Meeting voting instructions. The Notice also included instructions on how you can receive a paper copy of your proxy materials. </w:t>
      </w:r>
      <w:r>
        <w:rPr>
          <w:rFonts w:ascii="Arial" w:cs="Arial" w:eastAsia="Arial" w:hAnsi="Arial"/>
          <w:sz w:val="18"/>
          <w:szCs w:val="18"/>
          <w:b w:val="1"/>
          <w:bCs w:val="1"/>
          <w:color w:val="auto"/>
        </w:rPr>
        <w:t>This Proxy Statement and our Annual Report are available on the Internet at:</w:t>
      </w:r>
      <w:r>
        <w:rPr>
          <w:rFonts w:ascii="Arial" w:cs="Arial" w:eastAsia="Arial" w:hAnsi="Arial"/>
          <w:sz w:val="18"/>
          <w:szCs w:val="18"/>
          <w:color w:val="auto"/>
        </w:rPr>
        <w:t xml:space="preserve"> </w:t>
      </w:r>
      <w:r>
        <w:rPr>
          <w:rFonts w:ascii="Arial" w:cs="Arial" w:eastAsia="Arial" w:hAnsi="Arial"/>
          <w:sz w:val="18"/>
          <w:szCs w:val="18"/>
          <w:b w:val="1"/>
          <w:bCs w:val="1"/>
          <w:color w:val="auto"/>
        </w:rPr>
        <w:t>www.envisionreports.com/VTGN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jc w:val="both"/>
        <w:ind w:firstLine="689"/>
        <w:spacing w:after="0" w:line="256" w:lineRule="auto"/>
        <w:rPr>
          <w:sz w:val="20"/>
          <w:szCs w:val="20"/>
          <w:color w:val="auto"/>
        </w:rPr>
      </w:pPr>
      <w:r>
        <w:rPr>
          <w:rFonts w:ascii="Arial" w:cs="Arial" w:eastAsia="Arial" w:hAnsi="Arial"/>
          <w:sz w:val="18"/>
          <w:szCs w:val="18"/>
          <w:color w:val="auto"/>
        </w:rPr>
        <w:t xml:space="preserve">The specific proposals to be considered and acted upon at our Annual Meeting are each described in this Proxy Statement. Only holders of our common stock as of the close of business on Friday, July 20, 2018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 and to vote at the Annual Meeting. On the Record Date, there were 23,347,615 shares of our common stock issued and outstanding. Each holder of common stock is entitled to one vote for each share held as of the Record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order for any business to be conducted at the Annual Meeting, the holders of more than 50% of the shares entitled to vote must be represented at the Annual Meeting, either in person or by properly executed proxy. If a quorum is not present at the scheduled time of the Annual Meeting, the stockholders who are present may adjourn the Annual Meeting until a quorum is present. The time and place of the adjourned Annual Meeting will be announced at the time the adjournment is taken, and no other notice will be given. An adjournment will have no effect on the business that may be conducted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w:t>
      </w:r>
    </w:p>
    <w:p>
      <w:pPr>
        <w:spacing w:after="0" w:line="23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five nominees who receive the greatest number of votes cast at the Annual Meeting by the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person or by proxy, and entitled to vote will be elected to serve on our Board of Directors until our next annual meeting of stockholders, or until his successor is duly elected and qualified.</w:t>
      </w:r>
    </w:p>
    <w:p>
      <w:pPr>
        <w:spacing w:after="0" w:line="1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Proposal No. 2: Ratification of Appointment of our Independent Registered Public Accounting Firm. </w:t>
      </w:r>
      <w:r>
        <w:rPr>
          <w:rFonts w:ascii="Arial" w:cs="Arial" w:eastAsia="Arial" w:hAnsi="Arial"/>
          <w:sz w:val="18"/>
          <w:szCs w:val="18"/>
          <w:color w:val="auto"/>
        </w:rPr>
        <w:t>The affirmative “FOR”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Annual Meeting and entitled to vote is required for the ratification of the selection of OUM &amp; Co. LLP as our independent registered public accounting firm for our current fiscal year.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or other nominee, your broker or nominee may not be permitted to exercise voting discretion with respect to some of the matters to be acted upon. If you do not give your broker or nominee specific instructions regarding such matters, your proxy will be deemed a “broker non-vote.”</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noted above, the five director nominees identified under Proposal No. 1 who receive the most votes at the Annual Meeting will be elected, thus abstentions and broker non-votes will have no effect on the outcome of Proposal No. 1.</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Nevada law and our Amended and Restated Bylaws, Proposal No. 2 will be determined by the vote of the holders of a majority of the voting power present or represented by proxy at the Annual Meeting. For this matter, abstentions and any broker non-votes cast will not be counted as votes in favor of such proposal, and will also not be counted as shares voting on such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If your proxy is properly returned to the Company, the shares represented thereby will be voted at the Annual Meeting in accordance with the instructions specified thereon. If you return your proxy without specifying how the shares represented thereby are to be voted, the proxy will be voted in the manner unanimously approved by our Board of Directors, as follows: (i)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five director nominees proposed by our Board; (ii)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OUM &amp; Co. LLP as our independent registered public accounting firm for our current fiscal year; and (iii) at the discretion of the proxy holders on any other matter that may properly come before the Annual Meeting or any adjournment or postponement thereof.</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attending the Annual Meeting and voting in person. Attendance at the Annual Meeting alone will not revoke your proxy. If you are a stockholder whose shares are not registered in your own name, you will need additional documentation from your broker or record holder to vote personally at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the Notice, as well as the preparation and posting on the Internet of this Proxy Statement and any additional solicitation materials furnished to the stockholders. 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 Except as described above, we do not presently intend to solicit proxies other than by the Internet, telephone, email and postal mail.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nor more than seven directors, and that upon any change in the number of directors, any newly created directorships or eliminated directorships shall be apportioned by the remaining members of the Board or by stockholders. Our Board currently consists of five directors, and these five directors are nominated for election at the Annual Meeting to serve until our next annual meeting of stockholders, or until his successor is duly elected and qualified. Each nominee has confirmed that he is able and willing to continue serving as a director if elected. If any of the nominees becomes unable or unwilling to serve, your proxy will be voted for the election of a substitute nominee recommended by the current Board.</w:t>
      </w:r>
    </w:p>
    <w:p>
      <w:pPr>
        <w:spacing w:after="0" w:line="198"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Upon recommendation of the members of its Corporate Governance and Nominating Committee, the Board has nominated for election as directors at our Annual Meeting Mr. Shawn K. Singh, Dr. H. Ralph Snodgrass, Mr. Jon S. Saxe, Dr. Brian J. Underdown, and Dr. Jerry B. Gin.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five nominees receiving the highest number of affirmative votes will be elected. Unless otherwise instructed or unless authority to vote is withheld, shares represented by executed proxies will be voted “FOR” the election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election of Mr. Singh, Dr. Snodgrass, Mr. Saxe, Dr. Underdown, and Dr. Gin.</w:t>
      </w:r>
    </w:p>
    <w:p>
      <w:pPr>
        <w:spacing w:after="0" w:line="25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40" w:type="dxa"/>
            <w:vAlign w:val="bottom"/>
            <w:gridSpan w:val="3"/>
          </w:tcPr>
          <w:p>
            <w:pPr>
              <w:ind w:left="14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920" w:type="dxa"/>
            <w:vAlign w:val="bottom"/>
          </w:tcPr>
          <w:p>
            <w:pPr>
              <w:jc w:val="center"/>
              <w:ind w:left="252"/>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w w:val="89"/>
              </w:rPr>
              <w:t>55</w:t>
            </w: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Jon S. Saxe (1)</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Brian J. Underdown, Ph.D. (2)</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(3)</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8"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jc w:val="both"/>
        <w:ind w:firstLine="648"/>
        <w:spacing w:after="0" w:line="301" w:lineRule="auto"/>
        <w:rPr>
          <w:sz w:val="20"/>
          <w:szCs w:val="20"/>
          <w:color w:val="auto"/>
        </w:rPr>
      </w:pPr>
      <w:r>
        <w:rPr>
          <w:rFonts w:ascii="Arial" w:cs="Arial" w:eastAsia="Arial" w:hAnsi="Arial"/>
          <w:sz w:val="15"/>
          <w:szCs w:val="15"/>
          <w:b w:val="1"/>
          <w:bCs w:val="1"/>
          <w:i w:val="1"/>
          <w:iCs w:val="1"/>
          <w:color w:val="auto"/>
        </w:rPr>
        <w:t xml:space="preserve">Shawn K. Singh </w:t>
      </w:r>
      <w:r>
        <w:rPr>
          <w:rFonts w:ascii="Arial" w:cs="Arial" w:eastAsia="Arial" w:hAnsi="Arial"/>
          <w:sz w:val="15"/>
          <w:szCs w:val="15"/>
          <w:color w:val="auto"/>
        </w:rPr>
        <w:t>has served as our Chief Executive Officer since August 2009, first as the Chief Executive Officer of VistaGen Therapeutics, Inc.,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California corporation (</w:t>
      </w:r>
      <w:r>
        <w:rPr>
          <w:rFonts w:ascii="Arial" w:cs="Arial" w:eastAsia="Arial" w:hAnsi="Arial"/>
          <w:sz w:val="15"/>
          <w:szCs w:val="15"/>
          <w:i w:val="1"/>
          <w:iCs w:val="1"/>
          <w:color w:val="auto"/>
        </w:rPr>
        <w:t>VistaGen California</w:t>
      </w:r>
      <w:r>
        <w:rPr>
          <w:rFonts w:ascii="Arial" w:cs="Arial" w:eastAsia="Arial" w:hAnsi="Arial"/>
          <w:sz w:val="15"/>
          <w:szCs w:val="15"/>
          <w:color w:val="auto"/>
        </w:rPr>
        <w:t xml:space="preserve">), then as Chief Executive Officer of the Company after the merger by and between VistaGen California and the Company on May 11, 2011 (the </w:t>
      </w:r>
      <w:r>
        <w:rPr>
          <w:rFonts w:ascii="Arial" w:cs="Arial" w:eastAsia="Arial" w:hAnsi="Arial"/>
          <w:sz w:val="15"/>
          <w:szCs w:val="15"/>
          <w:i w:val="1"/>
          <w:iCs w:val="1"/>
          <w:color w:val="auto"/>
        </w:rPr>
        <w:t>Merger</w:t>
      </w:r>
      <w:r>
        <w:rPr>
          <w:rFonts w:ascii="Arial" w:cs="Arial" w:eastAsia="Arial" w:hAnsi="Arial"/>
          <w:sz w:val="15"/>
          <w:szCs w:val="15"/>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5"/>
          <w:szCs w:val="15"/>
          <w:i w:val="1"/>
          <w:iCs w:val="1"/>
          <w:color w:val="auto"/>
        </w:rPr>
        <w:t>CRO</w:t>
      </w:r>
      <w:r>
        <w:rPr>
          <w:rFonts w:ascii="Arial" w:cs="Arial" w:eastAsia="Arial" w:hAnsi="Arial"/>
          <w:sz w:val="15"/>
          <w:szCs w:val="15"/>
          <w:color w:val="auto"/>
        </w:rPr>
        <w:t>) affiliated with Cato BioVentures. Mr. Singh served as President (part-time) of Echo Therapeutics, a medical device company, from September 2007 to June 2009, and as a member of its Board of Directors from September 2007 to December 2011. He also served as Chief Executive Officer (part- 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late-1993 to late-2000, and as a corporate finance associate of Morrison</w:t>
      </w:r>
    </w:p>
    <w:p>
      <w:pPr>
        <w:spacing w:after="0" w:line="3" w:lineRule="exact"/>
        <w:rPr>
          <w:sz w:val="20"/>
          <w:szCs w:val="20"/>
          <w:color w:val="auto"/>
        </w:rPr>
      </w:pPr>
    </w:p>
    <w:p>
      <w:pPr>
        <w:ind w:firstLine="8"/>
        <w:spacing w:after="0" w:line="323" w:lineRule="auto"/>
        <w:tabs>
          <w:tab w:leader="none" w:pos="183" w:val="left"/>
        </w:tabs>
        <w:numPr>
          <w:ilvl w:val="0"/>
          <w:numId w:val="7"/>
        </w:numPr>
        <w:rPr>
          <w:rFonts w:ascii="Arial" w:cs="Arial" w:eastAsia="Arial" w:hAnsi="Arial"/>
          <w:sz w:val="16"/>
          <w:szCs w:val="16"/>
          <w:color w:val="auto"/>
        </w:rPr>
      </w:pPr>
      <w:r>
        <w:rPr>
          <w:rFonts w:ascii="Arial" w:cs="Arial" w:eastAsia="Arial" w:hAnsi="Arial"/>
          <w:sz w:val="16"/>
          <w:szCs w:val="16"/>
          <w:color w:val="auto"/>
        </w:rPr>
        <w:t>Foerster LLP, an international law firm, from 1991 to late-1993. Mr. Singh earned a B.A. degree, with honors, from the University of California, Berkeley, and a Juris Doctor degree from the University of Maryland School of Law. Mr. Singh is a member of theState Bar of California.</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1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Arbor Vita Corporation, Arcuo Medical, LLC, Cancer Prevention Pharmaceuticals, Inc., Lumos Pharma,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8" w:name="page9"/>
    <w:bookmarkEnd w:id="8"/>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Board after the completion of the Merger. Dr. Underdown retired as a Venture Partner with Lumira Capital Corp. 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 year period from the date of grant. Prorated grants are made for partial years of service.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2018.</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year ended March 31, 2018, we granted to each of our three independent directors options to purchase: (i) 35,000 shares of our common stock at $1.96 per share in April 2017; (ii) 50,000 shares of our common stock at $1.56 per share in September 2017; and (iii) 100,000 shares of our common stock at $1.16 per share in February 2018. Each grant expires ten years after the date of grant. We have not granted any options to our three independent directors subsequent to March 31, 2018.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gridSpan w:val="3"/>
          </w:tcPr>
          <w:p>
            <w:pPr>
              <w:ind w:left="400"/>
              <w:spacing w:after="0"/>
              <w:rPr>
                <w:sz w:val="20"/>
                <w:szCs w:val="20"/>
                <w:color w:val="auto"/>
              </w:rPr>
            </w:pPr>
            <w:r>
              <w:rPr>
                <w:rFonts w:ascii="Arial" w:cs="Arial" w:eastAsia="Arial" w:hAnsi="Arial"/>
                <w:sz w:val="18"/>
                <w:szCs w:val="18"/>
                <w:b w:val="1"/>
                <w:bCs w:val="1"/>
                <w:color w:val="auto"/>
              </w:rPr>
              <w:t>Fees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Option</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80" w:type="dxa"/>
            <w:vAlign w:val="bottom"/>
            <w:gridSpan w:val="3"/>
          </w:tcPr>
          <w:p>
            <w:pPr>
              <w:spacing w:after="0" w:line="244" w:lineRule="exact"/>
              <w:rPr>
                <w:sz w:val="20"/>
                <w:szCs w:val="20"/>
                <w:color w:val="auto"/>
              </w:rPr>
            </w:pPr>
            <w:r>
              <w:rPr>
                <w:rFonts w:ascii="Arial" w:cs="Arial" w:eastAsia="Arial" w:hAnsi="Arial"/>
                <w:sz w:val="18"/>
                <w:szCs w:val="18"/>
                <w:b w:val="1"/>
                <w:bCs w:val="1"/>
                <w:color w:val="auto"/>
                <w:w w:val="94"/>
              </w:rPr>
              <w:t xml:space="preserve">Paid in Cash </w:t>
            </w:r>
            <w:r>
              <w:rPr>
                <w:rFonts w:ascii="Arial" w:cs="Arial" w:eastAsia="Arial" w:hAnsi="Arial"/>
                <w:sz w:val="24"/>
                <w:szCs w:val="24"/>
                <w:b w:val="1"/>
                <w:bCs w:val="1"/>
                <w:color w:val="auto"/>
                <w:w w:val="94"/>
                <w:vertAlign w:val="superscript"/>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line="244"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(2)</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94"/>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74"/>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26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52,500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229,969</w:t>
            </w:r>
            <w:r>
              <w:rPr>
                <w:rFonts w:ascii="Arial" w:cs="Arial" w:eastAsia="Arial" w:hAnsi="Arial"/>
                <w:sz w:val="24"/>
                <w:szCs w:val="24"/>
                <w:color w:val="auto"/>
                <w:vertAlign w:val="superscript"/>
              </w:rPr>
              <w:t>(6)</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26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52,500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229,969</w:t>
            </w:r>
            <w:r>
              <w:rPr>
                <w:rFonts w:ascii="Arial" w:cs="Arial" w:eastAsia="Arial" w:hAnsi="Arial"/>
                <w:sz w:val="24"/>
                <w:szCs w:val="24"/>
                <w:color w:val="auto"/>
                <w:vertAlign w:val="superscript"/>
              </w:rPr>
              <w:t>(6)</w:t>
            </w: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6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229,969</w:t>
            </w:r>
            <w:r>
              <w:rPr>
                <w:rFonts w:ascii="Arial" w:cs="Arial" w:eastAsia="Arial" w:hAnsi="Arial"/>
                <w:sz w:val="24"/>
                <w:szCs w:val="24"/>
                <w:color w:val="auto"/>
                <w:vertAlign w:val="superscript"/>
              </w:rPr>
              <w:t>(6)</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279,969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hanging="352"/>
        <w:spacing w:after="0" w:line="332"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of Directors, and Audit Committee, Compensation Committee and Corporate Governance and Nominating Committee during the fiscal year ended March 31, 2018, which amounts were paid in full during the fiscal year then ended.</w:t>
      </w:r>
    </w:p>
    <w:p>
      <w:pPr>
        <w:spacing w:after="0" w:line="139" w:lineRule="exact"/>
        <w:rPr>
          <w:rFonts w:ascii="Arial" w:cs="Arial" w:eastAsia="Arial" w:hAnsi="Arial"/>
          <w:sz w:val="16"/>
          <w:szCs w:val="16"/>
          <w:color w:val="auto"/>
        </w:rPr>
      </w:pPr>
    </w:p>
    <w:p>
      <w:pPr>
        <w:jc w:val="both"/>
        <w:ind w:left="360" w:hanging="352"/>
        <w:spacing w:after="0" w:line="291"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Mr. Saxe, Dr. Underdown and Dr. Gin during our fiscal year ended March 31, 2018,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Saxe, Dr. Underdown or Dr. Gin with respect to any of such stock options awarded to them during the fiscal year ended March 31, 2018. To date, Mr. Saxe, Dr. Underdown and Dr. Gin have not exercised such stock options, and there can be no assurance that any of them will ever realize any of the ASC 718 grant date fair value amounts presented in the “Option Awards” column.</w:t>
      </w:r>
    </w:p>
    <w:p>
      <w:pPr>
        <w:spacing w:after="0" w:line="174" w:lineRule="exact"/>
        <w:rPr>
          <w:rFonts w:ascii="Arial" w:cs="Arial" w:eastAsia="Arial" w:hAnsi="Arial"/>
          <w:sz w:val="16"/>
          <w:szCs w:val="16"/>
          <w:color w:val="auto"/>
        </w:rPr>
      </w:pPr>
    </w:p>
    <w:p>
      <w:pPr>
        <w:jc w:val="both"/>
        <w:ind w:left="360" w:hanging="352"/>
        <w:spacing w:after="0" w:line="298"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Saxe has served as the Chairman of our Board of Directors, the Chairman of our Audit Committee and a member of our Compensation Committee and Corporate Governance and Nominating Committee throughout our fiscal year ended March 31, 2018. At March 31, 2018, Mr. Saxe held: (i) 1,875 restricted shares of our common stock; (ii) options to purchase 46,375 registered shares of our common stock, of which options to purchase 86,547 shares were exercisable; and (iii) warrants to purchase 83,250 restricted shares of our common stock, all of which are exercisable.</w:t>
      </w:r>
    </w:p>
    <w:p>
      <w:pPr>
        <w:spacing w:after="0" w:line="166" w:lineRule="exact"/>
        <w:rPr>
          <w:rFonts w:ascii="Arial" w:cs="Arial" w:eastAsia="Arial" w:hAnsi="Arial"/>
          <w:sz w:val="16"/>
          <w:szCs w:val="16"/>
          <w:color w:val="auto"/>
        </w:rPr>
      </w:pPr>
    </w:p>
    <w:p>
      <w:pPr>
        <w:jc w:val="both"/>
        <w:ind w:left="360" w:hanging="352"/>
        <w:spacing w:after="0" w:line="25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Underdown has served as a member of our Board of Directors, as the Chairman of our Compensation Committee and as a member of our Audit Committee and Corporate Governance and Nominating Committee throughout the fiscal year ended March 31, 2018. At March 31, 2018, Dr. Underdown held: (i) options to purchase 244,250 registered shares of our common stock, of which options to purchase 84,422 shares were exercisable; and (ii) warrants to purchase 82,500 restricted shares of our common stock, all of which are exercisable.</w:t>
      </w:r>
    </w:p>
    <w:p>
      <w:pPr>
        <w:spacing w:after="0" w:line="197" w:lineRule="exact"/>
        <w:rPr>
          <w:rFonts w:ascii="Arial" w:cs="Arial" w:eastAsia="Arial" w:hAnsi="Arial"/>
          <w:sz w:val="18"/>
          <w:szCs w:val="18"/>
          <w:color w:val="auto"/>
        </w:rPr>
      </w:pPr>
    </w:p>
    <w:p>
      <w:pPr>
        <w:jc w:val="both"/>
        <w:ind w:left="360" w:hanging="352"/>
        <w:spacing w:after="0" w:line="25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Gin has served as a member of our Board of Directors, as the Chairman of our Corporate Governance and Nominating Committee and as a member of our Audit Committee and Compensation Committee throughout the fiscal year ended March 31, 2018. At March 31, 2018, Dr. Gin held: (i) options to purchase 260,000 registered shares of our common stock of which 100,172 were exercisable; and (ii) warrants to purchase 50,000 restricted shares of our common stock, all of which are exercisable.</w:t>
      </w:r>
    </w:p>
    <w:p>
      <w:pPr>
        <w:spacing w:after="0" w:line="197" w:lineRule="exact"/>
        <w:rPr>
          <w:rFonts w:ascii="Arial" w:cs="Arial" w:eastAsia="Arial" w:hAnsi="Arial"/>
          <w:sz w:val="18"/>
          <w:szCs w:val="18"/>
          <w:color w:val="auto"/>
        </w:rPr>
      </w:pPr>
    </w:p>
    <w:p>
      <w:pPr>
        <w:ind w:left="360" w:hanging="352"/>
        <w:spacing w:after="0" w:line="332"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and Dr. Gin during fiscal 2018 and the assumptions used in the Black Scholes Option Pricing Model to determine the grant date fair values of the respective awards and modifications.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w:t>
            </w:r>
          </w:p>
        </w:tc>
        <w:tc>
          <w:tcPr>
            <w:tcW w:w="14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Option</w:t>
            </w:r>
          </w:p>
        </w:tc>
        <w:tc>
          <w:tcPr>
            <w:tcW w:w="16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Option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Grant</w:t>
            </w:r>
          </w:p>
        </w:tc>
        <w:tc>
          <w:tcPr>
            <w:tcW w:w="140" w:type="dxa"/>
            <w:vAlign w:val="bottom"/>
          </w:tcPr>
          <w:p>
            <w:pPr>
              <w:spacing w:after="0"/>
              <w:rPr>
                <w:sz w:val="21"/>
                <w:szCs w:val="21"/>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Grant</w:t>
            </w:r>
          </w:p>
        </w:tc>
        <w:tc>
          <w:tcPr>
            <w:tcW w:w="160" w:type="dxa"/>
            <w:vAlign w:val="bottom"/>
          </w:tcPr>
          <w:p>
            <w:pPr>
              <w:spacing w:after="0"/>
              <w:rPr>
                <w:sz w:val="21"/>
                <w:szCs w:val="21"/>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Grant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4/26/2017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color w:val="auto"/>
                <w:w w:val="87"/>
              </w:rPr>
              <w:t>9/19/2017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8"/>
              </w:rPr>
              <w:t>2/2/2018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Underdown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102,038</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229,969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Gin</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59,265</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102,038</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229,969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177,795</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205,998</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306,114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Price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90.38%</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94.78%</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93.58%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Aggregate option shares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color w:val="auto"/>
        </w:rPr>
        <w:t>Mr. Saxe, Dr. Underdown and Dr. Gin were each granted options to purchase 35,000 shares, 50,000 shares, and 100,000 shares of our common stock on April 26, 2017, September 19, 2017 and February 2,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left="180" w:right="40" w:firstLine="648"/>
        <w:spacing w:after="0" w:line="291" w:lineRule="auto"/>
        <w:rPr>
          <w:sz w:val="20"/>
          <w:szCs w:val="20"/>
          <w:color w:val="auto"/>
        </w:rPr>
      </w:pPr>
      <w:r>
        <w:rPr>
          <w:rFonts w:ascii="Arial" w:cs="Arial" w:eastAsia="Arial" w:hAnsi="Arial"/>
          <w:sz w:val="16"/>
          <w:szCs w:val="16"/>
          <w:color w:val="auto"/>
        </w:rPr>
        <w:t>Our Board met six times and acted by unanimous written consent three times during our fiscal year ended March 31, 2018. Our Audit Committee met four times. Our Compensation Committee requested action by the entire Board twice and acted by unanimous written consent three times with respect to grants of various equity securities and executive compensation matters. Our Corporate Governance and Nominating Committee requested action by the entire Board with respect to resolutions to be presented to our stockholders at the annual meeting of stockholders and Board committee assignments. With the exception of Dr. Underdown, who was unable to attend one Board meeting due to international travel, each director serving during Fiscal 2018 attended all of the meetings of the Board and the committees of the Board upon which such director served that were held during the term of his service.</w:t>
      </w:r>
    </w:p>
    <w:p>
      <w:pPr>
        <w:spacing w:after="0" w:line="174" w:lineRule="exact"/>
        <w:rPr>
          <w:sz w:val="20"/>
          <w:szCs w:val="20"/>
          <w:color w:val="auto"/>
        </w:rPr>
      </w:pPr>
    </w:p>
    <w:p>
      <w:pPr>
        <w:jc w:val="both"/>
        <w:ind w:left="180" w:right="40"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who was unavailable due to international travel, each of our directors attended our 2017 Annual Meeting of Stockholders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left="180" w:right="4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NASDAQ Stock Market.</w:t>
      </w:r>
    </w:p>
    <w:p>
      <w:pPr>
        <w:spacing w:after="0" w:line="186" w:lineRule="exact"/>
        <w:rPr>
          <w:sz w:val="20"/>
          <w:szCs w:val="20"/>
          <w:color w:val="auto"/>
        </w:rPr>
      </w:pPr>
    </w:p>
    <w:p>
      <w:pPr>
        <w:jc w:val="both"/>
        <w:ind w:left="180" w:right="4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1" w:name="page12"/>
    <w:bookmarkEnd w:id="11"/>
    <w:p>
      <w:pPr>
        <w:jc w:val="both"/>
        <w:ind w:left="180" w:firstLine="648"/>
        <w:spacing w:after="0" w:line="253" w:lineRule="auto"/>
        <w:rPr>
          <w:sz w:val="20"/>
          <w:szCs w:val="20"/>
          <w:color w:val="auto"/>
        </w:rPr>
      </w:pPr>
      <w:r>
        <w:rPr>
          <w:rFonts w:ascii="Arial" w:cs="Arial" w:eastAsia="Arial" w:hAnsi="Arial"/>
          <w:sz w:val="18"/>
          <w:szCs w:val="18"/>
          <w:color w:val="auto"/>
        </w:rPr>
        <w:t>Our Board has undertaken a review of its composition, the composition of its committees and the independence of each director. Based upon information requested from and provided by each director concerning his background, employment and affiliations, including family relationships, our Board has determined that Mr. Saxe, Dr. Underdown and Dr. Gin are each “independent” as that term is defined by the rules of the NASDAQ Stock Market. Our Board has also determined that Mr. Saxe, Dr. Underdown and Dr. Gin, who together comprise our Audit Committee, Compensation Committee, and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Beginning on April 1, 2017, only our independent directors, Mr. Saxe, Dr. Underdown and Dr. Gin, serve as members of each of these committees.</w:t>
      </w:r>
    </w:p>
    <w:p>
      <w:pPr>
        <w:spacing w:after="0" w:line="197" w:lineRule="exact"/>
        <w:rPr>
          <w:sz w:val="20"/>
          <w:szCs w:val="20"/>
          <w:color w:val="auto"/>
        </w:rPr>
      </w:pPr>
    </w:p>
    <w:p>
      <w:pPr>
        <w:jc w:val="both"/>
        <w:ind w:left="18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7" w:lineRule="exact"/>
        <w:rPr>
          <w:sz w:val="20"/>
          <w:szCs w:val="20"/>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980" w:hanging="21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36"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820" w:hanging="216"/>
        <w:spacing w:after="0" w:line="256"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7" w:lineRule="exact"/>
        <w:rPr>
          <w:rFonts w:ascii="Arial" w:cs="Arial" w:eastAsia="Arial" w:hAnsi="Arial"/>
          <w:sz w:val="18"/>
          <w:szCs w:val="18"/>
          <w:color w:val="auto"/>
        </w:rPr>
      </w:pPr>
    </w:p>
    <w:p>
      <w:pPr>
        <w:ind w:left="820" w:hanging="21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determiningChief Executive Officer compensation based on the evaluation;</w:t>
      </w:r>
    </w:p>
    <w:p>
      <w:pPr>
        <w:spacing w:after="0" w:line="185" w:lineRule="exact"/>
        <w:rPr>
          <w:rFonts w:ascii="Arial" w:cs="Arial" w:eastAsia="Arial" w:hAnsi="Arial"/>
          <w:sz w:val="18"/>
          <w:szCs w:val="18"/>
          <w:color w:val="auto"/>
        </w:rPr>
      </w:pPr>
    </w:p>
    <w:p>
      <w:pPr>
        <w:jc w:val="both"/>
        <w:ind w:left="820" w:hanging="216"/>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820" w:hanging="21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Corporate Governance and Nominating Committee of our Board is comprised of Dr. Gin, who serves as the committee chairman, Mr. Saxe and Dr. Underdown. Our Corporate Governance and Nominating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Corporate Governance and Nominating Committee is primarily responsible for, among other things, the following:</w:t>
      </w:r>
    </w:p>
    <w:p>
      <w:pPr>
        <w:spacing w:after="0" w:line="194" w:lineRule="exact"/>
        <w:rPr>
          <w:sz w:val="20"/>
          <w:szCs w:val="20"/>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has reviewed and discussed with management and OUM &amp; Co. LLP (</w:t>
      </w:r>
      <w:r>
        <w:rPr>
          <w:rFonts w:ascii="Arial" w:cs="Arial" w:eastAsia="Arial" w:hAnsi="Arial"/>
          <w:sz w:val="18"/>
          <w:szCs w:val="18"/>
          <w:i w:val="1"/>
          <w:iCs w:val="1"/>
          <w:color w:val="auto"/>
        </w:rPr>
        <w:t>OUM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2018. The Audit Committee has also discussed with OUM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4" w:name="page15"/>
    <w:bookmarkEnd w:id="14"/>
    <w:p>
      <w:pPr>
        <w:jc w:val="both"/>
        <w:ind w:firstLine="648"/>
        <w:spacing w:after="0" w:line="306" w:lineRule="auto"/>
        <w:rPr>
          <w:sz w:val="20"/>
          <w:szCs w:val="20"/>
          <w:color w:val="auto"/>
        </w:rPr>
      </w:pPr>
      <w:r>
        <w:rPr>
          <w:rFonts w:ascii="Arial" w:cs="Arial" w:eastAsia="Arial" w:hAnsi="Arial"/>
          <w:sz w:val="16"/>
          <w:szCs w:val="16"/>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2018.</w:t>
      </w:r>
    </w:p>
    <w:p>
      <w:pPr>
        <w:spacing w:after="0" w:line="16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Brian J. Underdown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2018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RATIFICATION OF THE APPOINTMENT OF OUM &amp; CO. LLP TO SERVE AS THE COMPANY'S INDEPENDENT REGISTERED PUBLIC ACCOUNTING FIRM FOR THE CURRENT FISCAL YEAR</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Upon recommendation of the Audit Committee of the Board, the Board appointed OUM &amp; Co. LLP (</w:t>
      </w:r>
      <w:r>
        <w:rPr>
          <w:rFonts w:ascii="Arial" w:cs="Arial" w:eastAsia="Arial" w:hAnsi="Arial"/>
          <w:sz w:val="18"/>
          <w:szCs w:val="18"/>
          <w:i w:val="1"/>
          <w:iCs w:val="1"/>
          <w:color w:val="auto"/>
        </w:rPr>
        <w:t>OUM</w:t>
      </w:r>
      <w:r>
        <w:rPr>
          <w:rFonts w:ascii="Arial" w:cs="Arial" w:eastAsia="Arial" w:hAnsi="Arial"/>
          <w:sz w:val="18"/>
          <w:szCs w:val="18"/>
          <w:color w:val="auto"/>
        </w:rPr>
        <w:t>) as our independent registered public accounting firm for the current fiscal year and hereby recommends that the stockholders ratify such appointment.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may terminate the appointment of OUM as the Company’s independent registered public accounting firm without the approval of the Company’s stockholders whenever the Board deems such termination necessary or appropriate.</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Representatives of OUM will be present at the Annual Meeting or available by telephone and will have an opportunity to make a statement if they so desire and to respond to appropriate questions from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2018 and 2017. Information provided below includes fees for professional services provided to us by OUM for our fiscal years ended March 31, 2018 and 2017.</w:t>
      </w:r>
    </w:p>
    <w:p>
      <w:pPr>
        <w:spacing w:after="0" w:line="18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Fiscal Years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345,547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2018 and 2017, and for services normally provided by OUM in connection with routine statutory and regulatory filings or engagements.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our fiscal years ended March 31, 2018 and 2017, OUM billed the Company for services related to consents for the use of its audit opinion in the Company’s filings of Registration Statements on Form S-3, Form S-1, and Form S-8 that included or incorporated by reference the Company’s audited financial statements for the fiscal years ended March 31, 2017 and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2018 and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2018 and 2017, no such fees were billed by OUM.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Ratification of the selection of OUM as the Company’s independent registered public accounting firm for our fiscal year ending March 31, 2019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OUM as the Company’s independent registered public accounting firm for our fiscal year ending March 31, 2019.</w:t>
      </w:r>
    </w:p>
    <w:p>
      <w:pPr>
        <w:spacing w:after="0" w:line="19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OUM as our independent registered public accounting firm for our fiscal year ending March 31, 2019.</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Jerrold D. Dotson, CPA</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Corporate Development</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3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4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7" w:name="page18"/>
    <w:bookmarkEnd w:id="17"/>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joined VistaGen as our Chief Medical Officer effective June 18, 2016. Dr. Smith served as the Clinical Lead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Neuropsychiatry at 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(NASDAQ: SBOT), a leader in sustainable manufacture of KLH, an immune-stimulating protein widely used in the field of active immunotherapy,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Group, a subsidiary of @titude Global, the world's largest independent global investor relations consulting firm,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During the years ended March 31, 2018 and 2017, each Named Executive Officer (</w:t>
      </w:r>
      <w:r>
        <w:rPr>
          <w:rFonts w:ascii="Arial" w:cs="Arial" w:eastAsia="Arial" w:hAnsi="Arial"/>
          <w:sz w:val="18"/>
          <w:szCs w:val="18"/>
          <w:i w:val="1"/>
          <w:iCs w:val="1"/>
          <w:color w:val="auto"/>
        </w:rPr>
        <w:t>NEO</w:t>
      </w:r>
      <w:r>
        <w:rPr>
          <w:rFonts w:ascii="Arial" w:cs="Arial" w:eastAsia="Arial" w:hAnsi="Arial"/>
          <w:sz w:val="18"/>
          <w:szCs w:val="18"/>
          <w:color w:val="auto"/>
        </w:rPr>
        <w:t>) serving during those periods was awarded a bonus by the Compensation Committee in the amount set forth in the Summary Compensation Table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All</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23"/>
                <w:szCs w:val="23"/>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Salary</w:t>
            </w:r>
          </w:p>
        </w:tc>
        <w:tc>
          <w:tcPr>
            <w:tcW w:w="260" w:type="dxa"/>
            <w:vAlign w:val="bottom"/>
          </w:tcPr>
          <w:p>
            <w:pPr>
              <w:spacing w:after="0"/>
              <w:rPr>
                <w:sz w:val="23"/>
                <w:szCs w:val="23"/>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Bonus</w:t>
            </w:r>
          </w:p>
        </w:tc>
        <w:tc>
          <w:tcPr>
            <w:tcW w:w="240" w:type="dxa"/>
            <w:vAlign w:val="bottom"/>
          </w:tcPr>
          <w:p>
            <w:pPr>
              <w:spacing w:after="0"/>
              <w:rPr>
                <w:sz w:val="23"/>
                <w:szCs w:val="23"/>
                <w:color w:val="auto"/>
              </w:rPr>
            </w:pPr>
          </w:p>
        </w:tc>
        <w:tc>
          <w:tcPr>
            <w:tcW w:w="1260" w:type="dxa"/>
            <w:vAlign w:val="bottom"/>
            <w:gridSpan w:val="2"/>
          </w:tcPr>
          <w:p>
            <w:pPr>
              <w:jc w:val="right"/>
              <w:ind w:right="400"/>
              <w:spacing w:after="0" w:line="271" w:lineRule="exact"/>
              <w:rPr>
                <w:sz w:val="20"/>
                <w:szCs w:val="20"/>
                <w:color w:val="auto"/>
              </w:rPr>
            </w:pPr>
            <w:r>
              <w:rPr>
                <w:rFonts w:ascii="Arial" w:cs="Arial" w:eastAsia="Arial" w:hAnsi="Arial"/>
                <w:sz w:val="18"/>
                <w:szCs w:val="18"/>
                <w:b w:val="1"/>
                <w:bCs w:val="1"/>
                <w:color w:val="auto"/>
                <w:w w:val="88"/>
              </w:rPr>
              <w:t xml:space="preserve">Awards </w:t>
            </w:r>
            <w:r>
              <w:rPr>
                <w:rFonts w:ascii="Arial" w:cs="Arial" w:eastAsia="Arial" w:hAnsi="Arial"/>
                <w:sz w:val="30"/>
                <w:szCs w:val="30"/>
                <w:b w:val="1"/>
                <w:bCs w:val="1"/>
                <w:color w:val="auto"/>
                <w:w w:val="88"/>
                <w:vertAlign w:val="superscript"/>
              </w:rPr>
              <w:t>(6)</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9"/>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Year</w:t>
            </w:r>
          </w:p>
        </w:tc>
        <w:tc>
          <w:tcPr>
            <w:tcW w:w="12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rPr>
              <w:t>Year</w:t>
            </w:r>
          </w:p>
        </w:tc>
        <w:tc>
          <w:tcPr>
            <w:tcW w:w="126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197,500</w:t>
            </w:r>
          </w:p>
        </w:tc>
        <w:tc>
          <w:tcPr>
            <w:tcW w:w="1500" w:type="dxa"/>
            <w:vAlign w:val="bottom"/>
            <w:gridSpan w:val="3"/>
            <w:shd w:val="clear" w:color="auto" w:fill="CCEEFF"/>
          </w:tcPr>
          <w:p>
            <w:pPr>
              <w:jc w:val="right"/>
              <w:ind w:right="100"/>
              <w:spacing w:after="0" w:line="243" w:lineRule="exact"/>
              <w:rPr>
                <w:sz w:val="20"/>
                <w:szCs w:val="20"/>
                <w:color w:val="auto"/>
              </w:rPr>
            </w:pPr>
            <w:r>
              <w:rPr>
                <w:rFonts w:ascii="Arial" w:cs="Arial" w:eastAsia="Arial" w:hAnsi="Arial"/>
                <w:sz w:val="18"/>
                <w:szCs w:val="18"/>
                <w:color w:val="auto"/>
              </w:rPr>
              <w:t>641,934</w:t>
            </w:r>
            <w:r>
              <w:rPr>
                <w:rFonts w:ascii="Arial" w:cs="Arial" w:eastAsia="Arial" w:hAnsi="Arial"/>
                <w:sz w:val="24"/>
                <w:szCs w:val="24"/>
                <w:color w:val="auto"/>
                <w:vertAlign w:val="superscript"/>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1,264,031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385,107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173,750</w:t>
            </w:r>
          </w:p>
        </w:tc>
        <w:tc>
          <w:tcPr>
            <w:tcW w:w="1500" w:type="dxa"/>
            <w:vAlign w:val="bottom"/>
            <w:gridSpan w:val="3"/>
          </w:tcPr>
          <w:p>
            <w:pPr>
              <w:jc w:val="right"/>
              <w:ind w:right="100"/>
              <w:spacing w:after="0" w:line="243" w:lineRule="exact"/>
              <w:rPr>
                <w:sz w:val="20"/>
                <w:szCs w:val="20"/>
                <w:color w:val="auto"/>
              </w:rPr>
            </w:pPr>
            <w:r>
              <w:rPr>
                <w:rFonts w:ascii="Arial" w:cs="Arial" w:eastAsia="Arial" w:hAnsi="Arial"/>
                <w:sz w:val="18"/>
                <w:szCs w:val="18"/>
                <w:color w:val="auto"/>
              </w:rPr>
              <w:t>757,210</w:t>
            </w:r>
            <w:r>
              <w:rPr>
                <w:rFonts w:ascii="Arial" w:cs="Arial" w:eastAsia="Arial" w:hAnsi="Arial"/>
                <w:sz w:val="24"/>
                <w:szCs w:val="24"/>
                <w:color w:val="auto"/>
                <w:vertAlign w:val="superscript"/>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1,316,067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tcPr>
          <w:p>
            <w:pPr>
              <w:spacing w:after="0" w:line="243"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376,224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500" w:type="dxa"/>
            <w:vAlign w:val="bottom"/>
            <w:gridSpan w:val="3"/>
          </w:tcPr>
          <w:p>
            <w:pPr>
              <w:jc w:val="right"/>
              <w:ind w:right="100"/>
              <w:spacing w:after="0" w:line="243" w:lineRule="exact"/>
              <w:rPr>
                <w:sz w:val="20"/>
                <w:szCs w:val="20"/>
                <w:color w:val="auto"/>
              </w:rPr>
            </w:pPr>
            <w:r>
              <w:rPr>
                <w:rFonts w:ascii="Arial" w:cs="Arial" w:eastAsia="Arial" w:hAnsi="Arial"/>
                <w:sz w:val="18"/>
                <w:szCs w:val="18"/>
                <w:color w:val="auto"/>
              </w:rPr>
              <w:t>436,980</w:t>
            </w:r>
            <w:r>
              <w:rPr>
                <w:rFonts w:ascii="Arial" w:cs="Arial" w:eastAsia="Arial" w:hAnsi="Arial"/>
                <w:sz w:val="24"/>
                <w:szCs w:val="24"/>
                <w:color w:val="auto"/>
                <w:vertAlign w:val="superscript"/>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938,204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152,500</w:t>
            </w:r>
          </w:p>
        </w:tc>
        <w:tc>
          <w:tcPr>
            <w:tcW w:w="1500" w:type="dxa"/>
            <w:vAlign w:val="bottom"/>
            <w:gridSpan w:val="3"/>
            <w:shd w:val="clear" w:color="auto" w:fill="CCEEFF"/>
          </w:tcPr>
          <w:p>
            <w:pPr>
              <w:jc w:val="right"/>
              <w:ind w:right="100"/>
              <w:spacing w:after="0" w:line="243" w:lineRule="exact"/>
              <w:rPr>
                <w:sz w:val="20"/>
                <w:szCs w:val="20"/>
                <w:color w:val="auto"/>
              </w:rPr>
            </w:pPr>
            <w:r>
              <w:rPr>
                <w:rFonts w:ascii="Arial" w:cs="Arial" w:eastAsia="Arial" w:hAnsi="Arial"/>
                <w:sz w:val="18"/>
                <w:szCs w:val="18"/>
                <w:color w:val="auto"/>
              </w:rPr>
              <w:t>520,946</w:t>
            </w:r>
            <w:r>
              <w:rPr>
                <w:rFonts w:ascii="Arial" w:cs="Arial" w:eastAsia="Arial" w:hAnsi="Arial"/>
                <w:sz w:val="24"/>
                <w:szCs w:val="24"/>
                <w:color w:val="auto"/>
                <w:vertAlign w:val="superscript"/>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500" w:type="dxa"/>
            <w:vAlign w:val="bottom"/>
            <w:gridSpan w:val="3"/>
            <w:shd w:val="clear" w:color="auto" w:fill="CCEEFF"/>
          </w:tcPr>
          <w:p>
            <w:pPr>
              <w:jc w:val="right"/>
              <w:ind w:right="100"/>
              <w:spacing w:after="0" w:line="243" w:lineRule="exact"/>
              <w:rPr>
                <w:sz w:val="20"/>
                <w:szCs w:val="20"/>
                <w:color w:val="auto"/>
              </w:rPr>
            </w:pPr>
            <w:r>
              <w:rPr>
                <w:rFonts w:ascii="Arial" w:cs="Arial" w:eastAsia="Arial" w:hAnsi="Arial"/>
                <w:sz w:val="18"/>
                <w:szCs w:val="18"/>
                <w:color w:val="auto"/>
              </w:rPr>
              <w:t>458,461</w:t>
            </w:r>
            <w:r>
              <w:rPr>
                <w:rFonts w:ascii="Arial" w:cs="Arial" w:eastAsia="Arial" w:hAnsi="Arial"/>
                <w:sz w:val="24"/>
                <w:szCs w:val="24"/>
                <w:color w:val="auto"/>
                <w:vertAlign w:val="superscript"/>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959,685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275,737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0"/>
              <w:spacing w:after="0" w:line="243" w:lineRule="exact"/>
              <w:rPr>
                <w:sz w:val="20"/>
                <w:szCs w:val="20"/>
                <w:color w:val="auto"/>
              </w:rPr>
            </w:pPr>
            <w:r>
              <w:rPr>
                <w:rFonts w:ascii="Arial" w:cs="Arial" w:eastAsia="Arial" w:hAnsi="Arial"/>
                <w:sz w:val="18"/>
                <w:szCs w:val="18"/>
                <w:color w:val="auto"/>
              </w:rPr>
              <w:t>654,238</w:t>
            </w:r>
            <w:r>
              <w:rPr>
                <w:rFonts w:ascii="Arial" w:cs="Arial" w:eastAsia="Arial" w:hAnsi="Arial"/>
                <w:sz w:val="24"/>
                <w:szCs w:val="24"/>
                <w:color w:val="auto"/>
                <w:vertAlign w:val="superscript"/>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929,975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322,477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500" w:type="dxa"/>
            <w:vAlign w:val="bottom"/>
            <w:gridSpan w:val="3"/>
          </w:tcPr>
          <w:p>
            <w:pPr>
              <w:jc w:val="right"/>
              <w:ind w:right="100"/>
              <w:spacing w:after="0" w:line="243" w:lineRule="exact"/>
              <w:rPr>
                <w:sz w:val="20"/>
                <w:szCs w:val="20"/>
                <w:color w:val="auto"/>
              </w:rPr>
            </w:pPr>
            <w:r>
              <w:rPr>
                <w:rFonts w:ascii="Arial" w:cs="Arial" w:eastAsia="Arial" w:hAnsi="Arial"/>
                <w:sz w:val="18"/>
                <w:szCs w:val="18"/>
                <w:color w:val="auto"/>
              </w:rPr>
              <w:t>423,935</w:t>
            </w:r>
            <w:r>
              <w:rPr>
                <w:rFonts w:ascii="Arial" w:cs="Arial" w:eastAsia="Arial" w:hAnsi="Arial"/>
                <w:sz w:val="24"/>
                <w:szCs w:val="24"/>
                <w:color w:val="auto"/>
                <w:vertAlign w:val="superscript"/>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871,412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289,583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500" w:type="dxa"/>
            <w:vAlign w:val="bottom"/>
            <w:gridSpan w:val="3"/>
            <w:shd w:val="clear" w:color="auto" w:fill="CCEEFF"/>
          </w:tcPr>
          <w:p>
            <w:pPr>
              <w:jc w:val="right"/>
              <w:ind w:right="100"/>
              <w:spacing w:after="0" w:line="243" w:lineRule="exact"/>
              <w:rPr>
                <w:sz w:val="20"/>
                <w:szCs w:val="20"/>
                <w:color w:val="auto"/>
              </w:rPr>
            </w:pPr>
            <w:r>
              <w:rPr>
                <w:rFonts w:ascii="Arial" w:cs="Arial" w:eastAsia="Arial" w:hAnsi="Arial"/>
                <w:sz w:val="18"/>
                <w:szCs w:val="18"/>
                <w:color w:val="auto"/>
              </w:rPr>
              <w:t>318,018</w:t>
            </w:r>
            <w:r>
              <w:rPr>
                <w:rFonts w:ascii="Arial" w:cs="Arial" w:eastAsia="Arial" w:hAnsi="Arial"/>
                <w:sz w:val="24"/>
                <w:szCs w:val="24"/>
                <w:color w:val="auto"/>
                <w:vertAlign w:val="superscript"/>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707,601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80"/>
              <w:spacing w:after="0"/>
              <w:rPr>
                <w:sz w:val="20"/>
                <w:szCs w:val="20"/>
                <w:color w:val="auto"/>
              </w:rPr>
            </w:pPr>
            <w:r>
              <w:rPr>
                <w:rFonts w:ascii="Arial" w:cs="Arial" w:eastAsia="Arial" w:hAnsi="Arial"/>
                <w:sz w:val="18"/>
                <w:szCs w:val="18"/>
                <w:i w:val="1"/>
                <w:iCs w:val="1"/>
                <w:color w:val="auto"/>
              </w:rPr>
              <w:t>Officer and Secretary</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tcPr>
          <w:p>
            <w:pPr>
              <w:spacing w:after="0" w:line="243"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240,833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500" w:type="dxa"/>
            <w:vAlign w:val="bottom"/>
            <w:gridSpan w:val="3"/>
          </w:tcPr>
          <w:p>
            <w:pPr>
              <w:jc w:val="right"/>
              <w:ind w:right="100"/>
              <w:spacing w:after="0" w:line="243" w:lineRule="exact"/>
              <w:rPr>
                <w:sz w:val="20"/>
                <w:szCs w:val="20"/>
                <w:color w:val="auto"/>
              </w:rPr>
            </w:pPr>
            <w:r>
              <w:rPr>
                <w:rFonts w:ascii="Arial" w:cs="Arial" w:eastAsia="Arial" w:hAnsi="Arial"/>
                <w:sz w:val="18"/>
                <w:szCs w:val="18"/>
                <w:color w:val="auto"/>
              </w:rPr>
              <w:t>323,984</w:t>
            </w:r>
            <w:r>
              <w:rPr>
                <w:rFonts w:ascii="Arial" w:cs="Arial" w:eastAsia="Arial" w:hAnsi="Arial"/>
                <w:sz w:val="24"/>
                <w:szCs w:val="24"/>
                <w:color w:val="auto"/>
                <w:vertAlign w:val="superscript"/>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624,817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 Development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hanging="352"/>
        <w:spacing w:after="0" w:line="291"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In our fiscal years ended March 31, 2018 and 2017, Mr. Singh’s annual base cash salary, pursuant to his January 2010 employment agreement, as amended in June 2016, was contractually set at $395,000. The Compensation Committee adjusted Mr. Singh’s base annual salary to $434,460 effective in July 2017. Pursuant to his employment agreement, Mr. Singh is eligible to receive an annual cash incentive bonus of up to fifty percent (50%) of his base cash salary. The base salary amount for the fiscal year ended March 31, 2017 excludes $226,207 paid to Mr. Singh in fiscal 2017 for accrued but unpaid salary earned and expensed in years prior to fiscal 2016.</w:t>
      </w:r>
    </w:p>
    <w:p>
      <w:pPr>
        <w:spacing w:after="0" w:line="174" w:lineRule="exact"/>
        <w:rPr>
          <w:rFonts w:ascii="Arial" w:cs="Arial" w:eastAsia="Arial" w:hAnsi="Arial"/>
          <w:sz w:val="16"/>
          <w:szCs w:val="16"/>
          <w:color w:val="auto"/>
        </w:rPr>
      </w:pPr>
    </w:p>
    <w:p>
      <w:pPr>
        <w:jc w:val="both"/>
        <w:ind w:left="360" w:hanging="352"/>
        <w:spacing w:after="0" w:line="253"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2018 and 2017, Dr. Snodgrass’ annual base cash salary, pursuant to his January 2010 employment agreement, as amended in June 2016, was contractually set at $350,000. The Compensation Committee adjusted Dr. Snodgrass’ base annual salary to $384,965 effective in July 2017. Pursuant to his employment agreement, Dr. Snodgrass is eligible to receive an annual cash incentive bonus of up to fifty percent (50%) of his base cash salary. The base salary amount for the fiscal year ended March 31, 2017 excludes $75,359 paid to Dr. Snodgrass in fiscal 2017 for accrued but unpaid salary earned and expensed in years prior to fiscal 2016.</w:t>
      </w:r>
    </w:p>
    <w:p>
      <w:pPr>
        <w:spacing w:after="0" w:line="201" w:lineRule="exact"/>
        <w:rPr>
          <w:rFonts w:ascii="Arial" w:cs="Arial" w:eastAsia="Arial" w:hAnsi="Arial"/>
          <w:sz w:val="18"/>
          <w:szCs w:val="18"/>
          <w:color w:val="auto"/>
        </w:rPr>
      </w:pPr>
    </w:p>
    <w:p>
      <w:pPr>
        <w:ind w:left="360" w:hanging="352"/>
        <w:spacing w:after="0" w:line="332"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Dr. Smith became our Chief Medical Officer upon his employment effective June 18, 2016. During our fiscal year ended March 31, 2017, Dr. Smith’s annual base cash salary was $350,000. The Compensation Committee adjusted Dr. Smith’s base annual salary to $384,965 effective in July 2017.</w:t>
      </w:r>
    </w:p>
    <w:p>
      <w:pPr>
        <w:spacing w:after="0" w:line="139" w:lineRule="exact"/>
        <w:rPr>
          <w:rFonts w:ascii="Arial" w:cs="Arial" w:eastAsia="Arial" w:hAnsi="Arial"/>
          <w:sz w:val="16"/>
          <w:szCs w:val="16"/>
          <w:color w:val="auto"/>
        </w:rPr>
      </w:pPr>
    </w:p>
    <w:p>
      <w:pPr>
        <w:jc w:val="both"/>
        <w:ind w:left="360" w:hanging="35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2017, Mr. Dotson’s annual base cash salary was $300,000. The Compensation Committee adjusted Mr. Dotson’s base annual salary to $329,970 effective in July 2017.</w:t>
      </w:r>
    </w:p>
    <w:p>
      <w:pPr>
        <w:spacing w:after="0" w:line="194"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Accordingly, no compensation information is provided for Mr. McPartland for our fiscal year ended March 31, 2017. The Compensation Committee adjusted Mr. McPartland’s base annual salary to $250,000 effective in July 2017.</w:t>
      </w:r>
    </w:p>
    <w:p>
      <w:pPr>
        <w:spacing w:after="0" w:line="194" w:lineRule="exact"/>
        <w:rPr>
          <w:rFonts w:ascii="Arial" w:cs="Arial" w:eastAsia="Arial" w:hAnsi="Arial"/>
          <w:sz w:val="18"/>
          <w:szCs w:val="18"/>
          <w:color w:val="auto"/>
        </w:rPr>
      </w:pPr>
    </w:p>
    <w:p>
      <w:pPr>
        <w:jc w:val="both"/>
        <w:ind w:left="360" w:hanging="352"/>
        <w:spacing w:after="0" w:line="291"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Mr. Singh, Dr. Snodgrass, Dr. Smith, Mr. Dotson and Mr. McPartland during the fiscal year presented,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the NEOs with respect to any of such options to purchase shares of our common stock awarded to them during the periods presented. To date, none of the NEOs have exercised any of such options to purchase common stock, and there can be no assurance that any of them will ever realize any of the ASC 718 grant date fair value amounts presented in the Option Awards column.</w:t>
      </w:r>
    </w:p>
    <w:p>
      <w:pPr>
        <w:spacing w:after="0" w:line="174" w:lineRule="exact"/>
        <w:rPr>
          <w:rFonts w:ascii="Arial" w:cs="Arial" w:eastAsia="Arial" w:hAnsi="Arial"/>
          <w:sz w:val="16"/>
          <w:szCs w:val="16"/>
          <w:color w:val="auto"/>
        </w:rPr>
      </w:pPr>
    </w:p>
    <w:p>
      <w:pPr>
        <w:jc w:val="both"/>
        <w:ind w:left="360" w:hanging="35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Mr. Singh, Dr. Snodgrass, Dr. Smith, Mr. Dotson and Mr. McPartland during Fiscal 2018 and the assumptions used in the Black Scholes Option Pricing Model to determine the grant date fair values of the respective awards and modifications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Option Award Compensation – Fiscal Year Ended March 31, 2018</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Option Grant</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Option Grant</w:t>
            </w: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Option Grant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4/26/2017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color w:val="auto"/>
                <w:w w:val="87"/>
              </w:rPr>
              <w:t>9/19/2017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8"/>
              </w:rPr>
              <w:t>2/2/2018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436,980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138,106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171,850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423,935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138,106</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323,984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863,161</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541,401</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880,731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2,285,293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Option Shares Granted - Fiscal Year Ended March 31, 2018</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Option Grant</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Option Grant</w:t>
            </w: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4/26/2017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color w:val="auto"/>
                <w:w w:val="87"/>
              </w:rPr>
              <w:t>9/19/2017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8"/>
              </w:rPr>
              <w:t>2/2/2018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6080" w:type="dxa"/>
            <w:vAlign w:val="bottom"/>
            <w:gridSpan w:val="2"/>
          </w:tcPr>
          <w:p>
            <w:pPr>
              <w:spacing w:after="0"/>
              <w:rPr>
                <w:sz w:val="20"/>
                <w:szCs w:val="20"/>
                <w:color w:val="auto"/>
              </w:rPr>
            </w:pPr>
            <w:r>
              <w:rPr>
                <w:rFonts w:ascii="Arial" w:cs="Arial" w:eastAsia="Arial" w:hAnsi="Arial"/>
                <w:sz w:val="18"/>
                <w:szCs w:val="18"/>
                <w:color w:val="auto"/>
              </w:rPr>
              <w:t>Option Award Assumptions – Fiscal Year Ended March 31, 2018</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Option Grant</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Option Grant</w:t>
            </w: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4/26/2017</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7"/>
              </w:rPr>
              <w:t>9/19/2017</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8"/>
              </w:rPr>
              <w:t>2/2/2018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Fair value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1,025,000</w:t>
            </w:r>
          </w:p>
        </w:tc>
        <w:tc>
          <w:tcPr>
            <w:tcW w:w="14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60" w:right="20" w:hanging="352"/>
        <w:spacing w:after="0" w:line="332"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Singh, Dr. Snodgrass, Dr. Smith and Mr. Dotson during Fiscal 2017 and the assumptions used in the Black Scholes Option Pricing Model to determine the grant date fair values of the respective awards and modifications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w w:val="96"/>
              </w:rPr>
              <w:t>Option Award Compensation – Fiscal Year Ended March 31, 2017</w:t>
            </w:r>
          </w:p>
        </w:tc>
        <w:tc>
          <w:tcPr>
            <w:tcW w:w="2320" w:type="dxa"/>
            <w:vAlign w:val="bottom"/>
          </w:tcPr>
          <w:p>
            <w:pPr>
              <w:spacing w:after="0"/>
              <w:rPr>
                <w:sz w:val="19"/>
                <w:szCs w:val="19"/>
                <w:color w:val="auto"/>
              </w:rPr>
            </w:pP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w w:val="96"/>
              </w:rPr>
              <w:t>Option Grant</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Option Grant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6/19/2016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11/9/2016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272,510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Snodgrass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218,008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Dotson</w:t>
            </w:r>
          </w:p>
        </w:tc>
        <w:tc>
          <w:tcPr>
            <w:tcW w:w="2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181,763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0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844,781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2,250,412</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510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CCEEFF"/>
              <w:bottom w:val="single" w:sz="8" w:color="auto"/>
            </w:tcBorders>
          </w:tcPr>
          <w:p>
            <w:pPr>
              <w:jc w:val="right"/>
              <w:ind w:right="1492"/>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6"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Option Award Assumptions – Fiscal Year Ended March 31, 2017</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Option Grant</w:t>
            </w:r>
          </w:p>
        </w:tc>
      </w:tr>
      <w:tr>
        <w:trPr>
          <w:trHeight w:val="252"/>
        </w:trPr>
        <w:tc>
          <w:tcPr>
            <w:tcW w:w="7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2"/>
              </w:rPr>
              <w:t>6/19/2016</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2"/>
              </w:rPr>
              <w:t>11/9/2016</w:t>
            </w:r>
          </w:p>
        </w:tc>
        <w:tc>
          <w:tcPr>
            <w:tcW w:w="140" w:type="dxa"/>
            <w:vAlign w:val="bottom"/>
          </w:tcPr>
          <w:p>
            <w:pPr>
              <w:spacing w:after="0"/>
              <w:rPr>
                <w:sz w:val="21"/>
                <w:szCs w:val="2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21"/>
                <w:szCs w:val="21"/>
                <w:color w:val="auto"/>
              </w:rPr>
            </w:pPr>
          </w:p>
        </w:tc>
      </w:tr>
      <w:tr>
        <w:trPr>
          <w:trHeight w:val="242"/>
        </w:trPr>
        <w:tc>
          <w:tcPr>
            <w:tcW w:w="74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21"/>
                <w:szCs w:val="21"/>
                <w:color w:val="auto"/>
              </w:rPr>
            </w:pPr>
          </w:p>
        </w:tc>
      </w:tr>
      <w:tr>
        <w:trPr>
          <w:trHeight w:val="24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2"/>
        </w:trPr>
        <w:tc>
          <w:tcPr>
            <w:tcW w:w="744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79.82%</w:t>
            </w: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83.17%</w:t>
            </w:r>
          </w:p>
        </w:tc>
      </w:tr>
      <w:tr>
        <w:trPr>
          <w:trHeight w:val="24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21"/>
                <w:szCs w:val="21"/>
                <w:color w:val="auto"/>
              </w:rPr>
            </w:pPr>
          </w:p>
        </w:tc>
      </w:tr>
      <w:tr>
        <w:trPr>
          <w:trHeight w:val="242"/>
        </w:trPr>
        <w:tc>
          <w:tcPr>
            <w:tcW w:w="744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44"/>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7440" w:type="dxa"/>
            <w:vAlign w:val="bottom"/>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21"/>
                <w:szCs w:val="21"/>
                <w:color w:val="auto"/>
              </w:rPr>
            </w:pPr>
          </w:p>
        </w:tc>
      </w:tr>
      <w:tr>
        <w:trPr>
          <w:trHeight w:val="24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40" w:type="dxa"/>
            <w:vAlign w:val="bottom"/>
            <w:shd w:val="clear" w:color="auto" w:fill="CCEEFF"/>
          </w:tcPr>
          <w:p>
            <w:pPr>
              <w:spacing w:after="0"/>
              <w:rPr>
                <w:sz w:val="21"/>
                <w:szCs w:val="21"/>
                <w:color w:val="auto"/>
              </w:rPr>
            </w:pPr>
          </w:p>
        </w:tc>
      </w:tr>
    </w:tbl>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19, 2016, Mr. Singh, Dr. Snodgrass, Dr. Smith and Mr. Dotson were granted options to purchase 200,000, 125,000, 180,000 and 75,000 restricted shares of our common stock, respectively. On November 9, 2016, Mr. Singh, Dr. Snodgrass, Dr. Smith and Mr. Dotson were granted options to purchase 100,000, 80,000, 80,000 and 50,000 restricted shares of our common stock, respectively.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None of the NEOs is entitled to any perquisites or other personal benefits that, in the aggregate, are worth over $50,000 or over 10% of their base salary.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Outstanding Warrants and Options at March 31, 2018</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89"/>
              </w:rPr>
              <w:t>Stock Options and Warrants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b w:val="1"/>
                <w:bCs w:val="1"/>
                <w:color w:val="auto"/>
                <w:w w:val="88"/>
              </w:rPr>
              <w:t>Number of</w:t>
            </w:r>
          </w:p>
        </w:tc>
        <w:tc>
          <w:tcPr>
            <w:tcW w:w="1360" w:type="dxa"/>
            <w:vAlign w:val="bottom"/>
            <w:tcBorders>
              <w:top w:val="single" w:sz="8" w:color="auto"/>
            </w:tcBorders>
            <w:gridSpan w:val="3"/>
          </w:tcPr>
          <w:p>
            <w:pPr>
              <w:jc w:val="center"/>
              <w:ind w:right="260"/>
              <w:spacing w:after="0" w:line="201" w:lineRule="exact"/>
              <w:rPr>
                <w:sz w:val="20"/>
                <w:szCs w:val="20"/>
                <w:color w:val="auto"/>
              </w:rPr>
            </w:pPr>
            <w:r>
              <w:rPr>
                <w:rFonts w:ascii="Arial" w:cs="Arial" w:eastAsia="Arial" w:hAnsi="Arial"/>
                <w:sz w:val="18"/>
                <w:szCs w:val="18"/>
                <w:b w:val="1"/>
                <w:bCs w:val="1"/>
                <w:color w:val="auto"/>
                <w:w w:val="91"/>
              </w:rPr>
              <w:t>Number of</w:t>
            </w: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Securities</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Underlying</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Unexercised</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Unexercised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Options and</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Options and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Warrants</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Warrants</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3"/>
              </w:rPr>
              <w:t>Exercise</w:t>
            </w: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40" w:type="dxa"/>
            <w:vAlign w:val="bottom"/>
            <w:gridSpan w:val="2"/>
          </w:tcPr>
          <w:p>
            <w:pPr>
              <w:jc w:val="center"/>
              <w:ind w:left="32"/>
              <w:spacing w:after="0" w:line="189" w:lineRule="exact"/>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86"/>
              </w:rPr>
              <w:t>Price</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Exercisable</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Unexercisable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Shawn K. Singh</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1,125</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21,250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4,017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1,786</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72,000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250,000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87,499</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112,501</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140"/>
              <w:spacing w:after="0" w:line="216" w:lineRule="exact"/>
              <w:rPr>
                <w:sz w:val="20"/>
                <w:szCs w:val="20"/>
                <w:color w:val="auto"/>
              </w:rPr>
            </w:pPr>
            <w:r>
              <w:rPr>
                <w:rFonts w:ascii="Arial" w:cs="Arial" w:eastAsia="Arial" w:hAnsi="Arial"/>
                <w:sz w:val="18"/>
                <w:szCs w:val="18"/>
                <w:color w:val="auto"/>
              </w:rPr>
              <w:t>44,444</w:t>
            </w:r>
            <w:r>
              <w:rPr>
                <w:rFonts w:ascii="Arial" w:cs="Arial" w:eastAsia="Arial" w:hAnsi="Arial"/>
                <w:sz w:val="24"/>
                <w:szCs w:val="24"/>
                <w:color w:val="auto"/>
                <w:vertAlign w:val="superscript"/>
              </w:rPr>
              <w:t>(2)</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55,556</w:t>
            </w:r>
            <w:r>
              <w:rPr>
                <w:rFonts w:ascii="Arial" w:cs="Arial" w:eastAsia="Arial" w:hAnsi="Arial"/>
                <w:sz w:val="24"/>
                <w:szCs w:val="24"/>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175,000</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62,499</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62,501</w:t>
            </w:r>
            <w:r>
              <w:rPr>
                <w:rFonts w:ascii="Arial" w:cs="Arial" w:eastAsia="Arial" w:hAnsi="Arial"/>
                <w:sz w:val="24"/>
                <w:szCs w:val="24"/>
                <w:color w:val="auto"/>
                <w:vertAlign w:val="superscript"/>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9/19/2027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84,375</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215,625</w:t>
            </w:r>
            <w:r>
              <w:rPr>
                <w:rFonts w:ascii="Arial" w:cs="Arial" w:eastAsia="Arial" w:hAnsi="Arial"/>
                <w:sz w:val="24"/>
                <w:szCs w:val="24"/>
                <w:color w:val="auto"/>
                <w:vertAlign w:val="superscript"/>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686,995</w:t>
            </w:r>
          </w:p>
        </w:tc>
        <w:tc>
          <w:tcPr>
            <w:tcW w:w="1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621,183</w:t>
            </w: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 Ralph Snodgrass, Ph.D.</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2,500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12,500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2,500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54,687</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70,313</w:t>
            </w:r>
            <w:r>
              <w:rPr>
                <w:rFonts w:ascii="Arial" w:cs="Arial" w:eastAsia="Arial" w:hAnsi="Arial"/>
                <w:sz w:val="24"/>
                <w:szCs w:val="24"/>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35,555</w:t>
            </w:r>
            <w:r>
              <w:rPr>
                <w:rFonts w:ascii="Arial" w:cs="Arial" w:eastAsia="Arial" w:hAnsi="Arial"/>
                <w:sz w:val="24"/>
                <w:szCs w:val="24"/>
                <w:color w:val="auto"/>
                <w:vertAlign w:val="superscript"/>
              </w:rPr>
              <w:t>(2)</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44,445</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125,000</w:t>
            </w:r>
            <w:r>
              <w:rPr>
                <w:rFonts w:ascii="Arial" w:cs="Arial" w:eastAsia="Arial" w:hAnsi="Arial"/>
                <w:sz w:val="24"/>
                <w:szCs w:val="24"/>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4/26/2027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49,999</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50,001</w:t>
            </w:r>
            <w:r>
              <w:rPr>
                <w:rFonts w:ascii="Arial" w:cs="Arial" w:eastAsia="Arial" w:hAnsi="Arial"/>
                <w:sz w:val="24"/>
                <w:szCs w:val="24"/>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49,218</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125,782</w:t>
            </w:r>
            <w:r>
              <w:rPr>
                <w:rFonts w:ascii="Arial" w:cs="Arial" w:eastAsia="Arial" w:hAnsi="Arial"/>
                <w:sz w:val="24"/>
                <w:szCs w:val="24"/>
                <w:color w:val="auto"/>
                <w:vertAlign w:val="superscript"/>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515,709</w:t>
            </w:r>
          </w:p>
        </w:tc>
        <w:tc>
          <w:tcPr>
            <w:tcW w:w="1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415,541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Mark A. Smith, M.D. Ph.D.</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78,749</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101,251</w:t>
            </w:r>
            <w:r>
              <w:rPr>
                <w:rFonts w:ascii="Arial" w:cs="Arial" w:eastAsia="Arial" w:hAnsi="Arial"/>
                <w:sz w:val="24"/>
                <w:szCs w:val="24"/>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35,555</w:t>
            </w:r>
            <w:r>
              <w:rPr>
                <w:rFonts w:ascii="Arial" w:cs="Arial" w:eastAsia="Arial" w:hAnsi="Arial"/>
                <w:sz w:val="24"/>
                <w:szCs w:val="24"/>
                <w:color w:val="auto"/>
                <w:vertAlign w:val="superscript"/>
              </w:rPr>
              <w:t>(2)</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44,445</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125,000</w:t>
            </w:r>
            <w:r>
              <w:rPr>
                <w:rFonts w:ascii="Arial" w:cs="Arial" w:eastAsia="Arial" w:hAnsi="Arial"/>
                <w:sz w:val="24"/>
                <w:szCs w:val="24"/>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4/26/2027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49,999</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50,001</w:t>
            </w:r>
            <w:r>
              <w:rPr>
                <w:rFonts w:ascii="Arial" w:cs="Arial" w:eastAsia="Arial" w:hAnsi="Arial"/>
                <w:sz w:val="24"/>
                <w:szCs w:val="24"/>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56,250</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143,750</w:t>
            </w:r>
            <w:r>
              <w:rPr>
                <w:rFonts w:ascii="Arial" w:cs="Arial" w:eastAsia="Arial" w:hAnsi="Arial"/>
                <w:sz w:val="24"/>
                <w:szCs w:val="24"/>
                <w:color w:val="auto"/>
                <w:vertAlign w:val="superscript"/>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220,553</w:t>
            </w:r>
          </w:p>
        </w:tc>
        <w:tc>
          <w:tcPr>
            <w:tcW w:w="1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464,447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32,812</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42,188</w:t>
            </w:r>
            <w:r>
              <w:rPr>
                <w:rFonts w:ascii="Arial" w:cs="Arial" w:eastAsia="Arial" w:hAnsi="Arial"/>
                <w:sz w:val="24"/>
                <w:szCs w:val="24"/>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22,222</w:t>
            </w:r>
            <w:r>
              <w:rPr>
                <w:rFonts w:ascii="Arial" w:cs="Arial" w:eastAsia="Arial" w:hAnsi="Arial"/>
                <w:sz w:val="24"/>
                <w:szCs w:val="24"/>
                <w:color w:val="auto"/>
                <w:vertAlign w:val="superscript"/>
              </w:rPr>
              <w:t>(2)</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27,778</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100,000</w:t>
            </w:r>
            <w:r>
              <w:rPr>
                <w:rFonts w:ascii="Arial" w:cs="Arial" w:eastAsia="Arial" w:hAnsi="Arial"/>
                <w:sz w:val="24"/>
                <w:szCs w:val="24"/>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4/26/2027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49,999</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50,001</w:t>
            </w:r>
            <w:r>
              <w:rPr>
                <w:rFonts w:ascii="Arial" w:cs="Arial" w:eastAsia="Arial" w:hAnsi="Arial"/>
                <w:sz w:val="24"/>
                <w:szCs w:val="24"/>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56,250</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143,750</w:t>
            </w:r>
            <w:r>
              <w:rPr>
                <w:rFonts w:ascii="Arial" w:cs="Arial" w:eastAsia="Arial" w:hAnsi="Arial"/>
                <w:sz w:val="24"/>
                <w:szCs w:val="24"/>
                <w:color w:val="auto"/>
                <w:vertAlign w:val="superscript"/>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232,284</w:t>
            </w:r>
          </w:p>
        </w:tc>
        <w:tc>
          <w:tcPr>
            <w:tcW w:w="1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363,717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46,874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78,126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140"/>
              <w:spacing w:after="0" w:line="216" w:lineRule="exact"/>
              <w:rPr>
                <w:sz w:val="20"/>
                <w:szCs w:val="20"/>
                <w:color w:val="auto"/>
              </w:rPr>
            </w:pPr>
            <w:r>
              <w:rPr>
                <w:rFonts w:ascii="Arial" w:cs="Arial" w:eastAsia="Arial" w:hAnsi="Arial"/>
                <w:sz w:val="18"/>
                <w:szCs w:val="18"/>
                <w:color w:val="auto"/>
              </w:rPr>
              <w:t>17,777</w:t>
            </w:r>
            <w:r>
              <w:rPr>
                <w:rFonts w:ascii="Arial" w:cs="Arial" w:eastAsia="Arial" w:hAnsi="Arial"/>
                <w:sz w:val="24"/>
                <w:szCs w:val="24"/>
                <w:color w:val="auto"/>
                <w:vertAlign w:val="superscript"/>
              </w:rPr>
              <w:t>(6)</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22,223</w:t>
            </w:r>
            <w:r>
              <w:rPr>
                <w:rFonts w:ascii="Arial" w:cs="Arial" w:eastAsia="Arial" w:hAnsi="Arial"/>
                <w:sz w:val="24"/>
                <w:szCs w:val="24"/>
                <w:color w:val="auto"/>
                <w:vertAlign w:val="superscript"/>
              </w:rPr>
              <w:t>(6)</w:t>
            </w: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100,000</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24,999</w:t>
            </w:r>
          </w:p>
        </w:tc>
        <w:tc>
          <w:tcPr>
            <w:tcW w:w="13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rPr>
              <w:t>25,001</w:t>
            </w:r>
            <w:r>
              <w:rPr>
                <w:rFonts w:ascii="Arial" w:cs="Arial" w:eastAsia="Arial" w:hAnsi="Arial"/>
                <w:sz w:val="24"/>
                <w:szCs w:val="24"/>
                <w:color w:val="auto"/>
                <w:vertAlign w:val="superscript"/>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9/19/2027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42,187</w:t>
            </w:r>
          </w:p>
        </w:tc>
        <w:tc>
          <w:tcPr>
            <w:tcW w:w="1360" w:type="dxa"/>
            <w:vAlign w:val="bottom"/>
            <w:gridSpan w:val="3"/>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107,813</w:t>
            </w:r>
            <w:r>
              <w:rPr>
                <w:rFonts w:ascii="Arial" w:cs="Arial" w:eastAsia="Arial" w:hAnsi="Arial"/>
                <w:sz w:val="24"/>
                <w:szCs w:val="24"/>
                <w:color w:val="auto"/>
                <w:vertAlign w:val="superscript"/>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131,837</w:t>
            </w:r>
          </w:p>
        </w:tc>
        <w:tc>
          <w:tcPr>
            <w:tcW w:w="1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333,163</w:t>
            </w:r>
          </w:p>
        </w:tc>
        <w:tc>
          <w:tcPr>
            <w:tcW w:w="1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24" w:name="page25"/>
    <w:bookmarkEnd w:id="24"/>
    <w:p>
      <w:pPr>
        <w:jc w:val="both"/>
        <w:ind w:left="36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w:t>
      </w:r>
    </w:p>
    <w:p>
      <w:pPr>
        <w:spacing w:after="0" w:line="194"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November 9, 2016 when the market price of our common stock was $3.80 per share. The option became exercisable for 1/36th of the shares granted each month beginning December 9, 2016 through November 9, 2019, when all shares granted will be fully exercisable.</w:t>
      </w:r>
    </w:p>
    <w:p>
      <w:pPr>
        <w:spacing w:after="0" w:line="194"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April 26, 2017 when the market price of our common stock was $1.96 per share. The option become exercisable for 33.33% of the shares granted on April 26, 2018 with the remaining shares becoming exercisable ratably monthly through April 26, 2020, when all shares granted will be fully exercisable.</w:t>
      </w:r>
    </w:p>
    <w:p>
      <w:pPr>
        <w:spacing w:after="0" w:line="194"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September 19, 2017 when the market price of our common stock was $1.56 per share. The option became exercisable for 33.33% of the shares granted immediately upon grant, with the remaining shares becoming exercisable ratably monthly through September 19,2019, when all shares granted will be fully exercisable.</w:t>
      </w:r>
    </w:p>
    <w:p>
      <w:pPr>
        <w:spacing w:after="0" w:line="194"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February 2, 2018 when the market price of our common stock was $1.16 per share. The option became exercisable for 25% of the shares granted immediately upon grant, with the remaining shares becoming exercisable ratably monthly through February 2, 2020, when all shares granted will be fully exercisable.</w:t>
      </w:r>
    </w:p>
    <w:p>
      <w:pPr>
        <w:spacing w:after="0" w:line="194"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entered into an employment agreement with Mr. Singh on April 28, 2010. Under the agreement, as amended on June 22, 2016, Mr. Singh’s base salary was increased from $347,500 per year to $395,000 per year, effective June 16, 2016. The Compensation Committee adjusted Mr. Singh’s base annual salary to $434,460 effective in July 2017. Under his agreement, Mr. Singh is eligible to receive an annual incentive cash bonus of up to 50% of his base salary, and he received cash bonus payments of $197,500 and $173,750 in our fiscal years ended March 31, 2018 and 2017, respectively. Payment of his annual incentive bonus is at the discretion of our Board of Directors. In the event we terminate Mr. Singh’s employment without cause, he is entitled to receive severance in an amount equal to:</w:t>
      </w:r>
    </w:p>
    <w:p>
      <w:pPr>
        <w:spacing w:after="0" w:line="198" w:lineRule="exact"/>
        <w:rPr>
          <w:sz w:val="20"/>
          <w:szCs w:val="20"/>
          <w:color w:val="auto"/>
        </w:rPr>
      </w:pPr>
    </w:p>
    <w:p>
      <w:pPr>
        <w:ind w:left="820" w:hanging="21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820" w:hanging="216"/>
        <w:spacing w:after="0" w:line="26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June 22, 2016, Dr. Snodgrass’s base salary was increased from $305,000 per year to $350,000 per year, effective June 16, 2016. The Compensation Committee adjusted Dr. Snodgrass’ base annual salary to $384,965 effective in July 2017. Under his agreement, Dr. Snodgrass is eligible to receive an annual incentive cash bonus of up to 50% of his base salary, and he received cash bonus payments of $125,000 and $152,500 in our fiscal years ended March 31, 2018 and 2017, respectively. Payment of his annual incentive bonus is at the discretion of the Board of Directors. In the event we terminate Dr. Snodgrass’s employment without cause, he is entitled to receive severance in an amount equal to:</w:t>
      </w:r>
    </w:p>
    <w:p>
      <w:pPr>
        <w:spacing w:after="0" w:line="198" w:lineRule="exact"/>
        <w:rPr>
          <w:sz w:val="20"/>
          <w:szCs w:val="20"/>
          <w:color w:val="auto"/>
        </w:rPr>
      </w:pPr>
    </w:p>
    <w:p>
      <w:pPr>
        <w:ind w:left="820" w:hanging="21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820" w:hanging="21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61" w:lineRule="exact"/>
        <w:rPr>
          <w:sz w:val="20"/>
          <w:szCs w:val="20"/>
          <w:color w:val="auto"/>
        </w:rPr>
      </w:pPr>
    </w:p>
    <w:p>
      <w:pPr>
        <w:ind w:left="820" w:hanging="21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820" w:right="20" w:hanging="216"/>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6" w:name="page27"/>
    <w:bookmarkEnd w:id="26"/>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$434,460 for Mr. Singh and $384,965 for Dr. Snodgrass, excluding the imputed value of accelerated vesting of incentive stock options, if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STOCKHOLDERS MATTERS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July 20, 2018 for:</w:t>
      </w:r>
    </w:p>
    <w:p>
      <w:pPr>
        <w:spacing w:after="0" w:line="225" w:lineRule="exact"/>
        <w:rPr>
          <w:sz w:val="20"/>
          <w:szCs w:val="20"/>
          <w:color w:val="auto"/>
        </w:rPr>
      </w:pPr>
    </w:p>
    <w:p>
      <w:pPr>
        <w:ind w:left="820" w:hanging="21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Applicable percentage ownership is based on 23,347,615 shares of common stock outstanding at July 20, 2018.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July 20, 2018.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July 20, 2018. Unless otherwise noted below, the address of each beneficial owner listed in the table is c/o VistaGen Therapeutics, Inc., 343 Allerton Avenue, South San Francisco, California 94080.</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8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6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owned</w:t>
            </w:r>
          </w:p>
        </w:tc>
        <w:tc>
          <w:tcPr>
            <w:tcW w:w="280" w:type="dxa"/>
            <w:vAlign w:val="bottom"/>
          </w:tcPr>
          <w:p>
            <w:pPr>
              <w:spacing w:after="0"/>
              <w:rPr>
                <w:sz w:val="22"/>
                <w:szCs w:val="22"/>
                <w:color w:val="auto"/>
              </w:rPr>
            </w:pPr>
          </w:p>
        </w:tc>
        <w:tc>
          <w:tcPr>
            <w:tcW w:w="1220" w:type="dxa"/>
            <w:vAlign w:val="bottom"/>
            <w:gridSpan w:val="2"/>
          </w:tcPr>
          <w:p>
            <w:pPr>
              <w:jc w:val="center"/>
              <w:ind w:right="140"/>
              <w:spacing w:after="0" w:line="255" w:lineRule="exact"/>
              <w:rPr>
                <w:sz w:val="20"/>
                <w:szCs w:val="20"/>
                <w:color w:val="auto"/>
              </w:rPr>
            </w:pPr>
            <w:r>
              <w:rPr>
                <w:rFonts w:ascii="Arial" w:cs="Arial" w:eastAsia="Arial" w:hAnsi="Arial"/>
                <w:sz w:val="18"/>
                <w:szCs w:val="18"/>
                <w:b w:val="1"/>
                <w:bCs w:val="1"/>
                <w:color w:val="auto"/>
                <w:w w:val="83"/>
              </w:rPr>
              <w:t xml:space="preserve">owned </w:t>
            </w:r>
            <w:r>
              <w:rPr>
                <w:rFonts w:ascii="Arial" w:cs="Arial" w:eastAsia="Arial" w:hAnsi="Arial"/>
                <w:sz w:val="24"/>
                <w:szCs w:val="24"/>
                <w:color w:val="auto"/>
                <w:w w:val="83"/>
                <w:vertAlign w:val="superscript"/>
              </w:rPr>
              <w:t>(1)</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800" w:type="dxa"/>
            <w:vAlign w:val="bottom"/>
            <w:shd w:val="clear" w:color="auto" w:fill="CCEEFF"/>
          </w:tcPr>
          <w:p>
            <w:pPr>
              <w:spacing w:after="0" w:line="245"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1,052,112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Pr>
          <w:p>
            <w:pPr>
              <w:spacing w:after="0" w:line="243"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704,540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359,576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444,885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McPartland </w:t>
            </w:r>
            <w:r>
              <w:rPr>
                <w:rFonts w:ascii="Arial" w:cs="Arial" w:eastAsia="Arial" w:hAnsi="Arial"/>
                <w:sz w:val="24"/>
                <w:szCs w:val="24"/>
                <w:color w:val="auto"/>
                <w:vertAlign w:val="superscript"/>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Pr>
          <w:p>
            <w:pPr>
              <w:spacing w:after="0" w:line="243"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(7)</w:t>
            </w:r>
          </w:p>
        </w:tc>
        <w:tc>
          <w:tcPr>
            <w:tcW w:w="1100" w:type="dxa"/>
            <w:vAlign w:val="bottom"/>
          </w:tcPr>
          <w:p>
            <w:pPr>
              <w:jc w:val="right"/>
              <w:spacing w:after="0"/>
              <w:rPr>
                <w:sz w:val="20"/>
                <w:szCs w:val="20"/>
                <w:color w:val="auto"/>
              </w:rPr>
            </w:pPr>
            <w:r>
              <w:rPr>
                <w:rFonts w:ascii="Arial" w:cs="Arial" w:eastAsia="Arial" w:hAnsi="Arial"/>
                <w:sz w:val="18"/>
                <w:szCs w:val="18"/>
                <w:color w:val="auto"/>
              </w:rPr>
              <w:t>219,692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Pr>
          <w:p>
            <w:pPr>
              <w:spacing w:after="0" w:line="243"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(9)</w:t>
            </w:r>
          </w:p>
        </w:tc>
        <w:tc>
          <w:tcPr>
            <w:tcW w:w="1100" w:type="dxa"/>
            <w:vAlign w:val="bottom"/>
          </w:tcPr>
          <w:p>
            <w:pPr>
              <w:jc w:val="right"/>
              <w:spacing w:after="0"/>
              <w:rPr>
                <w:sz w:val="20"/>
                <w:szCs w:val="20"/>
                <w:color w:val="auto"/>
              </w:rPr>
            </w:pPr>
            <w:r>
              <w:rPr>
                <w:rFonts w:ascii="Arial" w:cs="Arial" w:eastAsia="Arial" w:hAnsi="Arial"/>
                <w:sz w:val="18"/>
                <w:szCs w:val="18"/>
                <w:color w:val="auto"/>
              </w:rPr>
              <w:t>348,191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Platinum Long Term Growth Fund VII/Montsant Partners, LLC </w:t>
            </w:r>
            <w:r>
              <w:rPr>
                <w:rFonts w:ascii="Arial" w:cs="Arial" w:eastAsia="Arial" w:hAnsi="Arial"/>
                <w:sz w:val="24"/>
                <w:szCs w:val="24"/>
                <w:color w:val="auto"/>
                <w:vertAlign w:val="superscript"/>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4,433,612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Pr>
          <w:p>
            <w:pPr>
              <w:spacing w:after="0" w:line="243" w:lineRule="exact"/>
              <w:rPr>
                <w:sz w:val="20"/>
                <w:szCs w:val="20"/>
                <w:color w:val="auto"/>
              </w:rPr>
            </w:pPr>
            <w:r>
              <w:rPr>
                <w:rFonts w:ascii="Arial" w:cs="Arial" w:eastAsia="Arial" w:hAnsi="Arial"/>
                <w:sz w:val="18"/>
                <w:szCs w:val="18"/>
                <w:color w:val="auto"/>
              </w:rPr>
              <w:t xml:space="preserve">Sphera Global Healthcare Master Fund </w:t>
            </w:r>
            <w:r>
              <w:rPr>
                <w:rFonts w:ascii="Arial" w:cs="Arial" w:eastAsia="Arial" w:hAnsi="Arial"/>
                <w:sz w:val="24"/>
                <w:szCs w:val="24"/>
                <w:color w:val="auto"/>
                <w:vertAlign w:val="superscript"/>
              </w:rPr>
              <w:t>(11)</w:t>
            </w:r>
          </w:p>
        </w:tc>
        <w:tc>
          <w:tcPr>
            <w:tcW w:w="1100" w:type="dxa"/>
            <w:vAlign w:val="bottom"/>
          </w:tcPr>
          <w:p>
            <w:pPr>
              <w:jc w:val="right"/>
              <w:spacing w:after="0"/>
              <w:rPr>
                <w:sz w:val="20"/>
                <w:szCs w:val="20"/>
                <w:color w:val="auto"/>
              </w:rPr>
            </w:pPr>
            <w:r>
              <w:rPr>
                <w:rFonts w:ascii="Arial" w:cs="Arial" w:eastAsia="Arial" w:hAnsi="Arial"/>
                <w:sz w:val="18"/>
                <w:szCs w:val="18"/>
                <w:color w:val="auto"/>
              </w:rPr>
              <w:t>1,247,251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8800" w:type="dxa"/>
            <w:vAlign w:val="bottom"/>
          </w:tcPr>
          <w:p>
            <w:pPr>
              <w:spacing w:after="0" w:line="235" w:lineRule="exact"/>
              <w:rPr>
                <w:sz w:val="20"/>
                <w:szCs w:val="20"/>
                <w:color w:val="auto"/>
              </w:rPr>
            </w:pPr>
            <w:r>
              <w:rPr>
                <w:rFonts w:ascii="Arial" w:cs="Arial" w:eastAsia="Arial" w:hAnsi="Arial"/>
                <w:sz w:val="18"/>
                <w:szCs w:val="18"/>
                <w:color w:val="auto"/>
              </w:rPr>
              <w:t xml:space="preserve">All executive officers and directors as a group (8 persons) </w:t>
            </w:r>
            <w:r>
              <w:rPr>
                <w:rFonts w:ascii="Arial" w:cs="Arial" w:eastAsia="Arial" w:hAnsi="Arial"/>
                <w:sz w:val="24"/>
                <w:szCs w:val="24"/>
                <w:color w:val="auto"/>
                <w:vertAlign w:val="superscript"/>
              </w:rPr>
              <w:t>(12)</w:t>
            </w:r>
          </w:p>
        </w:tc>
        <w:tc>
          <w:tcPr>
            <w:tcW w:w="1100" w:type="dxa"/>
            <w:vAlign w:val="bottom"/>
          </w:tcPr>
          <w:p>
            <w:pPr>
              <w:jc w:val="right"/>
              <w:spacing w:after="0"/>
              <w:rPr>
                <w:sz w:val="20"/>
                <w:szCs w:val="20"/>
                <w:color w:val="auto"/>
              </w:rPr>
            </w:pPr>
            <w:r>
              <w:rPr>
                <w:rFonts w:ascii="Arial" w:cs="Arial" w:eastAsia="Arial" w:hAnsi="Arial"/>
                <w:sz w:val="18"/>
                <w:szCs w:val="18"/>
                <w:color w:val="auto"/>
              </w:rPr>
              <w:t>3,574,973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23,347,615 shares of common stock issued and outstanding as of July 20, 2018.</w:t>
      </w:r>
    </w:p>
    <w:p>
      <w:pPr>
        <w:spacing w:after="0" w:line="225"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548,075 shares of common stock exercisable within 60 days of July 20, 2018 and warrants to purchase 477,803 restricted shares of common stock exercisable within 60 days of July 20, 2018.</w:t>
      </w:r>
    </w:p>
    <w:p>
      <w:pPr>
        <w:spacing w:after="0" w:line="185"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334,316 shares of common stock exercisable within 60 days of July 20, 2018 and warrants to purchase 310,000 restricted shares of common stock exercisable within 60 days of July 20, 2018.</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359,576 shares of common stock exercisable within 60 days of July 20, 2018.</w:t>
      </w:r>
    </w:p>
    <w:p>
      <w:pPr>
        <w:spacing w:after="0" w:line="225" w:lineRule="exact"/>
        <w:rPr>
          <w:rFonts w:ascii="Arial" w:cs="Arial" w:eastAsia="Arial" w:hAnsi="Arial"/>
          <w:sz w:val="18"/>
          <w:szCs w:val="18"/>
          <w:color w:val="auto"/>
        </w:rPr>
      </w:pPr>
    </w:p>
    <w:p>
      <w:pPr>
        <w:ind w:left="360" w:hanging="352"/>
        <w:spacing w:after="0" w:line="33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options to purchase 279,885 shares of common stock exercisable within 60 days of July 20, 2018, including options to purchase 626 shares of common stock held by Mr. Dotson’s wife, and warrants to purchase 165,000 restricted shares of common stock exercisable within 60 days of July 20, 2018.</w:t>
      </w:r>
    </w:p>
    <w:p>
      <w:pPr>
        <w:spacing w:after="0" w:line="139" w:lineRule="exact"/>
        <w:rPr>
          <w:rFonts w:ascii="Arial" w:cs="Arial" w:eastAsia="Arial" w:hAnsi="Arial"/>
          <w:sz w:val="16"/>
          <w:szCs w:val="16"/>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231,036 shares of common stock exercisable within 60 days of July 20, 2018.</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134,566 shares of common stock exercisable within 60 days of July 20, 2018 and warrants to purchase 83,250 restricted shares of common stock exercisable within 60 days of July 20, 2018.</w:t>
      </w:r>
    </w:p>
    <w:p>
      <w:pPr>
        <w:spacing w:after="0" w:line="18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132,441 shares of common stock exercisable within 60 days of July 20, 2018 and warrants to purchase 82,500 restricted shares of common stock exercisable within 60 days of July 20, 2018.</w:t>
      </w:r>
    </w:p>
    <w:p>
      <w:pPr>
        <w:spacing w:after="0" w:line="185"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options to purchase 148,191 shares of common stock exercisable within 60 days of July 20, 2018 and warrants to purchase 100,000 unregistered shares of common stock, including warrants to purchase 50,000 shares held by Dr. Gin’s wife, exercisable within 60 days of July 20, 2018.</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jc w:val="both"/>
        <w:ind w:left="360" w:hanging="352"/>
        <w:spacing w:after="0" w:line="285"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upon information contained in SEC Form 13G/A filed on February 18, 2015 by Platinum Long Term Growth Fund VII (</w:t>
      </w:r>
      <w:r>
        <w:rPr>
          <w:rFonts w:ascii="Arial" w:cs="Arial" w:eastAsia="Arial" w:hAnsi="Arial"/>
          <w:sz w:val="16"/>
          <w:szCs w:val="16"/>
          <w:i w:val="1"/>
          <w:iCs w:val="1"/>
          <w:color w:val="auto"/>
        </w:rPr>
        <w:t>PLTG</w:t>
      </w:r>
      <w:r>
        <w:rPr>
          <w:rFonts w:ascii="Arial" w:cs="Arial" w:eastAsia="Arial" w:hAnsi="Arial"/>
          <w:sz w:val="16"/>
          <w:szCs w:val="16"/>
          <w:color w:val="auto"/>
        </w:rPr>
        <w:t>) and adjusted to give effect to the transactions consummated between PLTG, Montsant Partners, LLC (</w:t>
      </w:r>
      <w:r>
        <w:rPr>
          <w:rFonts w:ascii="Arial" w:cs="Arial" w:eastAsia="Arial" w:hAnsi="Arial"/>
          <w:sz w:val="16"/>
          <w:szCs w:val="16"/>
          <w:i w:val="1"/>
          <w:iCs w:val="1"/>
          <w:color w:val="auto"/>
        </w:rPr>
        <w:t>Montsant</w:t>
      </w:r>
      <w:r>
        <w:rPr>
          <w:rFonts w:ascii="Arial" w:cs="Arial" w:eastAsia="Arial" w:hAnsi="Arial"/>
          <w:sz w:val="16"/>
          <w:szCs w:val="16"/>
          <w:color w:val="auto"/>
        </w:rPr>
        <w:t>), a PLTG affiliate, and Platinum Partners Value Arbitrage Fund, L.P. (In Official Liquidation) (</w:t>
      </w:r>
      <w:r>
        <w:rPr>
          <w:rFonts w:ascii="Arial" w:cs="Arial" w:eastAsia="Arial" w:hAnsi="Arial"/>
          <w:sz w:val="16"/>
          <w:szCs w:val="16"/>
          <w:i w:val="1"/>
          <w:iCs w:val="1"/>
          <w:color w:val="auto"/>
        </w:rPr>
        <w:t>PPVA</w:t>
      </w:r>
      <w:r>
        <w:rPr>
          <w:rFonts w:ascii="Arial" w:cs="Arial" w:eastAsia="Arial" w:hAnsi="Arial"/>
          <w:sz w:val="16"/>
          <w:szCs w:val="16"/>
          <w:color w:val="auto"/>
        </w:rPr>
        <w:t>), and us through July 20, 2018. 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Pursuant to the October 11, 2012 Note Exchange and Purchase Agreement by and between us and PLTG. There is, however, a limitation on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 providing us with 61 days’ prior notice thereof. 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but excludes shares of common stock that may be issued as payment of accrued but unpaid dividends on Montsant’s shares of Series B Preferred.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177" w:lineRule="exact"/>
        <w:rPr>
          <w:rFonts w:ascii="Arial" w:cs="Arial" w:eastAsia="Arial" w:hAnsi="Arial"/>
          <w:sz w:val="16"/>
          <w:szCs w:val="16"/>
          <w:color w:val="auto"/>
        </w:rPr>
      </w:pPr>
    </w:p>
    <w:p>
      <w:pPr>
        <w:jc w:val="both"/>
        <w:ind w:left="360"/>
        <w:spacing w:after="0" w:line="310" w:lineRule="auto"/>
        <w:rPr>
          <w:rFonts w:ascii="Arial" w:cs="Arial" w:eastAsia="Arial" w:hAnsi="Arial"/>
          <w:sz w:val="16"/>
          <w:szCs w:val="16"/>
          <w:color w:val="auto"/>
        </w:rPr>
      </w:pPr>
      <w:r>
        <w:rPr>
          <w:rFonts w:ascii="Arial" w:cs="Arial" w:eastAsia="Arial" w:hAnsi="Arial"/>
          <w:sz w:val="15"/>
          <w:szCs w:val="15"/>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 Excluding the shares otherwise subject to the beneficial ownership restrictions noted above, PLTG, Montsant and PPVA may be deemed to be the beneficial owner of 346,431 shares or 1.48% of our common stock.</w:t>
      </w:r>
    </w:p>
    <w:p>
      <w:pPr>
        <w:spacing w:after="0" w:line="162" w:lineRule="exact"/>
        <w:rPr>
          <w:rFonts w:ascii="Arial" w:cs="Arial" w:eastAsia="Arial" w:hAnsi="Arial"/>
          <w:sz w:val="16"/>
          <w:szCs w:val="16"/>
          <w:color w:val="auto"/>
        </w:rPr>
      </w:pPr>
    </w:p>
    <w:p>
      <w:pPr>
        <w:jc w:val="both"/>
        <w:ind w:left="360"/>
        <w:spacing w:after="0" w:line="306" w:lineRule="auto"/>
        <w:rPr>
          <w:rFonts w:ascii="Arial" w:cs="Arial" w:eastAsia="Arial" w:hAnsi="Arial"/>
          <w:sz w:val="16"/>
          <w:szCs w:val="16"/>
          <w:color w:val="auto"/>
        </w:rPr>
      </w:pPr>
      <w:r>
        <w:rPr>
          <w:rFonts w:ascii="Arial" w:cs="Arial" w:eastAsia="Arial" w:hAnsi="Arial"/>
          <w:sz w:val="16"/>
          <w:szCs w:val="16"/>
          <w:color w:val="auto"/>
        </w:rPr>
        <w:t>Matthew Wright, Operating Manager of RHSW (Cayman) Ltd., and/or Moshe Feuer, Chief Executive Officer and authorized signatory of BAM may, subject to certain restrictions, be deemed to have voting and investment control over the shares held by PPVA, PLTG and/or Montsant. The address for PLTG, PPVA and Montsant is c/o BAM Administrative Services LLC, 105 Madison Avenue, 19th Floor, New York, NY 10016.</w:t>
      </w:r>
    </w:p>
    <w:p>
      <w:pPr>
        <w:spacing w:after="0" w:line="160" w:lineRule="exact"/>
        <w:rPr>
          <w:rFonts w:ascii="Arial" w:cs="Arial" w:eastAsia="Arial" w:hAnsi="Arial"/>
          <w:sz w:val="16"/>
          <w:szCs w:val="16"/>
          <w:color w:val="auto"/>
        </w:rPr>
      </w:pPr>
    </w:p>
    <w:p>
      <w:pPr>
        <w:jc w:val="both"/>
        <w:ind w:left="360" w:hanging="352"/>
        <w:spacing w:after="0" w:line="312" w:lineRule="auto"/>
        <w:tabs>
          <w:tab w:leader="none" w:pos="3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Based upon information contained in SEC Form 13F filed on May 10, 2018 The number of shares reported excludes immediately exercisable warrants to purchase 1,270,835 registered shares of our common stock, which warrants are subject to a limitation on exercise such that the number of shares of common stock that Sphera Global Healthcare Master Fund and HFR HE Sphera Global Healthcare Master Trust (together, </w:t>
      </w:r>
      <w:r>
        <w:rPr>
          <w:rFonts w:ascii="Arial" w:cs="Arial" w:eastAsia="Arial" w:hAnsi="Arial"/>
          <w:sz w:val="15"/>
          <w:szCs w:val="15"/>
          <w:i w:val="1"/>
          <w:iCs w:val="1"/>
          <w:color w:val="auto"/>
        </w:rPr>
        <w:t>"Sphera"</w:t>
      </w:r>
      <w:r>
        <w:rPr>
          <w:rFonts w:ascii="Arial" w:cs="Arial" w:eastAsia="Arial" w:hAnsi="Arial"/>
          <w:sz w:val="15"/>
          <w:szCs w:val="15"/>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59" w:lineRule="exact"/>
        <w:rPr>
          <w:rFonts w:ascii="Arial" w:cs="Arial" w:eastAsia="Arial" w:hAnsi="Arial"/>
          <w:sz w:val="15"/>
          <w:szCs w:val="15"/>
          <w:color w:val="auto"/>
        </w:rPr>
      </w:pPr>
    </w:p>
    <w:p>
      <w:pPr>
        <w:ind w:left="360" w:right="20" w:hanging="352"/>
        <w:spacing w:after="0" w:line="268"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options to purchase an aggregate of 804,574 shares of common stock exercisable within 60 days of July 20, 2018 and warrants to purchase an aggregate of 1,118,553 restricted shares of common stock exercisable within 60 days of July 20, 2018.</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of March 31, 2018, options to purchase a total of 5,300,338 registered shares of our common stock were outstanding at a weighted average exercise price of $2.43 per share, of which 1,818,962 options were vested and exercisable at a weighted average exercise price of $3.31 per share and 3,481,376 were unvested and not exercisable at a weighted average exercise price of $1.96 per share. These options were issued under our Amended and Restated 2016 Stock Incentive Plan, formerly titled the 2008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as described below. At March 31, 2018, an additional 3,987,162 shares remained available for future equity grants under our 2016 Plan.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2"/>
              </w:rPr>
              <w:t>exercise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options,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and rights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5,300,338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3,987,162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5,300,338</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3,987,162</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Our Board unanimously approved the 2016 Plan on July 26, 2016, and our stockholders approved it at our 2016 Annual Meeting of Stockholders on September 26, 2016, and further amended it at our 2017 Annual Meeting of Stockholders on September 15, 2017. 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 A total of 10.0 million shares of our common stock are currently authorized for issuance under the 2016 Plan and as of March 31, 2018, approximately 4.0 million registered shares remain available for future equity grants under the plan.</w:t>
      </w:r>
    </w:p>
    <w:p>
      <w:pPr>
        <w:spacing w:after="0" w:line="172" w:lineRule="exact"/>
        <w:rPr>
          <w:sz w:val="20"/>
          <w:szCs w:val="20"/>
          <w:color w:val="auto"/>
        </w:rPr>
      </w:pPr>
    </w:p>
    <w:p>
      <w:pPr>
        <w:jc w:val="both"/>
        <w:ind w:firstLine="648"/>
        <w:spacing w:after="0" w:line="370" w:lineRule="auto"/>
        <w:rPr>
          <w:sz w:val="20"/>
          <w:szCs w:val="20"/>
          <w:color w:val="auto"/>
        </w:rPr>
      </w:pPr>
      <w:r>
        <w:rPr>
          <w:rFonts w:ascii="Arial" w:cs="Arial" w:eastAsia="Arial" w:hAnsi="Arial"/>
          <w:sz w:val="15"/>
          <w:szCs w:val="15"/>
          <w:color w:val="auto"/>
        </w:rPr>
        <w:t xml:space="preserve">The Compensation Committee of the Board of Directors (the </w:t>
      </w:r>
      <w:r>
        <w:rPr>
          <w:rFonts w:ascii="Arial" w:cs="Arial" w:eastAsia="Arial" w:hAnsi="Arial"/>
          <w:sz w:val="15"/>
          <w:szCs w:val="15"/>
          <w:i w:val="1"/>
          <w:iCs w:val="1"/>
          <w:color w:val="auto"/>
        </w:rPr>
        <w:t>Committee</w:t>
      </w:r>
      <w:r>
        <w:rPr>
          <w:rFonts w:ascii="Arial" w:cs="Arial" w:eastAsia="Arial" w:hAnsi="Arial"/>
          <w:sz w:val="15"/>
          <w:szCs w:val="15"/>
          <w:color w:val="auto"/>
        </w:rPr>
        <w:t>), administers the 2016 Plan, including selecting the Award recipients, determining the number of shares to be subject to each Award, the exercise or purchase price of each Award and the vesting and exercise periods of each Award.</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exercise price of all incentive stock options granted under the 2016 Plan must be at least equal to 100% of the fair market value of the shares on the date of grant. The maximum term of an incentive stock option granted to any other participant may not exceed 10 years. The Committee determines the term and exercise or purchase price of all other Awards granted under the 2016 Plan.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94" w:lineRule="exact"/>
        <w:rPr>
          <w:sz w:val="20"/>
          <w:szCs w:val="20"/>
          <w:color w:val="auto"/>
        </w:rPr>
      </w:pPr>
    </w:p>
    <w:p>
      <w:pPr>
        <w:ind w:left="660" w:hanging="21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660" w:right="20" w:hanging="21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0" w:name="page31"/>
    <w:bookmarkEnd w:id="30"/>
    <w:p>
      <w:pPr>
        <w:jc w:val="both"/>
        <w:ind w:firstLine="648"/>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a combination of, a number of financial measurements.</w:t>
      </w:r>
    </w:p>
    <w:p>
      <w:pPr>
        <w:spacing w:after="0" w:line="197" w:lineRule="exact"/>
        <w:rPr>
          <w:sz w:val="20"/>
          <w:szCs w:val="20"/>
          <w:color w:val="auto"/>
        </w:rPr>
      </w:pPr>
    </w:p>
    <w:p>
      <w:pPr>
        <w:jc w:val="both"/>
        <w:ind w:firstLine="699"/>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820" w:hanging="216"/>
        <w:spacing w:after="0" w:line="332"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820" w:hanging="216"/>
        <w:spacing w:after="0" w:line="256"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820" w:hanging="21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2016 Plan, a Change in Control is generally defined as: (i) the acquisition of more than 50% of the total combined voting power of our stock by any individual or entity which a majority of our Board (who have served on our board for at least 12 months) do not recommend our stockholders accept;</w:t>
      </w:r>
    </w:p>
    <w:p>
      <w:pPr>
        <w:jc w:val="right"/>
        <w:ind w:left="5560" w:right="5560" w:hanging="5552"/>
        <w:spacing w:after="0" w:line="563" w:lineRule="auto"/>
        <w:tabs>
          <w:tab w:leader="none" w:pos="259" w:val="left"/>
        </w:tabs>
        <w:numPr>
          <w:ilvl w:val="0"/>
          <w:numId w:val="23"/>
        </w:numPr>
        <w:rPr>
          <w:rFonts w:ascii="Arial" w:cs="Arial" w:eastAsia="Arial" w:hAnsi="Arial"/>
          <w:sz w:val="15"/>
          <w:szCs w:val="15"/>
          <w:color w:val="auto"/>
        </w:rPr>
      </w:pPr>
      <w:r>
        <w:rPr>
          <w:rFonts w:ascii="Arial" w:cs="Arial" w:eastAsia="Arial" w:hAnsi="Arial"/>
          <w:sz w:val="15"/>
          <w:szCs w:val="15"/>
          <w:color w:val="auto"/>
        </w:rPr>
        <w:t>or a change in the composition of our Board over a period of 12 months or less.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jc w:val="both"/>
        <w:ind w:firstLine="648"/>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was one of our largest institutional common stockholders at March 31, 2018, holding approximately 4% of our outstanding common stock. 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including AV-101,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May 2007 master services agreement with CRL, we incurred expenses of $1,390,700 and $254,600 during the fiscal years ended March 31, 2018 and 2017, respectively. During our fiscal year ended March 31, 2018, we issued an aggregate of 350,000 unregistered shares of our common stock to CRL under the terms of certain work orders for current and future CRO services relating to our development of AV-101 for MDD, the fair value of which represented approximately $465,000 of the reported CRO expense for the fiscal year. We anticipate periodic expenses for CRO services from CRL related to nonclinical and clinical development of, and regulatory affairs related to, AV-101 and other potential product candidates will increase in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Section 16(a) of the Exchange Act requires our officers, directors and persons who beneficially own more than ten percent of our common stock (collectively, the </w:t>
      </w:r>
      <w:r>
        <w:rPr>
          <w:rFonts w:ascii="Arial" w:cs="Arial" w:eastAsia="Arial" w:hAnsi="Arial"/>
          <w:sz w:val="16"/>
          <w:szCs w:val="16"/>
          <w:i w:val="1"/>
          <w:iCs w:val="1"/>
          <w:color w:val="auto"/>
        </w:rPr>
        <w:t>Reporting Persons</w:t>
      </w:r>
      <w:r>
        <w:rPr>
          <w:rFonts w:ascii="Arial" w:cs="Arial" w:eastAsia="Arial" w:hAnsi="Arial"/>
          <w:sz w:val="16"/>
          <w:szCs w:val="16"/>
          <w:color w:val="auto"/>
        </w:rPr>
        <w:t>) to file reports of ownership on Form 3 and changes in ownership on Form 4 or Form 5 with the SEC. The Reporting Persons are also required by SEC rules to furnish us with copies of all reports that they file pursuant to Section 16(a). To the Company’s knowledge, based solely on our review of the copies of these reports furnished to the Company and written representations that no other reports were required during the fiscal year ended March 31, 2018, all Reporting Persons complied with all applicable reporting requirements.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2" w:name="page33"/>
    <w:bookmarkEnd w:id="32"/>
    <w:p>
      <w:pPr>
        <w:ind w:left="452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2019 Annual Meeting</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Stockholder proposals that are intended to be presented by stockholders at the Company’s 2019 Annual Meeting of Stockholders must be received by the Secretary of the Company between June 16, 2019 and July 16, 2019 in order that they may be included, if appropriate, in the Company’s proxy statement and form of proxy relating to that meeting. A stockholder proposal not included in the Company’s proxy statement for the 2019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2019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10 days after the Company’s public announcement.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Notice, mailed to stockholders on or about July 27, 2018, contains instructions on how to access the Company’s Annual Report on SEC Form 10-K for our fiscal year ended March 31, 2018. The Annual Report, which includes audited financial statements, does not form any part of the material for the solicitation of proxies.</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Board invites you to attend the Annual Meeting in person. Whether or not you expect to attend the Annual Meeting in person, please submit your vote by Internet, telephone or postal mail as promptly as possible so that your shares will be represented at the Annual Meeting.</w:t>
      </w:r>
    </w:p>
    <w:p>
      <w:pPr>
        <w:spacing w:after="0" w:line="1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POSTAL MAIL AS PROMPTLY AS POSSIBLE. VOTING PROMPTLY WILL SAVE US ADDITIONAL EXPENSE IN SOLICITING PROXIES AND WILL ENSURE THAT YOUR SHARES ARE REPRESENTED AT THE ANNUAL MEETING.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797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797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7872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78727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upperLetter"/>
      <w:start w:val="24"/>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
      <w:numFmt w:val="bullet"/>
      <w:start w:val="1"/>
    </w:lvl>
    <w:lvl w:ilvl="1">
      <w:lvlJc w:val="left"/>
      <w:lvlText w:val="%2."/>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amp;"/>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0"/>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2020-01-13T21:05:24Z</dcterms:created>
  <dcterms:modified xsi:type="dcterms:W3CDTF">2020-01-13T21:05:24Z</dcterms:modified>
</cp:coreProperties>
</file>