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17,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June 17,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received a letter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indicating that, based upon the closing bid price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for the last 30 consecutive business days, the Company is not currently in compliance with the requirement to maintain a minimum bid price of $1.00 per share for continued listing on the Nasdaq Capital Market, as set forth in Nasdaq Listing Rule 5550(a)(2) (the “</w:t>
      </w:r>
      <w:r>
        <w:rPr>
          <w:rFonts w:ascii="Arial" w:cs="Arial" w:eastAsia="Arial" w:hAnsi="Arial"/>
          <w:sz w:val="16"/>
          <w:szCs w:val="16"/>
          <w:i w:val="1"/>
          <w:iCs w:val="1"/>
          <w:color w:val="auto"/>
        </w:rPr>
        <w:t>Notice</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Notice has no immediate effect on the continued listing status of the Company's Common Stock on the Nasdaq Capital Market, and, therefore, the Company's listing remains fully effective.</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will continue to monitor the closing bid price of its Common Stock and seek to regain compliance with all applicable Nasdaq requirements within the allotted compliance periods. To regain compliance, the closing bid price of the Company's Common Stock must be at least $1.00 per share for 10 consecutive business days at some point during the period of 180 calendar days from the date of the Notice, or until December 16, 2019. If the Company does not regain compliance with the minimum bid price requirement by December 16, 2019, Nasdaq may grant the Company a second period of 180 calendar days to regain compliance. To qualify for this additional compliance period, the Company would be required to meet the continued listing requirement for market value of publicly held shares and all other initial listing standards for the Nasdaq Capital Market, other than the minimum bid price requirement. In addition, the Company would also be required to notify Nasdaq of its intent to cure the minimum bid price deficiency. If the Company does not regain compliance within the allotted compliance periods, including any extensions that may be granted by Nasdaq,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June 20, 2019, the Company announced positive results of recent preclinical studies of the effects of AV-101, the Company’s oral NMDA receptor glycine site antagonist, in a ”gold standard” MPTP primate model for reproducing dyskinesia (sudden uncontrolled movements) complications of standard Parkinson’s disease therapy with levodopa. In the new study, AV-101 significantly reduced levodopa-induced dyskinesia (“</w:t>
      </w:r>
      <w:r>
        <w:rPr>
          <w:rFonts w:ascii="Arial" w:cs="Arial" w:eastAsia="Arial" w:hAnsi="Arial"/>
          <w:sz w:val="16"/>
          <w:szCs w:val="16"/>
          <w:i w:val="1"/>
          <w:iCs w:val="1"/>
          <w:color w:val="auto"/>
        </w:rPr>
        <w:t>LID</w:t>
      </w:r>
      <w:r>
        <w:rPr>
          <w:rFonts w:ascii="Arial" w:cs="Arial" w:eastAsia="Arial" w:hAnsi="Arial"/>
          <w:sz w:val="16"/>
          <w:szCs w:val="16"/>
          <w:color w:val="auto"/>
        </w:rPr>
        <w:t>”) and did not cause adverse effects associated with amantadine therapy for LID. A copy of the press release is attached to this Current Report on Form 8-K as 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940" w:type="dxa"/>
            <w:vAlign w:val="bottom"/>
            <w:gridSpan w:val="3"/>
          </w:tcPr>
          <w:p>
            <w:pPr>
              <w:ind w:left="2020"/>
              <w:spacing w:after="0"/>
              <w:rPr>
                <w:sz w:val="20"/>
                <w:szCs w:val="20"/>
                <w:color w:val="auto"/>
              </w:rPr>
            </w:pPr>
            <w:r>
              <w:rPr>
                <w:rFonts w:ascii="Arial" w:cs="Arial" w:eastAsia="Arial" w:hAnsi="Arial"/>
                <w:sz w:val="18"/>
                <w:szCs w:val="18"/>
                <w:color w:val="auto"/>
              </w:rPr>
              <w:t>VistaGen Therapeutics, Inc.</w:t>
            </w:r>
          </w:p>
        </w:tc>
      </w:tr>
      <w:tr>
        <w:trPr>
          <w:trHeight w:val="394"/>
        </w:trPr>
        <w:tc>
          <w:tcPr>
            <w:tcW w:w="3480" w:type="dxa"/>
            <w:vAlign w:val="bottom"/>
          </w:tcPr>
          <w:p>
            <w:pPr>
              <w:ind w:left="60"/>
              <w:spacing w:after="0"/>
              <w:rPr>
                <w:sz w:val="20"/>
                <w:szCs w:val="20"/>
                <w:color w:val="auto"/>
              </w:rPr>
            </w:pPr>
            <w:r>
              <w:rPr>
                <w:rFonts w:ascii="Arial" w:cs="Arial" w:eastAsia="Arial" w:hAnsi="Arial"/>
                <w:sz w:val="18"/>
                <w:szCs w:val="18"/>
                <w:color w:val="auto"/>
              </w:rPr>
              <w:t>Date: June 21, 2019</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4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4040" w:type="dxa"/>
            <w:vAlign w:val="bottom"/>
          </w:tcPr>
          <w:p>
            <w:pPr>
              <w:spacing w:after="0"/>
              <w:rPr>
                <w:sz w:val="19"/>
                <w:szCs w:val="19"/>
                <w:color w:val="auto"/>
              </w:rPr>
            </w:pPr>
          </w:p>
        </w:tc>
      </w:tr>
      <w:tr>
        <w:trPr>
          <w:trHeight w:val="222"/>
        </w:trPr>
        <w:tc>
          <w:tcPr>
            <w:tcW w:w="34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dated June 20, 2019</w:t>
            </w:r>
          </w:p>
        </w:tc>
      </w:tr>
      <w:tr>
        <w:trPr>
          <w:trHeight w:val="1087"/>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94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3B608D"/>
        </w:rPr>
        <w:t xml:space="preserve">VistaGen Announces Positive </w:t>
      </w:r>
      <w:r>
        <w:rPr>
          <w:rFonts w:ascii="Arial" w:cs="Arial" w:eastAsia="Arial" w:hAnsi="Arial"/>
          <w:sz w:val="19"/>
          <w:szCs w:val="19"/>
          <w:b w:val="1"/>
          <w:bCs w:val="1"/>
          <w:color w:val="085379"/>
        </w:rPr>
        <w:t>Preclinical Data Supporting AV-101's Potential for Treating Levodopa-Induced Dyskinesia in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85379"/>
        </w:rPr>
        <w:t>Patients with Parkinson’s Disease, without the Psychological Side Effects and Safety Concerns of Amantadine</w:t>
      </w:r>
    </w:p>
    <w:p>
      <w:pPr>
        <w:spacing w:after="0" w:line="213" w:lineRule="exact"/>
        <w:rPr>
          <w:sz w:val="20"/>
          <w:szCs w:val="20"/>
          <w:color w:val="auto"/>
        </w:rPr>
      </w:pPr>
    </w:p>
    <w:p>
      <w:pPr>
        <w:ind w:left="660" w:right="120" w:hanging="328"/>
        <w:spacing w:after="0" w:line="268"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reduction of levodopa-induced dyskinesia by AV-101 observed in “gold standard” MPTP non-human primate model of Parkinson’s disease, while maintaining antiparkinsonian activity of levodopa and without causing amantadine-like adverse effects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SOUTH SAN FRANCISCO, Calif., June 20,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95DA"/>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central nervous system (CNS) diseases and disorders with high unmet need, today announced positive results of recent preclinical studies of the effects of AV-101, its oral NMDA receptor glycine site antagonist, in a widely-used MPTP non-human primate model for reproducing motor complications of Parkinson’s disease (PD), including dyskinesia (sudden uncontrolled movements) observed in PD patients treated with levodopa. In the MPTP primate model, AV-101’s antidyskinetic effects were similar to those generally observed with amantadine therapy, but AV-101 did not cause adverse effects experienced with amantadine.</w:t>
      </w:r>
    </w:p>
    <w:p>
      <w:pPr>
        <w:spacing w:after="0" w:line="1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The MPTP primate model used in this study is the “gold standard” for animal modeling of PD and has been used extensively to study both antiparkinsonian therapies and levodopa-induced dyskinesia (LID). MPTP is a neurotoxin that kills dopaminergic neurons in the striatum, producing motor symptoms similar to those of PD. In this study, AV-101’s efficacy against LID was measured through behavioral scores on a dyskinesia scale, and a Parkinsonian disability scale was used to measure levodopa antiparkinsonian efficacy. This study demonstrated that AV-101 significantly (p = 0.01) reduced LID without affecting the timing, extent, or duration of the therapeutic benefits of levodopa. This new preclinical study was conducted by </w:t>
      </w:r>
      <w:r>
        <w:rPr>
          <w:rFonts w:ascii="Arial" w:cs="Arial" w:eastAsia="Arial" w:hAnsi="Arial"/>
          <w:sz w:val="18"/>
          <w:szCs w:val="18"/>
          <w:u w:val="single" w:color="auto"/>
          <w:color w:val="0095DA"/>
        </w:rPr>
        <w:t>Dr. Thérèse Di Paolo</w:t>
      </w:r>
      <w:r>
        <w:rPr>
          <w:rFonts w:ascii="Arial" w:cs="Arial" w:eastAsia="Arial" w:hAnsi="Arial"/>
          <w:sz w:val="18"/>
          <w:szCs w:val="18"/>
          <w:color w:val="auto"/>
        </w:rPr>
        <w:t>, Professor in the Faculty of Pharmacy at Laval University and among the world’s leading researchers focused on Parkinson’s disease and LID, pursuant to VistaGen’s research agreement with CHU de Québec – Université Laval Research Center in Québec, Canada. Summary results of the study will be presented at an upcoming scientific conference.</w:t>
      </w:r>
    </w:p>
    <w:p>
      <w:pPr>
        <w:spacing w:after="0" w:line="1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antidyskinetic activity of AV-101 that we measured compares favorably with our observation with amantadine in parkinsonian monkeys,” said Dr. Di Paolo. “Better than amantadine, with its known side effects (in humans with Parkinson's disease and in parkinsonian monkeys), we observed no adverse effects with AV-101.”</w:t>
      </w:r>
    </w:p>
    <w:p>
      <w:pPr>
        <w:spacing w:after="0" w:line="19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 xml:space="preserve">A pivotal pathological hallmark of PD is a loss of dopamine neurons in the </w:t>
      </w:r>
      <w:r>
        <w:rPr>
          <w:rFonts w:ascii="Arial" w:cs="Arial" w:eastAsia="Arial" w:hAnsi="Arial"/>
          <w:sz w:val="16"/>
          <w:szCs w:val="16"/>
          <w:i w:val="1"/>
          <w:iCs w:val="1"/>
          <w:color w:val="auto"/>
        </w:rPr>
        <w:t>substantia nigra</w:t>
      </w:r>
      <w:r>
        <w:rPr>
          <w:rFonts w:ascii="Arial" w:cs="Arial" w:eastAsia="Arial" w:hAnsi="Arial"/>
          <w:sz w:val="16"/>
          <w:szCs w:val="16"/>
          <w:color w:val="auto"/>
        </w:rPr>
        <w:t>. Loss of dopamine neurons is thought to be due to neurotoxicity associated with misfolding of proteins and is associated with increased signaling of glutamate, the most abundant excitatory neurotransmitter in the brain. Increased glutamate activity is involved with aberrant neuronal signaling and excitotoxic death of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240"/>
        <w:spacing w:after="0" w:line="254" w:lineRule="auto"/>
        <w:rPr>
          <w:sz w:val="20"/>
          <w:szCs w:val="20"/>
          <w:color w:val="auto"/>
        </w:rPr>
      </w:pPr>
      <w:r>
        <w:rPr>
          <w:rFonts w:ascii="Arial" w:cs="Arial" w:eastAsia="Arial" w:hAnsi="Arial"/>
          <w:sz w:val="18"/>
          <w:szCs w:val="18"/>
          <w:color w:val="auto"/>
        </w:rPr>
        <w:t xml:space="preserve">“The NMDA receptor plays a major role in glutamatergic signaling and has been shown to be a therapeutic target for LID,” said </w:t>
      </w:r>
      <w:r>
        <w:rPr>
          <w:rFonts w:ascii="Arial" w:cs="Arial" w:eastAsia="Arial" w:hAnsi="Arial"/>
          <w:sz w:val="18"/>
          <w:szCs w:val="18"/>
          <w:u w:val="single" w:color="auto"/>
          <w:color w:val="0095DA"/>
        </w:rPr>
        <w:t>H. Ralph Snodgrass, Ph.D</w:t>
      </w:r>
      <w:r>
        <w:rPr>
          <w:rFonts w:ascii="Arial" w:cs="Arial" w:eastAsia="Arial" w:hAnsi="Arial"/>
          <w:sz w:val="18"/>
          <w:szCs w:val="18"/>
          <w:color w:val="0095DA"/>
        </w:rPr>
        <w:t>.</w:t>
      </w:r>
      <w:r>
        <w:rPr>
          <w:rFonts w:ascii="Arial" w:cs="Arial" w:eastAsia="Arial" w:hAnsi="Arial"/>
          <w:sz w:val="18"/>
          <w:szCs w:val="18"/>
          <w:color w:val="auto"/>
        </w:rPr>
        <w:t>, VistaGen’s Chief Scientific Officer. “AV-101’s active metabolite, 7-Cl-KYNA, is a potent and selective NMDA receptor glycine site antagonist with neuroprotective properties. These recent results confirm our prior antidyskinesia study in this MPTP monkey model. We believe these preclinical data and AV-101’s positive safety profile in all clinical studies to date support AV-101’s potential to treat LID, while both maintaining the antiparkinsonian benefits of levodopa and without causing hallucinations or other serious side effects that may be associated with current amantadine-based therapy for LID,” added Dr. Snodgrass.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Parkinson’s Disease</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PD is the second most common neurodegenerative disease worldwide, affecting approximately one million people in the U.S. and ten million people worldwide, according to the Parkinson’s Foundation. Although there is no "one-size-fits-all” description of PD, PD is a complex neurodegenerative disorder that occurs when brain cells that make dopamine, a chemical that coordinates movement, stop working or die, resulting in progressive deterioration of voluntary motor control. Classic PD motor symptoms include muscular rigidity, resting tremor, and postural and gait impairment. Typically, PD patients present with a combination of motor and non-motor symptoms. Non-motor symptoms may include cognitive impairment, sleep disorders, pain and fatigue. There is currently no medication to slow, delay, stop or cure PD, and currently available treatments are symptomatic. Treatment of motor symptoms with oral levodopa, introduced about 50 years ago, remains the gold standard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Levodopa-Induced Dyskinesia</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LID is a disorder that affects people with PD who are treated with the current standard of care, oral levodopa, for an extended period of time. Oral levodopa remains the most effective therapy for motor symptoms of PD. However, after continuous long-term use (longer than five years), many PD patients experience LID. Although clinical manifestations of LID are heterogenous, LID is commonly associated with abnormal involuntary movements, including chorea and dystonia. These motor complications tend to become more severe as PD progresses and as the duration of levodopa treatment is extended, until the impact of LID may compromise the advantage of treatment with levodopa. PD treatment with levodopa is routinely delayed due to concerns over LID. Once LID develops, levodopa-treated PD patients may be faced with a choice between immobility due to untreated and uncontrolled PD, or mobility with the associated LID.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AV-101 (4-Cl-KYN) belongs to a new generation of investigational medicines in neuropsychiatry and neurology known as NMDA glutamate receptor modulators. The NMDA receptor is a pivotal receptor in the brain and abnormal NMDA function is associated with multiple CNS diseases and disorders, including chronic neuropathic pain, epilepsy, major depressive disorder, LID and many others. AV-101 is an oral prodrug of 7-Cl-KYNA which binds uniquely at the glycine site of the NMDA receptor and has potential to be a new at-home treatment for multiple CNS indications with high unmet need. The FDA has granted Fast Track designation for development of AV-101 as both a potential </w:t>
      </w:r>
      <w:r>
        <w:rPr>
          <w:rFonts w:ascii="Arial" w:cs="Arial" w:eastAsia="Arial" w:hAnsi="Arial"/>
          <w:sz w:val="16"/>
          <w:szCs w:val="16"/>
          <w:u w:val="single" w:color="auto"/>
          <w:color w:val="0095DA"/>
        </w:rPr>
        <w:t>adjunctive treatment for MDD</w:t>
      </w:r>
      <w:r>
        <w:rPr>
          <w:rFonts w:ascii="Arial" w:cs="Arial" w:eastAsia="Arial" w:hAnsi="Arial"/>
          <w:sz w:val="16"/>
          <w:szCs w:val="16"/>
          <w:color w:val="auto"/>
        </w:rPr>
        <w:t xml:space="preserve"> and as a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333333"/>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1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VistaGen Therapeutics is a clinical-stage biopharmaceutical company committed to developing new generation medicines for CNS diseases and disorders with high unmet need. VistaGen’s </w:t>
      </w:r>
      <w:r>
        <w:rPr>
          <w:rFonts w:ascii="Arial" w:cs="Arial" w:eastAsia="Arial" w:hAnsi="Arial"/>
          <w:sz w:val="18"/>
          <w:szCs w:val="18"/>
          <w:u w:val="single" w:color="auto"/>
          <w:color w:val="0095DA"/>
        </w:rPr>
        <w:t>pipeline</w:t>
      </w:r>
      <w:r>
        <w:rPr>
          <w:rFonts w:ascii="Arial" w:cs="Arial" w:eastAsia="Arial" w:hAnsi="Arial"/>
          <w:sz w:val="18"/>
          <w:szCs w:val="18"/>
          <w:color w:val="auto"/>
        </w:rPr>
        <w:t xml:space="preserve"> includes three clinical-stage CNS drug candidates, AV-101, PH10 and PH94B. 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0095DA"/>
        </w:rPr>
        <w:t xml:space="preserve"> </w:t>
      </w:r>
      <w:r>
        <w:rPr>
          <w:rFonts w:ascii="Arial" w:cs="Arial" w:eastAsia="Arial" w:hAnsi="Arial"/>
          <w:sz w:val="18"/>
          <w:szCs w:val="18"/>
          <w:color w:val="000000"/>
        </w:rPr>
        <w:t>and connect with VistaGen on</w:t>
      </w:r>
      <w:r>
        <w:rPr>
          <w:rFonts w:ascii="Arial" w:cs="Arial" w:eastAsia="Arial" w:hAnsi="Arial"/>
          <w:sz w:val="18"/>
          <w:szCs w:val="18"/>
          <w:color w:val="0095DA"/>
        </w:rPr>
        <w:t xml:space="preserve"> </w:t>
      </w:r>
      <w:r>
        <w:rPr>
          <w:rFonts w:ascii="Arial" w:cs="Arial" w:eastAsia="Arial" w:hAnsi="Arial"/>
          <w:sz w:val="18"/>
          <w:szCs w:val="18"/>
          <w:u w:val="single" w:color="auto"/>
          <w:color w:val="0095DA"/>
        </w:rPr>
        <w:t>Twitter</w:t>
      </w:r>
      <w:r>
        <w:rPr>
          <w:rFonts w:ascii="Arial" w:cs="Arial" w:eastAsia="Arial" w:hAnsi="Arial"/>
          <w:sz w:val="18"/>
          <w:szCs w:val="18"/>
          <w:color w:val="333333"/>
        </w:rPr>
        <w:t>,</w:t>
      </w:r>
      <w:r>
        <w:rPr>
          <w:rFonts w:ascii="Arial" w:cs="Arial" w:eastAsia="Arial" w:hAnsi="Arial"/>
          <w:sz w:val="18"/>
          <w:szCs w:val="18"/>
          <w:color w:val="0095DA"/>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0095DA"/>
        </w:rPr>
        <w:t xml:space="preserve"> </w:t>
      </w:r>
      <w:r>
        <w:rPr>
          <w:rFonts w:ascii="Arial" w:cs="Arial" w:eastAsia="Arial" w:hAnsi="Arial"/>
          <w:sz w:val="18"/>
          <w:szCs w:val="18"/>
          <w:color w:val="000000"/>
        </w:rPr>
        <w:t>and</w:t>
      </w:r>
      <w:r>
        <w:rPr>
          <w:rFonts w:ascii="Arial" w:cs="Arial" w:eastAsia="Arial" w:hAnsi="Arial"/>
          <w:sz w:val="18"/>
          <w:szCs w:val="18"/>
          <w:color w:val="0095DA"/>
        </w:rPr>
        <w:t xml:space="preserve"> </w:t>
      </w:r>
      <w:r>
        <w:rPr>
          <w:rFonts w:ascii="Arial" w:cs="Arial" w:eastAsia="Arial" w:hAnsi="Arial"/>
          <w:sz w:val="18"/>
          <w:szCs w:val="18"/>
          <w:u w:val="single" w:color="auto"/>
          <w:color w:val="0095DA"/>
        </w:rPr>
        <w:t>Facebook</w:t>
      </w:r>
      <w:r>
        <w:rPr>
          <w:rFonts w:ascii="Arial" w:cs="Arial" w:eastAsia="Arial" w:hAnsi="Arial"/>
          <w:sz w:val="18"/>
          <w:szCs w:val="18"/>
          <w:color w:val="333333"/>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candidates, including AV-101 for treatment of LID in patients with PD receiving levodopa therapy,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including AV-101, that cause us to discontinue further development, (ii) we may not be able to successfully demonstrate the safety and efficacy of AV-101 or any of our other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our drug candidates, including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-424180</wp:posOffset>
            </wp:positionV>
            <wp:extent cx="260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2019-12-01T13:39:37Z</dcterms:created>
  <dcterms:modified xsi:type="dcterms:W3CDTF">2019-12-01T13:39:37Z</dcterms:modified>
</cp:coreProperties>
</file>