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9, 2016</w:t>
      </w:r>
    </w:p>
    <w:p>
      <w:pPr>
        <w:spacing w:after="0" w:line="20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333-210152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728154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1545" cy="33020"/>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S-1/A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3)</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VISTAGEN THERAPEUTICS,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5" w:lineRule="exact"/>
        <w:rPr>
          <w:sz w:val="24"/>
          <w:szCs w:val="24"/>
          <w:color w:val="auto"/>
        </w:rPr>
      </w:pPr>
    </w:p>
    <w:tbl>
      <w:tblPr>
        <w:tblLayout w:type="fixed"/>
        <w:tblInd w:w="780" w:type="dxa"/>
        <w:tblCellMar>
          <w:top w:w="0" w:type="dxa"/>
          <w:left w:w="0" w:type="dxa"/>
          <w:bottom w:w="0" w:type="dxa"/>
          <w:right w:w="0" w:type="dxa"/>
        </w:tblCellMar>
      </w:tblPr>
      <w:tr>
        <w:trPr>
          <w:trHeight w:val="174"/>
        </w:trPr>
        <w:tc>
          <w:tcPr>
            <w:tcW w:w="2900" w:type="dxa"/>
            <w:vAlign w:val="bottom"/>
          </w:tcPr>
          <w:p>
            <w:pPr>
              <w:jc w:val="center"/>
              <w:ind w:right="1129"/>
              <w:spacing w:after="0"/>
              <w:rPr>
                <w:sz w:val="20"/>
                <w:szCs w:val="20"/>
                <w:color w:val="auto"/>
              </w:rPr>
            </w:pPr>
            <w:r>
              <w:rPr>
                <w:rFonts w:ascii="Arial" w:cs="Arial" w:eastAsia="Arial" w:hAnsi="Arial"/>
                <w:sz w:val="14"/>
                <w:szCs w:val="14"/>
                <w:b w:val="1"/>
                <w:bCs w:val="1"/>
                <w:color w:val="auto"/>
                <w:w w:val="92"/>
              </w:rPr>
              <w:t>Nevada</w:t>
            </w:r>
          </w:p>
        </w:tc>
        <w:tc>
          <w:tcPr>
            <w:tcW w:w="418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3841</w:t>
            </w:r>
          </w:p>
        </w:tc>
        <w:tc>
          <w:tcPr>
            <w:tcW w:w="2620" w:type="dxa"/>
            <w:vAlign w:val="bottom"/>
          </w:tcPr>
          <w:p>
            <w:pPr>
              <w:jc w:val="center"/>
              <w:ind w:left="1249"/>
              <w:spacing w:after="0"/>
              <w:rPr>
                <w:sz w:val="20"/>
                <w:szCs w:val="20"/>
                <w:color w:val="auto"/>
              </w:rPr>
            </w:pPr>
            <w:r>
              <w:rPr>
                <w:rFonts w:ascii="Arial" w:cs="Arial" w:eastAsia="Arial" w:hAnsi="Arial"/>
                <w:sz w:val="14"/>
                <w:szCs w:val="14"/>
                <w:b w:val="1"/>
                <w:bCs w:val="1"/>
                <w:color w:val="auto"/>
                <w:w w:val="93"/>
              </w:rPr>
              <w:t>20-5093315</w:t>
            </w:r>
          </w:p>
        </w:tc>
      </w:tr>
      <w:tr>
        <w:trPr>
          <w:trHeight w:val="170"/>
        </w:trPr>
        <w:tc>
          <w:tcPr>
            <w:tcW w:w="2900" w:type="dxa"/>
            <w:vAlign w:val="bottom"/>
          </w:tcPr>
          <w:p>
            <w:pPr>
              <w:jc w:val="center"/>
              <w:ind w:right="1129"/>
              <w:spacing w:after="0"/>
              <w:rPr>
                <w:sz w:val="20"/>
                <w:szCs w:val="20"/>
                <w:color w:val="auto"/>
              </w:rPr>
            </w:pPr>
            <w:r>
              <w:rPr>
                <w:rFonts w:ascii="Arial" w:cs="Arial" w:eastAsia="Arial" w:hAnsi="Arial"/>
                <w:sz w:val="14"/>
                <w:szCs w:val="14"/>
                <w:color w:val="auto"/>
                <w:w w:val="94"/>
              </w:rPr>
              <w:t>(State or other jurisdiction of</w:t>
            </w:r>
          </w:p>
        </w:tc>
        <w:tc>
          <w:tcPr>
            <w:tcW w:w="4180" w:type="dxa"/>
            <w:vAlign w:val="bottom"/>
          </w:tcPr>
          <w:p>
            <w:pPr>
              <w:jc w:val="center"/>
              <w:ind w:right="9"/>
              <w:spacing w:after="0"/>
              <w:rPr>
                <w:sz w:val="20"/>
                <w:szCs w:val="20"/>
                <w:color w:val="auto"/>
              </w:rPr>
            </w:pPr>
            <w:r>
              <w:rPr>
                <w:rFonts w:ascii="Arial" w:cs="Arial" w:eastAsia="Arial" w:hAnsi="Arial"/>
                <w:sz w:val="14"/>
                <w:szCs w:val="14"/>
                <w:color w:val="auto"/>
                <w:w w:val="92"/>
              </w:rPr>
              <w:t>(Primary Standard Industrial</w:t>
            </w:r>
          </w:p>
        </w:tc>
        <w:tc>
          <w:tcPr>
            <w:tcW w:w="2620" w:type="dxa"/>
            <w:vAlign w:val="bottom"/>
          </w:tcPr>
          <w:p>
            <w:pPr>
              <w:jc w:val="center"/>
              <w:ind w:left="1249"/>
              <w:spacing w:after="0"/>
              <w:rPr>
                <w:sz w:val="20"/>
                <w:szCs w:val="20"/>
                <w:color w:val="auto"/>
              </w:rPr>
            </w:pPr>
            <w:r>
              <w:rPr>
                <w:rFonts w:ascii="Arial" w:cs="Arial" w:eastAsia="Arial" w:hAnsi="Arial"/>
                <w:sz w:val="14"/>
                <w:szCs w:val="14"/>
                <w:color w:val="auto"/>
                <w:w w:val="95"/>
              </w:rPr>
              <w:t>(I.R.S. Employer</w:t>
            </w:r>
          </w:p>
        </w:tc>
      </w:tr>
      <w:tr>
        <w:trPr>
          <w:trHeight w:val="180"/>
        </w:trPr>
        <w:tc>
          <w:tcPr>
            <w:tcW w:w="2900" w:type="dxa"/>
            <w:vAlign w:val="bottom"/>
          </w:tcPr>
          <w:p>
            <w:pPr>
              <w:jc w:val="center"/>
              <w:ind w:right="1129"/>
              <w:spacing w:after="0"/>
              <w:rPr>
                <w:sz w:val="20"/>
                <w:szCs w:val="20"/>
                <w:color w:val="auto"/>
              </w:rPr>
            </w:pPr>
            <w:r>
              <w:rPr>
                <w:rFonts w:ascii="Arial" w:cs="Arial" w:eastAsia="Arial" w:hAnsi="Arial"/>
                <w:sz w:val="14"/>
                <w:szCs w:val="14"/>
                <w:color w:val="auto"/>
                <w:w w:val="93"/>
              </w:rPr>
              <w:t>incorporation or organization)</w:t>
            </w:r>
          </w:p>
        </w:tc>
        <w:tc>
          <w:tcPr>
            <w:tcW w:w="4180" w:type="dxa"/>
            <w:vAlign w:val="bottom"/>
          </w:tcPr>
          <w:p>
            <w:pPr>
              <w:jc w:val="center"/>
              <w:ind w:right="9"/>
              <w:spacing w:after="0"/>
              <w:rPr>
                <w:sz w:val="20"/>
                <w:szCs w:val="20"/>
                <w:color w:val="auto"/>
              </w:rPr>
            </w:pPr>
            <w:r>
              <w:rPr>
                <w:rFonts w:ascii="Arial" w:cs="Arial" w:eastAsia="Arial" w:hAnsi="Arial"/>
                <w:sz w:val="14"/>
                <w:szCs w:val="14"/>
                <w:color w:val="auto"/>
                <w:w w:val="93"/>
              </w:rPr>
              <w:t>Classification Code Number)</w:t>
            </w:r>
          </w:p>
        </w:tc>
        <w:tc>
          <w:tcPr>
            <w:tcW w:w="2620" w:type="dxa"/>
            <w:vAlign w:val="bottom"/>
          </w:tcPr>
          <w:p>
            <w:pPr>
              <w:jc w:val="center"/>
              <w:ind w:left="1249"/>
              <w:spacing w:after="0"/>
              <w:rPr>
                <w:sz w:val="20"/>
                <w:szCs w:val="20"/>
                <w:color w:val="auto"/>
              </w:rPr>
            </w:pPr>
            <w:r>
              <w:rPr>
                <w:rFonts w:ascii="Arial" w:cs="Arial" w:eastAsia="Arial" w:hAnsi="Arial"/>
                <w:sz w:val="14"/>
                <w:szCs w:val="14"/>
                <w:color w:val="auto"/>
                <w:w w:val="94"/>
              </w:rPr>
              <w:t>Identification Number)</w:t>
            </w:r>
          </w:p>
        </w:tc>
      </w:tr>
    </w:tbl>
    <w:p>
      <w:pPr>
        <w:spacing w:after="0" w:line="17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Shawn K. Singh</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Copies of all communications to:</w:t>
      </w:r>
    </w:p>
    <w:p>
      <w:pPr>
        <w:spacing w:after="0" w:line="197" w:lineRule="exact"/>
        <w:rPr>
          <w:sz w:val="24"/>
          <w:szCs w:val="24"/>
          <w:color w:val="auto"/>
        </w:rPr>
      </w:pPr>
    </w:p>
    <w:tbl>
      <w:tblPr>
        <w:tblLayout w:type="fixed"/>
        <w:tblInd w:w="1960" w:type="dxa"/>
        <w:tblCellMar>
          <w:top w:w="0" w:type="dxa"/>
          <w:left w:w="0" w:type="dxa"/>
          <w:bottom w:w="0" w:type="dxa"/>
          <w:right w:w="0" w:type="dxa"/>
        </w:tblCellMar>
      </w:tblP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1"/>
              </w:rPr>
              <w:t>Daniel W. Rumsey, Esq.</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2"/>
              </w:rPr>
              <w:t>Oded Har-Even, Esq.</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88"/>
              </w:rPr>
              <w:t>Jessica R. Sudweeks, Esq.</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5"/>
              </w:rPr>
              <w:t>Robert V. Condon III, Esq.</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3"/>
              </w:rPr>
              <w:t>Disclosure Law Group,</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4"/>
              </w:rPr>
              <w:t>Zysman, Aharoni, Gayer and Sullivan &amp;Worcester LLP</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0"/>
              </w:rPr>
              <w:t>a Professional Corporation</w:t>
            </w:r>
          </w:p>
        </w:tc>
        <w:tc>
          <w:tcPr>
            <w:tcW w:w="4960" w:type="dxa"/>
            <w:vAlign w:val="bottom"/>
          </w:tcPr>
          <w:p>
            <w:pPr>
              <w:jc w:val="center"/>
              <w:ind w:left="1469"/>
              <w:spacing w:after="0"/>
              <w:rPr>
                <w:sz w:val="20"/>
                <w:szCs w:val="20"/>
                <w:color w:val="auto"/>
              </w:rPr>
            </w:pPr>
            <w:r>
              <w:rPr>
                <w:rFonts w:ascii="Arial" w:cs="Arial" w:eastAsia="Arial" w:hAnsi="Arial"/>
                <w:sz w:val="14"/>
                <w:szCs w:val="14"/>
                <w:b w:val="1"/>
                <w:bCs w:val="1"/>
                <w:color w:val="auto"/>
                <w:w w:val="92"/>
              </w:rPr>
              <w:t>1633 Broadway</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0"/>
              </w:rPr>
              <w:t>600 West Broadway, Suite 700</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4"/>
              </w:rPr>
              <w:t>New York, New York 10019</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2"/>
              </w:rPr>
              <w:t>San Diego, California 92101</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3"/>
              </w:rPr>
              <w:t>Tel: (212) 260-5000</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1"/>
              </w:rPr>
              <w:t>Tel: (619) 795-1134</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3"/>
              </w:rPr>
              <w:t>Fax: (212) 660-3001</w:t>
            </w:r>
          </w:p>
        </w:tc>
      </w:tr>
      <w:tr>
        <w:trPr>
          <w:trHeight w:val="184"/>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1"/>
              </w:rPr>
              <w:t>Fax: (619) 330-2101</w:t>
            </w:r>
          </w:p>
        </w:tc>
        <w:tc>
          <w:tcPr>
            <w:tcW w:w="4960" w:type="dxa"/>
            <w:vAlign w:val="bottom"/>
          </w:tcPr>
          <w:p>
            <w:pPr>
              <w:spacing w:after="0"/>
              <w:rPr>
                <w:sz w:val="16"/>
                <w:szCs w:val="16"/>
                <w:color w:val="auto"/>
              </w:rPr>
            </w:pPr>
          </w:p>
        </w:tc>
      </w:tr>
    </w:tbl>
    <w:p>
      <w:pPr>
        <w:spacing w:after="0" w:line="17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205" w:lineRule="exact"/>
        <w:rPr>
          <w:sz w:val="24"/>
          <w:szCs w:val="24"/>
          <w:color w:val="auto"/>
        </w:rPr>
      </w:pPr>
    </w:p>
    <w:p>
      <w:pPr>
        <w:spacing w:after="0"/>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check the following box.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334645</wp:posOffset>
            </wp:positionV>
            <wp:extent cx="7281545"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210" w:right="219" w:bottom="1440" w:gutter="0" w:footer="0" w:header="0"/>
        </w:sectPr>
      </w:pPr>
    </w:p>
    <w:bookmarkStart w:id="1" w:name="page2"/>
    <w:bookmarkEnd w:id="1"/>
    <w:p>
      <w:pPr>
        <w:ind w:right="320"/>
        <w:spacing w:after="0" w:line="28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53" w:lineRule="exact"/>
        <w:rPr>
          <w:sz w:val="20"/>
          <w:szCs w:val="20"/>
          <w:color w:val="auto"/>
        </w:rPr>
      </w:pPr>
    </w:p>
    <w:p>
      <w:pPr>
        <w:ind w:right="520"/>
        <w:spacing w:after="0" w:line="28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53"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149"/>
              <w:spacing w:after="0"/>
              <w:rPr>
                <w:sz w:val="20"/>
                <w:szCs w:val="20"/>
                <w:color w:val="auto"/>
              </w:rPr>
            </w:pPr>
            <w:r>
              <w:rPr>
                <w:rFonts w:ascii="Arial" w:cs="Arial" w:eastAsia="Arial" w:hAnsi="Arial"/>
                <w:sz w:val="14"/>
                <w:szCs w:val="14"/>
                <w:color w:val="auto"/>
              </w:rPr>
              <w:t>]</w:t>
            </w:r>
          </w:p>
        </w:tc>
        <w:tc>
          <w:tcPr>
            <w:tcW w:w="4060" w:type="dxa"/>
            <w:vAlign w:val="bottom"/>
          </w:tcPr>
          <w:p>
            <w:pPr>
              <w:ind w:left="1220"/>
              <w:spacing w:after="0"/>
              <w:rPr>
                <w:sz w:val="20"/>
                <w:szCs w:val="20"/>
                <w:color w:val="auto"/>
              </w:rPr>
            </w:pPr>
            <w:r>
              <w:rPr>
                <w:rFonts w:ascii="Arial" w:cs="Arial" w:eastAsia="Arial" w:hAnsi="Arial"/>
                <w:sz w:val="14"/>
                <w:szCs w:val="14"/>
                <w:color w:val="auto"/>
              </w:rPr>
              <w:t>Accelerated filer</w:t>
            </w:r>
          </w:p>
        </w:tc>
        <w:tc>
          <w:tcPr>
            <w:tcW w:w="2600" w:type="dxa"/>
            <w:vAlign w:val="bottom"/>
          </w:tcPr>
          <w:p>
            <w:pPr>
              <w:ind w:left="1280"/>
              <w:spacing w:after="0"/>
              <w:rPr>
                <w:sz w:val="20"/>
                <w:szCs w:val="20"/>
                <w:color w:val="auto"/>
              </w:rPr>
            </w:pPr>
            <w:r>
              <w:rPr>
                <w:rFonts w:ascii="Arial" w:cs="Arial" w:eastAsia="Arial" w:hAnsi="Arial"/>
                <w:sz w:val="14"/>
                <w:szCs w:val="14"/>
                <w:color w:val="auto"/>
              </w:rPr>
              <w:t>[ ]</w:t>
            </w:r>
          </w:p>
        </w:tc>
      </w:tr>
      <w:tr>
        <w:trPr>
          <w:trHeight w:val="170"/>
        </w:trPr>
        <w:tc>
          <w:tcPr>
            <w:tcW w:w="3020" w:type="dxa"/>
            <w:vAlign w:val="bottom"/>
          </w:tcPr>
          <w:p>
            <w:pPr>
              <w:spacing w:after="0"/>
              <w:rPr>
                <w:sz w:val="20"/>
                <w:szCs w:val="20"/>
                <w:color w:val="auto"/>
              </w:rPr>
            </w:pPr>
            <w:r>
              <w:rPr>
                <w:rFonts w:ascii="Arial" w:cs="Arial" w:eastAsia="Arial" w:hAnsi="Arial"/>
                <w:sz w:val="14"/>
                <w:szCs w:val="14"/>
                <w:color w:val="auto"/>
              </w:rPr>
              <w:t>Non-accelerated filer</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149"/>
              <w:spacing w:after="0"/>
              <w:rPr>
                <w:sz w:val="20"/>
                <w:szCs w:val="20"/>
                <w:color w:val="auto"/>
              </w:rPr>
            </w:pPr>
            <w:r>
              <w:rPr>
                <w:rFonts w:ascii="Arial" w:cs="Arial" w:eastAsia="Arial" w:hAnsi="Arial"/>
                <w:sz w:val="14"/>
                <w:szCs w:val="14"/>
                <w:color w:val="auto"/>
              </w:rPr>
              <w:t>]</w:t>
            </w:r>
          </w:p>
        </w:tc>
        <w:tc>
          <w:tcPr>
            <w:tcW w:w="4060" w:type="dxa"/>
            <w:vAlign w:val="bottom"/>
          </w:tcPr>
          <w:p>
            <w:pPr>
              <w:ind w:left="1220"/>
              <w:spacing w:after="0"/>
              <w:rPr>
                <w:sz w:val="20"/>
                <w:szCs w:val="20"/>
                <w:color w:val="auto"/>
              </w:rPr>
            </w:pPr>
            <w:r>
              <w:rPr>
                <w:rFonts w:ascii="Arial" w:cs="Arial" w:eastAsia="Arial" w:hAnsi="Arial"/>
                <w:sz w:val="14"/>
                <w:szCs w:val="14"/>
                <w:color w:val="auto"/>
              </w:rPr>
              <w:t>Smaller reporting company</w:t>
            </w:r>
          </w:p>
        </w:tc>
        <w:tc>
          <w:tcPr>
            <w:tcW w:w="2600" w:type="dxa"/>
            <w:vAlign w:val="bottom"/>
          </w:tcPr>
          <w:p>
            <w:pPr>
              <w:ind w:left="1280"/>
              <w:spacing w:after="0"/>
              <w:rPr>
                <w:sz w:val="20"/>
                <w:szCs w:val="20"/>
                <w:color w:val="auto"/>
              </w:rPr>
            </w:pPr>
            <w:r>
              <w:rPr>
                <w:rFonts w:ascii="Arial" w:cs="Arial" w:eastAsia="Arial" w:hAnsi="Arial"/>
                <w:sz w:val="14"/>
                <w:szCs w:val="14"/>
                <w:color w:val="auto"/>
              </w:rPr>
              <w:t>[X]</w:t>
            </w:r>
          </w:p>
        </w:tc>
      </w:tr>
      <w:tr>
        <w:trPr>
          <w:trHeight w:val="180"/>
        </w:trPr>
        <w:tc>
          <w:tcPr>
            <w:tcW w:w="3020" w:type="dxa"/>
            <w:vAlign w:val="bottom"/>
          </w:tcPr>
          <w:p>
            <w:pPr>
              <w:spacing w:after="0"/>
              <w:rPr>
                <w:sz w:val="20"/>
                <w:szCs w:val="20"/>
                <w:color w:val="auto"/>
              </w:rPr>
            </w:pPr>
            <w:r>
              <w:rPr>
                <w:rFonts w:ascii="Arial" w:cs="Arial" w:eastAsia="Arial" w:hAnsi="Arial"/>
                <w:sz w:val="14"/>
                <w:szCs w:val="14"/>
                <w:color w:val="auto"/>
              </w:rPr>
              <w:t>(Do not check if a smaller reporting company)</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518"/>
        </w:trPr>
        <w:tc>
          <w:tcPr>
            <w:tcW w:w="30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4920" w:type="dxa"/>
            <w:vAlign w:val="bottom"/>
            <w:gridSpan w:val="3"/>
          </w:tcPr>
          <w:p>
            <w:pPr>
              <w:jc w:val="right"/>
              <w:ind w:right="1809"/>
              <w:spacing w:after="0"/>
              <w:rPr>
                <w:sz w:val="20"/>
                <w:szCs w:val="20"/>
                <w:color w:val="auto"/>
              </w:rPr>
            </w:pPr>
            <w:r>
              <w:rPr>
                <w:rFonts w:ascii="Arial" w:cs="Arial" w:eastAsia="Arial" w:hAnsi="Arial"/>
                <w:sz w:val="14"/>
                <w:szCs w:val="14"/>
                <w:b w:val="1"/>
                <w:bCs w:val="1"/>
                <w:color w:val="auto"/>
              </w:rPr>
              <w:t>CALCULATION OF REGISTRATION FEE</w:t>
            </w: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Proposed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 Of</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4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line="185" w:lineRule="exact"/>
              <w:rPr>
                <w:sz w:val="20"/>
                <w:szCs w:val="20"/>
                <w:color w:val="auto"/>
              </w:rPr>
            </w:pPr>
            <w:r>
              <w:rPr>
                <w:rFonts w:ascii="Arial" w:cs="Arial" w:eastAsia="Arial" w:hAnsi="Arial"/>
                <w:sz w:val="14"/>
                <w:szCs w:val="14"/>
                <w:b w:val="1"/>
                <w:bCs w:val="1"/>
                <w:color w:val="auto"/>
                <w:w w:val="91"/>
              </w:rPr>
              <w:t xml:space="preserve">Offering Price </w:t>
            </w:r>
            <w:r>
              <w:rPr>
                <w:rFonts w:ascii="Arial" w:cs="Arial" w:eastAsia="Arial" w:hAnsi="Arial"/>
                <w:sz w:val="19"/>
                <w:szCs w:val="19"/>
                <w:b w:val="1"/>
                <w:bCs w:val="1"/>
                <w:color w:val="auto"/>
                <w:w w:val="91"/>
                <w:vertAlign w:val="superscript"/>
              </w:rPr>
              <w:t>(1)</w:t>
            </w:r>
          </w:p>
        </w:tc>
        <w:tc>
          <w:tcPr>
            <w:tcW w:w="220" w:type="dxa"/>
            <w:vAlign w:val="bottom"/>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Registration Fee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Common stock, $0.001 par value </w:t>
            </w:r>
            <w:r>
              <w:rPr>
                <w:rFonts w:ascii="Arial" w:cs="Arial" w:eastAsia="Arial" w:hAnsi="Arial"/>
                <w:sz w:val="19"/>
                <w:szCs w:val="19"/>
                <w:color w:val="auto"/>
                <w:vertAlign w:val="superscript"/>
              </w:rPr>
              <w:t>(1)</w:t>
            </w:r>
          </w:p>
        </w:tc>
        <w:tc>
          <w:tcPr>
            <w:tcW w:w="492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11,500,000</w:t>
            </w: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1,158.05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line="171" w:lineRule="exact"/>
              <w:rPr>
                <w:sz w:val="20"/>
                <w:szCs w:val="20"/>
                <w:color w:val="auto"/>
              </w:rPr>
            </w:pPr>
            <w:r>
              <w:rPr>
                <w:rFonts w:ascii="Arial" w:cs="Arial" w:eastAsia="Arial" w:hAnsi="Arial"/>
                <w:sz w:val="14"/>
                <w:szCs w:val="14"/>
                <w:color w:val="auto"/>
              </w:rPr>
              <w:t xml:space="preserve">Warrants to purchase shares of common stock </w:t>
            </w:r>
            <w:r>
              <w:rPr>
                <w:rFonts w:ascii="Arial" w:cs="Arial" w:eastAsia="Arial" w:hAnsi="Arial"/>
                <w:sz w:val="19"/>
                <w:szCs w:val="19"/>
                <w:color w:val="auto"/>
                <w:vertAlign w:val="superscript"/>
              </w:rPr>
              <w:t>(1) (2)</w:t>
            </w:r>
          </w:p>
        </w:tc>
        <w:tc>
          <w:tcPr>
            <w:tcW w:w="49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115,000</w:t>
            </w: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11.58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w w:val="95"/>
              </w:rPr>
              <w:t xml:space="preserve">Shares of common stock issuable upon exercise of warrants </w:t>
            </w:r>
            <w:r>
              <w:rPr>
                <w:rFonts w:ascii="Arial" w:cs="Arial" w:eastAsia="Arial" w:hAnsi="Arial"/>
                <w:sz w:val="19"/>
                <w:szCs w:val="19"/>
                <w:color w:val="auto"/>
                <w:w w:val="95"/>
                <w:vertAlign w:val="superscript"/>
              </w:rPr>
              <w:t>(1)(3)(4)</w:t>
            </w:r>
          </w:p>
        </w:tc>
        <w:tc>
          <w:tcPr>
            <w:tcW w:w="492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14,375,000</w:t>
            </w: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1,447.56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20"/>
                <w:szCs w:val="20"/>
                <w:color w:val="auto"/>
              </w:rPr>
            </w:pPr>
            <w:r>
              <w:rPr>
                <w:rFonts w:ascii="Arial" w:cs="Arial" w:eastAsia="Arial" w:hAnsi="Arial"/>
                <w:sz w:val="14"/>
                <w:szCs w:val="14"/>
                <w:color w:val="auto"/>
              </w:rPr>
              <w:t>Total</w:t>
            </w:r>
          </w:p>
        </w:tc>
        <w:tc>
          <w:tcPr>
            <w:tcW w:w="492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25,990,000</w:t>
            </w: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2,617.19</w:t>
            </w:r>
          </w:p>
        </w:tc>
        <w:tc>
          <w:tcPr>
            <w:tcW w:w="140" w:type="dxa"/>
            <w:vAlign w:val="bottom"/>
          </w:tcPr>
          <w:p>
            <w:pPr>
              <w:jc w:val="right"/>
              <w:spacing w:after="0"/>
              <w:rPr>
                <w:sz w:val="20"/>
                <w:szCs w:val="20"/>
                <w:color w:val="auto"/>
              </w:rPr>
            </w:pPr>
            <w:r>
              <w:rPr>
                <w:rFonts w:ascii="Arial" w:cs="Arial" w:eastAsia="Arial" w:hAnsi="Arial"/>
                <w:sz w:val="10"/>
                <w:szCs w:val="10"/>
                <w:color w:val="auto"/>
                <w:w w:val="97"/>
              </w:rPr>
              <w:t>(5)</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80" w:right="80" w:hanging="375"/>
        <w:spacing w:after="0" w:line="283" w:lineRule="auto"/>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 (</w:t>
      </w:r>
      <w:r>
        <w:rPr>
          <w:rFonts w:ascii="Arial" w:cs="Arial" w:eastAsia="Arial" w:hAnsi="Arial"/>
          <w:sz w:val="14"/>
          <w:szCs w:val="14"/>
          <w:i w:val="1"/>
          <w:iCs w:val="1"/>
          <w:color w:val="auto"/>
        </w:rPr>
        <w:t>Securities Act</w:t>
      </w:r>
      <w:r>
        <w:rPr>
          <w:rFonts w:ascii="Arial" w:cs="Arial" w:eastAsia="Arial" w:hAnsi="Arial"/>
          <w:sz w:val="14"/>
          <w:szCs w:val="14"/>
          <w:color w:val="auto"/>
        </w:rPr>
        <w:t>). Includes offering price of securities that the underwriters have the option to purchase to cover over-allotments, if any.</w:t>
      </w:r>
    </w:p>
    <w:p>
      <w:pPr>
        <w:spacing w:after="0" w:line="131" w:lineRule="exact"/>
        <w:rPr>
          <w:rFonts w:ascii="Arial" w:cs="Arial" w:eastAsia="Arial" w:hAnsi="Arial"/>
          <w:sz w:val="14"/>
          <w:szCs w:val="14"/>
          <w:color w:val="auto"/>
        </w:rPr>
      </w:pPr>
    </w:p>
    <w:p>
      <w:pPr>
        <w:ind w:left="380" w:hanging="375"/>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 fee pursuant to Rule 457(g) under the Securities Act.</w:t>
      </w:r>
    </w:p>
    <w:p>
      <w:pPr>
        <w:spacing w:after="0" w:line="179" w:lineRule="exact"/>
        <w:rPr>
          <w:rFonts w:ascii="Arial" w:cs="Arial" w:eastAsia="Arial" w:hAnsi="Arial"/>
          <w:sz w:val="14"/>
          <w:szCs w:val="14"/>
          <w:color w:val="auto"/>
        </w:rPr>
      </w:pPr>
    </w:p>
    <w:p>
      <w:pPr>
        <w:ind w:left="380" w:hanging="375"/>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pursuant to Rule 457(g) under the Securities Act.</w:t>
      </w:r>
    </w:p>
    <w:p>
      <w:pPr>
        <w:spacing w:after="0" w:line="179" w:lineRule="exact"/>
        <w:rPr>
          <w:rFonts w:ascii="Arial" w:cs="Arial" w:eastAsia="Arial" w:hAnsi="Arial"/>
          <w:sz w:val="14"/>
          <w:szCs w:val="14"/>
          <w:color w:val="auto"/>
        </w:rPr>
      </w:pPr>
    </w:p>
    <w:p>
      <w:pPr>
        <w:ind w:left="380" w:hanging="375"/>
        <w:spacing w:after="0"/>
        <w:tabs>
          <w:tab w:leader="none" w:pos="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Pursuant to Rule 416, there is also being registered such indeterminable additional securities as may be issued to prevent dilution as a result of stock splits, stock dividends or similar transactions.</w:t>
      </w:r>
    </w:p>
    <w:p>
      <w:pPr>
        <w:spacing w:after="0" w:line="202" w:lineRule="exact"/>
        <w:rPr>
          <w:rFonts w:ascii="Arial" w:cs="Arial" w:eastAsia="Arial" w:hAnsi="Arial"/>
          <w:sz w:val="12"/>
          <w:szCs w:val="12"/>
          <w:color w:val="auto"/>
        </w:rPr>
      </w:pPr>
    </w:p>
    <w:p>
      <w:pPr>
        <w:ind w:left="380" w:hanging="375"/>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 by the Registrant.</w:t>
      </w:r>
    </w:p>
    <w:p>
      <w:pPr>
        <w:spacing w:after="0" w:line="197" w:lineRule="exact"/>
        <w:rPr>
          <w:sz w:val="20"/>
          <w:szCs w:val="20"/>
          <w:color w:val="auto"/>
        </w:rPr>
      </w:pPr>
    </w:p>
    <w:p>
      <w:pPr>
        <w:ind w:right="320"/>
        <w:spacing w:after="0" w:line="27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194310</wp:posOffset>
            </wp:positionV>
            <wp:extent cx="728154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1545"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275590</wp:posOffset>
            </wp:positionV>
            <wp:extent cx="728154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625" w:right="219" w:bottom="1440" w:gutter="0" w:footer="0" w:header="0"/>
        </w:sectPr>
      </w:pPr>
    </w:p>
    <w:bookmarkStart w:id="3" w:name="page4"/>
    <w:bookmarkEnd w:id="3"/>
    <w:p>
      <w:pPr>
        <w:ind w:left="280" w:right="380"/>
        <w:spacing w:after="0" w:line="271" w:lineRule="auto"/>
        <w:rPr>
          <w:sz w:val="20"/>
          <w:szCs w:val="20"/>
          <w:color w:val="auto"/>
        </w:rPr>
      </w:pPr>
      <w:r>
        <w:rPr>
          <w:rFonts w:ascii="Arial" w:cs="Arial" w:eastAsia="Arial" w:hAnsi="Arial"/>
          <w:sz w:val="14"/>
          <w:szCs w:val="14"/>
          <w:b w:val="1"/>
          <w:bCs w:val="1"/>
          <w:color w:val="FF0000"/>
        </w:rPr>
        <w:drawing>
          <wp:anchor simplePos="0" relativeHeight="251657728" behindDoc="1" locked="0" layoutInCell="0" allowOverlap="1">
            <wp:simplePos x="0" y="0"/>
            <wp:positionH relativeFrom="page">
              <wp:posOffset>142875</wp:posOffset>
            </wp:positionH>
            <wp:positionV relativeFrom="page">
              <wp:posOffset>285115</wp:posOffset>
            </wp:positionV>
            <wp:extent cx="7275830" cy="554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5830" cy="554355"/>
                    </a:xfrm>
                    <a:prstGeom prst="rect">
                      <a:avLst/>
                    </a:prstGeom>
                    <a:noFill/>
                  </pic:spPr>
                </pic:pic>
              </a:graphicData>
            </a:graphic>
          </wp:anchor>
        </w:drawing>
        <w:t>The information contained herein is subject to completion or amendment. A registration statement relating to these securities has been filed with the U.S. Securities and Exchange Commission. These securities may not be sold until the registration statement becomes effective. This preliminary prospectus is not an offer to sell and is not a solicitation of an offer to buy in any jurisdiction in which an offer, solicitation, or sale is not permitted.</w:t>
      </w:r>
    </w:p>
    <w:p>
      <w:pPr>
        <w:spacing w:after="0" w:line="338" w:lineRule="exact"/>
        <w:rPr>
          <w:sz w:val="20"/>
          <w:szCs w:val="20"/>
          <w:color w:val="auto"/>
        </w:rPr>
      </w:pPr>
    </w:p>
    <w:p>
      <w:pPr>
        <w:spacing w:after="0"/>
        <w:tabs>
          <w:tab w:leader="none" w:pos="4760" w:val="left"/>
          <w:tab w:leader="none" w:pos="10140" w:val="left"/>
        </w:tabs>
        <w:rPr>
          <w:sz w:val="20"/>
          <w:szCs w:val="20"/>
          <w:color w:val="auto"/>
        </w:rPr>
      </w:pPr>
      <w:r>
        <w:rPr>
          <w:rFonts w:ascii="Arial" w:cs="Arial" w:eastAsia="Arial" w:hAnsi="Arial"/>
          <w:sz w:val="14"/>
          <w:szCs w:val="14"/>
          <w:b w:val="1"/>
          <w:bCs w:val="1"/>
          <w:color w:val="FF0000"/>
        </w:rPr>
        <w:t>PRELIMINARY PROSPECTUS</w:t>
      </w:r>
      <w:r>
        <w:rPr>
          <w:sz w:val="20"/>
          <w:szCs w:val="20"/>
          <w:color w:val="auto"/>
        </w:rPr>
        <w:tab/>
      </w:r>
      <w:r>
        <w:rPr>
          <w:rFonts w:ascii="Arial" w:cs="Arial" w:eastAsia="Arial" w:hAnsi="Arial"/>
          <w:sz w:val="14"/>
          <w:szCs w:val="14"/>
          <w:b w:val="1"/>
          <w:bCs w:val="1"/>
          <w:color w:val="FF0000"/>
        </w:rPr>
        <w:t>SUBJECT TO COMPLETION</w:t>
      </w:r>
      <w:r>
        <w:rPr>
          <w:sz w:val="20"/>
          <w:szCs w:val="20"/>
          <w:color w:val="auto"/>
        </w:rPr>
        <w:tab/>
      </w:r>
      <w:r>
        <w:rPr>
          <w:rFonts w:ascii="Arial" w:cs="Arial" w:eastAsia="Arial" w:hAnsi="Arial"/>
          <w:sz w:val="13"/>
          <w:szCs w:val="13"/>
          <w:b w:val="1"/>
          <w:bCs w:val="1"/>
          <w:color w:val="FF0000"/>
        </w:rPr>
        <w:t>DATED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245110</wp:posOffset>
            </wp:positionV>
            <wp:extent cx="1237615" cy="817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7615" cy="81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2,352,942 Shares of Common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Warrants to Purchase up to 2,352,942 Shares of Common Stock</w:t>
      </w:r>
    </w:p>
    <w:p>
      <w:pPr>
        <w:spacing w:after="0" w:line="198" w:lineRule="exact"/>
        <w:rPr>
          <w:sz w:val="20"/>
          <w:szCs w:val="20"/>
          <w:color w:val="auto"/>
        </w:rPr>
      </w:pPr>
    </w:p>
    <w:p>
      <w:pPr>
        <w:ind w:right="20"/>
        <w:spacing w:after="0" w:line="305" w:lineRule="auto"/>
        <w:rPr>
          <w:sz w:val="20"/>
          <w:szCs w:val="20"/>
          <w:color w:val="auto"/>
        </w:rPr>
      </w:pPr>
      <w:r>
        <w:rPr>
          <w:rFonts w:ascii="Arial" w:cs="Arial" w:eastAsia="Arial" w:hAnsi="Arial"/>
          <w:sz w:val="12"/>
          <w:szCs w:val="12"/>
          <w:color w:val="auto"/>
        </w:rPr>
        <w:t xml:space="preserve">VistaGen Therapeutics, Inc. is offering 2,352,942 shares of common stock and warrants to purchase up to 2,352,942 shares of our common stock to purchasers in this offering (the </w:t>
      </w:r>
      <w:r>
        <w:rPr>
          <w:rFonts w:ascii="Arial" w:cs="Arial" w:eastAsia="Arial" w:hAnsi="Arial"/>
          <w:sz w:val="12"/>
          <w:szCs w:val="12"/>
          <w:i w:val="1"/>
          <w:iCs w:val="1"/>
          <w:color w:val="auto"/>
        </w:rPr>
        <w:t>Offering</w:t>
      </w:r>
      <w:r>
        <w:rPr>
          <w:rFonts w:ascii="Arial" w:cs="Arial" w:eastAsia="Arial" w:hAnsi="Arial"/>
          <w:sz w:val="12"/>
          <w:szCs w:val="12"/>
          <w:color w:val="auto"/>
        </w:rPr>
        <w:t>). Each share of common stock will be sold at a price of $[___] per share, and will be accompanied by a warrant to purchase one share of common stock for $[____] per share (125% of the public offering price of</w:t>
      </w:r>
    </w:p>
    <w:p>
      <w:pPr>
        <w:ind w:right="520"/>
        <w:spacing w:after="0" w:line="267" w:lineRule="auto"/>
        <w:rPr>
          <w:sz w:val="20"/>
          <w:szCs w:val="20"/>
          <w:color w:val="auto"/>
        </w:rPr>
      </w:pPr>
      <w:r>
        <w:rPr>
          <w:rFonts w:ascii="Arial" w:cs="Arial" w:eastAsia="Arial" w:hAnsi="Arial"/>
          <w:sz w:val="14"/>
          <w:szCs w:val="14"/>
          <w:color w:val="auto"/>
        </w:rPr>
        <w:t>our common stock) at a price of $0.01 per warrant. The common stock and warrants are immediately separable but can only be purchased together in this Offering. The warrants are exercisable immediately and expire five years from the date of issuance.</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Currently, our common stock is quoted for trading on the OTC Markets (</w:t>
      </w:r>
      <w:r>
        <w:rPr>
          <w:rFonts w:ascii="Arial" w:cs="Arial" w:eastAsia="Arial" w:hAnsi="Arial"/>
          <w:sz w:val="13"/>
          <w:szCs w:val="13"/>
          <w:i w:val="1"/>
          <w:iCs w:val="1"/>
          <w:color w:val="auto"/>
        </w:rPr>
        <w:t>OTCQB</w:t>
      </w:r>
      <w:r>
        <w:rPr>
          <w:rFonts w:ascii="Arial" w:cs="Arial" w:eastAsia="Arial" w:hAnsi="Arial"/>
          <w:sz w:val="13"/>
          <w:szCs w:val="13"/>
          <w:color w:val="auto"/>
        </w:rPr>
        <w:t>) under the symbol “VSTA.” We have applied for listing of our common stock on the NASDAQ Capital Market under the symbol “VTGN.” Although we believe we will satisfy NASDAQ Capital Market listing requirements, no assurance can be given that such listing will be achieved in a timely manner or at all. There is no established public trading market for the warrants, and we do not intend to apply to list the warrants on any securities exchange or automated quotation system.</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On May 6, 2016, the closing price for our common stock, as quoted on the OTCQB, was $7.00 per share. Quotes on the OTCQB may not be indicative of the market price of our common stock on a national securities exchange, including the NASDAQ Capital Market.</w:t>
      </w:r>
    </w:p>
    <w:p>
      <w:pPr>
        <w:spacing w:after="0" w:line="149" w:lineRule="exact"/>
        <w:rPr>
          <w:sz w:val="20"/>
          <w:szCs w:val="20"/>
          <w:color w:val="auto"/>
        </w:rPr>
      </w:pPr>
    </w:p>
    <w:p>
      <w:pPr>
        <w:ind w:right="380"/>
        <w:spacing w:after="0" w:line="288" w:lineRule="auto"/>
        <w:rPr>
          <w:sz w:val="20"/>
          <w:szCs w:val="20"/>
          <w:color w:val="auto"/>
        </w:rPr>
      </w:pPr>
      <w:r>
        <w:rPr>
          <w:rFonts w:ascii="Arial" w:cs="Arial" w:eastAsia="Arial" w:hAnsi="Arial"/>
          <w:sz w:val="14"/>
          <w:szCs w:val="14"/>
          <w:b w:val="1"/>
          <w:bCs w:val="1"/>
          <w:color w:val="auto"/>
        </w:rPr>
        <w:t>Investing in our securities involves a high degree of risk. Before deciding whether to invest in our securities, you should review carefully the risks and uncertainties described under the heading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beginning on page 6 of this prospectus.</w:t>
      </w:r>
    </w:p>
    <w:p>
      <w:pPr>
        <w:spacing w:after="0" w:line="146" w:lineRule="exact"/>
        <w:rPr>
          <w:sz w:val="20"/>
          <w:szCs w:val="20"/>
          <w:color w:val="auto"/>
        </w:rPr>
      </w:pPr>
    </w:p>
    <w:p>
      <w:pPr>
        <w:ind w:right="460"/>
        <w:spacing w:after="0" w:line="288"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Per share</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Per warrant</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r>
      <w:tr>
        <w:trPr>
          <w:trHeight w:val="170"/>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362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4980" w:type="dxa"/>
            <w:vAlign w:val="bottom"/>
          </w:tcPr>
          <w:p>
            <w:pPr>
              <w:spacing w:after="0" w:line="171" w:lineRule="exact"/>
              <w:rPr>
                <w:sz w:val="20"/>
                <w:szCs w:val="20"/>
                <w:color w:val="auto"/>
              </w:rPr>
            </w:pPr>
            <w:r>
              <w:rPr>
                <w:rFonts w:ascii="Arial" w:cs="Arial" w:eastAsia="Arial" w:hAnsi="Arial"/>
                <w:sz w:val="14"/>
                <w:szCs w:val="14"/>
                <w:color w:val="auto"/>
              </w:rPr>
              <w:t xml:space="preserve">Underwriting discounts and commissions </w:t>
            </w:r>
            <w:r>
              <w:rPr>
                <w:rFonts w:ascii="Arial" w:cs="Arial" w:eastAsia="Arial" w:hAnsi="Arial"/>
                <w:sz w:val="19"/>
                <w:szCs w:val="19"/>
                <w:color w:val="auto"/>
                <w:vertAlign w:val="superscript"/>
              </w:rPr>
              <w:t>(1)</w:t>
            </w:r>
          </w:p>
        </w:tc>
        <w:tc>
          <w:tcPr>
            <w:tcW w:w="362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009"/>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70"/>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Offering proceeds, before expenses</w:t>
            </w:r>
          </w:p>
        </w:tc>
        <w:tc>
          <w:tcPr>
            <w:tcW w:w="362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600" w:right="280" w:hanging="595"/>
        <w:spacing w:after="0" w:line="283" w:lineRule="auto"/>
        <w:tabs>
          <w:tab w:leader="none" w:pos="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and the underwriters will receive compensation in addition to underwriting discounts and commissions. See the section titled “</w:t>
      </w:r>
      <w:r>
        <w:rPr>
          <w:rFonts w:ascii="Arial" w:cs="Arial" w:eastAsia="Arial" w:hAnsi="Arial"/>
          <w:sz w:val="14"/>
          <w:szCs w:val="14"/>
          <w:i w:val="1"/>
          <w:iCs w:val="1"/>
          <w:color w:val="auto"/>
        </w:rPr>
        <w:t>Underwriting</w:t>
      </w:r>
      <w:r>
        <w:rPr>
          <w:rFonts w:ascii="Arial" w:cs="Arial" w:eastAsia="Arial" w:hAnsi="Arial"/>
          <w:sz w:val="14"/>
          <w:szCs w:val="14"/>
          <w:color w:val="auto"/>
        </w:rPr>
        <w:t>” for additional disclosure regarding underwriter compensation and offering expenses.</w:t>
      </w:r>
    </w:p>
    <w:p>
      <w:pPr>
        <w:spacing w:after="0" w:line="13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We granted the underwriters a 45-day option the right to purchase an additional 352,942 shares of common stock and/or warrants to purchase up to an additional 352,942 shares of common stock from us at the offering price, less the underwriting discounts and commissions, to cover over-allotments, if any.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underwriters expect to deliver the shares of common stock and warrants to purchasers on or about [__], 2016.</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Joint Book-Running Managers</w:t>
      </w:r>
    </w:p>
    <w:p>
      <w:pPr>
        <w:spacing w:after="0" w:line="189" w:lineRule="exact"/>
        <w:rPr>
          <w:sz w:val="20"/>
          <w:szCs w:val="20"/>
          <w:color w:val="auto"/>
        </w:rPr>
      </w:pPr>
    </w:p>
    <w:p>
      <w:pPr>
        <w:ind w:left="3080"/>
        <w:spacing w:after="0"/>
        <w:tabs>
          <w:tab w:leader="none" w:pos="6180" w:val="left"/>
        </w:tabs>
        <w:rPr>
          <w:sz w:val="20"/>
          <w:szCs w:val="20"/>
          <w:color w:val="auto"/>
        </w:rPr>
      </w:pPr>
      <w:r>
        <w:rPr>
          <w:rFonts w:ascii="Arial" w:cs="Arial" w:eastAsia="Arial" w:hAnsi="Arial"/>
          <w:sz w:val="19"/>
          <w:szCs w:val="19"/>
          <w:b w:val="1"/>
          <w:bCs w:val="1"/>
          <w:color w:val="auto"/>
        </w:rPr>
        <w:t>Chardan</w:t>
      </w:r>
      <w:r>
        <w:rPr>
          <w:sz w:val="20"/>
          <w:szCs w:val="20"/>
          <w:color w:val="auto"/>
        </w:rPr>
        <w:tab/>
      </w:r>
      <w:r>
        <w:rPr>
          <w:rFonts w:ascii="Arial" w:cs="Arial" w:eastAsia="Arial" w:hAnsi="Arial"/>
          <w:sz w:val="19"/>
          <w:szCs w:val="19"/>
          <w:b w:val="1"/>
          <w:bCs w:val="1"/>
          <w:color w:val="auto"/>
        </w:rPr>
        <w:t>WallachBeth Capital, LLC</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date of this prospectus is [__],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246380</wp:posOffset>
            </wp:positionV>
            <wp:extent cx="7281545"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615"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580" w:type="dxa"/>
            <w:vAlign w:val="bottom"/>
            <w:gridSpan w:val="2"/>
          </w:tcPr>
          <w:p>
            <w:pPr>
              <w:ind w:left="1120"/>
              <w:spacing w:after="0"/>
              <w:rPr>
                <w:sz w:val="20"/>
                <w:szCs w:val="20"/>
                <w:color w:val="auto"/>
              </w:rPr>
            </w:pPr>
            <w:r>
              <w:rPr>
                <w:rFonts w:ascii="Arial" w:cs="Arial" w:eastAsia="Arial" w:hAnsi="Arial"/>
                <w:sz w:val="14"/>
                <w:szCs w:val="14"/>
                <w:b w:val="1"/>
                <w:bCs w:val="1"/>
                <w:color w:val="auto"/>
              </w:rPr>
              <w:t>TABLE OF CONTENTS</w:t>
            </w:r>
          </w:p>
        </w:tc>
        <w:tc>
          <w:tcPr>
            <w:tcW w:w="1020" w:type="dxa"/>
            <w:vAlign w:val="bottom"/>
          </w:tcPr>
          <w:p>
            <w:pPr>
              <w:spacing w:after="0"/>
              <w:rPr>
                <w:sz w:val="16"/>
                <w:szCs w:val="16"/>
                <w:color w:val="auto"/>
              </w:rPr>
            </w:pPr>
          </w:p>
        </w:tc>
      </w:tr>
      <w:tr>
        <w:trPr>
          <w:trHeight w:val="36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70"/>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0"/>
        </w:trPr>
        <w:tc>
          <w:tcPr>
            <w:tcW w:w="10440" w:type="dxa"/>
            <w:vAlign w:val="bottom"/>
            <w:gridSpan w:val="18"/>
            <w:shd w:val="clear" w:color="auto" w:fill="CCEEFF"/>
          </w:tcPr>
          <w:p>
            <w:pPr>
              <w:spacing w:after="0" w:line="139" w:lineRule="exact"/>
              <w:rPr>
                <w:rFonts w:ascii="Arial" w:cs="Arial" w:eastAsia="Arial" w:hAnsi="Arial"/>
                <w:sz w:val="14"/>
                <w:szCs w:val="14"/>
                <w:color w:val="0000EE"/>
              </w:rPr>
            </w:pPr>
            <w:hyperlink w:anchor="page6">
              <w:r>
                <w:rPr>
                  <w:rFonts w:ascii="Arial" w:cs="Arial" w:eastAsia="Arial" w:hAnsi="Arial"/>
                  <w:sz w:val="14"/>
                  <w:szCs w:val="14"/>
                  <w:color w:val="0000EE"/>
                </w:rPr>
                <w:t>Forward-looking Statements</w:t>
              </w:r>
            </w:hyperlink>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76"/>
              </w:rPr>
              <w:t>1</w:t>
            </w:r>
          </w:p>
        </w:tc>
      </w:tr>
      <w:tr>
        <w:trPr>
          <w:trHeight w:val="144"/>
        </w:trPr>
        <w:tc>
          <w:tcPr>
            <w:tcW w:w="1620" w:type="dxa"/>
            <w:vAlign w:val="bottom"/>
            <w:tcBorders>
              <w:top w:val="single" w:sz="8" w:color="0000EE"/>
            </w:tcBorders>
            <w:gridSpan w:val="8"/>
          </w:tcPr>
          <w:p>
            <w:pPr>
              <w:spacing w:after="0" w:line="139" w:lineRule="exact"/>
              <w:rPr>
                <w:rFonts w:ascii="Arial" w:cs="Arial" w:eastAsia="Arial" w:hAnsi="Arial"/>
                <w:sz w:val="14"/>
                <w:szCs w:val="14"/>
                <w:color w:val="0000EE"/>
              </w:rPr>
            </w:pPr>
            <w:hyperlink w:anchor="page7">
              <w:r>
                <w:rPr>
                  <w:rFonts w:ascii="Arial" w:cs="Arial" w:eastAsia="Arial" w:hAnsi="Arial"/>
                  <w:sz w:val="14"/>
                  <w:szCs w:val="14"/>
                  <w:color w:val="0000EE"/>
                </w:rPr>
                <w:t>Prospectus Summary</w:t>
              </w:r>
            </w:hyperlink>
          </w:p>
        </w:tc>
        <w:tc>
          <w:tcPr>
            <w:tcW w:w="8820" w:type="dxa"/>
            <w:vAlign w:val="bottom"/>
            <w:tcBorders>
              <w:top w:val="single" w:sz="8" w:color="CCEEFF"/>
            </w:tcBorders>
            <w:gridSpan w:val="10"/>
          </w:tcPr>
          <w:p>
            <w:pPr>
              <w:spacing w:after="0"/>
              <w:rPr>
                <w:sz w:val="12"/>
                <w:szCs w:val="12"/>
                <w:color w:val="auto"/>
              </w:rPr>
            </w:pPr>
          </w:p>
        </w:tc>
        <w:tc>
          <w:tcPr>
            <w:tcW w:w="1020" w:type="dxa"/>
            <w:vAlign w:val="bottom"/>
            <w:tcBorders>
              <w:top w:val="single" w:sz="8" w:color="CCEEFF"/>
            </w:tcBorders>
          </w:tcPr>
          <w:p>
            <w:pPr>
              <w:jc w:val="center"/>
              <w:spacing w:after="0" w:line="139" w:lineRule="exact"/>
              <w:rPr>
                <w:sz w:val="20"/>
                <w:szCs w:val="20"/>
                <w:color w:val="auto"/>
              </w:rPr>
            </w:pPr>
            <w:r>
              <w:rPr>
                <w:rFonts w:ascii="Arial" w:cs="Arial" w:eastAsia="Arial" w:hAnsi="Arial"/>
                <w:sz w:val="14"/>
                <w:szCs w:val="14"/>
                <w:color w:val="auto"/>
                <w:w w:val="76"/>
              </w:rPr>
              <w:t>2</w:t>
            </w:r>
          </w:p>
        </w:tc>
      </w:tr>
      <w:tr>
        <w:trPr>
          <w:trHeight w:val="156"/>
        </w:trPr>
        <w:tc>
          <w:tcPr>
            <w:tcW w:w="800" w:type="dxa"/>
            <w:vAlign w:val="bottom"/>
            <w:tcBorders>
              <w:top w:val="single" w:sz="8" w:color="0000EE"/>
              <w:bottom w:val="single" w:sz="8" w:color="0000EE"/>
              <w:right w:val="single" w:sz="8" w:color="CCEEFF"/>
            </w:tcBorders>
            <w:gridSpan w:val="3"/>
            <w:shd w:val="clear" w:color="auto" w:fill="CCEEFF"/>
          </w:tcPr>
          <w:p>
            <w:pPr>
              <w:spacing w:after="0" w:line="145" w:lineRule="exact"/>
              <w:rPr>
                <w:rFonts w:ascii="Arial" w:cs="Arial" w:eastAsia="Arial" w:hAnsi="Arial"/>
                <w:sz w:val="14"/>
                <w:szCs w:val="14"/>
                <w:color w:val="0000EE"/>
                <w:w w:val="97"/>
              </w:rPr>
            </w:pPr>
            <w:hyperlink w:anchor="page11">
              <w:r>
                <w:rPr>
                  <w:rFonts w:ascii="Arial" w:cs="Arial" w:eastAsia="Arial" w:hAnsi="Arial"/>
                  <w:sz w:val="14"/>
                  <w:szCs w:val="14"/>
                  <w:color w:val="0000EE"/>
                  <w:w w:val="97"/>
                </w:rPr>
                <w:t>Risk Factors</w:t>
              </w:r>
            </w:hyperlink>
          </w:p>
        </w:tc>
        <w:tc>
          <w:tcPr>
            <w:tcW w:w="400" w:type="dxa"/>
            <w:vAlign w:val="bottom"/>
            <w:tcBorders>
              <w:top w:val="single" w:sz="8" w:color="0000EE"/>
              <w:bottom w:val="single" w:sz="8" w:color="CCEEFF"/>
            </w:tcBorders>
            <w:gridSpan w:val="3"/>
            <w:shd w:val="clear" w:color="auto" w:fill="CCEEFF"/>
          </w:tcPr>
          <w:p>
            <w:pPr>
              <w:spacing w:after="0"/>
              <w:rPr>
                <w:sz w:val="13"/>
                <w:szCs w:val="13"/>
                <w:color w:val="auto"/>
              </w:rPr>
            </w:pPr>
          </w:p>
        </w:tc>
        <w:tc>
          <w:tcPr>
            <w:tcW w:w="9240" w:type="dxa"/>
            <w:vAlign w:val="bottom"/>
            <w:tcBorders>
              <w:bottom w:val="single" w:sz="8" w:color="CCEEFF"/>
            </w:tcBorders>
            <w:gridSpan w:val="1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6</w:t>
            </w:r>
          </w:p>
        </w:tc>
      </w:tr>
      <w:tr>
        <w:trPr>
          <w:trHeight w:val="138"/>
        </w:trPr>
        <w:tc>
          <w:tcPr>
            <w:tcW w:w="10440" w:type="dxa"/>
            <w:vAlign w:val="bottom"/>
            <w:gridSpan w:val="18"/>
          </w:tcPr>
          <w:p>
            <w:pPr>
              <w:spacing w:after="0" w:line="139" w:lineRule="exact"/>
              <w:rPr>
                <w:rFonts w:ascii="Arial" w:cs="Arial" w:eastAsia="Arial" w:hAnsi="Arial"/>
                <w:sz w:val="14"/>
                <w:szCs w:val="14"/>
                <w:color w:val="0000EE"/>
              </w:rPr>
            </w:pPr>
            <w:hyperlink w:anchor="page43">
              <w:r>
                <w:rPr>
                  <w:rFonts w:ascii="Arial" w:cs="Arial" w:eastAsia="Arial" w:hAnsi="Arial"/>
                  <w:sz w:val="14"/>
                  <w:szCs w:val="14"/>
                  <w:color w:val="0000EE"/>
                </w:rPr>
                <w:t>Use of Proceeds</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38</w:t>
            </w:r>
          </w:p>
        </w:tc>
      </w:tr>
      <w:tr>
        <w:trPr>
          <w:trHeight w:val="26"/>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1800" w:type="dxa"/>
            <w:vAlign w:val="bottom"/>
            <w:tcBorders>
              <w:bottom w:val="single" w:sz="8" w:color="0000EE"/>
            </w:tcBorders>
            <w:gridSpan w:val="11"/>
            <w:shd w:val="clear" w:color="auto" w:fill="CCEEFF"/>
          </w:tcPr>
          <w:p>
            <w:pPr>
              <w:spacing w:after="0" w:line="145" w:lineRule="exact"/>
              <w:rPr>
                <w:rFonts w:ascii="Arial" w:cs="Arial" w:eastAsia="Arial" w:hAnsi="Arial"/>
                <w:sz w:val="14"/>
                <w:szCs w:val="14"/>
                <w:color w:val="0000EE"/>
                <w:w w:val="93"/>
              </w:rPr>
            </w:pPr>
            <w:hyperlink w:anchor="page44">
              <w:r>
                <w:rPr>
                  <w:rFonts w:ascii="Arial" w:cs="Arial" w:eastAsia="Arial" w:hAnsi="Arial"/>
                  <w:sz w:val="14"/>
                  <w:szCs w:val="14"/>
                  <w:color w:val="0000EE"/>
                  <w:w w:val="93"/>
                </w:rPr>
                <w:t>Market for Our Common Stock</w:t>
              </w:r>
            </w:hyperlink>
          </w:p>
        </w:tc>
        <w:tc>
          <w:tcPr>
            <w:tcW w:w="8640" w:type="dxa"/>
            <w:vAlign w:val="bottom"/>
            <w:tcBorders>
              <w:bottom w:val="single" w:sz="8" w:color="CCEEFF"/>
            </w:tcBorders>
            <w:gridSpan w:val="7"/>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39</w:t>
            </w:r>
          </w:p>
        </w:tc>
      </w:tr>
      <w:tr>
        <w:trPr>
          <w:trHeight w:val="144"/>
        </w:trPr>
        <w:tc>
          <w:tcPr>
            <w:tcW w:w="940" w:type="dxa"/>
            <w:vAlign w:val="bottom"/>
            <w:tcBorders>
              <w:bottom w:val="single" w:sz="8" w:color="0000EE"/>
            </w:tcBorders>
            <w:gridSpan w:val="5"/>
          </w:tcPr>
          <w:p>
            <w:pPr>
              <w:spacing w:after="0" w:line="139" w:lineRule="exact"/>
              <w:rPr>
                <w:rFonts w:ascii="Arial" w:cs="Arial" w:eastAsia="Arial" w:hAnsi="Arial"/>
                <w:sz w:val="14"/>
                <w:szCs w:val="14"/>
                <w:color w:val="0000EE"/>
                <w:w w:val="96"/>
              </w:rPr>
            </w:pPr>
            <w:hyperlink w:anchor="page45">
              <w:r>
                <w:rPr>
                  <w:rFonts w:ascii="Arial" w:cs="Arial" w:eastAsia="Arial" w:hAnsi="Arial"/>
                  <w:sz w:val="14"/>
                  <w:szCs w:val="14"/>
                  <w:color w:val="0000EE"/>
                  <w:w w:val="96"/>
                </w:rPr>
                <w:t>Dividend Policy</w:t>
              </w:r>
            </w:hyperlink>
          </w:p>
        </w:tc>
        <w:tc>
          <w:tcPr>
            <w:tcW w:w="9500" w:type="dxa"/>
            <w:vAlign w:val="bottom"/>
            <w:gridSpan w:val="13"/>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40</w:t>
            </w:r>
          </w:p>
        </w:tc>
      </w:tr>
      <w:tr>
        <w:trPr>
          <w:trHeight w:val="156"/>
        </w:trPr>
        <w:tc>
          <w:tcPr>
            <w:tcW w:w="500" w:type="dxa"/>
            <w:vAlign w:val="bottom"/>
            <w:tcBorders>
              <w:bottom w:val="single" w:sz="8" w:color="0000EE"/>
              <w:right w:val="single" w:sz="8" w:color="CCEEFF"/>
            </w:tcBorders>
            <w:gridSpan w:val="2"/>
            <w:shd w:val="clear" w:color="auto" w:fill="CCEEFF"/>
          </w:tcPr>
          <w:p>
            <w:pPr>
              <w:spacing w:after="0" w:line="145" w:lineRule="exact"/>
              <w:rPr>
                <w:rFonts w:ascii="Arial" w:cs="Arial" w:eastAsia="Arial" w:hAnsi="Arial"/>
                <w:sz w:val="14"/>
                <w:szCs w:val="14"/>
                <w:color w:val="0000EE"/>
                <w:w w:val="98"/>
              </w:rPr>
            </w:pPr>
            <w:hyperlink w:anchor="page46">
              <w:r>
                <w:rPr>
                  <w:rFonts w:ascii="Arial" w:cs="Arial" w:eastAsia="Arial" w:hAnsi="Arial"/>
                  <w:sz w:val="14"/>
                  <w:szCs w:val="14"/>
                  <w:color w:val="0000EE"/>
                  <w:w w:val="98"/>
                </w:rPr>
                <w:t>Dilution</w:t>
              </w:r>
            </w:hyperlink>
          </w:p>
        </w:tc>
        <w:tc>
          <w:tcPr>
            <w:tcW w:w="9940" w:type="dxa"/>
            <w:vAlign w:val="bottom"/>
            <w:tcBorders>
              <w:bottom w:val="single" w:sz="8" w:color="CCEEFF"/>
            </w:tcBorders>
            <w:gridSpan w:val="16"/>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41</w:t>
            </w:r>
          </w:p>
        </w:tc>
      </w:tr>
      <w:tr>
        <w:trPr>
          <w:trHeight w:val="138"/>
        </w:trPr>
        <w:tc>
          <w:tcPr>
            <w:tcW w:w="10440" w:type="dxa"/>
            <w:vAlign w:val="bottom"/>
            <w:gridSpan w:val="18"/>
          </w:tcPr>
          <w:p>
            <w:pPr>
              <w:spacing w:after="0" w:line="139" w:lineRule="exact"/>
              <w:rPr>
                <w:rFonts w:ascii="Arial" w:cs="Arial" w:eastAsia="Arial" w:hAnsi="Arial"/>
                <w:sz w:val="14"/>
                <w:szCs w:val="14"/>
                <w:color w:val="0000EE"/>
              </w:rPr>
            </w:pPr>
            <w:hyperlink w:anchor="page47">
              <w:r>
                <w:rPr>
                  <w:rFonts w:ascii="Arial" w:cs="Arial" w:eastAsia="Arial" w:hAnsi="Arial"/>
                  <w:sz w:val="14"/>
                  <w:szCs w:val="14"/>
                  <w:color w:val="0000EE"/>
                </w:rPr>
                <w:t>Capitalization</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42</w:t>
            </w:r>
          </w:p>
        </w:tc>
      </w:tr>
      <w:tr>
        <w:trPr>
          <w:trHeight w:val="26"/>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2140" w:type="dxa"/>
            <w:vAlign w:val="bottom"/>
            <w:tcBorders>
              <w:bottom w:val="single" w:sz="8" w:color="0000EE"/>
            </w:tcBorders>
            <w:gridSpan w:val="13"/>
            <w:shd w:val="clear" w:color="auto" w:fill="CCEEFF"/>
          </w:tcPr>
          <w:p>
            <w:pPr>
              <w:spacing w:after="0" w:line="145" w:lineRule="exact"/>
              <w:rPr>
                <w:rFonts w:ascii="Arial" w:cs="Arial" w:eastAsia="Arial" w:hAnsi="Arial"/>
                <w:sz w:val="14"/>
                <w:szCs w:val="14"/>
                <w:color w:val="0000EE"/>
                <w:w w:val="90"/>
              </w:rPr>
            </w:pPr>
            <w:hyperlink w:anchor="page48">
              <w:r>
                <w:rPr>
                  <w:rFonts w:ascii="Arial" w:cs="Arial" w:eastAsia="Arial" w:hAnsi="Arial"/>
                  <w:sz w:val="14"/>
                  <w:szCs w:val="14"/>
                  <w:color w:val="0000EE"/>
                  <w:w w:val="90"/>
                </w:rPr>
                <w:t>Selected Consolidated Financial Data</w:t>
              </w:r>
            </w:hyperlink>
          </w:p>
        </w:tc>
        <w:tc>
          <w:tcPr>
            <w:tcW w:w="8300" w:type="dxa"/>
            <w:vAlign w:val="bottom"/>
            <w:tcBorders>
              <w:bottom w:val="single" w:sz="8" w:color="CCEEFF"/>
            </w:tcBorders>
            <w:gridSpan w:val="5"/>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43</w:t>
            </w:r>
          </w:p>
        </w:tc>
      </w:tr>
      <w:tr>
        <w:trPr>
          <w:trHeight w:val="144"/>
        </w:trPr>
        <w:tc>
          <w:tcPr>
            <w:tcW w:w="5100" w:type="dxa"/>
            <w:vAlign w:val="bottom"/>
            <w:tcBorders>
              <w:bottom w:val="single" w:sz="8" w:color="0000EE"/>
            </w:tcBorders>
            <w:gridSpan w:val="17"/>
          </w:tcPr>
          <w:p>
            <w:pPr>
              <w:spacing w:after="0" w:line="139" w:lineRule="exact"/>
              <w:rPr>
                <w:rFonts w:ascii="Arial" w:cs="Arial" w:eastAsia="Arial" w:hAnsi="Arial"/>
                <w:sz w:val="14"/>
                <w:szCs w:val="14"/>
                <w:color w:val="0000EE"/>
                <w:w w:val="92"/>
              </w:rPr>
            </w:pPr>
            <w:hyperlink w:anchor="page49">
              <w:r>
                <w:rPr>
                  <w:rFonts w:ascii="Arial" w:cs="Arial" w:eastAsia="Arial" w:hAnsi="Arial"/>
                  <w:sz w:val="14"/>
                  <w:szCs w:val="14"/>
                  <w:color w:val="0000EE"/>
                  <w:w w:val="92"/>
                </w:rPr>
                <w:t>Management’s Discussion and Analysis of Financial Condition and Results of Operations</w:t>
              </w:r>
            </w:hyperlink>
          </w:p>
        </w:tc>
        <w:tc>
          <w:tcPr>
            <w:tcW w:w="5340" w:type="dxa"/>
            <w:vAlign w:val="bottom"/>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44</w:t>
            </w:r>
          </w:p>
        </w:tc>
      </w:tr>
      <w:tr>
        <w:trPr>
          <w:trHeight w:val="144"/>
        </w:trPr>
        <w:tc>
          <w:tcPr>
            <w:tcW w:w="10440" w:type="dxa"/>
            <w:vAlign w:val="bottom"/>
            <w:gridSpan w:val="18"/>
            <w:shd w:val="clear" w:color="auto" w:fill="CCEEFF"/>
          </w:tcPr>
          <w:p>
            <w:pPr>
              <w:spacing w:after="0" w:line="145" w:lineRule="exact"/>
              <w:rPr>
                <w:rFonts w:ascii="Arial" w:cs="Arial" w:eastAsia="Arial" w:hAnsi="Arial"/>
                <w:sz w:val="14"/>
                <w:szCs w:val="14"/>
                <w:color w:val="0000EE"/>
              </w:rPr>
            </w:pPr>
            <w:hyperlink w:anchor="page65">
              <w:r>
                <w:rPr>
                  <w:rFonts w:ascii="Arial" w:cs="Arial" w:eastAsia="Arial" w:hAnsi="Arial"/>
                  <w:sz w:val="14"/>
                  <w:szCs w:val="14"/>
                  <w:color w:val="0000EE"/>
                </w:rPr>
                <w:t>Business</w:t>
              </w:r>
            </w:hyperlink>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60</w:t>
            </w:r>
          </w:p>
        </w:tc>
      </w:tr>
      <w:tr>
        <w:trPr>
          <w:trHeight w:val="32"/>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1880" w:type="dxa"/>
            <w:vAlign w:val="bottom"/>
            <w:tcBorders>
              <w:bottom w:val="single" w:sz="8" w:color="0000EE"/>
            </w:tcBorders>
            <w:gridSpan w:val="12"/>
          </w:tcPr>
          <w:p>
            <w:pPr>
              <w:spacing w:after="0" w:line="139" w:lineRule="exact"/>
              <w:rPr>
                <w:rFonts w:ascii="Arial" w:cs="Arial" w:eastAsia="Arial" w:hAnsi="Arial"/>
                <w:sz w:val="14"/>
                <w:szCs w:val="14"/>
                <w:color w:val="0000EE"/>
                <w:w w:val="92"/>
              </w:rPr>
            </w:pPr>
            <w:hyperlink w:anchor="page105">
              <w:r>
                <w:rPr>
                  <w:rFonts w:ascii="Arial" w:cs="Arial" w:eastAsia="Arial" w:hAnsi="Arial"/>
                  <w:sz w:val="14"/>
                  <w:szCs w:val="14"/>
                  <w:color w:val="0000EE"/>
                  <w:w w:val="92"/>
                </w:rPr>
                <w:t>Directors and Executive Officers</w:t>
              </w:r>
            </w:hyperlink>
          </w:p>
        </w:tc>
        <w:tc>
          <w:tcPr>
            <w:tcW w:w="8560" w:type="dxa"/>
            <w:vAlign w:val="bottom"/>
            <w:gridSpan w:val="6"/>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100</w:t>
            </w:r>
          </w:p>
        </w:tc>
      </w:tr>
      <w:tr>
        <w:trPr>
          <w:trHeight w:val="156"/>
        </w:trPr>
        <w:tc>
          <w:tcPr>
            <w:tcW w:w="3860" w:type="dxa"/>
            <w:vAlign w:val="bottom"/>
            <w:tcBorders>
              <w:bottom w:val="single" w:sz="8" w:color="0000EE"/>
            </w:tcBorders>
            <w:gridSpan w:val="16"/>
            <w:shd w:val="clear" w:color="auto" w:fill="CCEEFF"/>
          </w:tcPr>
          <w:p>
            <w:pPr>
              <w:spacing w:after="0" w:line="145" w:lineRule="exact"/>
              <w:rPr>
                <w:rFonts w:ascii="Arial" w:cs="Arial" w:eastAsia="Arial" w:hAnsi="Arial"/>
                <w:sz w:val="14"/>
                <w:szCs w:val="14"/>
                <w:color w:val="0000EE"/>
                <w:w w:val="92"/>
              </w:rPr>
            </w:pPr>
            <w:hyperlink w:anchor="page120">
              <w:r>
                <w:rPr>
                  <w:rFonts w:ascii="Arial" w:cs="Arial" w:eastAsia="Arial" w:hAnsi="Arial"/>
                  <w:sz w:val="14"/>
                  <w:szCs w:val="14"/>
                  <w:color w:val="0000EE"/>
                  <w:w w:val="92"/>
                </w:rPr>
                <w:t>Security Ownership of Certain Beneficial Owners and Management</w:t>
              </w:r>
            </w:hyperlink>
          </w:p>
        </w:tc>
        <w:tc>
          <w:tcPr>
            <w:tcW w:w="6580" w:type="dxa"/>
            <w:vAlign w:val="bottom"/>
            <w:tcBorders>
              <w:bottom w:val="single" w:sz="8" w:color="CCEEFF"/>
            </w:tcBorders>
            <w:gridSpan w:val="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115</w:t>
            </w:r>
          </w:p>
        </w:tc>
      </w:tr>
      <w:tr>
        <w:trPr>
          <w:trHeight w:val="144"/>
        </w:trPr>
        <w:tc>
          <w:tcPr>
            <w:tcW w:w="2700" w:type="dxa"/>
            <w:vAlign w:val="bottom"/>
            <w:tcBorders>
              <w:bottom w:val="single" w:sz="8" w:color="0000EE"/>
            </w:tcBorders>
            <w:gridSpan w:val="15"/>
          </w:tcPr>
          <w:p>
            <w:pPr>
              <w:spacing w:after="0" w:line="139" w:lineRule="exact"/>
              <w:rPr>
                <w:rFonts w:ascii="Arial" w:cs="Arial" w:eastAsia="Arial" w:hAnsi="Arial"/>
                <w:sz w:val="14"/>
                <w:szCs w:val="14"/>
                <w:color w:val="0000EE"/>
                <w:w w:val="90"/>
              </w:rPr>
            </w:pPr>
            <w:hyperlink w:anchor="page128">
              <w:r>
                <w:rPr>
                  <w:rFonts w:ascii="Arial" w:cs="Arial" w:eastAsia="Arial" w:hAnsi="Arial"/>
                  <w:sz w:val="14"/>
                  <w:szCs w:val="14"/>
                  <w:color w:val="0000EE"/>
                  <w:w w:val="90"/>
                </w:rPr>
                <w:t>Certain Relationships and Related Transactions</w:t>
              </w:r>
            </w:hyperlink>
          </w:p>
        </w:tc>
        <w:tc>
          <w:tcPr>
            <w:tcW w:w="7740" w:type="dxa"/>
            <w:vAlign w:val="bottom"/>
            <w:gridSpan w:val="3"/>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123</w:t>
            </w:r>
          </w:p>
        </w:tc>
      </w:tr>
      <w:tr>
        <w:trPr>
          <w:trHeight w:val="156"/>
        </w:trPr>
        <w:tc>
          <w:tcPr>
            <w:tcW w:w="1420" w:type="dxa"/>
            <w:vAlign w:val="bottom"/>
            <w:tcBorders>
              <w:bottom w:val="single" w:sz="8" w:color="0000EE"/>
            </w:tcBorders>
            <w:gridSpan w:val="7"/>
            <w:shd w:val="clear" w:color="auto" w:fill="CCEEFF"/>
          </w:tcPr>
          <w:p>
            <w:pPr>
              <w:spacing w:after="0" w:line="145" w:lineRule="exact"/>
              <w:rPr>
                <w:rFonts w:ascii="Arial" w:cs="Arial" w:eastAsia="Arial" w:hAnsi="Arial"/>
                <w:sz w:val="14"/>
                <w:szCs w:val="14"/>
                <w:color w:val="0000EE"/>
                <w:w w:val="92"/>
              </w:rPr>
            </w:pPr>
            <w:hyperlink w:anchor="page129">
              <w:r>
                <w:rPr>
                  <w:rFonts w:ascii="Arial" w:cs="Arial" w:eastAsia="Arial" w:hAnsi="Arial"/>
                  <w:sz w:val="14"/>
                  <w:szCs w:val="14"/>
                  <w:color w:val="0000EE"/>
                  <w:w w:val="92"/>
                </w:rPr>
                <w:t>Description of Securities</w:t>
              </w:r>
            </w:hyperlink>
          </w:p>
        </w:tc>
        <w:tc>
          <w:tcPr>
            <w:tcW w:w="9020" w:type="dxa"/>
            <w:vAlign w:val="bottom"/>
            <w:tcBorders>
              <w:bottom w:val="single" w:sz="8" w:color="CCEEFF"/>
            </w:tcBorders>
            <w:gridSpan w:val="11"/>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124</w:t>
            </w:r>
          </w:p>
        </w:tc>
      </w:tr>
      <w:tr>
        <w:trPr>
          <w:trHeight w:val="144"/>
        </w:trPr>
        <w:tc>
          <w:tcPr>
            <w:tcW w:w="1760" w:type="dxa"/>
            <w:vAlign w:val="bottom"/>
            <w:tcBorders>
              <w:bottom w:val="single" w:sz="8" w:color="0000EE"/>
            </w:tcBorders>
            <w:gridSpan w:val="10"/>
          </w:tcPr>
          <w:p>
            <w:pPr>
              <w:spacing w:after="0" w:line="139" w:lineRule="exact"/>
              <w:rPr>
                <w:rFonts w:ascii="Arial" w:cs="Arial" w:eastAsia="Arial" w:hAnsi="Arial"/>
                <w:sz w:val="14"/>
                <w:szCs w:val="14"/>
                <w:color w:val="0000EE"/>
                <w:w w:val="91"/>
              </w:rPr>
            </w:pPr>
            <w:hyperlink w:anchor="page134">
              <w:r>
                <w:rPr>
                  <w:rFonts w:ascii="Arial" w:cs="Arial" w:eastAsia="Arial" w:hAnsi="Arial"/>
                  <w:sz w:val="14"/>
                  <w:szCs w:val="14"/>
                  <w:color w:val="0000EE"/>
                  <w:w w:val="91"/>
                </w:rPr>
                <w:t>Shares Eligible for Future Sale</w:t>
              </w:r>
            </w:hyperlink>
          </w:p>
        </w:tc>
        <w:tc>
          <w:tcPr>
            <w:tcW w:w="8680" w:type="dxa"/>
            <w:vAlign w:val="bottom"/>
            <w:gridSpan w:val="8"/>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129</w:t>
            </w:r>
          </w:p>
        </w:tc>
      </w:tr>
      <w:tr>
        <w:trPr>
          <w:trHeight w:val="144"/>
        </w:trPr>
        <w:tc>
          <w:tcPr>
            <w:tcW w:w="10440" w:type="dxa"/>
            <w:vAlign w:val="bottom"/>
            <w:gridSpan w:val="18"/>
            <w:shd w:val="clear" w:color="auto" w:fill="CCEEFF"/>
          </w:tcPr>
          <w:p>
            <w:pPr>
              <w:spacing w:after="0" w:line="145" w:lineRule="exact"/>
              <w:rPr>
                <w:rFonts w:ascii="Arial" w:cs="Arial" w:eastAsia="Arial" w:hAnsi="Arial"/>
                <w:sz w:val="14"/>
                <w:szCs w:val="14"/>
                <w:color w:val="0000EE"/>
              </w:rPr>
            </w:pPr>
            <w:hyperlink w:anchor="page135">
              <w:r>
                <w:rPr>
                  <w:rFonts w:ascii="Arial" w:cs="Arial" w:eastAsia="Arial" w:hAnsi="Arial"/>
                  <w:sz w:val="14"/>
                  <w:szCs w:val="14"/>
                  <w:color w:val="0000EE"/>
                </w:rPr>
                <w:t>Underwriting</w:t>
              </w:r>
            </w:hyperlink>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130</w:t>
            </w:r>
          </w:p>
        </w:tc>
      </w:tr>
      <w:tr>
        <w:trPr>
          <w:trHeight w:val="32"/>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800" w:type="dxa"/>
            <w:vAlign w:val="bottom"/>
            <w:tcBorders>
              <w:bottom w:val="single" w:sz="8" w:color="0000EE"/>
            </w:tcBorders>
            <w:gridSpan w:val="3"/>
          </w:tcPr>
          <w:p>
            <w:pPr>
              <w:spacing w:after="0" w:line="139" w:lineRule="exact"/>
              <w:rPr>
                <w:rFonts w:ascii="Arial" w:cs="Arial" w:eastAsia="Arial" w:hAnsi="Arial"/>
                <w:sz w:val="14"/>
                <w:szCs w:val="14"/>
                <w:color w:val="0000EE"/>
                <w:w w:val="89"/>
              </w:rPr>
            </w:pPr>
            <w:hyperlink w:anchor="page142">
              <w:r>
                <w:rPr>
                  <w:rFonts w:ascii="Arial" w:cs="Arial" w:eastAsia="Arial" w:hAnsi="Arial"/>
                  <w:sz w:val="14"/>
                  <w:szCs w:val="14"/>
                  <w:color w:val="0000EE"/>
                  <w:w w:val="89"/>
                </w:rPr>
                <w:t>Legal Matters</w:t>
              </w:r>
            </w:hyperlink>
          </w:p>
        </w:tc>
        <w:tc>
          <w:tcPr>
            <w:tcW w:w="9640" w:type="dxa"/>
            <w:vAlign w:val="bottom"/>
            <w:gridSpan w:val="15"/>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137</w:t>
            </w:r>
          </w:p>
        </w:tc>
      </w:tr>
      <w:tr>
        <w:trPr>
          <w:trHeight w:val="156"/>
        </w:trPr>
        <w:tc>
          <w:tcPr>
            <w:tcW w:w="440" w:type="dxa"/>
            <w:vAlign w:val="bottom"/>
            <w:tcBorders>
              <w:bottom w:val="single" w:sz="8" w:color="0000EE"/>
            </w:tcBorders>
            <w:shd w:val="clear" w:color="auto" w:fill="CCEEFF"/>
          </w:tcPr>
          <w:p>
            <w:pPr>
              <w:spacing w:after="0" w:line="145" w:lineRule="exact"/>
              <w:rPr>
                <w:rFonts w:ascii="Arial" w:cs="Arial" w:eastAsia="Arial" w:hAnsi="Arial"/>
                <w:sz w:val="14"/>
                <w:szCs w:val="14"/>
                <w:color w:val="0000EE"/>
                <w:w w:val="88"/>
              </w:rPr>
            </w:pPr>
            <w:hyperlink w:anchor="page142">
              <w:r>
                <w:rPr>
                  <w:rFonts w:ascii="Arial" w:cs="Arial" w:eastAsia="Arial" w:hAnsi="Arial"/>
                  <w:sz w:val="14"/>
                  <w:szCs w:val="14"/>
                  <w:color w:val="0000EE"/>
                  <w:w w:val="88"/>
                </w:rPr>
                <w:t>Experts</w:t>
              </w:r>
            </w:hyperlink>
          </w:p>
        </w:tc>
        <w:tc>
          <w:tcPr>
            <w:tcW w:w="10000" w:type="dxa"/>
            <w:vAlign w:val="bottom"/>
            <w:tcBorders>
              <w:bottom w:val="single" w:sz="8" w:color="CCEEFF"/>
            </w:tcBorders>
            <w:gridSpan w:val="17"/>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137</w:t>
            </w:r>
          </w:p>
        </w:tc>
      </w:tr>
      <w:tr>
        <w:trPr>
          <w:trHeight w:val="144"/>
        </w:trPr>
        <w:tc>
          <w:tcPr>
            <w:tcW w:w="10440" w:type="dxa"/>
            <w:vAlign w:val="bottom"/>
            <w:gridSpan w:val="18"/>
          </w:tcPr>
          <w:p>
            <w:pPr>
              <w:spacing w:after="0" w:line="139" w:lineRule="exact"/>
              <w:rPr>
                <w:rFonts w:ascii="Arial" w:cs="Arial" w:eastAsia="Arial" w:hAnsi="Arial"/>
                <w:sz w:val="14"/>
                <w:szCs w:val="14"/>
                <w:color w:val="0000EE"/>
              </w:rPr>
            </w:pPr>
            <w:hyperlink w:anchor="page142">
              <w:r>
                <w:rPr>
                  <w:rFonts w:ascii="Arial" w:cs="Arial" w:eastAsia="Arial" w:hAnsi="Arial"/>
                  <w:sz w:val="14"/>
                  <w:szCs w:val="14"/>
                  <w:color w:val="0000EE"/>
                </w:rPr>
                <w:t>Where You Can Find More Information</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137</w:t>
            </w:r>
          </w:p>
        </w:tc>
      </w:tr>
      <w:tr>
        <w:trPr>
          <w:trHeight w:val="156"/>
        </w:trPr>
        <w:tc>
          <w:tcPr>
            <w:tcW w:w="1700" w:type="dxa"/>
            <w:vAlign w:val="bottom"/>
            <w:tcBorders>
              <w:top w:val="single" w:sz="8" w:color="0000EE"/>
              <w:bottom w:val="single" w:sz="8" w:color="0000EE"/>
            </w:tcBorders>
            <w:gridSpan w:val="9"/>
            <w:shd w:val="clear" w:color="auto" w:fill="CCEEFF"/>
          </w:tcPr>
          <w:p>
            <w:pPr>
              <w:spacing w:after="0" w:line="145" w:lineRule="exact"/>
              <w:rPr>
                <w:rFonts w:ascii="Arial" w:cs="Arial" w:eastAsia="Arial" w:hAnsi="Arial"/>
                <w:sz w:val="14"/>
                <w:szCs w:val="14"/>
                <w:color w:val="0000EE"/>
                <w:w w:val="91"/>
              </w:rPr>
            </w:pPr>
            <w:hyperlink w:anchor="page143">
              <w:r>
                <w:rPr>
                  <w:rFonts w:ascii="Arial" w:cs="Arial" w:eastAsia="Arial" w:hAnsi="Arial"/>
                  <w:sz w:val="14"/>
                  <w:szCs w:val="14"/>
                  <w:color w:val="0000EE"/>
                  <w:w w:val="91"/>
                </w:rPr>
                <w:t>Index to Financial Statements</w:t>
              </w:r>
            </w:hyperlink>
          </w:p>
        </w:tc>
        <w:tc>
          <w:tcPr>
            <w:tcW w:w="560" w:type="dxa"/>
            <w:vAlign w:val="bottom"/>
            <w:tcBorders>
              <w:top w:val="single" w:sz="8" w:color="0000EE"/>
              <w:bottom w:val="single" w:sz="8" w:color="CCEEFF"/>
            </w:tcBorders>
            <w:gridSpan w:val="5"/>
            <w:shd w:val="clear" w:color="auto" w:fill="CCEEFF"/>
          </w:tcPr>
          <w:p>
            <w:pPr>
              <w:spacing w:after="0"/>
              <w:rPr>
                <w:sz w:val="13"/>
                <w:szCs w:val="13"/>
                <w:color w:val="auto"/>
              </w:rPr>
            </w:pPr>
          </w:p>
        </w:tc>
        <w:tc>
          <w:tcPr>
            <w:tcW w:w="8180" w:type="dxa"/>
            <w:vAlign w:val="bottom"/>
            <w:tcBorders>
              <w:bottom w:val="single" w:sz="8" w:color="CCEEFF"/>
            </w:tcBorders>
            <w:gridSpan w:val="4"/>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F-1</w:t>
            </w: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ABOUT THIS PROSPECTUS</w:t>
      </w:r>
    </w:p>
    <w:p>
      <w:pPr>
        <w:spacing w:after="0" w:line="205" w:lineRule="exact"/>
        <w:rPr>
          <w:sz w:val="20"/>
          <w:szCs w:val="20"/>
          <w:color w:val="auto"/>
        </w:rPr>
      </w:pPr>
    </w:p>
    <w:p>
      <w:pPr>
        <w:ind w:right="220"/>
        <w:spacing w:after="0" w:line="290" w:lineRule="auto"/>
        <w:rPr>
          <w:sz w:val="20"/>
          <w:szCs w:val="20"/>
          <w:color w:val="auto"/>
        </w:rPr>
      </w:pPr>
      <w:r>
        <w:rPr>
          <w:rFonts w:ascii="Arial" w:cs="Arial" w:eastAsia="Arial" w:hAnsi="Arial"/>
          <w:sz w:val="13"/>
          <w:szCs w:val="13"/>
          <w:color w:val="auto"/>
        </w:rPr>
        <w:t>You should rely only on the information contained in this prospectus.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our securities only in jurisdictions where offers and sales are permitted. The information contained in this prospectus is accurate only as of the date of this prospectus, regardless of the time of delivery of this prospectus or of any sale of our securities.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This prospectus includes industry and market data that we obtained from industry publications, internal estimates and other third-party sources. These sources may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Unless the context otherwise requires, the words “</w:t>
      </w:r>
      <w:r>
        <w:rPr>
          <w:rFonts w:ascii="Arial" w:cs="Arial" w:eastAsia="Arial" w:hAnsi="Arial"/>
          <w:sz w:val="13"/>
          <w:szCs w:val="13"/>
          <w:i w:val="1"/>
          <w:iCs w:val="1"/>
          <w:color w:val="auto"/>
        </w:rPr>
        <w:t>VistaGen Therapeutics, Inc.</w:t>
      </w:r>
      <w:r>
        <w:rPr>
          <w:rFonts w:ascii="Arial" w:cs="Arial" w:eastAsia="Arial" w:hAnsi="Arial"/>
          <w:sz w:val="13"/>
          <w:szCs w:val="13"/>
          <w:color w:val="auto"/>
        </w:rPr>
        <w:t>” “</w:t>
      </w:r>
      <w:r>
        <w:rPr>
          <w:rFonts w:ascii="Arial" w:cs="Arial" w:eastAsia="Arial" w:hAnsi="Arial"/>
          <w:sz w:val="13"/>
          <w:szCs w:val="13"/>
          <w:i w:val="1"/>
          <w:iCs w:val="1"/>
          <w:color w:val="auto"/>
        </w:rPr>
        <w:t>VistaGen</w:t>
      </w:r>
      <w:r>
        <w:rPr>
          <w:rFonts w:ascii="Arial" w:cs="Arial" w:eastAsia="Arial" w:hAnsi="Arial"/>
          <w:sz w:val="13"/>
          <w:szCs w:val="13"/>
          <w:color w:val="auto"/>
        </w:rPr>
        <w:t>,” “</w:t>
      </w:r>
      <w:r>
        <w:rPr>
          <w:rFonts w:ascii="Arial" w:cs="Arial" w:eastAsia="Arial" w:hAnsi="Arial"/>
          <w:sz w:val="13"/>
          <w:szCs w:val="13"/>
          <w:i w:val="1"/>
          <w:iCs w:val="1"/>
          <w:color w:val="auto"/>
        </w:rPr>
        <w:t>we</w:t>
      </w:r>
      <w:r>
        <w:rPr>
          <w:rFonts w:ascii="Arial" w:cs="Arial" w:eastAsia="Arial" w:hAnsi="Arial"/>
          <w:sz w:val="13"/>
          <w:szCs w:val="13"/>
          <w:color w:val="auto"/>
        </w:rPr>
        <w:t>,” “</w:t>
      </w:r>
      <w:r>
        <w:rPr>
          <w:rFonts w:ascii="Arial" w:cs="Arial" w:eastAsia="Arial" w:hAnsi="Arial"/>
          <w:sz w:val="13"/>
          <w:szCs w:val="13"/>
          <w:i w:val="1"/>
          <w:iCs w:val="1"/>
          <w:color w:val="auto"/>
        </w:rPr>
        <w:t>the Company</w:t>
      </w:r>
      <w:r>
        <w:rPr>
          <w:rFonts w:ascii="Arial" w:cs="Arial" w:eastAsia="Arial" w:hAnsi="Arial"/>
          <w:sz w:val="13"/>
          <w:szCs w:val="13"/>
          <w:color w:val="auto"/>
        </w:rPr>
        <w:t>,” “</w:t>
      </w:r>
      <w:r>
        <w:rPr>
          <w:rFonts w:ascii="Arial" w:cs="Arial" w:eastAsia="Arial" w:hAnsi="Arial"/>
          <w:sz w:val="13"/>
          <w:szCs w:val="13"/>
          <w:i w:val="1"/>
          <w:iCs w:val="1"/>
          <w:color w:val="auto"/>
        </w:rPr>
        <w:t>us</w:t>
      </w:r>
      <w:r>
        <w:rPr>
          <w:rFonts w:ascii="Arial" w:cs="Arial" w:eastAsia="Arial" w:hAnsi="Arial"/>
          <w:sz w:val="13"/>
          <w:szCs w:val="13"/>
          <w:color w:val="auto"/>
        </w:rPr>
        <w:t>” and “</w:t>
      </w:r>
      <w:r>
        <w:rPr>
          <w:rFonts w:ascii="Arial" w:cs="Arial" w:eastAsia="Arial" w:hAnsi="Arial"/>
          <w:sz w:val="13"/>
          <w:szCs w:val="13"/>
          <w:i w:val="1"/>
          <w:iCs w:val="1"/>
          <w:color w:val="auto"/>
        </w:rPr>
        <w:t>our</w:t>
      </w:r>
      <w:r>
        <w:rPr>
          <w:rFonts w:ascii="Arial" w:cs="Arial" w:eastAsia="Arial" w:hAnsi="Arial"/>
          <w:sz w:val="13"/>
          <w:szCs w:val="13"/>
          <w:color w:val="auto"/>
        </w:rPr>
        <w:t>” refer to VistaGen Therapeutics, Inc., a Nevada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VistaGen California</w:t>
      </w:r>
      <w:r>
        <w:rPr>
          <w:rFonts w:ascii="Arial" w:cs="Arial" w:eastAsia="Arial" w:hAnsi="Arial"/>
          <w:sz w:val="14"/>
          <w:szCs w:val="14"/>
          <w:color w:val="auto"/>
        </w:rPr>
        <w:t>” refers to VistaGen Therapeutics, Inc., a California corporation and our wholly owned subsidiary.</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728154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4" w:right="219" w:bottom="1440" w:gutter="0" w:footer="0" w:header="0"/>
        </w:sectPr>
      </w:pPr>
    </w:p>
    <w:bookmarkStart w:id="5" w:name="page6"/>
    <w:bookmarkEnd w:id="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FORWARD-LOOKING STATEMENTS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This prospectus, including the information incorporated by reference, contains forward-looking statements as defined in the Private Securities Litigation Reform Act of 1995. The use of any statements containing the words “intend,” “believe,” “estimate,” “project,” “expect,” “anticipate,” “plan,” “should” or similar expressions are intended to identify such statements. Forward-looking statements inherently involve risks and uncertainties that could cause actual results to differ materially from the forward-looking statements. Factors that could cause or contribute to such differences include, but are not limited to, changes in demand for our products and services, changes in the level of operating expenses, our ability to execute our business and operating plan, changes in general economic conditions that impact government spending, regulatory issues, dependence on third party suppliers, and other risks detailed in this prospectus under the heading “</w:t>
      </w:r>
      <w:r>
        <w:rPr>
          <w:rFonts w:ascii="Arial" w:cs="Arial" w:eastAsia="Arial" w:hAnsi="Arial"/>
          <w:sz w:val="14"/>
          <w:szCs w:val="14"/>
          <w:i w:val="1"/>
          <w:iCs w:val="1"/>
          <w:color w:val="auto"/>
        </w:rPr>
        <w:t>Risk Factors</w:t>
      </w:r>
      <w:r>
        <w:rPr>
          <w:rFonts w:ascii="Arial" w:cs="Arial" w:eastAsia="Arial" w:hAnsi="Arial"/>
          <w:sz w:val="14"/>
          <w:szCs w:val="14"/>
          <w:color w:val="auto"/>
        </w:rPr>
        <w:t>” and in our periodic report filings with the Securities and Exchange Commission (</w:t>
      </w:r>
      <w:r>
        <w:rPr>
          <w:rFonts w:ascii="Arial" w:cs="Arial" w:eastAsia="Arial" w:hAnsi="Arial"/>
          <w:sz w:val="14"/>
          <w:szCs w:val="14"/>
          <w:i w:val="1"/>
          <w:iCs w:val="1"/>
          <w:color w:val="auto"/>
        </w:rPr>
        <w:t>SEC</w:t>
      </w:r>
      <w:r>
        <w:rPr>
          <w:rFonts w:ascii="Arial" w:cs="Arial" w:eastAsia="Arial" w:hAnsi="Arial"/>
          <w:sz w:val="14"/>
          <w:szCs w:val="14"/>
          <w:color w:val="auto"/>
        </w:rPr>
        <w:t>).</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may not meet the safe harbor for forward-looking statements pursuant to Sections 21E or 27A of the Securities Act of 1933, as amended (</w:t>
      </w:r>
      <w:r>
        <w:rPr>
          <w:rFonts w:ascii="Arial" w:cs="Arial" w:eastAsia="Arial" w:hAnsi="Arial"/>
          <w:sz w:val="14"/>
          <w:szCs w:val="14"/>
          <w:i w:val="1"/>
          <w:iCs w:val="1"/>
          <w:color w:val="auto"/>
        </w:rPr>
        <w:t>Securities Act</w:t>
      </w:r>
      <w:r>
        <w:rPr>
          <w:rFonts w:ascii="Arial" w:cs="Arial" w:eastAsia="Arial" w:hAnsi="Arial"/>
          <w:sz w:val="14"/>
          <w:szCs w:val="14"/>
          <w:color w:val="auto"/>
        </w:rPr>
        <w:t>). Actual results could differ materially from those anticipated in forward-looking statements and future results could differ materially from historical performance.</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bookmarkStart w:id="6" w:name="page7"/>
    <w:bookmarkEnd w:id="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6985000" cy="6085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5000" cy="6085840"/>
                    </a:xfrm>
                    <a:prstGeom prst="rect">
                      <a:avLst/>
                    </a:prstGeom>
                    <a:noFill/>
                  </pic:spPr>
                </pic:pic>
              </a:graphicData>
            </a:graphic>
          </wp:anchor>
        </w:drawing>
      </w:r>
    </w:p>
    <w:p>
      <w:pPr>
        <w:spacing w:after="0" w:line="366"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PROSPECTUS SUMMARY</w:t>
      </w:r>
    </w:p>
    <w:p>
      <w:pPr>
        <w:spacing w:after="0" w:line="184" w:lineRule="exact"/>
        <w:rPr>
          <w:sz w:val="20"/>
          <w:szCs w:val="20"/>
          <w:color w:val="auto"/>
        </w:rPr>
      </w:pPr>
    </w:p>
    <w:p>
      <w:pPr>
        <w:jc w:val="both"/>
        <w:ind w:left="480" w:right="360"/>
        <w:spacing w:after="0" w:line="268" w:lineRule="auto"/>
        <w:rPr>
          <w:sz w:val="20"/>
          <w:szCs w:val="20"/>
          <w:color w:val="auto"/>
        </w:rPr>
      </w:pPr>
      <w:r>
        <w:rPr>
          <w:rFonts w:ascii="Arial" w:cs="Arial" w:eastAsia="Arial" w:hAnsi="Arial"/>
          <w:sz w:val="14"/>
          <w:szCs w:val="14"/>
          <w:i w:val="1"/>
          <w:iCs w:val="1"/>
          <w:color w:val="auto"/>
        </w:rPr>
        <w:t>This summary highlights selected information appearing elsewhere in this prospectus and does not contain all the information you should consider before investing in our common stock. You should carefully read this prospectus in its entirety before investing in our common stock, including the section entitled “Risk Factors” and our financial statements and related notes included elsewhere in this prospectus.</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Overview</w:t>
      </w:r>
    </w:p>
    <w:p>
      <w:pPr>
        <w:spacing w:after="0" w:line="184" w:lineRule="exact"/>
        <w:rPr>
          <w:sz w:val="20"/>
          <w:szCs w:val="20"/>
          <w:color w:val="auto"/>
        </w:rPr>
      </w:pPr>
    </w:p>
    <w:p>
      <w:pPr>
        <w:ind w:left="480" w:right="4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in patients with an inadequate response to standard antidepressants.</w:t>
      </w:r>
    </w:p>
    <w:p>
      <w:pPr>
        <w:spacing w:after="0" w:line="142" w:lineRule="exact"/>
        <w:rPr>
          <w:sz w:val="20"/>
          <w:szCs w:val="20"/>
          <w:color w:val="auto"/>
        </w:rPr>
      </w:pPr>
    </w:p>
    <w:p>
      <w:pPr>
        <w:ind w:left="480" w:right="280"/>
        <w:spacing w:after="0" w:line="268" w:lineRule="auto"/>
        <w:rPr>
          <w:sz w:val="20"/>
          <w:szCs w:val="20"/>
          <w:color w:val="auto"/>
        </w:rPr>
      </w:pPr>
      <w:r>
        <w:rPr>
          <w:rFonts w:ascii="Arial" w:cs="Arial" w:eastAsia="Arial" w:hAnsi="Arial"/>
          <w:sz w:val="14"/>
          <w:szCs w:val="14"/>
          <w:color w:val="auto"/>
        </w:rPr>
        <w:t>AV-101’s mechanism of action, as an N-methyl D aspartate receptor (</w:t>
      </w:r>
      <w:r>
        <w:rPr>
          <w:rFonts w:ascii="Arial" w:cs="Arial" w:eastAsia="Arial" w:hAnsi="Arial"/>
          <w:sz w:val="14"/>
          <w:szCs w:val="14"/>
          <w:i w:val="1"/>
          <w:iCs w:val="1"/>
          <w:color w:val="auto"/>
        </w:rPr>
        <w:t>NMDAR</w:t>
      </w:r>
      <w:r>
        <w:rPr>
          <w:rFonts w:ascii="Arial" w:cs="Arial" w:eastAsia="Arial" w:hAnsi="Arial"/>
          <w:sz w:val="14"/>
          <w:szCs w:val="14"/>
          <w:color w:val="auto"/>
        </w:rPr>
        <w:t>) antagonist binding selectively at the glycine binding (</w:t>
      </w:r>
      <w:r>
        <w:rPr>
          <w:rFonts w:ascii="Arial" w:cs="Arial" w:eastAsia="Arial" w:hAnsi="Arial"/>
          <w:sz w:val="14"/>
          <w:szCs w:val="14"/>
          <w:i w:val="1"/>
          <w:iCs w:val="1"/>
          <w:color w:val="auto"/>
        </w:rPr>
        <w:t>GlyB</w:t>
      </w:r>
      <w:r>
        <w:rPr>
          <w:rFonts w:ascii="Arial" w:cs="Arial" w:eastAsia="Arial" w:hAnsi="Arial"/>
          <w:sz w:val="14"/>
          <w:szCs w:val="14"/>
          <w:color w:val="auto"/>
        </w:rPr>
        <w:t>) co-agonist site of the NMDAR, is fundamentally differentiated from all antidepressants, as well as all atypical antipsychotics used adjunctively with standard antidepressants, currently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w:t>
      </w:r>
    </w:p>
    <w:p>
      <w:pPr>
        <w:spacing w:after="0" w:line="142" w:lineRule="exact"/>
        <w:rPr>
          <w:sz w:val="20"/>
          <w:szCs w:val="20"/>
          <w:color w:val="auto"/>
        </w:rPr>
      </w:pPr>
    </w:p>
    <w:p>
      <w:pPr>
        <w:ind w:left="480" w:right="100"/>
        <w:spacing w:after="0" w:line="279" w:lineRule="auto"/>
        <w:rPr>
          <w:sz w:val="20"/>
          <w:szCs w:val="20"/>
          <w:color w:val="auto"/>
        </w:rPr>
      </w:pPr>
      <w:r>
        <w:rPr>
          <w:rFonts w:ascii="Arial" w:cs="Arial" w:eastAsia="Arial" w:hAnsi="Arial"/>
          <w:sz w:val="13"/>
          <w:szCs w:val="13"/>
          <w:color w:val="auto"/>
        </w:rPr>
        <w:t>Our ongoing Phase 2a clinical study of AV-101 in subjects with treatment-resistant MDD is being conducted and funded by the U.S. National Institutes of Mental Health (</w:t>
      </w:r>
      <w:r>
        <w:rPr>
          <w:rFonts w:ascii="Arial" w:cs="Arial" w:eastAsia="Arial" w:hAnsi="Arial"/>
          <w:sz w:val="13"/>
          <w:szCs w:val="13"/>
          <w:i w:val="1"/>
          <w:iCs w:val="1"/>
          <w:color w:val="auto"/>
        </w:rPr>
        <w:t>NIMH</w:t>
      </w:r>
      <w:r>
        <w:rPr>
          <w:rFonts w:ascii="Arial" w:cs="Arial" w:eastAsia="Arial" w:hAnsi="Arial"/>
          <w:sz w:val="13"/>
          <w:szCs w:val="13"/>
          <w:color w:val="auto"/>
        </w:rPr>
        <w:t>) under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NIMH. The first patient in this NIMH-sponsored Phase 2a study was dosed in November 2015. We anticipate results from this study in the second quarter of 2017.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rapid onset antidepressant effects of intravenous (</w:t>
      </w:r>
      <w:r>
        <w:rPr>
          <w:rFonts w:ascii="Arial" w:cs="Arial" w:eastAsia="Arial" w:hAnsi="Arial"/>
          <w:sz w:val="13"/>
          <w:szCs w:val="13"/>
          <w:i w:val="1"/>
          <w:iCs w:val="1"/>
          <w:color w:val="auto"/>
        </w:rPr>
        <w:t>I.V.</w:t>
      </w:r>
      <w:r>
        <w:rPr>
          <w:rFonts w:ascii="Arial" w:cs="Arial" w:eastAsia="Arial" w:hAnsi="Arial"/>
          <w:sz w:val="13"/>
          <w:szCs w:val="13"/>
          <w:color w:val="auto"/>
        </w:rPr>
        <w:t>) ketamine in adult patients with treatment resistant MDD. These NIMH studies, as well as clinical research by others, have demonstrated robust antidepressant effects in patients with treatment-resistant MDD within hours of a single low dose of I.V. ketamine and stimulated research and development around a new generation of antidepressants, including AV-101, with potential to deliver ketamine-like fast-onset antidepressant benefits without its dissociative and other side effects. AV-101 is similar to ketamine because it acts on NMDA receptors. AV-101 is substantially safer than ketamine, however, because ketamine blocks the ion channel of NMDA receptors and AV-101 down-regulates NMDA receptors through the GlyB site.</w:t>
      </w:r>
    </w:p>
    <w:p>
      <w:pPr>
        <w:spacing w:after="0" w:line="140" w:lineRule="exact"/>
        <w:rPr>
          <w:sz w:val="20"/>
          <w:szCs w:val="20"/>
          <w:color w:val="auto"/>
        </w:rPr>
      </w:pPr>
    </w:p>
    <w:p>
      <w:pPr>
        <w:ind w:left="480"/>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Massachusetts General Hospital (</w:t>
      </w:r>
      <w:r>
        <w:rPr>
          <w:rFonts w:ascii="Arial" w:cs="Arial" w:eastAsia="Arial" w:hAnsi="Arial"/>
          <w:sz w:val="14"/>
          <w:szCs w:val="14"/>
          <w:i w:val="1"/>
          <w:iCs w:val="1"/>
          <w:color w:val="auto"/>
        </w:rPr>
        <w:t>MGH</w:t>
      </w:r>
      <w:r>
        <w:rPr>
          <w:rFonts w:ascii="Arial" w:cs="Arial" w:eastAsia="Arial" w:hAnsi="Arial"/>
          <w:sz w:val="14"/>
          <w:szCs w:val="14"/>
          <w:color w:val="auto"/>
        </w:rPr>
        <w:t>) Research Institute and Executive Director, MGH Clinical Trials Network and Institute, will be the Principal Investigator of our Phase 2b study.</w:t>
      </w:r>
    </w:p>
    <w:p>
      <w:pPr>
        <w:spacing w:after="0" w:line="146" w:lineRule="exact"/>
        <w:rPr>
          <w:sz w:val="20"/>
          <w:szCs w:val="20"/>
          <w:color w:val="auto"/>
        </w:rPr>
      </w:pPr>
    </w:p>
    <w:p>
      <w:pPr>
        <w:jc w:val="both"/>
        <w:ind w:left="480" w:right="14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jc w:val="both"/>
        <w:ind w:left="480" w:right="140"/>
        <w:spacing w:after="0" w:line="268" w:lineRule="auto"/>
        <w:rPr>
          <w:sz w:val="20"/>
          <w:szCs w:val="20"/>
          <w:color w:val="auto"/>
        </w:rPr>
      </w:pPr>
      <w:r>
        <w:rPr>
          <w:rFonts w:ascii="Arial" w:cs="Arial" w:eastAsia="Arial" w:hAnsi="Arial"/>
          <w:sz w:val="14"/>
          <w:szCs w:val="14"/>
          <w:color w:val="auto"/>
        </w:rPr>
        <w:t>In addition to clinical development of AV-101, we are also focused on establishing strategic collaborations to advance potential commercial applications of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technology platform, including drug rescue to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internal drug candidate pipeline, and regenerative medicine (</w:t>
      </w:r>
      <w:r>
        <w:rPr>
          <w:rFonts w:ascii="Arial" w:cs="Arial" w:eastAsia="Arial" w:hAnsi="Arial"/>
          <w:sz w:val="14"/>
          <w:szCs w:val="14"/>
          <w:i w:val="1"/>
          <w:iCs w:val="1"/>
          <w:color w:val="auto"/>
        </w:rPr>
        <w:t>RM</w:t>
      </w:r>
      <w:r>
        <w:rPr>
          <w:rFonts w:ascii="Arial" w:cs="Arial" w:eastAsia="Arial" w:hAnsi="Arial"/>
          <w:sz w:val="14"/>
          <w:szCs w:val="14"/>
          <w:color w:val="auto"/>
        </w:rPr>
        <w:t>) using blood, cartilage, heart and liver cells derived from our hPSC technology.</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AV-101 and Major Depressive Disorder</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Background</w:t>
      </w:r>
    </w:p>
    <w:p>
      <w:pPr>
        <w:spacing w:after="0" w:line="180" w:lineRule="exact"/>
        <w:rPr>
          <w:sz w:val="20"/>
          <w:szCs w:val="20"/>
          <w:color w:val="auto"/>
        </w:rPr>
      </w:pPr>
    </w:p>
    <w:p>
      <w:pPr>
        <w:ind w:left="480" w:right="120"/>
        <w:spacing w:after="0" w:line="263" w:lineRule="auto"/>
        <w:rPr>
          <w:sz w:val="20"/>
          <w:szCs w:val="20"/>
          <w:color w:val="auto"/>
        </w:rPr>
      </w:pPr>
      <w:r>
        <w:rPr>
          <w:rFonts w:ascii="Arial" w:cs="Arial" w:eastAsia="Arial" w:hAnsi="Arial"/>
          <w:sz w:val="14"/>
          <w:szCs w:val="14"/>
          <w:color w:val="auto"/>
        </w:rPr>
        <w:t>The World Health Organization (</w:t>
      </w:r>
      <w:r>
        <w:rPr>
          <w:rFonts w:ascii="Arial" w:cs="Arial" w:eastAsia="Arial" w:hAnsi="Arial"/>
          <w:sz w:val="14"/>
          <w:szCs w:val="14"/>
          <w:i w:val="1"/>
          <w:iCs w:val="1"/>
          <w:color w:val="auto"/>
        </w:rPr>
        <w:t>WHO</w:t>
      </w:r>
      <w:r>
        <w:rPr>
          <w:rFonts w:ascii="Arial" w:cs="Arial" w:eastAsia="Arial" w:hAnsi="Arial"/>
          <w:sz w:val="14"/>
          <w:szCs w:val="14"/>
          <w:color w:val="auto"/>
        </w:rPr>
        <w:t>) estimates that 350 million people worldwide are affected by depression. According to the U.S. National Institutes of Health (</w:t>
      </w:r>
      <w:r>
        <w:rPr>
          <w:rFonts w:ascii="Arial" w:cs="Arial" w:eastAsia="Arial" w:hAnsi="Arial"/>
          <w:sz w:val="14"/>
          <w:szCs w:val="14"/>
          <w:i w:val="1"/>
          <w:iCs w:val="1"/>
          <w:color w:val="auto"/>
        </w:rPr>
        <w:t>NIH</w:t>
      </w:r>
      <w:r>
        <w:rPr>
          <w:rFonts w:ascii="Arial" w:cs="Arial" w:eastAsia="Arial" w:hAnsi="Arial"/>
          <w:sz w:val="14"/>
          <w:szCs w:val="14"/>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4"/>
          <w:szCs w:val="14"/>
          <w:i w:val="1"/>
          <w:iCs w:val="1"/>
          <w:color w:val="auto"/>
        </w:rPr>
        <w:t>CDC</w:t>
      </w:r>
      <w:r>
        <w:rPr>
          <w:rFonts w:ascii="Arial" w:cs="Arial" w:eastAsia="Arial" w:hAnsi="Arial"/>
          <w:sz w:val="14"/>
          <w:szCs w:val="14"/>
          <w:color w:val="auto"/>
        </w:rPr>
        <w:t>) one in 10 Americans takes an antidepressant medication.</w:t>
      </w:r>
    </w:p>
    <w:p>
      <w:pPr>
        <w:spacing w:after="0" w:line="146" w:lineRule="exact"/>
        <w:rPr>
          <w:sz w:val="20"/>
          <w:szCs w:val="20"/>
          <w:color w:val="auto"/>
        </w:rPr>
      </w:pPr>
    </w:p>
    <w:p>
      <w:pPr>
        <w:ind w:left="480" w:right="140"/>
        <w:spacing w:after="0" w:line="281" w:lineRule="auto"/>
        <w:rPr>
          <w:sz w:val="20"/>
          <w:szCs w:val="20"/>
          <w:color w:val="auto"/>
        </w:rPr>
      </w:pPr>
      <w:r>
        <w:rPr>
          <w:rFonts w:ascii="Arial" w:cs="Arial" w:eastAsia="Arial" w:hAnsi="Arial"/>
          <w:sz w:val="13"/>
          <w:szCs w:val="13"/>
          <w:color w:val="auto"/>
        </w:rPr>
        <w:t>Most standard blockbuster antidepressants target neurotransmitter reuptake inhibition - serotonin (</w:t>
      </w:r>
      <w:r>
        <w:rPr>
          <w:rFonts w:ascii="Arial" w:cs="Arial" w:eastAsia="Arial" w:hAnsi="Arial"/>
          <w:sz w:val="13"/>
          <w:szCs w:val="13"/>
          <w:i w:val="1"/>
          <w:iCs w:val="1"/>
          <w:color w:val="auto"/>
        </w:rPr>
        <w:t>SSRIs</w:t>
      </w:r>
      <w:r>
        <w:rPr>
          <w:rFonts w:ascii="Arial" w:cs="Arial" w:eastAsia="Arial" w:hAnsi="Arial"/>
          <w:sz w:val="13"/>
          <w:szCs w:val="13"/>
          <w:color w:val="auto"/>
        </w:rPr>
        <w:t>) or serotonin/norepinephrine (</w:t>
      </w:r>
      <w:r>
        <w:rPr>
          <w:rFonts w:ascii="Arial" w:cs="Arial" w:eastAsia="Arial" w:hAnsi="Arial"/>
          <w:sz w:val="13"/>
          <w:szCs w:val="13"/>
          <w:i w:val="1"/>
          <w:iCs w:val="1"/>
          <w:color w:val="auto"/>
        </w:rPr>
        <w:t>SNRIs</w:t>
      </w:r>
      <w:r>
        <w:rPr>
          <w:rFonts w:ascii="Arial" w:cs="Arial" w:eastAsia="Arial" w:hAnsi="Arial"/>
          <w:sz w:val="13"/>
          <w:szCs w:val="13"/>
          <w:color w:val="auto"/>
        </w:rPr>
        <w:t>). Even when effective, standard antidepressants take many weeks to achieve adequate therapeutic benefits. Nearly two out of every three drug-treated depression patients obtain no benefit from initial treatment using standard antidepressants and have significant side effects, including anxiety, metabolic syndrome, sleep disturbance and sexual dysfunction. All standard antidepressants have a “Black Box” warning due to safety risks, including, in certain groups, worsening depression and risk of suicide. Unfortunately, even after treatment with as many as four different standard antidepressants, nearly one out of every three drug-treated depression patients do not achieve an adequate therapeutic response. These patients often transition to using atypical antipsychotics to augment their use of standard antidepressants. However, adjunctive use of atypical antipsychotics increases risk of serious side effects, including tardive dyskinesia, significant weight gain, diabetes and heart disease, while offering only a modest (10% to 20%) potential increase in therapeutic benefit.</w:t>
      </w:r>
    </w:p>
    <w:p>
      <w:pPr>
        <w:spacing w:after="0" w:line="200" w:lineRule="exact"/>
        <w:rPr>
          <w:sz w:val="20"/>
          <w:szCs w:val="20"/>
          <w:color w:val="auto"/>
        </w:rPr>
      </w:pPr>
    </w:p>
    <w:p>
      <w:pPr>
        <w:spacing w:after="0" w:line="268"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20"/>
          </w:cols>
          <w:pgMar w:left="220" w:top="133" w:right="65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240665</wp:posOffset>
            </wp:positionV>
            <wp:extent cx="6985000" cy="6410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5000" cy="641032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AV-101</w:t>
      </w:r>
    </w:p>
    <w:p>
      <w:pPr>
        <w:spacing w:after="0" w:line="180" w:lineRule="exact"/>
        <w:rPr>
          <w:sz w:val="20"/>
          <w:szCs w:val="20"/>
          <w:color w:val="auto"/>
        </w:rPr>
      </w:pPr>
    </w:p>
    <w:p>
      <w:pPr>
        <w:ind w:left="480"/>
        <w:spacing w:after="0" w:line="314" w:lineRule="auto"/>
        <w:rPr>
          <w:sz w:val="20"/>
          <w:szCs w:val="20"/>
          <w:color w:val="auto"/>
        </w:rPr>
      </w:pPr>
      <w:r>
        <w:rPr>
          <w:rFonts w:ascii="Arial" w:cs="Arial" w:eastAsia="Arial" w:hAnsi="Arial"/>
          <w:sz w:val="12"/>
          <w:szCs w:val="12"/>
          <w:color w:val="auto"/>
        </w:rPr>
        <w:t xml:space="preserve">AV-101, our orally available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2"/>
          <w:szCs w:val="12"/>
          <w:i w:val="1"/>
          <w:iCs w:val="1"/>
          <w:color w:val="auto"/>
        </w:rPr>
        <w:t>Journal of Pharmacology and Experimental Therapeutics,</w:t>
      </w:r>
      <w:r>
        <w:rPr>
          <w:rFonts w:ascii="Arial" w:cs="Arial" w:eastAsia="Arial" w:hAnsi="Arial"/>
          <w:sz w:val="12"/>
          <w:szCs w:val="12"/>
          <w:color w:val="auto"/>
        </w:rPr>
        <w:t xml:space="preserve"> in an article entitled, </w:t>
      </w:r>
      <w:r>
        <w:rPr>
          <w:rFonts w:ascii="Arial" w:cs="Arial" w:eastAsia="Arial" w:hAnsi="Arial"/>
          <w:sz w:val="12"/>
          <w:szCs w:val="12"/>
          <w:i w:val="1"/>
          <w:iCs w:val="1"/>
          <w:color w:val="auto"/>
        </w:rPr>
        <w:t>The prodrug 4-chlorokynurenine causes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ketamine-like antidepressant effects, but not side effects, by NMDA/glycineB-site inhibition, </w:t>
      </w:r>
      <w:r>
        <w:rPr>
          <w:rFonts w:ascii="Arial" w:cs="Arial" w:eastAsia="Arial" w:hAnsi="Arial"/>
          <w:sz w:val="12"/>
          <w:szCs w:val="12"/>
          <w:color w:val="auto"/>
        </w:rPr>
        <w:t>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the NMDAR antagonist ketamine. In the same preclinical studies, the SSRI fluoxetine did not induce rapid onset antidepressant-like responses.</w:t>
      </w:r>
    </w:p>
    <w:p>
      <w:pPr>
        <w:spacing w:after="0" w:line="120" w:lineRule="exact"/>
        <w:rPr>
          <w:sz w:val="20"/>
          <w:szCs w:val="20"/>
          <w:color w:val="auto"/>
        </w:rPr>
      </w:pPr>
    </w:p>
    <w:p>
      <w:pPr>
        <w:ind w:left="480" w:right="20"/>
        <w:spacing w:after="0" w:line="283" w:lineRule="auto"/>
        <w:rPr>
          <w:sz w:val="20"/>
          <w:szCs w:val="20"/>
          <w:color w:val="auto"/>
        </w:rPr>
      </w:pPr>
      <w:r>
        <w:rPr>
          <w:rFonts w:ascii="Arial" w:cs="Arial" w:eastAsia="Arial" w:hAnsi="Arial"/>
          <w:sz w:val="13"/>
          <w:szCs w:val="13"/>
          <w:color w:val="auto"/>
        </w:rPr>
        <w:t>Following the completion of our randomized, double blind, placebo-controlled Phase 1a and Phase 1b safety studies funded by the NIH, we are now collaborating with the NIMH under our February 2015 CRADA. Pursuant to the CRADA, the NIMH is sponsoring our ongoing Phase 2a efficacy and safety study of AV-101 in subjects with treatment-resistant MDD. The first patient in this study was dosed in November 2015. The trial is expected to enroll 24 to 28 patients, and results are expected in the second quarter of 2017. The Principal Investigator of this NIMH-sponsored Phase 2a study is Dr. Carlos Zarate, Jr. We are now preparing to launch our potentially pivotal Phase 2b clinical study of AV-101 for the adjunctive treatment of MDD in patients with an inadequate response to standard antidepressants in the fourth quarter of 2016. This study is expected to enroll approximately 315 patients. The Principal Investigator of this potentially pivotal AV-101 Phase 2b MDD study will be Dr. Maurizio Fava of Harvard Medical School.</w:t>
      </w:r>
    </w:p>
    <w:p>
      <w:pPr>
        <w:spacing w:after="0" w:line="135" w:lineRule="exact"/>
        <w:rPr>
          <w:sz w:val="20"/>
          <w:szCs w:val="20"/>
          <w:color w:val="auto"/>
        </w:rPr>
      </w:pPr>
    </w:p>
    <w:p>
      <w:pPr>
        <w:ind w:left="480" w:right="300"/>
        <w:spacing w:after="0" w:line="323" w:lineRule="auto"/>
        <w:rPr>
          <w:sz w:val="20"/>
          <w:szCs w:val="20"/>
          <w:color w:val="auto"/>
        </w:rPr>
      </w:pPr>
      <w:r>
        <w:rPr>
          <w:rFonts w:ascii="Arial" w:cs="Arial" w:eastAsia="Arial" w:hAnsi="Arial"/>
          <w:sz w:val="13"/>
          <w:szCs w:val="13"/>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achieve therapeutic benefit.</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CardioSafe 3D™; NCE Drug Rescue and Regenerative Medicine</w:t>
      </w:r>
    </w:p>
    <w:p>
      <w:pPr>
        <w:spacing w:after="0" w:line="184" w:lineRule="exact"/>
        <w:rPr>
          <w:sz w:val="20"/>
          <w:szCs w:val="20"/>
          <w:color w:val="auto"/>
        </w:rPr>
      </w:pPr>
    </w:p>
    <w:p>
      <w:pPr>
        <w:ind w:left="480" w:right="40"/>
        <w:spacing w:after="0" w:line="261" w:lineRule="auto"/>
        <w:rPr>
          <w:sz w:val="20"/>
          <w:szCs w:val="20"/>
          <w:color w:val="auto"/>
        </w:rPr>
      </w:pP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is our customized</w:t>
      </w:r>
      <w:r>
        <w:rPr>
          <w:rFonts w:ascii="Arial" w:cs="Arial" w:eastAsia="Arial" w:hAnsi="Arial"/>
          <w:sz w:val="14"/>
          <w:szCs w:val="14"/>
          <w:i w:val="1"/>
          <w:iCs w:val="1"/>
          <w:color w:val="auto"/>
        </w:rPr>
        <w:t xml:space="preserve"> in vitro </w:t>
      </w:r>
      <w:r>
        <w:rPr>
          <w:rFonts w:ascii="Arial" w:cs="Arial" w:eastAsia="Arial" w:hAnsi="Arial"/>
          <w:sz w:val="14"/>
          <w:szCs w:val="14"/>
          <w:color w:val="auto"/>
        </w:rPr>
        <w:t>cardiac bioassay system capable of predicting potential human heart toxicity of NCEs</w:t>
      </w:r>
      <w:r>
        <w:rPr>
          <w:rFonts w:ascii="Arial" w:cs="Arial" w:eastAsia="Arial" w:hAnsi="Arial"/>
          <w:sz w:val="14"/>
          <w:szCs w:val="14"/>
          <w:i w:val="1"/>
          <w:iCs w:val="1"/>
          <w:color w:val="auto"/>
        </w:rPr>
        <w:t xml:space="preserve"> in vitro</w:t>
      </w:r>
      <w:r>
        <w:rPr>
          <w:rFonts w:ascii="Arial" w:cs="Arial" w:eastAsia="Arial" w:hAnsi="Arial"/>
          <w:sz w:val="14"/>
          <w:szCs w:val="14"/>
          <w:color w:val="auto"/>
        </w:rPr>
        <w:t>, long before they are ever tested in animal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human studies. Our current strategic interests involving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 our stem cell technology platform include collaborative arrangements focused on both (i) drug rescue designed to leverage substantial prior investments by pharmaceutical companies and others related to screening large-scale compound libraries, and optimizing and testing for efficacy NCEs terminated before FDA approval due to heart toxicity risks and now available in the public domain and (ii) nonclinical proof of concept studies to explore potential commercial RM applications involving hPSC-derived blood, bone, cartilage, heart and liver cells.</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Risk Factors</w:t>
      </w:r>
    </w:p>
    <w:p>
      <w:pPr>
        <w:spacing w:after="0" w:line="184" w:lineRule="exact"/>
        <w:rPr>
          <w:sz w:val="20"/>
          <w:szCs w:val="20"/>
          <w:color w:val="auto"/>
        </w:rPr>
      </w:pPr>
    </w:p>
    <w:p>
      <w:pPr>
        <w:ind w:left="480" w:right="460"/>
        <w:spacing w:after="0" w:line="283" w:lineRule="auto"/>
        <w:rPr>
          <w:sz w:val="20"/>
          <w:szCs w:val="20"/>
          <w:color w:val="auto"/>
        </w:rPr>
      </w:pPr>
      <w:r>
        <w:rPr>
          <w:rFonts w:ascii="Arial" w:cs="Arial" w:eastAsia="Arial" w:hAnsi="Arial"/>
          <w:sz w:val="14"/>
          <w:szCs w:val="14"/>
          <w:color w:val="auto"/>
        </w:rPr>
        <w:t>Our business is subject to substantial risk. Please carefully consider the “</w:t>
      </w:r>
      <w:r>
        <w:rPr>
          <w:rFonts w:ascii="Arial" w:cs="Arial" w:eastAsia="Arial" w:hAnsi="Arial"/>
          <w:sz w:val="14"/>
          <w:szCs w:val="14"/>
          <w:i w:val="1"/>
          <w:iCs w:val="1"/>
          <w:color w:val="auto"/>
        </w:rPr>
        <w:t>Risk Factors</w:t>
      </w:r>
      <w:r>
        <w:rPr>
          <w:rFonts w:ascii="Arial" w:cs="Arial" w:eastAsia="Arial" w:hAnsi="Arial"/>
          <w:sz w:val="14"/>
          <w:szCs w:val="14"/>
          <w:color w:val="auto"/>
        </w:rPr>
        <w:t>” beginning on page 6 of this prospectus for a discussion of the factors you should carefully consider before deciding to purchase the securities offered by this prospectus. These risks include, among others:</w:t>
      </w:r>
    </w:p>
    <w:p>
      <w:pPr>
        <w:spacing w:after="0" w:line="131" w:lineRule="exact"/>
        <w:rPr>
          <w:sz w:val="20"/>
          <w:szCs w:val="20"/>
          <w:color w:val="auto"/>
        </w:rPr>
      </w:pPr>
    </w:p>
    <w:p>
      <w:pPr>
        <w:ind w:left="940" w:right="540" w:hanging="466"/>
        <w:spacing w:after="0" w:line="215" w:lineRule="auto"/>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160" w:lineRule="exact"/>
        <w:rPr>
          <w:rFonts w:ascii="Arial" w:cs="Arial" w:eastAsia="Arial" w:hAnsi="Arial"/>
          <w:sz w:val="20"/>
          <w:szCs w:val="20"/>
          <w:color w:val="auto"/>
          <w:vertAlign w:val="superscript"/>
        </w:rPr>
      </w:pPr>
    </w:p>
    <w:p>
      <w:pPr>
        <w:ind w:left="940" w:right="280" w:hanging="466"/>
        <w:spacing w:after="0" w:line="215" w:lineRule="auto"/>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we depend heavily on the success of AV-101, and we cannot be certain that we will be able to obtain regulatory approval for, or successfully commercialize, AV-101, or any product candidate;</w:t>
      </w:r>
    </w:p>
    <w:p>
      <w:pPr>
        <w:spacing w:after="0" w:line="122"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failures or delays in the commencement or completion of our planned clinical trials could delay, prevent or limit our ability to generate revenue and continue our business;</w:t>
      </w:r>
    </w:p>
    <w:p>
      <w:pPr>
        <w:spacing w:after="0" w:line="160" w:lineRule="exact"/>
        <w:rPr>
          <w:rFonts w:ascii="Arial" w:cs="Arial" w:eastAsia="Arial" w:hAnsi="Arial"/>
          <w:sz w:val="19"/>
          <w:szCs w:val="19"/>
          <w:color w:val="auto"/>
          <w:vertAlign w:val="superscript"/>
        </w:rPr>
      </w:pPr>
    </w:p>
    <w:p>
      <w:pPr>
        <w:ind w:left="940" w:right="100" w:hanging="466"/>
        <w:spacing w:after="0" w:line="215" w:lineRule="auto"/>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we face significant competition, and if we are unable to compete effectively, we may not be able to achieve or maintain significant market penetration or improve our results of operations;</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some of our programs have been partially supported by government grants, which may not be available to us in the future;</w:t>
      </w:r>
    </w:p>
    <w:p>
      <w:pPr>
        <w:spacing w:after="0" w:line="160" w:lineRule="exact"/>
        <w:rPr>
          <w:rFonts w:ascii="Arial" w:cs="Arial" w:eastAsia="Arial" w:hAnsi="Arial"/>
          <w:sz w:val="20"/>
          <w:szCs w:val="20"/>
          <w:color w:val="auto"/>
          <w:vertAlign w:val="superscript"/>
        </w:rPr>
      </w:pPr>
    </w:p>
    <w:p>
      <w:pPr>
        <w:ind w:left="940" w:right="500" w:hanging="466"/>
        <w:spacing w:after="0" w:line="228" w:lineRule="auto"/>
        <w:tabs>
          <w:tab w:leader="none" w:pos="940"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112" w:lineRule="exact"/>
        <w:rPr>
          <w:rFonts w:ascii="Arial" w:cs="Arial" w:eastAsia="Arial" w:hAnsi="Arial"/>
          <w:sz w:val="19"/>
          <w:szCs w:val="19"/>
          <w:color w:val="auto"/>
          <w:vertAlign w:val="superscript"/>
        </w:rPr>
      </w:pPr>
    </w:p>
    <w:p>
      <w:pPr>
        <w:ind w:left="940" w:hanging="466"/>
        <w:spacing w:after="0"/>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we have incurred significant net losses since inception and we will continue to incur substantial operating losses for the foreseeable future.</w:t>
      </w:r>
    </w:p>
    <w:p>
      <w:pPr>
        <w:spacing w:after="0" w:line="160" w:lineRule="exact"/>
        <w:rPr>
          <w:sz w:val="20"/>
          <w:szCs w:val="20"/>
          <w:color w:val="auto"/>
        </w:rPr>
      </w:pPr>
    </w:p>
    <w:p>
      <w:pPr>
        <w:ind w:left="480"/>
        <w:spacing w:after="0" w:line="283" w:lineRule="auto"/>
        <w:rPr>
          <w:sz w:val="20"/>
          <w:szCs w:val="20"/>
          <w:color w:val="auto"/>
        </w:rPr>
      </w:pPr>
      <w:r>
        <w:rPr>
          <w:rFonts w:ascii="Arial" w:cs="Arial" w:eastAsia="Arial" w:hAnsi="Arial"/>
          <w:sz w:val="14"/>
          <w:szCs w:val="14"/>
          <w:color w:val="auto"/>
        </w:rPr>
        <w:t>Additional risks and uncertainties not presently known to us or that we currently deem immaterial may also impair our business operations. You should be able to bear a complete loss of your investment.</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Corporate information</w:t>
      </w:r>
    </w:p>
    <w:p>
      <w:pPr>
        <w:spacing w:after="0" w:line="184" w:lineRule="exact"/>
        <w:rPr>
          <w:sz w:val="20"/>
          <w:szCs w:val="20"/>
          <w:color w:val="auto"/>
        </w:rPr>
      </w:pPr>
    </w:p>
    <w:p>
      <w:pPr>
        <w:jc w:val="both"/>
        <w:ind w:left="480" w:right="20"/>
        <w:spacing w:after="0" w:line="298" w:lineRule="auto"/>
        <w:rPr>
          <w:sz w:val="20"/>
          <w:szCs w:val="20"/>
          <w:color w:val="auto"/>
        </w:rPr>
      </w:pPr>
      <w:r>
        <w:rPr>
          <w:rFonts w:ascii="Arial" w:cs="Arial" w:eastAsia="Arial" w:hAnsi="Arial"/>
          <w:sz w:val="13"/>
          <w:szCs w:val="13"/>
          <w:color w:val="auto"/>
        </w:rPr>
        <w:t xml:space="preserve">VistaGen Therapeutics, Inc., a Nevada corporation, is the parent of VistaGen Therapeutics, Inc., a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3"/>
          <w:szCs w:val="13"/>
          <w:i w:val="1"/>
          <w:iCs w:val="1"/>
          <w:color w:val="auto"/>
        </w:rPr>
        <w:t>www.vistagen.com</w:t>
      </w:r>
      <w:r>
        <w:rPr>
          <w:rFonts w:ascii="Arial" w:cs="Arial" w:eastAsia="Arial" w:hAnsi="Arial"/>
          <w:sz w:val="13"/>
          <w:szCs w:val="13"/>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255"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00"/>
          </w:cols>
          <w:pgMar w:left="220" w:top="133" w:right="679" w:bottom="1440" w:gutter="0" w:footer="0" w:header="0"/>
        </w:sectPr>
      </w:pPr>
    </w:p>
    <w:bookmarkStart w:id="8" w:name="page9"/>
    <w:bookmarkEnd w:id="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6985000" cy="7600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5000" cy="7600315"/>
                    </a:xfrm>
                    <a:prstGeom prst="rect">
                      <a:avLst/>
                    </a:prstGeom>
                    <a:noFill/>
                  </pic:spPr>
                </pic:pic>
              </a:graphicData>
            </a:graphic>
          </wp:anchor>
        </w:drawing>
      </w:r>
    </w:p>
    <w:p>
      <w:pPr>
        <w:spacing w:after="0" w:line="366"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THE OFFERING</w:t>
      </w:r>
    </w:p>
    <w:p>
      <w:pPr>
        <w:sectPr>
          <w:pgSz w:w="11900" w:h="16838" w:orient="portrait"/>
          <w:cols w:equalWidth="0" w:num="1">
            <w:col w:w="11020"/>
          </w:cols>
          <w:pgMar w:left="220" w:top="133" w:right="659" w:bottom="1440" w:gutter="0" w:footer="0" w:header="0"/>
        </w:sectPr>
      </w:pPr>
    </w:p>
    <w:p>
      <w:pPr>
        <w:spacing w:after="0" w:line="18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Common stock offered by us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2,352,942 shares of common stock.</w:t>
      </w:r>
    </w:p>
    <w:p>
      <w:pPr>
        <w:spacing w:after="0" w:line="200"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spacing w:after="0" w:line="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Warrants offered by us</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4"/>
          <w:szCs w:val="14"/>
          <w:color w:val="auto"/>
        </w:rPr>
        <w:t>Each share of common stock sold in this Offering will be accompanied by a warrant to purchase one share of our common stock, at a price of $[____] per share (125% of the public offering price of our common stock). The warrants will be immediately exercisable, and may be exercised for a period of five years following the date of issuance.</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Common stock outstanding prior to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2,525,276 shares (as of May 6, 2016).</w:t>
      </w:r>
    </w:p>
    <w:p>
      <w:pPr>
        <w:spacing w:after="0" w:line="202" w:lineRule="exact"/>
        <w:rPr>
          <w:sz w:val="20"/>
          <w:szCs w:val="20"/>
          <w:color w:val="auto"/>
        </w:rPr>
      </w:pPr>
    </w:p>
    <w:p>
      <w:pPr>
        <w:sectPr>
          <w:pgSz w:w="11900" w:h="16838" w:orient="portrait"/>
          <w:cols w:equalWidth="0" w:num="2">
            <w:col w:w="3020" w:space="56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Over-allotment option</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4"/>
          <w:szCs w:val="14"/>
          <w:color w:val="auto"/>
        </w:rPr>
        <w:t>The underwriters have an option for a period of 45 days to purchase up to 352,942 additional shares of common stock and/or warrants to purchase up to 352,942 additional shares of common stock from us at the public offering price, less underwriting discounts and commissions solely to cover over-allotments.</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jc w:val="center"/>
        <w:ind w:left="480"/>
        <w:spacing w:after="0"/>
        <w:rPr>
          <w:sz w:val="20"/>
          <w:szCs w:val="20"/>
          <w:color w:val="auto"/>
        </w:rPr>
      </w:pPr>
      <w:r>
        <w:rPr>
          <w:rFonts w:ascii="Arial" w:cs="Arial" w:eastAsia="Arial" w:hAnsi="Arial"/>
          <w:sz w:val="12"/>
          <w:szCs w:val="12"/>
          <w:color w:val="auto"/>
        </w:rPr>
        <w:t>Common stock outstanding after the Offering</w:t>
      </w:r>
    </w:p>
    <w:p>
      <w:pPr>
        <w:spacing w:after="0" w:line="20" w:lineRule="exact"/>
        <w:rPr>
          <w:sz w:val="20"/>
          <w:szCs w:val="20"/>
          <w:color w:val="auto"/>
        </w:rPr>
      </w:pPr>
      <w:r>
        <w:rPr>
          <w:sz w:val="20"/>
          <w:szCs w:val="20"/>
          <w:color w:val="auto"/>
        </w:rPr>
        <w:br w:type="column"/>
      </w:r>
    </w:p>
    <w:p>
      <w:pPr>
        <w:ind w:right="100"/>
        <w:spacing w:after="0" w:line="283" w:lineRule="auto"/>
        <w:rPr>
          <w:sz w:val="20"/>
          <w:szCs w:val="20"/>
          <w:color w:val="auto"/>
        </w:rPr>
      </w:pPr>
      <w:r>
        <w:rPr>
          <w:rFonts w:ascii="Arial" w:cs="Arial" w:eastAsia="Arial" w:hAnsi="Arial"/>
          <w:sz w:val="14"/>
          <w:szCs w:val="14"/>
          <w:color w:val="auto"/>
        </w:rPr>
        <w:t>7,620,293 shares (assuming no exercise of any of the warrants offered hereby), or 9,973,293 shares if the warrants offered hereby are exercised in full.</w:t>
      </w:r>
    </w:p>
    <w:p>
      <w:pPr>
        <w:spacing w:after="0" w:line="131" w:lineRule="exact"/>
        <w:rPr>
          <w:sz w:val="20"/>
          <w:szCs w:val="20"/>
          <w:color w:val="auto"/>
        </w:rPr>
      </w:pPr>
    </w:p>
    <w:p>
      <w:pPr>
        <w:sectPr>
          <w:pgSz w:w="11900" w:h="16838" w:orient="portrait"/>
          <w:cols w:equalWidth="0" w:num="2">
            <w:col w:w="3060" w:space="5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4"/>
          <w:szCs w:val="14"/>
          <w:color w:val="auto"/>
        </w:rPr>
        <w:t>We estimate that net proceeds to us from this Offering will be approximately $[___] million, or approximately $[___] million if the underwriters exercise their option to purchase additional shares and/or warrants in full, after deducting underwriting discounts and commissions and estimated offering expenses payable by us.</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3580" w:right="20"/>
        <w:spacing w:after="0" w:line="268" w:lineRule="auto"/>
        <w:rPr>
          <w:sz w:val="20"/>
          <w:szCs w:val="20"/>
          <w:color w:val="auto"/>
        </w:rPr>
      </w:pPr>
      <w:r>
        <w:rPr>
          <w:rFonts w:ascii="Arial" w:cs="Arial" w:eastAsia="Arial" w:hAnsi="Arial"/>
          <w:sz w:val="14"/>
          <w:szCs w:val="14"/>
          <w:color w:val="auto"/>
        </w:rPr>
        <w:t>We currently intend to use the net proceeds from this Offering for research and development, working capital needs, capital expenditures and other general corporate purposes. See “</w:t>
      </w:r>
      <w:r>
        <w:rPr>
          <w:rFonts w:ascii="Arial" w:cs="Arial" w:eastAsia="Arial" w:hAnsi="Arial"/>
          <w:sz w:val="14"/>
          <w:szCs w:val="14"/>
          <w:i w:val="1"/>
          <w:iCs w:val="1"/>
          <w:color w:val="auto"/>
        </w:rPr>
        <w:t>Use of Proceeds</w:t>
      </w:r>
      <w:r>
        <w:rPr>
          <w:rFonts w:ascii="Arial" w:cs="Arial" w:eastAsia="Arial" w:hAnsi="Arial"/>
          <w:sz w:val="14"/>
          <w:szCs w:val="14"/>
          <w:color w:val="auto"/>
        </w:rPr>
        <w:t>” for additional information regarding the intended use of proceeds from the Offering.</w:t>
      </w:r>
    </w:p>
    <w:p>
      <w:pPr>
        <w:sectPr>
          <w:pgSz w:w="11900" w:h="16838" w:orient="portrait"/>
          <w:cols w:equalWidth="0" w:num="1">
            <w:col w:w="11020"/>
          </w:cols>
          <w:pgMar w:left="220" w:top="133" w:right="659" w:bottom="1440" w:gutter="0" w:footer="0" w:header="0"/>
          <w:type w:val="continuous"/>
        </w:sectPr>
      </w:pPr>
    </w:p>
    <w:p>
      <w:pPr>
        <w:spacing w:after="0" w:line="14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Dividend policy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have never declared or paid and do not anticipate declaring or paying any cash dividends on our common stock in the near future. You should read the “</w:t>
      </w:r>
      <w:r>
        <w:rPr>
          <w:rFonts w:ascii="Arial" w:cs="Arial" w:eastAsia="Arial" w:hAnsi="Arial"/>
          <w:sz w:val="14"/>
          <w:szCs w:val="14"/>
          <w:i w:val="1"/>
          <w:iCs w:val="1"/>
          <w:color w:val="auto"/>
        </w:rPr>
        <w:t>Dividend Policy</w:t>
      </w:r>
      <w:r>
        <w:rPr>
          <w:rFonts w:ascii="Arial" w:cs="Arial" w:eastAsia="Arial" w:hAnsi="Arial"/>
          <w:sz w:val="14"/>
          <w:szCs w:val="14"/>
          <w:color w:val="auto"/>
        </w:rPr>
        <w:t>” section of this prospectus for more information on future declarations and payments of dividends.</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OTCQB common stock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VSTA.</w:t>
      </w:r>
    </w:p>
    <w:p>
      <w:pPr>
        <w:spacing w:after="0" w:line="191"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NASDAQ application</w:t>
      </w:r>
    </w:p>
    <w:p>
      <w:pPr>
        <w:spacing w:after="0" w:line="20" w:lineRule="exact"/>
        <w:rPr>
          <w:sz w:val="20"/>
          <w:szCs w:val="20"/>
          <w:color w:val="auto"/>
        </w:rPr>
      </w:pPr>
      <w:r>
        <w:rPr>
          <w:sz w:val="20"/>
          <w:szCs w:val="20"/>
          <w:color w:val="auto"/>
        </w:rPr>
        <w:br w:type="column"/>
      </w:r>
    </w:p>
    <w:p>
      <w:pPr>
        <w:jc w:val="both"/>
        <w:ind w:right="20"/>
        <w:spacing w:after="0" w:line="268" w:lineRule="auto"/>
        <w:rPr>
          <w:sz w:val="20"/>
          <w:szCs w:val="20"/>
          <w:color w:val="auto"/>
        </w:rPr>
      </w:pPr>
      <w:r>
        <w:rPr>
          <w:rFonts w:ascii="Arial" w:cs="Arial" w:eastAsia="Arial" w:hAnsi="Arial"/>
          <w:sz w:val="14"/>
          <w:szCs w:val="14"/>
          <w:color w:val="auto"/>
        </w:rPr>
        <w:t>We have applied to have our common stock listed on The NASDAQ Capital Market under the symbol “VTGN.” No assurance can be given that our application will be approved. There is no established public trading market for the warrants and we do not intend to apply to list the warrants on a securities exchange or automated quotation system.</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Risk factors</w:t>
      </w:r>
    </w:p>
    <w:p>
      <w:pPr>
        <w:spacing w:after="0" w:line="20" w:lineRule="exact"/>
        <w:rPr>
          <w:sz w:val="20"/>
          <w:szCs w:val="20"/>
          <w:color w:val="auto"/>
        </w:rPr>
      </w:pPr>
      <w:r>
        <w:rPr>
          <w:sz w:val="20"/>
          <w:szCs w:val="20"/>
          <w:color w:val="auto"/>
        </w:rPr>
        <w:br w:type="column"/>
      </w:r>
    </w:p>
    <w:p>
      <w:pPr>
        <w:ind w:right="220"/>
        <w:spacing w:after="0" w:line="323" w:lineRule="auto"/>
        <w:rPr>
          <w:sz w:val="20"/>
          <w:szCs w:val="20"/>
          <w:color w:val="auto"/>
        </w:rPr>
      </w:pPr>
      <w:r>
        <w:rPr>
          <w:rFonts w:ascii="Arial" w:cs="Arial" w:eastAsia="Arial" w:hAnsi="Arial"/>
          <w:sz w:val="13"/>
          <w:szCs w:val="13"/>
          <w:color w:val="auto"/>
        </w:rPr>
        <w:t>An investment in our Company is highly speculative and involves a significant degree of risk. See “</w:t>
      </w:r>
      <w:r>
        <w:rPr>
          <w:rFonts w:ascii="Arial" w:cs="Arial" w:eastAsia="Arial" w:hAnsi="Arial"/>
          <w:sz w:val="13"/>
          <w:szCs w:val="13"/>
          <w:i w:val="1"/>
          <w:iCs w:val="1"/>
          <w:color w:val="auto"/>
        </w:rPr>
        <w:t>Risk Factors</w:t>
      </w:r>
      <w:r>
        <w:rPr>
          <w:rFonts w:ascii="Arial" w:cs="Arial" w:eastAsia="Arial" w:hAnsi="Arial"/>
          <w:sz w:val="13"/>
          <w:szCs w:val="13"/>
          <w:color w:val="auto"/>
        </w:rPr>
        <w:t>” beginning on page 6 of this prospectus for a discussion of factors you should carefully consider before investing in our securities.</w:t>
      </w:r>
    </w:p>
    <w:p>
      <w:pPr>
        <w:spacing w:after="0" w:line="109"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 xml:space="preserve">The number of shares of common stock to be outstanding after this Offering is based on 2,525,276 shares outstanding as of May 6, 2016 and does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include, as of that date:</w:t>
      </w:r>
    </w:p>
    <w:p>
      <w:pPr>
        <w:spacing w:after="0" w:line="191" w:lineRule="exact"/>
        <w:rPr>
          <w:sz w:val="20"/>
          <w:szCs w:val="20"/>
          <w:color w:val="auto"/>
        </w:rPr>
      </w:pPr>
    </w:p>
    <w:p>
      <w:pPr>
        <w:ind w:left="940" w:right="4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331,987 shares of common stock issuable upon the exercise of outstanding options under our 1999 Stock Incentive Plan and 2008 Stock Incentive Plan, with a weighted average exercise price of $9.55 per share, of which approximately 196,779 were exercisable as of May 6, 2016;</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665,242 shares of common stock reserved for issuance in connection with future grants under our 2008 Stock Incentive Plan;</w:t>
      </w:r>
    </w:p>
    <w:p>
      <w:pPr>
        <w:spacing w:after="0" w:line="160" w:lineRule="exact"/>
        <w:rPr>
          <w:rFonts w:ascii="Arial" w:cs="Arial" w:eastAsia="Arial" w:hAnsi="Arial"/>
          <w:sz w:val="20"/>
          <w:szCs w:val="20"/>
          <w:color w:val="auto"/>
          <w:vertAlign w:val="superscript"/>
        </w:rPr>
      </w:pPr>
    </w:p>
    <w:p>
      <w:pPr>
        <w:ind w:left="940" w:right="38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1,901,103 shares of common stock that have been reserved for issuance upon exercise of outstanding warrants, which have exercise prices ranging from $7.00 per share to $30.00 per share, and a weighted average exercise price of $8.17 per share;</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750,000 shares of common stock reserved for issuance upon conversion of 500,000 shares our Series A Preferred Stock (</w:t>
      </w:r>
      <w:r>
        <w:rPr>
          <w:rFonts w:ascii="Arial" w:cs="Arial" w:eastAsia="Arial" w:hAnsi="Arial"/>
          <w:sz w:val="14"/>
          <w:szCs w:val="14"/>
          <w:i w:val="1"/>
          <w:iCs w:val="1"/>
          <w:color w:val="auto"/>
        </w:rPr>
        <w:t>Series A Preferred</w:t>
      </w:r>
      <w:r>
        <w:rPr>
          <w:rFonts w:ascii="Arial" w:cs="Arial" w:eastAsia="Arial" w:hAnsi="Arial"/>
          <w:sz w:val="14"/>
          <w:szCs w:val="14"/>
          <w:color w:val="auto"/>
        </w:rPr>
        <w:t>);</w:t>
      </w:r>
    </w:p>
    <w:p>
      <w:pPr>
        <w:spacing w:after="0" w:line="160" w:lineRule="exact"/>
        <w:rPr>
          <w:rFonts w:ascii="Arial" w:cs="Arial" w:eastAsia="Arial" w:hAnsi="Arial"/>
          <w:sz w:val="20"/>
          <w:szCs w:val="20"/>
          <w:color w:val="auto"/>
          <w:vertAlign w:val="superscript"/>
        </w:rPr>
      </w:pPr>
    </w:p>
    <w:p>
      <w:pPr>
        <w:ind w:left="940" w:right="20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1,173,669 shares of common stock reserved for issuance upon conversion of the same number of shares of our 10% Series B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xml:space="preserve">) which are </w:t>
      </w:r>
      <w:r>
        <w:rPr>
          <w:rFonts w:ascii="Arial" w:cs="Arial" w:eastAsia="Arial" w:hAnsi="Arial"/>
          <w:sz w:val="14"/>
          <w:szCs w:val="14"/>
          <w:u w:val="single" w:color="auto"/>
          <w:color w:val="auto"/>
        </w:rPr>
        <w:t>not</w:t>
      </w:r>
      <w:r>
        <w:rPr>
          <w:rFonts w:ascii="Arial" w:cs="Arial" w:eastAsia="Arial" w:hAnsi="Arial"/>
          <w:sz w:val="14"/>
          <w:szCs w:val="14"/>
          <w:color w:val="auto"/>
        </w:rPr>
        <w:t xml:space="preserve"> subject to automatic conversion into an equal number of shares of common stock upon completion of this Offering;</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2,318,012 shares of common stock reserved for issuance upon the exchange of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and</w:t>
      </w:r>
    </w:p>
    <w:p>
      <w:pPr>
        <w:spacing w:after="0" w:line="160" w:lineRule="exact"/>
        <w:rPr>
          <w:rFonts w:ascii="Arial" w:cs="Arial" w:eastAsia="Arial" w:hAnsi="Arial"/>
          <w:sz w:val="20"/>
          <w:szCs w:val="20"/>
          <w:color w:val="auto"/>
          <w:vertAlign w:val="superscript"/>
        </w:rPr>
      </w:pPr>
    </w:p>
    <w:p>
      <w:pPr>
        <w:ind w:left="940" w:right="46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Up to 2,352,942 shares of common stock issuable upon exercise of warrants to be issued to purchasers in this Offering at an exercise price equal to 125% of the per share offering price.</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Unless otherwise indicated, this prospectus reflects and assumes the following:</w:t>
      </w:r>
    </w:p>
    <w:p>
      <w:pPr>
        <w:spacing w:after="0" w:line="130" w:lineRule="exact"/>
        <w:rPr>
          <w:sz w:val="20"/>
          <w:szCs w:val="20"/>
          <w:color w:val="auto"/>
        </w:rPr>
      </w:pPr>
    </w:p>
    <w:p>
      <w:pPr>
        <w:ind w:left="940" w:hanging="466"/>
        <w:spacing w:after="0"/>
        <w:tabs>
          <w:tab w:leader="none" w:pos="94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no exercise of options or warrants outstanding as of May 6, 2016;</w:t>
      </w:r>
    </w:p>
    <w:p>
      <w:pPr>
        <w:spacing w:after="0" w:line="160" w:lineRule="exact"/>
        <w:rPr>
          <w:rFonts w:ascii="Arial" w:cs="Arial" w:eastAsia="Arial" w:hAnsi="Arial"/>
          <w:sz w:val="20"/>
          <w:szCs w:val="20"/>
          <w:color w:val="auto"/>
          <w:vertAlign w:val="superscript"/>
        </w:rPr>
      </w:pPr>
    </w:p>
    <w:p>
      <w:pPr>
        <w:jc w:val="both"/>
        <w:ind w:left="940" w:right="40" w:hanging="466"/>
        <w:spacing w:after="0" w:line="226" w:lineRule="auto"/>
        <w:tabs>
          <w:tab w:leader="none" w:pos="94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the automatic conversion of approximately 2,521,622 shares of our Series B Preferred, which conversions will automatically take place upon consummation of the Offering, and the issuance of approximately 220,453 shares of common stock as payment of accrued but unpaid dividends on those shares of Series B Preferred automatically converted upon completion of the Offering; and</w:t>
      </w:r>
    </w:p>
    <w:p>
      <w:pPr>
        <w:spacing w:after="0" w:line="161" w:lineRule="exact"/>
        <w:rPr>
          <w:rFonts w:ascii="Arial" w:cs="Arial" w:eastAsia="Arial" w:hAnsi="Arial"/>
          <w:sz w:val="20"/>
          <w:szCs w:val="20"/>
          <w:color w:val="auto"/>
          <w:vertAlign w:val="superscript"/>
        </w:rPr>
      </w:pPr>
    </w:p>
    <w:p>
      <w:pPr>
        <w:ind w:left="940" w:right="100" w:hanging="466"/>
        <w:spacing w:after="0" w:line="215" w:lineRule="auto"/>
        <w:tabs>
          <w:tab w:leader="none" w:pos="94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no exercise by the underwriters of their option to purchase up to 352,942 additional shares of common stock and/or warrants to purchase up to 352,942 shares of common stock from us, and no exercise of the warrants issued to the purchasers in connection with this Offering.</w:t>
      </w:r>
    </w:p>
    <w:p>
      <w:pPr>
        <w:spacing w:after="0" w:line="200" w:lineRule="exact"/>
        <w:rPr>
          <w:sz w:val="20"/>
          <w:szCs w:val="20"/>
          <w:color w:val="auto"/>
        </w:rPr>
      </w:pPr>
    </w:p>
    <w:p>
      <w:pPr>
        <w:spacing w:after="0" w:line="291"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20"/>
          </w:cols>
          <w:pgMar w:left="220" w:top="133" w:right="659" w:bottom="1440" w:gutter="0" w:footer="0" w:header="0"/>
          <w:type w:val="continuous"/>
        </w:sectPr>
      </w:pPr>
    </w:p>
    <w:bookmarkStart w:id="9" w:name="page10"/>
    <w:bookmarkEnd w:id="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7126605" cy="6436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6605" cy="6436995"/>
                    </a:xfrm>
                    <a:prstGeom prst="rect">
                      <a:avLst/>
                    </a:prstGeom>
                    <a:noFill/>
                  </pic:spPr>
                </pic:pic>
              </a:graphicData>
            </a:graphic>
          </wp:anchor>
        </w:drawing>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SUMMARY CONSOLIDATED FINANCIAL DATA</w:t>
      </w:r>
    </w:p>
    <w:p>
      <w:pPr>
        <w:spacing w:after="0" w:line="184" w:lineRule="exact"/>
        <w:rPr>
          <w:sz w:val="20"/>
          <w:szCs w:val="20"/>
          <w:color w:val="auto"/>
        </w:rPr>
      </w:pPr>
    </w:p>
    <w:p>
      <w:pPr>
        <w:ind w:left="480" w:right="580"/>
        <w:spacing w:after="0" w:line="258" w:lineRule="auto"/>
        <w:rPr>
          <w:sz w:val="20"/>
          <w:szCs w:val="20"/>
          <w:color w:val="auto"/>
        </w:rPr>
      </w:pPr>
      <w:r>
        <w:rPr>
          <w:rFonts w:ascii="Arial" w:cs="Arial" w:eastAsia="Arial" w:hAnsi="Arial"/>
          <w:sz w:val="14"/>
          <w:szCs w:val="14"/>
          <w:color w:val="auto"/>
        </w:rPr>
        <w:t>The following tables summarize our consolidated financial data. We have derived the summary consolidated statement of operations data for the years ended March 31, 2015 and 2014 from our audited consolidated financial statements included elsewhere in this prospectus. We have derived the summary consolidated statement of operations data for the nine-months ended December 31, 2015 and 2014 and our balance sheet data as of December 31, 2015 from our unaudited interim consolidated financial statements included elsewhere in this prospectus. The unaudited interim consolidated financial statements have been prepared on the same basis as the audited consolidated financial statements and reflect, in our opinion, only adjustments of a normal, recurring nature that are necessary for a fair statement of the unaudited interim consolidated financial statements. Our results for the nine months ended December 31, 2015 are not necessarily indicative of results to be expected for the full year or any other period. The following summary consolidated financial data should be read in conjunction with the section titled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related notes included elsewhere in this prospectus.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Fiscal Year Ended</w:t>
            </w:r>
          </w:p>
        </w:tc>
        <w:tc>
          <w:tcPr>
            <w:tcW w:w="220" w:type="dxa"/>
            <w:vAlign w:val="bottom"/>
          </w:tcPr>
          <w:p>
            <w:pPr>
              <w:spacing w:after="0"/>
              <w:rPr>
                <w:sz w:val="14"/>
                <w:szCs w:val="14"/>
                <w:color w:val="auto"/>
              </w:rPr>
            </w:pPr>
          </w:p>
        </w:tc>
        <w:tc>
          <w:tcPr>
            <w:tcW w:w="1680" w:type="dxa"/>
            <w:vAlign w:val="bottom"/>
            <w:gridSpan w:val="3"/>
          </w:tcPr>
          <w:p>
            <w:pPr>
              <w:jc w:val="center"/>
              <w:ind w:left="309"/>
              <w:spacing w:after="0"/>
              <w:rPr>
                <w:sz w:val="20"/>
                <w:szCs w:val="20"/>
                <w:color w:val="auto"/>
              </w:rPr>
            </w:pPr>
            <w:r>
              <w:rPr>
                <w:rFonts w:ascii="Arial" w:cs="Arial" w:eastAsia="Arial" w:hAnsi="Arial"/>
                <w:sz w:val="14"/>
                <w:szCs w:val="14"/>
                <w:b w:val="1"/>
                <w:bCs w:val="1"/>
                <w:color w:val="auto"/>
                <w:w w:val="92"/>
              </w:rPr>
              <w:t>Nine-Months Ended</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left="589"/>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289"/>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b w:val="1"/>
                <w:bCs w:val="1"/>
                <w:color w:val="auto"/>
              </w:rPr>
              <w:t>Consolidated Statement of Operations Data:</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spacing w:after="0"/>
              <w:rPr>
                <w:sz w:val="20"/>
                <w:szCs w:val="20"/>
                <w:color w:val="auto"/>
              </w:rPr>
            </w:pPr>
            <w:r>
              <w:rPr>
                <w:rFonts w:ascii="Arial" w:cs="Arial" w:eastAsia="Arial" w:hAnsi="Arial"/>
                <w:sz w:val="14"/>
                <w:szCs w:val="14"/>
                <w:b w:val="1"/>
                <w:bCs w:val="1"/>
                <w:color w:val="auto"/>
                <w:w w:val="97"/>
              </w:rPr>
              <w:t>(in thousands, except per share amounts)</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Operating expenses: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Research and development</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2,433</w:t>
            </w: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2,481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2,835</w:t>
            </w:r>
          </w:p>
        </w:tc>
        <w:tc>
          <w:tcPr>
            <w:tcW w:w="220" w:type="dxa"/>
            <w:vAlign w:val="bottom"/>
          </w:tcPr>
          <w:p>
            <w:pPr>
              <w:spacing w:after="0"/>
              <w:rPr>
                <w:sz w:val="14"/>
                <w:szCs w:val="14"/>
                <w:color w:val="auto"/>
              </w:rPr>
            </w:pP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General and administrative</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2,548</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6,515</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
        </w:trPr>
        <w:tc>
          <w:tcPr>
            <w:tcW w:w="5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Total operating expenses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5,029</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9,350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from operations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(5,029)</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(9,350)</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Other expenses, net: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Interest expense, net</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(1,503)</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(770)</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Change in warrant liabilities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3,567</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(1,895)</w:t>
            </w:r>
          </w:p>
        </w:tc>
        <w:tc>
          <w:tcPr>
            <w:tcW w:w="5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on early extinguishment of debt</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(26,700)</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Other expense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before income taxes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(2,965)</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(38,717)</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Income taxes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(2,968)</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(38,719)</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Accrued dividend on Series B Preferred Stock</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(1,459)</w:t>
            </w:r>
          </w:p>
        </w:tc>
        <w:tc>
          <w:tcPr>
            <w:tcW w:w="5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Deemed dividend on Series B Preferred Units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(1,812)</w:t>
            </w:r>
          </w:p>
        </w:tc>
        <w:tc>
          <w:tcPr>
            <w:tcW w:w="5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5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Net loss attributable to common stockholders</w:t>
            </w:r>
          </w:p>
        </w:tc>
        <w:tc>
          <w:tcPr>
            <w:tcW w:w="54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(13,886)</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(2,968)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(41,990)</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(10.53)</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(2.70)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(25.45)</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(10.61)</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(3.81)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(25.45)</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Weighted average shares used in computing:</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1,318,797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1,098,742</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1,650,160</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w w:val="89"/>
              </w:rPr>
              <w:t>1,270,495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tcPr>
          <w:p>
            <w:pPr>
              <w:ind w:left="480"/>
              <w:spacing w:after="0" w:line="153" w:lineRule="exact"/>
              <w:rPr>
                <w:sz w:val="20"/>
                <w:szCs w:val="20"/>
                <w:color w:val="auto"/>
              </w:rPr>
            </w:pPr>
            <w:r>
              <w:rPr>
                <w:rFonts w:ascii="Arial" w:cs="Arial" w:eastAsia="Arial" w:hAnsi="Arial"/>
                <w:sz w:val="14"/>
                <w:szCs w:val="14"/>
                <w:color w:val="auto"/>
              </w:rPr>
              <w:t>Diluted net loss attributable to common stockholders per common share</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color w:val="auto"/>
              </w:rPr>
              <w:t>1,318,797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1,099,216</w:t>
            </w:r>
          </w:p>
        </w:tc>
        <w:tc>
          <w:tcPr>
            <w:tcW w:w="22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color w:val="auto"/>
              </w:rPr>
              <w:t>1,650,160</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2"/>
          </w:tcPr>
          <w:p>
            <w:pPr>
              <w:jc w:val="right"/>
              <w:ind w:right="560"/>
              <w:spacing w:after="0" w:line="153" w:lineRule="exact"/>
              <w:rPr>
                <w:sz w:val="20"/>
                <w:szCs w:val="20"/>
                <w:color w:val="auto"/>
              </w:rPr>
            </w:pPr>
            <w:r>
              <w:rPr>
                <w:rFonts w:ascii="Arial" w:cs="Arial" w:eastAsia="Arial" w:hAnsi="Arial"/>
                <w:sz w:val="14"/>
                <w:szCs w:val="14"/>
                <w:color w:val="auto"/>
                <w:w w:val="89"/>
              </w:rPr>
              <w:t>1,288,674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68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December 31, 2015</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line="185" w:lineRule="exact"/>
              <w:rPr>
                <w:sz w:val="20"/>
                <w:szCs w:val="20"/>
                <w:color w:val="auto"/>
              </w:rPr>
            </w:pPr>
            <w:r>
              <w:rPr>
                <w:rFonts w:ascii="Arial" w:cs="Arial" w:eastAsia="Arial" w:hAnsi="Arial"/>
                <w:sz w:val="14"/>
                <w:szCs w:val="14"/>
                <w:b w:val="1"/>
                <w:bCs w:val="1"/>
                <w:color w:val="auto"/>
                <w:w w:val="91"/>
              </w:rPr>
              <w:t>Pro Forma</w:t>
            </w:r>
            <w:r>
              <w:rPr>
                <w:rFonts w:ascii="Arial" w:cs="Arial" w:eastAsia="Arial" w:hAnsi="Arial"/>
                <w:sz w:val="19"/>
                <w:szCs w:val="19"/>
                <w:b w:val="1"/>
                <w:bCs w:val="1"/>
                <w:color w:val="auto"/>
                <w:w w:val="91"/>
                <w:vertAlign w:val="superscript"/>
              </w:rPr>
              <w:t>(1)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Consolidated Balance Sheet Data:</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center"/>
              <w:ind w:right="149"/>
              <w:spacing w:after="0"/>
              <w:rPr>
                <w:sz w:val="20"/>
                <w:szCs w:val="20"/>
                <w:color w:val="auto"/>
              </w:rPr>
            </w:pPr>
            <w:r>
              <w:rPr>
                <w:rFonts w:ascii="Arial" w:cs="Arial" w:eastAsia="Arial" w:hAnsi="Arial"/>
                <w:sz w:val="14"/>
                <w:szCs w:val="14"/>
                <w:b w:val="1"/>
                <w:bCs w:val="1"/>
                <w:color w:val="auto"/>
                <w:w w:val="71"/>
              </w:rPr>
              <w:t>thousands)</w:t>
            </w: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Cash and cash equivalents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Total assets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270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Current portion of notes payable</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13,930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Working capital</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(17,282)</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(215)</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Common stock and preferred stock and additional paid-in capital</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67,948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125,611</w:t>
            </w:r>
          </w:p>
        </w:tc>
        <w:tc>
          <w:tcPr>
            <w:tcW w:w="540" w:type="dxa"/>
            <w:vAlign w:val="bottom"/>
            <w:shd w:val="clear" w:color="auto" w:fill="CCEEFF"/>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480"/>
              <w:spacing w:after="0"/>
              <w:rPr>
                <w:sz w:val="20"/>
                <w:szCs w:val="20"/>
                <w:color w:val="auto"/>
              </w:rPr>
            </w:pPr>
            <w:r>
              <w:rPr>
                <w:rFonts w:ascii="Arial" w:cs="Arial" w:eastAsia="Arial" w:hAnsi="Arial"/>
                <w:sz w:val="14"/>
                <w:szCs w:val="14"/>
                <w:color w:val="auto"/>
              </w:rPr>
              <w:t>Total stockholders’ deficit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(20,543)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(1,598)</w:t>
            </w:r>
          </w:p>
        </w:tc>
        <w:tc>
          <w:tcPr>
            <w:tcW w:w="540" w:type="dxa"/>
            <w:vAlign w:val="bottom"/>
          </w:tcPr>
          <w:p>
            <w:pPr>
              <w:jc w:val="center"/>
              <w:ind w:right="389"/>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-4225290</wp:posOffset>
            </wp:positionV>
            <wp:extent cx="148590" cy="4773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8590" cy="4773930"/>
                    </a:xfrm>
                    <a:prstGeom prst="rect">
                      <a:avLst/>
                    </a:prstGeom>
                    <a:noFill/>
                  </pic:spPr>
                </pic:pic>
              </a:graphicData>
            </a:graphic>
          </wp:anchor>
        </w:drawing>
      </w:r>
    </w:p>
    <w:p>
      <w:pPr>
        <w:spacing w:after="0" w:line="130" w:lineRule="exact"/>
        <w:rPr>
          <w:sz w:val="20"/>
          <w:szCs w:val="20"/>
          <w:color w:val="auto"/>
        </w:rPr>
      </w:pPr>
    </w:p>
    <w:p>
      <w:pPr>
        <w:ind w:left="940" w:right="500" w:hanging="466"/>
        <w:spacing w:after="0" w:line="226" w:lineRule="auto"/>
        <w:tabs>
          <w:tab w:leader="none" w:pos="94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The pro forma column gives effect to the sale and issuance by us of 2,352,942 shares of our common stock in this Offering, assuming an offering price of $[___] per share and warrants to purchase up to 2,352,942 shares of common stock in this Offering at an offering price of $0.01 per warrant, after deducting underwriting discounts and commissions and estimated offering expenses payable by us.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 w:name="page11"/>
    <w:bookmarkEnd w:id="1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205" w:lineRule="exact"/>
        <w:rPr>
          <w:sz w:val="20"/>
          <w:szCs w:val="20"/>
          <w:color w:val="auto"/>
        </w:rPr>
      </w:pPr>
    </w:p>
    <w:p>
      <w:pPr>
        <w:ind w:right="360"/>
        <w:spacing w:after="0" w:line="268" w:lineRule="auto"/>
        <w:rPr>
          <w:sz w:val="20"/>
          <w:szCs w:val="20"/>
          <w:color w:val="auto"/>
        </w:rPr>
      </w:pPr>
      <w:r>
        <w:rPr>
          <w:rFonts w:ascii="Arial" w:cs="Arial" w:eastAsia="Arial" w:hAnsi="Arial"/>
          <w:sz w:val="14"/>
          <w:szCs w:val="14"/>
          <w:i w:val="1"/>
          <w:iCs w:val="1"/>
          <w:color w:val="auto"/>
        </w:rPr>
        <w:t>Investing in our securities involves a high degree of risk. You should consider carefully the risks and uncertainties described below, together with all of the other information in this prospectus, including our financial statements and related notes, before deciding whether to purchase securities in the Offering. If any of the following risks are realized, our business, financial condition and results of operations could be materially and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Product Development, Regulatory Approval and Commercialization</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various other diseases and disorders involving the CNS, as well as our ability to produce, develop and commercialize NCEs from our drug rescue programs. AV-101 will require substantial additional Phase 2 and Phase 3 clinical development, testing and regulatory approval before we are permitted to commence its commercialization and is unlikely to achieve regulatory approval until at least 2020, if at all.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even if we are able to obtain the requisite financing to continue to fund our non-clinical studies and clinical trials, we cannot assure you that AV-101, any drug rescue NCE, or any other product candidate will be successfully developed or commercialized.</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are not permitted to market our product candidates in the United States until we receive approval of a New Drug Application (</w:t>
      </w:r>
      <w:r>
        <w:rPr>
          <w:rFonts w:ascii="Arial" w:cs="Arial" w:eastAsia="Arial" w:hAnsi="Arial"/>
          <w:sz w:val="14"/>
          <w:szCs w:val="14"/>
          <w:i w:val="1"/>
          <w:iCs w:val="1"/>
          <w:color w:val="auto"/>
        </w:rPr>
        <w:t>NDA</w:t>
      </w:r>
      <w:r>
        <w:rPr>
          <w:rFonts w:ascii="Arial" w:cs="Arial" w:eastAsia="Arial" w:hAnsi="Arial"/>
          <w:sz w:val="14"/>
          <w:szCs w:val="14"/>
          <w:color w:val="auto"/>
        </w:rPr>
        <w:t>) from the FDA, or in any foreign countries until we receive the requisite approval from such countries. In late 2015, in collaboration with the NIMH under our CRADA, we began a Phase 2a clinical trial involving AV-101, to study its safety, tolerability and efficacy in patients with MDD. If our Phase 2a clinical trial of AV-101 is successful, we expect the FDA to require us to complete at least one pivotal Phase 2B clinical trial and at least one pivotal Phase 3 clinical trial in order to submit an NDA for AV-101 as an adjunctive treatment for MDD. However, the FDA may require that we conduct more than one Phase 2B clinical study and more than one Phase 3 pivotal trial of AV-101 before we can submit an NDA. The FDA may also require that we conduct additional toxicity studies and additional non-clinical studies before submitting an NDA for AV-101.</w:t>
      </w:r>
    </w:p>
    <w:p>
      <w:pPr>
        <w:spacing w:after="0" w:line="17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Obtaining FDA approval of an NDA is a complex, lengthy, expensive and uncertain process, and the FDA may delay, limit or deny approval of AV-101 or any of our product candidates for many reasons, including, among others:</w:t>
      </w:r>
    </w:p>
    <w:p>
      <w:pPr>
        <w:spacing w:after="0" w:line="103" w:lineRule="exact"/>
        <w:rPr>
          <w:sz w:val="20"/>
          <w:szCs w:val="20"/>
          <w:color w:val="auto"/>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we may not be able to demonstrate that our product candidate is safe and effective in treating a human disease or disorder, to the satisfaction of the FDA;</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results of our non-clinical studies and clinical trials may not meet the level of statistical or clinical significance required by the FDA for marketing approval;</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disagree with the number, design, size, conduct or implementation of our non-clinical studies and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require that we conduct additional non-clinical studies and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or the applicable foreign regulatory agency may not approve the formulation, labeling or specifications of any of our product candidates;</w:t>
      </w:r>
    </w:p>
    <w:p>
      <w:pPr>
        <w:spacing w:after="0" w:line="181" w:lineRule="exact"/>
        <w:rPr>
          <w:rFonts w:ascii="Arial" w:cs="Arial" w:eastAsia="Arial" w:hAnsi="Arial"/>
          <w:sz w:val="20"/>
          <w:szCs w:val="20"/>
          <w:color w:val="auto"/>
          <w:vertAlign w:val="superscript"/>
        </w:rPr>
      </w:pPr>
    </w:p>
    <w:p>
      <w:pPr>
        <w:ind w:left="480" w:right="80" w:hanging="475"/>
        <w:spacing w:after="0" w:line="215" w:lineRule="auto"/>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contract research organizations (</w:t>
      </w:r>
      <w:r>
        <w:rPr>
          <w:rFonts w:ascii="Arial" w:cs="Arial" w:eastAsia="Arial" w:hAnsi="Arial"/>
          <w:sz w:val="14"/>
          <w:szCs w:val="14"/>
          <w:i w:val="1"/>
          <w:iCs w:val="1"/>
          <w:color w:val="auto"/>
        </w:rPr>
        <w:t>CROs</w:t>
      </w:r>
      <w:r>
        <w:rPr>
          <w:rFonts w:ascii="Arial" w:cs="Arial" w:eastAsia="Arial" w:hAnsi="Arial"/>
          <w:sz w:val="14"/>
          <w:szCs w:val="14"/>
          <w:color w:val="auto"/>
        </w:rPr>
        <w:t>) that we retain to conduct our non-clinical studies and clinical trials may take actions outside of our control that materially adversely impact our non-clinical studies and clinical trials;</w:t>
      </w:r>
    </w:p>
    <w:p>
      <w:pPr>
        <w:spacing w:after="0" w:line="144"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the FDA may find the data from non-clinical studies and clinical trials insufficient to demonstrate that our product candidates’ clinical and other benefits outweigh their safety risks;</w:t>
      </w:r>
    </w:p>
    <w:p>
      <w:pPr>
        <w:spacing w:after="0" w:line="132" w:lineRule="exact"/>
        <w:rPr>
          <w:rFonts w:ascii="Arial" w:cs="Arial" w:eastAsia="Arial" w:hAnsi="Arial"/>
          <w:sz w:val="19"/>
          <w:szCs w:val="19"/>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disagree with our interpretation of data from our non-clinical studies and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not accept data generated at our non-clinical studies and clinical trial sites;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1" w:name="page12"/>
    <w:bookmarkEnd w:id="1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80" w:right="60" w:hanging="475"/>
        <w:spacing w:after="0" w:line="226" w:lineRule="auto"/>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33"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 FDA may require development of a Risk Evaluation and Mitigation Strategy (</w:t>
      </w:r>
      <w:r>
        <w:rPr>
          <w:rFonts w:ascii="Arial" w:cs="Arial" w:eastAsia="Arial" w:hAnsi="Arial"/>
          <w:sz w:val="14"/>
          <w:szCs w:val="14"/>
          <w:i w:val="1"/>
          <w:iCs w:val="1"/>
          <w:color w:val="auto"/>
        </w:rPr>
        <w:t>REMS</w:t>
      </w:r>
      <w:r>
        <w:rPr>
          <w:rFonts w:ascii="Arial" w:cs="Arial" w:eastAsia="Arial" w:hAnsi="Arial"/>
          <w:sz w:val="14"/>
          <w:szCs w:val="14"/>
          <w:color w:val="auto"/>
        </w:rPr>
        <w:t>) as a condition of approval or post-approval;</w:t>
      </w:r>
    </w:p>
    <w:p>
      <w:pPr>
        <w:spacing w:after="0" w:line="181" w:lineRule="exact"/>
        <w:rPr>
          <w:rFonts w:ascii="Arial" w:cs="Arial" w:eastAsia="Arial" w:hAnsi="Arial"/>
          <w:sz w:val="20"/>
          <w:szCs w:val="20"/>
          <w:color w:val="auto"/>
          <w:vertAlign w:val="superscript"/>
        </w:rPr>
      </w:pPr>
    </w:p>
    <w:p>
      <w:pPr>
        <w:ind w:left="480" w:right="100" w:hanging="475"/>
        <w:spacing w:after="0" w:line="215" w:lineRule="auto"/>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4"/>
          <w:szCs w:val="14"/>
          <w:i w:val="1"/>
          <w:iCs w:val="1"/>
          <w:color w:val="auto"/>
        </w:rPr>
        <w:t>cGMPs</w:t>
      </w:r>
      <w:r>
        <w:rPr>
          <w:rFonts w:ascii="Arial" w:cs="Arial" w:eastAsia="Arial" w:hAnsi="Arial"/>
          <w:sz w:val="14"/>
          <w:szCs w:val="14"/>
          <w:color w:val="auto"/>
        </w:rPr>
        <w:t>); or</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 FDA or applicable foreign regulatory agency may change its approval policies or adopt new regulations.</w:t>
      </w:r>
    </w:p>
    <w:p>
      <w:pPr>
        <w:spacing w:after="0" w:line="182"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would have a material adverse effect on our business and prospects.</w:t>
      </w:r>
    </w:p>
    <w:p>
      <w:pPr>
        <w:spacing w:after="0" w:line="153"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b w:val="1"/>
          <w:bCs w:val="1"/>
          <w:i w:val="1"/>
          <w:iCs w:val="1"/>
          <w:color w:val="auto"/>
        </w:rPr>
        <w:t>We intend to seek a Fast Track designation from the FDA for AV-101 for treatment of MDD. Even if the FDA approves Fast Track designation for AV-101 for treatment of MDD, it may not actually lead to a faster development or regulatory review or approval process.</w:t>
      </w:r>
    </w:p>
    <w:p>
      <w:pPr>
        <w:spacing w:after="0" w:line="15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agency.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67" w:lineRule="exact"/>
        <w:rPr>
          <w:sz w:val="20"/>
          <w:szCs w:val="20"/>
          <w:color w:val="auto"/>
        </w:rPr>
      </w:pPr>
    </w:p>
    <w:p>
      <w:pPr>
        <w:jc w:val="both"/>
        <w:ind w:right="220"/>
        <w:spacing w:after="0" w:line="298" w:lineRule="auto"/>
        <w:rPr>
          <w:sz w:val="20"/>
          <w:szCs w:val="20"/>
          <w:color w:val="auto"/>
        </w:rPr>
      </w:pPr>
      <w:r>
        <w:rPr>
          <w:rFonts w:ascii="Arial" w:cs="Arial" w:eastAsia="Arial" w:hAnsi="Arial"/>
          <w:sz w:val="13"/>
          <w:szCs w:val="13"/>
          <w:color w:val="auto"/>
        </w:rPr>
        <w:t>We intend to seek FDA Fast Track designation for AV-101 for adjunctive treatment of MDD, and we may do so for other product candidates as well.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46"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our NIH-funded Phase 2a clinical study of AV-101 in MDD, thereby delaying or preventing clinical development. Further, if AV-101 is approved for adjunctive treatment of MDD, and the market for this indication is smaller than we anticipate, our ability to achieve profitability could be limited.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earlier clinical trials may not be predictive of the results of later-stage clinical trials.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67"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b w:val="1"/>
          <w:bCs w:val="1"/>
          <w:i w:val="1"/>
          <w:iCs w:val="1"/>
          <w:color w:val="auto"/>
        </w:rPr>
        <w:t>If serious adverse events or other undesirable side effects are identified during the use of AV-101 in clinical trials, it may adversely effect our development of AV-101 for MDD and other CNS indications.</w:t>
      </w:r>
    </w:p>
    <w:p>
      <w:pPr>
        <w:spacing w:after="0" w:line="153" w:lineRule="exact"/>
        <w:rPr>
          <w:sz w:val="20"/>
          <w:szCs w:val="20"/>
          <w:color w:val="auto"/>
        </w:rPr>
      </w:pPr>
    </w:p>
    <w:p>
      <w:pPr>
        <w:jc w:val="both"/>
        <w:ind w:right="100"/>
        <w:spacing w:after="0" w:line="298" w:lineRule="auto"/>
        <w:rPr>
          <w:sz w:val="20"/>
          <w:szCs w:val="20"/>
          <w:color w:val="auto"/>
        </w:rPr>
      </w:pPr>
      <w:r>
        <w:rPr>
          <w:rFonts w:ascii="Arial" w:cs="Arial" w:eastAsia="Arial" w:hAnsi="Arial"/>
          <w:sz w:val="13"/>
          <w:szCs w:val="13"/>
          <w:color w:val="auto"/>
        </w:rPr>
        <w:t>AV-101 is currently being tested in an NIH-investigator sponsored Phase 2a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2" w:name="page13"/>
    <w:bookmarkEnd w:id="1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2a clinical trial for AV-101, and if we fail to produce positive results in our NIH-sponsored Phase 2a clinical trial of AV-101 in MDD, the development timeline and regulatory approval and commercialization prospects for AV-101 and, correspondingly, our business and financial prospects, could be materially adversely affected.</w:t>
      </w:r>
    </w:p>
    <w:p>
      <w:pPr>
        <w:spacing w:after="0" w:line="161"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53" w:lineRule="exact"/>
        <w:rPr>
          <w:sz w:val="20"/>
          <w:szCs w:val="20"/>
          <w:color w:val="auto"/>
        </w:rPr>
      </w:pPr>
    </w:p>
    <w:p>
      <w:pPr>
        <w:ind w:right="200"/>
        <w:spacing w:after="0" w:line="320" w:lineRule="auto"/>
        <w:rPr>
          <w:sz w:val="20"/>
          <w:szCs w:val="20"/>
          <w:color w:val="auto"/>
        </w:rPr>
      </w:pPr>
      <w:r>
        <w:rPr>
          <w:rFonts w:ascii="Arial" w:cs="Arial" w:eastAsia="Arial" w:hAnsi="Arial"/>
          <w:sz w:val="12"/>
          <w:szCs w:val="12"/>
          <w:color w:val="auto"/>
        </w:rPr>
        <w:t>Under our CRADA, we and the NIH have commenced an NIH-funded Phase 2a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2a study of AV-101 or any of our future-planned clinical trials will be completed on schedule, if at all, as the commencement and completion of clinical trials can be delayed or prevented for a number of reasons, including, among others:</w:t>
      </w:r>
    </w:p>
    <w:p>
      <w:pPr>
        <w:spacing w:after="0" w:line="88" w:lineRule="exact"/>
        <w:rPr>
          <w:sz w:val="20"/>
          <w:szCs w:val="20"/>
          <w:color w:val="auto"/>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the FDA may deny permission to proceed with our planned clinical trials or any other clinical trials we may initiate, or may place a clinical trial on hold;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delays in filing or receiving approvals of additional INDs that may be required;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negative results from our ongoing pre-clinical studies;</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57"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inadequate quantity or quality of a product candidate or other materials necessary to conduct clinical trials, for example delays in the manufacturing of sufficient supply of finished drug product;</w:t>
      </w:r>
    </w:p>
    <w:p>
      <w:pPr>
        <w:spacing w:after="0" w:line="110" w:lineRule="exact"/>
        <w:rPr>
          <w:rFonts w:ascii="Arial" w:cs="Arial" w:eastAsia="Arial" w:hAnsi="Arial"/>
          <w:sz w:val="16"/>
          <w:szCs w:val="16"/>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difficulties obtaining Institutional Review Board (</w:t>
      </w:r>
      <w:r>
        <w:rPr>
          <w:rFonts w:ascii="Arial" w:cs="Arial" w:eastAsia="Arial" w:hAnsi="Arial"/>
          <w:sz w:val="14"/>
          <w:szCs w:val="14"/>
          <w:i w:val="1"/>
          <w:iCs w:val="1"/>
          <w:color w:val="auto"/>
        </w:rPr>
        <w:t>IRB</w:t>
      </w:r>
      <w:r>
        <w:rPr>
          <w:rFonts w:ascii="Arial" w:cs="Arial" w:eastAsia="Arial" w:hAnsi="Arial"/>
          <w:sz w:val="14"/>
          <w:szCs w:val="14"/>
          <w:color w:val="auto"/>
        </w:rPr>
        <w:t>) approval to conduct a clinical trial at a prospective site or sites;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challenges in recruiting and enrolling patients to participate in clinical trials, including the proximity of patients to trial sites;</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severe or unexpected drug-related side effects experienced by patients in a clinical trial;</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delays in validating any endpoints utilized in a clinical trial;</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reports from pre-clinical or clinical testing of other CNS therapies that raise safety or efficacy concerns; and</w:t>
      </w:r>
    </w:p>
    <w:p>
      <w:pPr>
        <w:spacing w:after="0" w:line="12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difficulties retaining patients who have enrolled in a clinical trial but may be prone to withdraw due to rigors of the clinical trials, lack of efficacy, side effects, personal issues or loss of interest.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 w:name="page14"/>
    <w:bookmarkEnd w:id="1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4"/>
          <w:szCs w:val="14"/>
          <w:i w:val="1"/>
          <w:iCs w:val="1"/>
          <w:color w:val="auto"/>
        </w:rPr>
        <w:t>DSMB</w:t>
      </w:r>
      <w:r>
        <w:rPr>
          <w:rFonts w:ascii="Arial" w:cs="Arial" w:eastAsia="Arial" w:hAnsi="Arial"/>
          <w:sz w:val="14"/>
          <w:szCs w:val="14"/>
          <w:color w:val="auto"/>
        </w:rPr>
        <w:t>), overseeing the clinical trial at issue or other regulatory authorities due to a number of factors, including, among others:</w:t>
      </w:r>
    </w:p>
    <w:p>
      <w:pPr>
        <w:spacing w:after="0" w:line="114" w:lineRule="exact"/>
        <w:rPr>
          <w:sz w:val="20"/>
          <w:szCs w:val="20"/>
          <w:color w:val="auto"/>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failure to conduct the clinical trial in accordance with regulatory requirements or our clinical protocols;</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unforeseen safety issues, including any that could be identified in our ongoing non-clinical carcinogenicity studies, adverse side effects or lack of effectiveness;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changes in government regulations or administrative actions;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problems with clinical supply materials;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lack of adequate funding to continue clinical trials.</w:t>
      </w:r>
    </w:p>
    <w:p>
      <w:pPr>
        <w:spacing w:after="0" w:line="182" w:lineRule="exact"/>
        <w:rPr>
          <w:sz w:val="20"/>
          <w:szCs w:val="20"/>
          <w:color w:val="auto"/>
        </w:rPr>
      </w:pPr>
    </w:p>
    <w:p>
      <w:pPr>
        <w:jc w:val="both"/>
        <w:ind w:right="80"/>
        <w:spacing w:after="0" w:line="370" w:lineRule="auto"/>
        <w:rPr>
          <w:sz w:val="20"/>
          <w:szCs w:val="20"/>
          <w:color w:val="auto"/>
        </w:rPr>
      </w:pPr>
      <w:r>
        <w:rPr>
          <w:rFonts w:ascii="Arial" w:cs="Arial" w:eastAsia="Arial" w:hAnsi="Arial"/>
          <w:sz w:val="12"/>
          <w:szCs w:val="12"/>
          <w:b w:val="1"/>
          <w:bCs w:val="1"/>
          <w:i w:val="1"/>
          <w:iCs w:val="1"/>
          <w:color w:val="auto"/>
        </w:rPr>
        <w:t>Changes in regulatory requirements, FDA guidance or unanticipated events during our preclinical studies and clinical trials of our product candidates may occur, which may result in changes to preclinical studies and clinical trial protocols or additional preclinical studies and clinical trial requirements, which could result in increased costs to us and could delay our development timeline.</w:t>
      </w:r>
    </w:p>
    <w:p>
      <w:pPr>
        <w:spacing w:after="0" w:line="107"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Changes in regulatory requirements, FDA guidance or unanticipated events during our preclinical studies and clinical trials may force us to amend preclinical studies and clinical trial protocols or the FDA may impose additional preclinical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pre-clinical studies may adversely impact the cost, timing, or successful completion of those pre-clinical studies. If we experience delays completing, or if we terminate, any of our pre-clinical studies or clinical trials, or if we are required to conduct additional pre-clinical studies or clinical trials, the commercial prospects for our product candidates may be harmed and our ability to generate product revenue will be delayed.</w:t>
      </w:r>
    </w:p>
    <w:p>
      <w:pPr>
        <w:spacing w:after="0" w:line="156" w:lineRule="exact"/>
        <w:rPr>
          <w:sz w:val="20"/>
          <w:szCs w:val="20"/>
          <w:color w:val="auto"/>
        </w:rPr>
      </w:pPr>
    </w:p>
    <w:p>
      <w:pPr>
        <w:ind w:right="60"/>
        <w:spacing w:after="0" w:line="370" w:lineRule="auto"/>
        <w:rPr>
          <w:sz w:val="20"/>
          <w:szCs w:val="20"/>
          <w:color w:val="auto"/>
        </w:rPr>
      </w:pPr>
      <w:r>
        <w:rPr>
          <w:rFonts w:ascii="Arial" w:cs="Arial" w:eastAsia="Arial" w:hAnsi="Arial"/>
          <w:sz w:val="12"/>
          <w:szCs w:val="12"/>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07"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do not have the ability to independently conduct clinical trials. We rely on medical institutions, clinical investigators, contract laboratories and other third parties, such as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19" w:lineRule="exact"/>
        <w:rPr>
          <w:sz w:val="20"/>
          <w:szCs w:val="20"/>
          <w:color w:val="auto"/>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have staffing difficulties;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fail to comply with contractual obligations;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experience regulatory compliance issues;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undergo changes in priorities or become financially distressed; or</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form relationships with other entities, some of which may be our competitors.</w:t>
      </w:r>
    </w:p>
    <w:p>
      <w:pPr>
        <w:spacing w:after="0" w:line="182"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 w:name="page15"/>
    <w:bookmarkEnd w:id="1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Although we design our clinical trials for our product candidates, we plan to have CROs, and in the case of our initial AV-101 Phase 2a study in MDD, the NIH, conduct the AV-101 Phase 2 and Phase 3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56"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53" w:lineRule="exact"/>
        <w:rPr>
          <w:sz w:val="20"/>
          <w:szCs w:val="20"/>
          <w:color w:val="auto"/>
        </w:rPr>
      </w:pPr>
    </w:p>
    <w:p>
      <w:pPr>
        <w:ind w:right="140"/>
        <w:spacing w:after="0" w:line="290" w:lineRule="auto"/>
        <w:rPr>
          <w:sz w:val="20"/>
          <w:szCs w:val="20"/>
          <w:color w:val="auto"/>
        </w:rPr>
      </w:pPr>
      <w:r>
        <w:rPr>
          <w:rFonts w:ascii="Arial" w:cs="Arial" w:eastAsia="Arial" w:hAnsi="Arial"/>
          <w:sz w:val="13"/>
          <w:szCs w:val="13"/>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51"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We do not have long-term supply agreements in place with our contract manufacturers and each batch of our product candidates are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of AV-101 and other product candidates, if approved. Our current scale of manufacturing for AV-101 is adequate to support our currently planned needs for additional pre-clinical studies and clinical trial supplies.</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224"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 w:name="page16"/>
    <w:bookmarkEnd w:id="1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We do not currently have an infrastructure for the sales, marketing and distribution of pharmaceutical products, nor do we intend to create such capabilities. Therefore, in order to market our product candidates globally,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51" w:lineRule="exact"/>
        <w:rPr>
          <w:sz w:val="20"/>
          <w:szCs w:val="20"/>
          <w:color w:val="auto"/>
        </w:rPr>
      </w:pPr>
    </w:p>
    <w:p>
      <w:pPr>
        <w:ind w:right="260"/>
        <w:spacing w:after="0" w:line="283" w:lineRule="auto"/>
        <w:rPr>
          <w:sz w:val="20"/>
          <w:szCs w:val="20"/>
          <w:color w:val="auto"/>
        </w:rPr>
      </w:pPr>
      <w:r>
        <w:rPr>
          <w:rFonts w:ascii="Arial" w:cs="Arial" w:eastAsia="Arial" w:hAnsi="Arial"/>
          <w:sz w:val="14"/>
          <w:szCs w:val="14"/>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53"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07" w:lineRule="exact"/>
        <w:rPr>
          <w:sz w:val="20"/>
          <w:szCs w:val="20"/>
          <w:color w:val="auto"/>
        </w:rPr>
      </w:pPr>
    </w:p>
    <w:p>
      <w:pPr>
        <w:ind w:left="480" w:hanging="475"/>
        <w:spacing w:after="0" w:line="215" w:lineRule="auto"/>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limitations or warnings contained in the labeling approved for our product candidates by the FDA or other applicable regulatory authorities;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clinical indications for which our product candidates are approved;</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availability of alternative treatments already approved or expected to be commercially launched in the near future;</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potential and perceived advantages of our product candidates over current treatment options or alternative treatments, including future alternative treatments;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willingness of the target patient population to try new therapies and of physicians to prescribe these therapies;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strength of marketing and distribution support and timing of market introduction of competitive products;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publicity concerning our products or competing products and treatments;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pricing and cost effectiveness;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effectiveness of our sales and marketing strategies;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our ability to increase awareness of our product candidates through marketing efforts;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our ability to obtain sufficient third-party coverage or reimbursement; or</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the willingness of patients to pay out-of-pocket in the absence of third-party coverage.</w:t>
      </w:r>
    </w:p>
    <w:p>
      <w:pPr>
        <w:spacing w:after="0" w:line="160"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53"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 w:name="page17"/>
    <w:bookmarkEnd w:id="1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60"/>
        <w:spacing w:after="0" w:line="333" w:lineRule="auto"/>
        <w:rPr>
          <w:sz w:val="20"/>
          <w:szCs w:val="20"/>
          <w:color w:val="auto"/>
        </w:rPr>
      </w:pPr>
      <w:r>
        <w:rPr>
          <w:rFonts w:ascii="Arial" w:cs="Arial" w:eastAsia="Arial" w:hAnsi="Arial"/>
          <w:sz w:val="12"/>
          <w:szCs w:val="12"/>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58" w:lineRule="exact"/>
        <w:rPr>
          <w:sz w:val="20"/>
          <w:szCs w:val="20"/>
          <w:color w:val="auto"/>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regulatory authorities may withdraw or limit their approval of such product candidates;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regulatory authorities may require the addition of labeling statements, such as a “black box” warning or a contraindication;</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may be required to change the way such product candidates are distributed or administered, conduct additional clinical trials or change the labeling of the product candidates;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may be subject to regulatory investigations and government enforcement actions;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may decide to remove such product candidates from the marketplace;</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we could be sued and held liable for injury caused to individuals exposed to or taking our product candidates; and</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our reputation may suffer.</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we receive marketing approval for our product candidates, we may still face future development and regulatory difficulties.</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56"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97" w:lineRule="exact"/>
        <w:rPr>
          <w:sz w:val="20"/>
          <w:szCs w:val="20"/>
          <w:color w:val="auto"/>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issue warning letters or untitled letters;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seek an injunction or impose civil or criminal penalties or monetary fines;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suspend or withdraw marketing approval;</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suspend any ongoing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refuse to approve pending applications or supplements to applications submitted by us;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suspend or impose restrictions on operations, including costly new manufacturing requirements; or</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seize or detain products, refuse to permit the import or export of products, or require that we initiate a product recall.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 w:name="page18"/>
    <w:bookmarkEnd w:id="1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Competing therapies could emerge adversely affecting our opportunity to generate revenue from the sale of our product candidates.</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pharmaceuticals industry is highly competitive. There are many public and private 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3"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Currently, management is unaware of any FDA-approved adjunctive therapy for treatment-resistant MDD with the same mechanism of action as AV-101. However, new antidepressant products with other mechanisms of action or products approved for other indications, including the anesthetic ketamine,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4"/>
          <w:szCs w:val="14"/>
          <w:i w:val="1"/>
          <w:iCs w:val="1"/>
          <w:color w:val="auto"/>
        </w:rPr>
        <w:t>ECT</w:t>
      </w:r>
      <w:r>
        <w:rPr>
          <w:rFonts w:ascii="Arial" w:cs="Arial" w:eastAsia="Arial" w:hAnsi="Arial"/>
          <w:sz w:val="14"/>
          <w:szCs w:val="14"/>
          <w:color w:val="auto"/>
        </w:rPr>
        <w:t>) are sometimes used before or instead of standard antidepressants to treat patients with MDD.</w:t>
      </w:r>
    </w:p>
    <w:p>
      <w:pPr>
        <w:spacing w:after="0" w:line="167"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In the field of new generation antidepressants focused on modulation of the NMDA receptor at the glycine binding co-agonist site, we believe our principal competitor is Allergan, which recently acquired from and is now developing both rapastinel (formerly GLYX-13) and NRX-1074 for treatment-resistant MDD.</w:t>
      </w:r>
    </w:p>
    <w:p>
      <w:pPr>
        <w:spacing w:after="0" w:line="153"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Allergan, Alkermes, Astra Zeneca, Eli Lilly, GlaxoSmithKline, Johnson &amp; Johnson, Lundbeck, Merck, Novartis, Otsuka, Pfizer, Roche, Sumitomo Dainippon, Teva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224"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53"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5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 w:name="page19"/>
    <w:bookmarkEnd w:id="1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314" w:lineRule="auto"/>
        <w:rPr>
          <w:sz w:val="20"/>
          <w:szCs w:val="20"/>
          <w:color w:val="auto"/>
        </w:rPr>
      </w:pPr>
      <w:r>
        <w:rPr>
          <w:rFonts w:ascii="Arial" w:cs="Arial" w:eastAsia="Arial" w:hAnsi="Arial"/>
          <w:sz w:val="12"/>
          <w:szCs w:val="12"/>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2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53" w:lineRule="exact"/>
        <w:rPr>
          <w:sz w:val="20"/>
          <w:szCs w:val="20"/>
          <w:color w:val="auto"/>
        </w:rPr>
      </w:pPr>
    </w:p>
    <w:p>
      <w:pPr>
        <w:ind w:right="40"/>
        <w:spacing w:after="0" w:line="333" w:lineRule="auto"/>
        <w:rPr>
          <w:sz w:val="20"/>
          <w:szCs w:val="20"/>
          <w:color w:val="auto"/>
        </w:rPr>
      </w:pPr>
      <w:r>
        <w:rPr>
          <w:rFonts w:ascii="Arial" w:cs="Arial" w:eastAsia="Arial" w:hAnsi="Arial"/>
          <w:sz w:val="12"/>
          <w:szCs w:val="12"/>
          <w:color w:val="auto"/>
        </w:rPr>
        <w:t>The success of our business depends primarily upon our ability to identify, develop and commercialize product candidates with commercial and therapeutic potential. Although AV-101 is in Phase 2 clinical development, we may fail to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28"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Because we have limited financial and management resources, we focus on a limited number of research programs and product candidates and are currently focused primarily on our AV-101 candidate, with additional limited focus on NCE drug rescue and RM candidates.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224"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47" w:lineRule="exact"/>
        <w:rPr>
          <w:sz w:val="20"/>
          <w:szCs w:val="20"/>
          <w:color w:val="auto"/>
        </w:rPr>
      </w:pPr>
    </w:p>
    <w:p>
      <w:pPr>
        <w:ind w:left="360" w:right="8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83" w:lineRule="exact"/>
        <w:rPr>
          <w:rFonts w:ascii="Arial" w:cs="Arial" w:eastAsia="Arial" w:hAnsi="Arial"/>
          <w:sz w:val="20"/>
          <w:szCs w:val="20"/>
          <w:color w:val="auto"/>
          <w:vertAlign w:val="superscript"/>
        </w:rPr>
      </w:pPr>
    </w:p>
    <w:p>
      <w:pPr>
        <w:ind w:left="360" w:right="4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3" w:lineRule="exact"/>
        <w:rPr>
          <w:rFonts w:ascii="Arial" w:cs="Arial" w:eastAsia="Arial" w:hAnsi="Arial"/>
          <w:sz w:val="20"/>
          <w:szCs w:val="20"/>
          <w:color w:val="auto"/>
          <w:vertAlign w:val="superscript"/>
        </w:rPr>
      </w:pPr>
    </w:p>
    <w:p>
      <w:pPr>
        <w:ind w:left="360" w:right="8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3" w:lineRule="exact"/>
        <w:rPr>
          <w:rFonts w:ascii="Arial" w:cs="Arial" w:eastAsia="Arial" w:hAnsi="Arial"/>
          <w:sz w:val="20"/>
          <w:szCs w:val="20"/>
          <w:color w:val="auto"/>
          <w:vertAlign w:val="superscript"/>
        </w:rPr>
      </w:pPr>
    </w:p>
    <w:p>
      <w:pPr>
        <w:ind w:left="360" w:right="20" w:hanging="355"/>
        <w:spacing w:after="0" w:line="215"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0" w:lineRule="exact"/>
        <w:rPr>
          <w:rFonts w:ascii="Arial" w:cs="Arial" w:eastAsia="Arial" w:hAnsi="Arial"/>
          <w:sz w:val="20"/>
          <w:szCs w:val="20"/>
          <w:color w:val="auto"/>
          <w:vertAlign w:val="superscript"/>
        </w:rPr>
      </w:pPr>
    </w:p>
    <w:p>
      <w:pPr>
        <w:ind w:left="360" w:right="6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 w:name="page20"/>
    <w:bookmarkEnd w:id="1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60" w:right="320" w:hanging="355"/>
        <w:spacing w:after="0" w:line="226" w:lineRule="auto"/>
        <w:tabs>
          <w:tab w:leader="none" w:pos="36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83" w:lineRule="exact"/>
        <w:rPr>
          <w:rFonts w:ascii="Arial" w:cs="Arial" w:eastAsia="Arial" w:hAnsi="Arial"/>
          <w:sz w:val="20"/>
          <w:szCs w:val="20"/>
          <w:color w:val="auto"/>
          <w:vertAlign w:val="superscript"/>
        </w:rPr>
      </w:pPr>
    </w:p>
    <w:p>
      <w:pPr>
        <w:ind w:left="360" w:right="120" w:hanging="355"/>
        <w:spacing w:after="0" w:line="215" w:lineRule="auto"/>
        <w:tabs>
          <w:tab w:leader="none" w:pos="36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6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3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augmentation therapy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approved, reimbursement policies could limit our ability to sell our product candidates.</w:t>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Even if we have obtained FDA Orphan Drug designation for one or more of our product candidates, there may be limits to the regulatory exclusivity afforded by such designation.</w:t>
      </w:r>
    </w:p>
    <w:p>
      <w:pPr>
        <w:spacing w:after="0" w:line="213"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 w:name="page21"/>
    <w:bookmarkEnd w:id="2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growth may depend, in part, on our ability to penetrate foreign markets, where we would be subject to additional regulatory burdens and other risks and uncertainties.</w:t>
      </w: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03" w:lineRule="exact"/>
        <w:rPr>
          <w:sz w:val="20"/>
          <w:szCs w:val="20"/>
          <w:color w:val="auto"/>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our customers’ ability to obtain reimbursement for our product candidates in foreign markets;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our inability to directly control commercial activities because we are relying on third parties;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the burden of complying with complex and changing foreign regulatory, tax, accounting and legal requirements;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different medical practices and customs in foreign countries affecting acceptance in the marketplace;</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import or export licensing requirements;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longer accounts receivable collection times;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longer lead times for shipping;</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language barriers for technical training;</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reduced protection of intellectual property rights in some foreign countries;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the existence of additional potentially relevant third party intellectual property rights;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foreign currency exchange rate fluctuations;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the interpretation of contractual provisions governed by foreign laws in the event of a contract dispute.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Foreign sales of our product candidates could also be adversely affected by the imposition of governmental controls, political and economic instability, trade restrictions and changes in tariffs.</w:t>
      </w: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260"/>
          </w:cols>
          <w:pgMar w:left="220" w:top="133" w:right="419" w:bottom="1440" w:gutter="0" w:footer="0" w:header="0"/>
        </w:sectPr>
      </w:pPr>
    </w:p>
    <w:bookmarkStart w:id="21" w:name="page22"/>
    <w:bookmarkEnd w:id="2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42" w:lineRule="exact"/>
        <w:rPr>
          <w:sz w:val="20"/>
          <w:szCs w:val="20"/>
          <w:color w:val="auto"/>
        </w:rPr>
      </w:pPr>
    </w:p>
    <w:p>
      <w:pPr>
        <w:ind w:right="120"/>
        <w:spacing w:after="0" w:line="333" w:lineRule="auto"/>
        <w:rPr>
          <w:sz w:val="20"/>
          <w:szCs w:val="20"/>
          <w:color w:val="auto"/>
        </w:rPr>
      </w:pPr>
      <w:r>
        <w:rPr>
          <w:rFonts w:ascii="Arial" w:cs="Arial" w:eastAsia="Arial" w:hAnsi="Arial"/>
          <w:sz w:val="12"/>
          <w:szCs w:val="12"/>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58" w:lineRule="exact"/>
        <w:rPr>
          <w:sz w:val="20"/>
          <w:szCs w:val="20"/>
          <w:color w:val="auto"/>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produce product candidates;</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develop and obtain required regulatory approvals for commercialization of products we produce;</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maintain, leverage and expand our intellectual property portfolio;</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establish and maintain sales, distribution and marketing capabilities, and/or enter into strategic partnering arrangements to access such capabilities;</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gain market acceptance for our products; and</w:t>
      </w:r>
    </w:p>
    <w:p>
      <w:pPr>
        <w:spacing w:after="0" w:line="160" w:lineRule="exact"/>
        <w:rPr>
          <w:rFonts w:ascii="Arial" w:cs="Arial" w:eastAsia="Arial" w:hAnsi="Arial"/>
          <w:sz w:val="20"/>
          <w:szCs w:val="20"/>
          <w:color w:val="auto"/>
          <w:vertAlign w:val="superscript"/>
        </w:rPr>
      </w:pPr>
    </w:p>
    <w:p>
      <w:pPr>
        <w:ind w:left="360" w:right="420" w:hanging="355"/>
        <w:spacing w:after="0" w:line="215" w:lineRule="auto"/>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obtain adequate capital resources and manage our spending as costs and expenses increase due to research, production, development, regulatory approval and commercialization of product candidates.</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42"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93" w:lineRule="exact"/>
        <w:rPr>
          <w:sz w:val="20"/>
          <w:szCs w:val="20"/>
          <w:color w:val="auto"/>
        </w:rPr>
      </w:pPr>
    </w:p>
    <w:p>
      <w:pPr>
        <w:ind w:left="360" w:hanging="355"/>
        <w:spacing w:after="0"/>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our drug rescue research methodology may not be successful in identifying potential drug rescue NCEs;</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competitors may develop alternatives that render our drug rescue NCEs obsolete;</w:t>
      </w:r>
    </w:p>
    <w:p>
      <w:pPr>
        <w:spacing w:after="0" w:line="160" w:lineRule="exact"/>
        <w:rPr>
          <w:rFonts w:ascii="Arial" w:cs="Arial" w:eastAsia="Arial" w:hAnsi="Arial"/>
          <w:sz w:val="20"/>
          <w:szCs w:val="20"/>
          <w:color w:val="auto"/>
          <w:vertAlign w:val="superscript"/>
        </w:rPr>
      </w:pPr>
    </w:p>
    <w:p>
      <w:pPr>
        <w:ind w:left="360" w:right="100" w:hanging="355"/>
        <w:spacing w:after="0" w:line="215" w:lineRule="auto"/>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a drug rescue NCE may, on further study, be shown to have harmful side effects or other characteristics that indicate it is unlikely to be effective or otherwise does not meet applicable regulatory criteria;</w:t>
      </w:r>
    </w:p>
    <w:p>
      <w:pPr>
        <w:spacing w:after="0" w:line="111"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a drug rescue NCE may not be capable of being produced in commercial quantities at an acceptable cost, or at all; or</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a drug rescue NCE may not be accepted as safe and effective by regulatory authorities, patients, the medical community or third-party payors.</w:t>
      </w:r>
    </w:p>
    <w:p>
      <w:pPr>
        <w:spacing w:after="0" w:line="16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 w:name="page23"/>
    <w:bookmarkEnd w:id="2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3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53" w:lineRule="exact"/>
        <w:rPr>
          <w:sz w:val="20"/>
          <w:szCs w:val="20"/>
          <w:color w:val="auto"/>
        </w:rPr>
      </w:pPr>
    </w:p>
    <w:p>
      <w:pPr>
        <w:ind w:right="800"/>
        <w:spacing w:after="0" w:line="283" w:lineRule="auto"/>
        <w:rPr>
          <w:sz w:val="20"/>
          <w:szCs w:val="20"/>
          <w:color w:val="auto"/>
        </w:rPr>
      </w:pPr>
      <w:r>
        <w:rPr>
          <w:rFonts w:ascii="Arial" w:cs="Arial" w:eastAsia="Arial" w:hAnsi="Arial"/>
          <w:sz w:val="14"/>
          <w:szCs w:val="14"/>
          <w:color w:val="auto"/>
        </w:rPr>
        <w:t xml:space="preserve">There are a number of factors, in addition to the utility of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that may impact our ability to identify and produce, develop or out-license and commercialize drug rescue NCEs, independently or with strategic partners, including:</w:t>
      </w:r>
    </w:p>
    <w:p>
      <w:pPr>
        <w:spacing w:after="0" w:line="82" w:lineRule="exact"/>
        <w:rPr>
          <w:sz w:val="20"/>
          <w:szCs w:val="20"/>
          <w:color w:val="auto"/>
        </w:rPr>
      </w:pPr>
    </w:p>
    <w:p>
      <w:pPr>
        <w:ind w:left="520" w:hanging="515"/>
        <w:spacing w:after="0"/>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our ability to identify potential drug rescue candidates in the public domain, obtain sufficient quantities of them, and assess them using our bioassay systems;</w:t>
      </w:r>
    </w:p>
    <w:p>
      <w:pPr>
        <w:spacing w:after="0" w:line="160" w:lineRule="exact"/>
        <w:rPr>
          <w:rFonts w:ascii="Arial" w:cs="Arial" w:eastAsia="Arial" w:hAnsi="Arial"/>
          <w:sz w:val="20"/>
          <w:szCs w:val="20"/>
          <w:color w:val="auto"/>
          <w:vertAlign w:val="superscript"/>
        </w:rPr>
      </w:pPr>
    </w:p>
    <w:p>
      <w:pPr>
        <w:ind w:left="520" w:right="40" w:hanging="515"/>
        <w:spacing w:after="0" w:line="215" w:lineRule="auto"/>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60" w:lineRule="exact"/>
        <w:rPr>
          <w:rFonts w:ascii="Arial" w:cs="Arial" w:eastAsia="Arial" w:hAnsi="Arial"/>
          <w:sz w:val="20"/>
          <w:szCs w:val="20"/>
          <w:color w:val="auto"/>
          <w:vertAlign w:val="superscript"/>
        </w:rPr>
      </w:pPr>
    </w:p>
    <w:p>
      <w:pPr>
        <w:ind w:left="520" w:right="100" w:hanging="515"/>
        <w:spacing w:after="0" w:line="215" w:lineRule="auto"/>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w:t>
      </w:r>
    </w:p>
    <w:p>
      <w:pPr>
        <w:spacing w:after="0" w:line="160" w:lineRule="exact"/>
        <w:rPr>
          <w:rFonts w:ascii="Arial" w:cs="Arial" w:eastAsia="Arial" w:hAnsi="Arial"/>
          <w:sz w:val="20"/>
          <w:szCs w:val="20"/>
          <w:color w:val="auto"/>
          <w:vertAlign w:val="superscript"/>
        </w:rPr>
      </w:pPr>
    </w:p>
    <w:p>
      <w:pPr>
        <w:ind w:left="520" w:hanging="515"/>
        <w:spacing w:after="0" w:line="215" w:lineRule="auto"/>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7"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b w:val="1"/>
          <w:bCs w:val="1"/>
          <w:i w:val="1"/>
          <w:iCs w:val="1"/>
          <w:color w:val="auto"/>
        </w:rPr>
        <w:t xml:space="preserve">If 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 xml:space="preserve">Our success is highly dependent on our ability to use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identify and predict, accurately and efficiently, the potential toxic and nontoxic cardiac effects of drug rescue candidates and drug rescue NCEs. If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is not capable of providing physiologically relevant and clinically predictive information regarding human cardiac biology, our drug rescue business will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may not be meaningfully more predictive of the behavior of human cells than existing methods.</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 xml:space="preserve">The success of our drug rescue business is highly dependent upon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will be more efficient or accurate at predicting the heart safety of new drug candidates than the testing models currently used. If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producing drug rescue NCEs for which there proves to be no demand.</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3" w:name="page24"/>
    <w:bookmarkEnd w:id="2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regenerative medicine programs involving blood, bone, cartilage, heart, and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36" w:lineRule="exact"/>
        <w:rPr>
          <w:sz w:val="20"/>
          <w:szCs w:val="20"/>
          <w:color w:val="auto"/>
        </w:rPr>
      </w:pPr>
    </w:p>
    <w:p>
      <w:pPr>
        <w:spacing w:after="0" w:line="370"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86"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Some of our research and development programs may involve the use of human cells derived from our controlled differentiation of human embryonic stem cells (</w:t>
      </w:r>
      <w:r>
        <w:rPr>
          <w:rFonts w:ascii="Arial" w:cs="Arial" w:eastAsia="Arial" w:hAnsi="Arial"/>
          <w:sz w:val="14"/>
          <w:szCs w:val="14"/>
          <w:i w:val="1"/>
          <w:iCs w:val="1"/>
          <w:color w:val="auto"/>
        </w:rPr>
        <w:t>hESC</w:t>
      </w:r>
      <w:r>
        <w:rPr>
          <w:rFonts w:ascii="Arial" w:cs="Arial" w:eastAsia="Arial" w:hAnsi="Arial"/>
          <w:sz w:val="14"/>
          <w:szCs w:val="14"/>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fertilization (</w:t>
      </w:r>
      <w:r>
        <w:rPr>
          <w:rFonts w:ascii="Arial" w:cs="Arial" w:eastAsia="Arial" w:hAnsi="Arial"/>
          <w:sz w:val="14"/>
          <w:szCs w:val="14"/>
          <w:i w:val="1"/>
          <w:iCs w:val="1"/>
          <w:color w:val="auto"/>
        </w:rPr>
        <w:t>IVF</w:t>
      </w:r>
      <w:r>
        <w:rPr>
          <w:rFonts w:ascii="Arial" w:cs="Arial" w:eastAsia="Arial" w:hAnsi="Arial"/>
          <w:sz w:val="14"/>
          <w:szCs w:val="14"/>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49"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foregoing potential ethical concerns do not apply to our use of induced pluripotent stem cells </w:t>
      </w:r>
      <w:r>
        <w:rPr>
          <w:rFonts w:ascii="Arial" w:cs="Arial" w:eastAsia="Arial" w:hAnsi="Arial"/>
          <w:sz w:val="14"/>
          <w:szCs w:val="14"/>
          <w:i w:val="1"/>
          <w:iCs w:val="1"/>
          <w:color w:val="auto"/>
        </w:rPr>
        <w:t>(iPSC</w:t>
      </w:r>
      <w:r>
        <w:rPr>
          <w:rFonts w:ascii="Arial" w:cs="Arial" w:eastAsia="Arial" w:hAnsi="Arial"/>
          <w:sz w:val="14"/>
          <w:szCs w:val="14"/>
          <w:color w:val="auto"/>
        </w:rPr>
        <w:t>s) because their derivation does not involve the use of embryonic tissues.</w:t>
      </w:r>
    </w:p>
    <w:p>
      <w:pPr>
        <w:spacing w:after="0" w:line="201"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31" w:lineRule="exact"/>
        <w:rPr>
          <w:sz w:val="20"/>
          <w:szCs w:val="20"/>
          <w:color w:val="auto"/>
        </w:rPr>
      </w:pPr>
    </w:p>
    <w:p>
      <w:pPr>
        <w:jc w:val="both"/>
        <w:ind w:right="20"/>
        <w:spacing w:after="0" w:line="261" w:lineRule="auto"/>
        <w:rPr>
          <w:sz w:val="20"/>
          <w:szCs w:val="20"/>
          <w:color w:val="auto"/>
        </w:rPr>
      </w:pPr>
      <w:r>
        <w:rPr>
          <w:rFonts w:ascii="Arial" w:cs="Arial" w:eastAsia="Arial" w:hAnsi="Arial"/>
          <w:sz w:val="14"/>
          <w:szCs w:val="14"/>
          <w:color w:val="auto"/>
        </w:rPr>
        <w:t xml:space="preserve">We may use both hESCs and iPSCs to produce human cells for our customized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4" w:name="page25"/>
    <w:bookmarkEnd w:id="2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31"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8"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2"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42"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social and ethical concerns surrounding the use of iPSCs, biological materials and genetic information could impair our operations.</w:t>
      </w:r>
    </w:p>
    <w:p>
      <w:pPr>
        <w:spacing w:after="0" w:line="180"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5" w:name="page26"/>
    <w:bookmarkEnd w:id="2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1"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 xml:space="preserve">The human cells we produce from hPSCs and our customized bioassay systems using such cells, including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Position and Need for Capital</w:t>
      </w:r>
    </w:p>
    <w:p>
      <w:pPr>
        <w:spacing w:after="0" w:line="205"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have incurred significant net losses in each fiscal year since our inception in 1998, including net losses of $13.9 million and $3.0 million during the fiscal years ending March 31, 2015 and 2014, respectively. As of December 31, 2015, we had an accumulated deficit of approximately $123.2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3"/>
          <w:szCs w:val="13"/>
          <w:color w:val="auto"/>
        </w:rPr>
        <w:t>Our ability to become profitable depends upon our ability to generate revenues. To date, we have generated approximately $16.4 million in revenues, exclusively from the receipt of research and development grants.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strategic development and commercialization agreements with respect to AV-101 or another product candidate. Our ability to generate revenue depends on a number of factors, including, but not limited to, our ability to:</w:t>
      </w:r>
    </w:p>
    <w:p>
      <w:pPr>
        <w:spacing w:after="0" w:line="101" w:lineRule="exact"/>
        <w:rPr>
          <w:sz w:val="20"/>
          <w:szCs w:val="20"/>
          <w:color w:val="auto"/>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initiate and successfully complete clinical trials that meet their clinical endpoints;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initiate and successfully complete all safety studies required to obtain U.S. and foreign marketing approval for our product candidates;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commercialize our product candidates, if approved, by developing a sales force or entering into collaborations with third parties; and</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achieve market acceptance of our product candidates in the medical community and with third-party payors.</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Unless we enter into a strategic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6" w:name="page27"/>
    <w:bookmarkEnd w:id="2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independent auditors have expressed substantial doubt about our ability to continue as a going concern.</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consolidated financial statements for the year ended March 31, 2015 have been prepared assuming we will continue to operate as a going concern. However, due to our ongoing operating losses and our accumulated deficit, in their opinion on our audited financial statements for our fiscal year ended March 31, 2015, our auditors indicated that there is substantial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3"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 or other operations.</w:t>
      </w:r>
    </w:p>
    <w:p>
      <w:pPr>
        <w:spacing w:after="0" w:line="153"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for drug rescue applications, and we will continue to expend substantial resources for the foreseeable future developing and commercializing AV-101, and, potentially, developing drug rescue NCEs and RM therapies.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56" w:lineRule="exact"/>
        <w:rPr>
          <w:sz w:val="20"/>
          <w:szCs w:val="20"/>
          <w:color w:val="auto"/>
        </w:rPr>
      </w:pPr>
    </w:p>
    <w:p>
      <w:pPr>
        <w:ind w:right="300"/>
        <w:spacing w:after="0" w:line="300" w:lineRule="auto"/>
        <w:rPr>
          <w:sz w:val="20"/>
          <w:szCs w:val="20"/>
          <w:color w:val="auto"/>
        </w:rPr>
      </w:pPr>
      <w:r>
        <w:rPr>
          <w:rFonts w:ascii="Arial" w:cs="Arial" w:eastAsia="Arial" w:hAnsi="Arial"/>
          <w:sz w:val="12"/>
          <w:szCs w:val="12"/>
          <w:color w:val="auto"/>
        </w:rPr>
        <w:t xml:space="preserve">At December 31, 2015, our existing cash and cash equivalents were not sufficient to fund our current operations for the next 12 months. As described in Note 8, </w:t>
      </w:r>
      <w:r>
        <w:rPr>
          <w:rFonts w:ascii="Arial" w:cs="Arial" w:eastAsia="Arial" w:hAnsi="Arial"/>
          <w:sz w:val="12"/>
          <w:szCs w:val="12"/>
          <w:i w:val="1"/>
          <w:iCs w:val="1"/>
          <w:color w:val="auto"/>
        </w:rPr>
        <w:t>Capital Stock</w:t>
      </w:r>
      <w:r>
        <w:rPr>
          <w:rFonts w:ascii="Arial" w:cs="Arial" w:eastAsia="Arial" w:hAnsi="Arial"/>
          <w:sz w:val="12"/>
          <w:szCs w:val="12"/>
          <w:color w:val="auto"/>
        </w:rPr>
        <w:t>, to the accompanying Condensed Consolidated Financial Statements for the nine months ended December 31, 2015 included elsewhere in this prospectus, on August 3, 2015, we entered into an agreement with Platinum Long Term Growth VII, LLC (</w:t>
      </w:r>
      <w:r>
        <w:rPr>
          <w:rFonts w:ascii="Arial" w:cs="Arial" w:eastAsia="Arial" w:hAnsi="Arial"/>
          <w:sz w:val="12"/>
          <w:szCs w:val="12"/>
          <w:i w:val="1"/>
          <w:iCs w:val="1"/>
          <w:color w:val="auto"/>
        </w:rPr>
        <w:t>Platinum</w:t>
      </w:r>
      <w:r>
        <w:rPr>
          <w:rFonts w:ascii="Arial" w:cs="Arial" w:eastAsia="Arial" w:hAnsi="Arial"/>
          <w:sz w:val="12"/>
          <w:szCs w:val="12"/>
          <w:color w:val="auto"/>
        </w:rPr>
        <w:t>) (</w:t>
      </w:r>
      <w:r>
        <w:rPr>
          <w:rFonts w:ascii="Arial" w:cs="Arial" w:eastAsia="Arial" w:hAnsi="Arial"/>
          <w:sz w:val="12"/>
          <w:szCs w:val="12"/>
          <w:i w:val="1"/>
          <w:iCs w:val="1"/>
          <w:color w:val="auto"/>
        </w:rPr>
        <w:t>August 2015 Agreement</w:t>
      </w:r>
      <w:r>
        <w:rPr>
          <w:rFonts w:ascii="Arial" w:cs="Arial" w:eastAsia="Arial" w:hAnsi="Arial"/>
          <w:sz w:val="12"/>
          <w:szCs w:val="12"/>
          <w:color w:val="auto"/>
        </w:rPr>
        <w:t xml:space="preserve">) pursuant to which we agreed to sell to Platinum an additional $3.0 million of our Series B Preferred and Series B Warrants (collectively, </w:t>
      </w:r>
      <w:r>
        <w:rPr>
          <w:rFonts w:ascii="Arial" w:cs="Arial" w:eastAsia="Arial" w:hAnsi="Arial"/>
          <w:sz w:val="12"/>
          <w:szCs w:val="12"/>
          <w:i w:val="1"/>
          <w:iCs w:val="1"/>
          <w:color w:val="auto"/>
        </w:rPr>
        <w:t>Series B Units</w:t>
      </w:r>
      <w:r>
        <w:rPr>
          <w:rFonts w:ascii="Arial" w:cs="Arial" w:eastAsia="Arial" w:hAnsi="Arial"/>
          <w:sz w:val="12"/>
          <w:szCs w:val="12"/>
          <w:color w:val="auto"/>
        </w:rPr>
        <w:t>). Through December 31, 2015, Platinum purchased an aggregate of $1.65 million of Series B Units under the August 2015 Agreement. Concurrently with its December</w:t>
      </w:r>
    </w:p>
    <w:p>
      <w:pPr>
        <w:spacing w:after="0" w:line="2"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2015 purchase of $1.0 million of Series B Units and at our request, Platinum agreed to cancel its right to purchase the remaining $1.35 million of the Series B Units under the August 2015 Agreement. From January 1, 2016 through April 14, 2016, we have sold to accredited investors other than Platinum $628,000 of our Series B Units in self-placed private placement transactions. In February 2015, we entered into the CRADA with the NIH, under which the NIH is fully funding and conducting the initial Phase 2a clinical efficacy and safety of AV-101 in MDD. However, we have no current source of revenue to sustain our present activities, and we do not expect to generate revenue until, and unless, we (i) out-license or sell AV-101, a drug rescue NCE, 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 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intend to complete additional financing arrangements in 2016.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depend on many factors, including:</w:t>
      </w:r>
    </w:p>
    <w:p>
      <w:pPr>
        <w:spacing w:after="0" w:line="152" w:lineRule="exact"/>
        <w:rPr>
          <w:sz w:val="20"/>
          <w:szCs w:val="20"/>
          <w:color w:val="auto"/>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number and characteristics of the product candidates we pursue, including AV-101 and drug rescue NCEs;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scope, progress, results and costs of researching and developing our product candidates, and conducting preclinical and clinical studies;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timing of, and the costs involved in, obtaining regulatory approvals for our product candidates;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cost of commercialization activities if any of our product candidates are approved for sale, including marketing, sales and distribution costs;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cost of manufacturing our product candidates and any products we successfully commercialize;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48" w:lineRule="exact"/>
        <w:rPr>
          <w:sz w:val="20"/>
          <w:szCs w:val="20"/>
          <w:color w:val="auto"/>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our ability to establish and maintain strategic partnerships, licensing or other arrangements and the financial terms of such agreements;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market acceptance of our products;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effect of competing technological and market developments;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our ability to obtain government funding for our programs;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costs involved in obtaining and enforcing patents to preserve our intellectual property;</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costs involved in defending against such claims that we infringe third-party patents or violate other intellectual property rights and the outcome of such litigation;</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timing, receipt and amount of potential future licensee fees, milestone payments, and sales of, or royalties on, our future products, if any; and</w:t>
      </w:r>
    </w:p>
    <w:p>
      <w:pPr>
        <w:spacing w:after="0" w:line="143"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19"/>
          <w:szCs w:val="19"/>
          <w:color w:val="auto"/>
          <w:vertAlign w:val="superscript"/>
        </w:rPr>
      </w:pPr>
      <w:r>
        <w:rPr>
          <w:rFonts w:ascii="Arial" w:cs="Arial" w:eastAsia="Arial" w:hAnsi="Arial"/>
          <w:sz w:val="13"/>
          <w:szCs w:val="13"/>
          <w:color w:val="auto"/>
        </w:rPr>
        <w:t>the extent to which we acquire or invest in businesses, products and technologies, although we currently have no commitments or agreements relating to any of these types of transactions.</w:t>
      </w:r>
    </w:p>
    <w:p>
      <w:pPr>
        <w:spacing w:after="0" w:line="182"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59"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If we are unable to obtain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Proceeds from the Offering may not be sufficient to complete the Phase 2b MDD Study, resulting in the need for additional financing.</w:t>
      </w:r>
    </w:p>
    <w:p>
      <w:pPr>
        <w:spacing w:after="0" w:line="20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Although we expect net proceeds from this Offering to provide sufficient funding for our operations through the release of topline results of our fully-funded, NIH-sponsored AV-101 Phase 2a clinical study in major depressive disorder (</w:t>
      </w:r>
      <w:r>
        <w:rPr>
          <w:rFonts w:ascii="Arial" w:cs="Arial" w:eastAsia="Arial" w:hAnsi="Arial"/>
          <w:sz w:val="13"/>
          <w:szCs w:val="13"/>
          <w:i w:val="1"/>
          <w:iCs w:val="1"/>
          <w:color w:val="auto"/>
        </w:rPr>
        <w:t>Phase 2a MDD Study</w:t>
      </w:r>
      <w:r>
        <w:rPr>
          <w:rFonts w:ascii="Arial" w:cs="Arial" w:eastAsia="Arial" w:hAnsi="Arial"/>
          <w:sz w:val="13"/>
          <w:szCs w:val="13"/>
          <w:color w:val="auto"/>
        </w:rPr>
        <w:t>), anticipated in the second quarter of 2017, as well as the launch and conduct of a substantial portion of our AV-101 clinical study in MDD (</w:t>
      </w:r>
      <w:r>
        <w:rPr>
          <w:rFonts w:ascii="Arial" w:cs="Arial" w:eastAsia="Arial" w:hAnsi="Arial"/>
          <w:sz w:val="13"/>
          <w:szCs w:val="13"/>
          <w:i w:val="1"/>
          <w:iCs w:val="1"/>
          <w:color w:val="auto"/>
        </w:rPr>
        <w:t>Phase 2b MDD Study</w:t>
      </w:r>
      <w:r>
        <w:rPr>
          <w:rFonts w:ascii="Arial" w:cs="Arial" w:eastAsia="Arial" w:hAnsi="Arial"/>
          <w:sz w:val="13"/>
          <w:szCs w:val="13"/>
          <w:color w:val="auto"/>
        </w:rPr>
        <w:t>), the net proceeds from the Offering will not be sufficient to complete the Phase 2b MDD Study unless we also receive, prior to the end of the second quarter of 2017, proceeds resulting from the exercise of a substantial portion of the warrants in this Offering and the underwriters exercise their option to purchase additional shares and warrants. Assuming no exercise of the warrants acquired in this Offering and no exercise of the underwriters’ option to purchase additional shares and warrants, we believe an additional $10.0 million to $12.0 million will be required prior to the end of the second quarter of 2017 in order to complete the Phase 2b MDD Study. No assurances can be provided that such additional capital will be available to us when necessary, on reasonable terms, or at all. In the event we are unable to raise such additional capital, our operations will be negatively and materially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will cause dilution to our existing stockholders, and may restrict our operations or require us to relinquish rights.</w:t>
      </w:r>
    </w:p>
    <w:p>
      <w:pPr>
        <w:spacing w:after="0" w:line="20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We intend to seek additional capital in 2016 through this Offering, and may continue to pursue private and public equity offerings, debt financings, collaborations and strategic and licensing arrangements.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of our programs have been partially supported by government grants, which may not be available to us in the future.</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net operating losses to offset future taxable income is subject to certain limitations.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 xml:space="preserve">As of March 31, 2015, we had federal and state net operating loss carryforwards of $58.7 million and $53.1 million, respectively, which begin to expire in fiscal 2016. Under Section 382 of the Internal Revenue Code of 1986, as amended (the </w:t>
      </w:r>
      <w:r>
        <w:rPr>
          <w:rFonts w:ascii="Arial" w:cs="Arial" w:eastAsia="Arial" w:hAnsi="Arial"/>
          <w:sz w:val="14"/>
          <w:szCs w:val="14"/>
          <w:i w:val="1"/>
          <w:iCs w:val="1"/>
          <w:color w:val="auto"/>
        </w:rPr>
        <w:t>Code</w:t>
      </w:r>
      <w:r>
        <w:rPr>
          <w:rFonts w:ascii="Arial" w:cs="Arial" w:eastAsia="Arial" w:hAnsi="Arial"/>
          <w:sz w:val="14"/>
          <w:szCs w:val="14"/>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Company-Related Risks</w:t>
      </w:r>
    </w:p>
    <w:p>
      <w:pPr>
        <w:spacing w:after="0" w:line="20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Our success depends in part on our continued ability to attract, retain and motivate highly qualified management and scientific and technical personnel. We are highly dependent upon our Chief Executive Officer, President and Chief Scientific Officer and Chief Financial Officer, as well as other employees, consultants and scientific collaborators. As of the date of this prospectus, we have eight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47"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42"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In addition, we rely on a diverse range of strategic consultants and advisors, including scientific and clinical development advisors, to assist us in designing and implementing our research and development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encounter difficulties in managing our growth and expanding our operations successfully.</w:t>
      </w:r>
    </w:p>
    <w:p>
      <w:pPr>
        <w:spacing w:after="0" w:line="180" w:lineRule="exact"/>
        <w:rPr>
          <w:sz w:val="20"/>
          <w:szCs w:val="20"/>
          <w:color w:val="auto"/>
        </w:rPr>
      </w:pPr>
    </w:p>
    <w:p>
      <w:pPr>
        <w:ind w:right="120"/>
        <w:spacing w:after="0" w:line="281" w:lineRule="auto"/>
        <w:rPr>
          <w:sz w:val="20"/>
          <w:szCs w:val="20"/>
          <w:color w:val="auto"/>
        </w:rPr>
      </w:pPr>
      <w:r>
        <w:rPr>
          <w:rFonts w:ascii="Arial" w:cs="Arial" w:eastAsia="Arial" w:hAnsi="Arial"/>
          <w:sz w:val="13"/>
          <w:szCs w:val="13"/>
          <w:color w:val="auto"/>
        </w:rPr>
        <w:t>As we seek to advance development of AV-101 for MDD and other CNS-related conditions, as well as drug rescue and stem cell technology-related regenerative medicine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9" w:name="page30"/>
    <w:bookmarkEnd w:id="2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2" w:lineRule="exact"/>
        <w:rPr>
          <w:sz w:val="20"/>
          <w:szCs w:val="20"/>
          <w:color w:val="auto"/>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decreased demand for products that we may develop;</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injury to our reputation;</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withdrawal of clinical trial participants;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costs to defend the related litigation;</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a diversion of management's time and our resources;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substantial monetary awards to trial participants or patients;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product recalls, withdrawals or labeling, marketing or promotional restrictions;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loss of revenue;</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the inability to commercialize our product candidates; and</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a decline in our stock price.</w:t>
      </w:r>
    </w:p>
    <w:p>
      <w:pPr>
        <w:spacing w:after="0" w:line="16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we continue to grow, we will need to hire additional qualified accounting and financial personnel with appropriate public company experience.</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As we continue to grow our organization and seek to obtain listing of our common stock on the NASDAQ Capital Market, we will need to establish and maintain more elaborate disclosure and financial controls and make changes in our corporate governance practices. We will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increase by the direct costs of their employment and the indirect consequences related to the diversion of management resources from product development efforts.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global economic conditions could adversely affect our business, financial condition or results of operations.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Our results of operations could be adversely affected by general conditions in the global economy and in the global financial and stock markets. Global financial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68"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5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acquire businesses or products, or form strategic alliances, in the future, and we may not realize the benefits of such acquisitions.</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 Rights</w:t>
      </w:r>
    </w:p>
    <w:p>
      <w:pPr>
        <w:spacing w:after="0" w:line="205"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63" w:lineRule="exact"/>
        <w:rPr>
          <w:sz w:val="20"/>
          <w:szCs w:val="20"/>
          <w:color w:val="auto"/>
        </w:rPr>
      </w:pPr>
    </w:p>
    <w:p>
      <w:pPr>
        <w:ind w:right="340"/>
        <w:spacing w:after="0" w:line="320" w:lineRule="auto"/>
        <w:rPr>
          <w:sz w:val="20"/>
          <w:szCs w:val="20"/>
          <w:color w:val="auto"/>
        </w:rPr>
      </w:pPr>
      <w:r>
        <w:rPr>
          <w:rFonts w:ascii="Arial" w:cs="Arial" w:eastAsia="Arial" w:hAnsi="Arial"/>
          <w:sz w:val="12"/>
          <w:szCs w:val="12"/>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 applications related to AV-101 and own and have licensed patents and patent applications related to human pluripotent stem cell technology.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We currently have no issued patents covering AV-101. We cannot provide any assurances that any of our multiple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68"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 xml:space="preserve">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3"/>
          <w:szCs w:val="13"/>
          <w:i w:val="1"/>
          <w:iCs w:val="1"/>
          <w:color w:val="auto"/>
        </w:rPr>
        <w:t>ex parte</w:t>
      </w:r>
      <w:r>
        <w:rPr>
          <w:rFonts w:ascii="Arial" w:cs="Arial" w:eastAsia="Arial" w:hAnsi="Arial"/>
          <w:sz w:val="13"/>
          <w:szCs w:val="13"/>
          <w:color w:val="auto"/>
        </w:rPr>
        <w:t xml:space="preserve"> reexamination, or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degree of future protection for our proprietary rights is uncertain, and we cannot ensure that:</w:t>
      </w:r>
    </w:p>
    <w:p>
      <w:pPr>
        <w:spacing w:after="0" w:line="201" w:lineRule="exact"/>
        <w:rPr>
          <w:sz w:val="20"/>
          <w:szCs w:val="20"/>
          <w:color w:val="auto"/>
        </w:rPr>
      </w:pPr>
    </w:p>
    <w:p>
      <w:pPr>
        <w:ind w:left="920" w:hanging="404"/>
        <w:spacing w:after="0" w:line="215" w:lineRule="auto"/>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any of our pending patent applications will issue as patents at all;</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we will be able to successfully commercialize our product candidates, if approved, before our relevant patents expire;</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we were the first to make the inventions covered by each of our patents and pending patent applications;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we were the first to file patent applications for these inventions;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others will not develop similar or alternative technologies that do not infringe our patents;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others will not use pre-existing technology to effectively compete against us;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any of our patents, if issued, will be found to ultimately be valid and enforceable;</w:t>
      </w:r>
    </w:p>
    <w:p>
      <w:pPr>
        <w:spacing w:after="0" w:line="181" w:lineRule="exact"/>
        <w:rPr>
          <w:rFonts w:ascii="Arial" w:cs="Arial" w:eastAsia="Arial" w:hAnsi="Arial"/>
          <w:sz w:val="20"/>
          <w:szCs w:val="20"/>
          <w:color w:val="auto"/>
          <w:vertAlign w:val="superscript"/>
        </w:rPr>
      </w:pPr>
    </w:p>
    <w:p>
      <w:pPr>
        <w:ind w:left="920" w:right="100" w:hanging="404"/>
        <w:spacing w:after="0" w:line="215" w:lineRule="auto"/>
        <w:tabs>
          <w:tab w:leader="none" w:pos="9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any patents issued to us will provide a basis for an exclusive market for our commercially viable products, will provide us with any competitive advantages or will not be challenged by third parties;</w:t>
      </w:r>
    </w:p>
    <w:p>
      <w:pPr>
        <w:spacing w:after="0" w:line="132" w:lineRule="exact"/>
        <w:rPr>
          <w:rFonts w:ascii="Arial" w:cs="Arial" w:eastAsia="Arial" w:hAnsi="Arial"/>
          <w:sz w:val="20"/>
          <w:szCs w:val="20"/>
          <w:color w:val="auto"/>
          <w:vertAlign w:val="superscript"/>
        </w:rPr>
      </w:pPr>
    </w:p>
    <w:p>
      <w:pPr>
        <w:ind w:left="900" w:hanging="384"/>
        <w:spacing w:after="0"/>
        <w:tabs>
          <w:tab w:leader="none" w:pos="90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we will develop additional proprietary technologies or product candidates that are separately patentable; or</w:t>
      </w:r>
    </w:p>
    <w:p>
      <w:pPr>
        <w:spacing w:after="0" w:line="132" w:lineRule="exact"/>
        <w:rPr>
          <w:rFonts w:ascii="Arial" w:cs="Arial" w:eastAsia="Arial" w:hAnsi="Arial"/>
          <w:sz w:val="20"/>
          <w:szCs w:val="20"/>
          <w:color w:val="auto"/>
          <w:vertAlign w:val="superscript"/>
        </w:rPr>
      </w:pPr>
    </w:p>
    <w:p>
      <w:pPr>
        <w:ind w:left="900" w:hanging="384"/>
        <w:spacing w:after="0"/>
        <w:tabs>
          <w:tab w:leader="none" w:pos="90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that our commercial activities or products will not infringe upon the patents or proprietary rights of others.</w:t>
      </w:r>
    </w:p>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2" w:name="page33"/>
    <w:bookmarkEnd w:id="3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5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53"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58" w:lineRule="exact"/>
        <w:rPr>
          <w:sz w:val="20"/>
          <w:szCs w:val="20"/>
          <w:color w:val="auto"/>
        </w:rPr>
      </w:pPr>
    </w:p>
    <w:p>
      <w:pPr>
        <w:jc w:val="both"/>
        <w:ind w:right="100"/>
        <w:spacing w:after="0" w:line="290" w:lineRule="auto"/>
        <w:rPr>
          <w:sz w:val="20"/>
          <w:szCs w:val="20"/>
          <w:color w:val="auto"/>
        </w:rPr>
      </w:pPr>
      <w:r>
        <w:rPr>
          <w:rFonts w:ascii="Arial" w:cs="Arial" w:eastAsia="Arial" w:hAnsi="Arial"/>
          <w:sz w:val="13"/>
          <w:szCs w:val="13"/>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5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18" w:lineRule="exact"/>
        <w:rPr>
          <w:sz w:val="20"/>
          <w:szCs w:val="20"/>
          <w:color w:val="auto"/>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cease developing, selling or otherwise commercializing our product candidates;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pay substantial damages for past use of the asserted intellectual property;</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obtain a license from the holder of the asserted intellectual property, which license may not be available on reasonable terms, if at all; and</w:t>
      </w:r>
    </w:p>
    <w:p>
      <w:pPr>
        <w:spacing w:after="0" w:line="181" w:lineRule="exact"/>
        <w:rPr>
          <w:rFonts w:ascii="Arial" w:cs="Arial" w:eastAsia="Arial" w:hAnsi="Arial"/>
          <w:sz w:val="20"/>
          <w:szCs w:val="20"/>
          <w:color w:val="auto"/>
          <w:vertAlign w:val="superscript"/>
        </w:rPr>
      </w:pPr>
    </w:p>
    <w:p>
      <w:pPr>
        <w:ind w:left="520" w:right="220" w:hanging="515"/>
        <w:spacing w:after="0" w:line="215" w:lineRule="auto"/>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Any of these risks coming to fruition could have a material adverse effect on our business, results of operations, financial condition and prospects.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patents and other intellectual property.</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47"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3" w:name="page34"/>
    <w:bookmarkEnd w:id="3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80"/>
        <w:spacing w:after="0" w:line="283"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3" w:lineRule="exact"/>
        <w:rPr>
          <w:sz w:val="20"/>
          <w:szCs w:val="20"/>
          <w:color w:val="auto"/>
        </w:rPr>
      </w:pPr>
    </w:p>
    <w:p>
      <w:pPr>
        <w:jc w:val="both"/>
        <w:ind w:right="200"/>
        <w:spacing w:after="0" w:line="268" w:lineRule="auto"/>
        <w:rPr>
          <w:sz w:val="20"/>
          <w:szCs w:val="20"/>
          <w:color w:val="auto"/>
        </w:rPr>
      </w:pPr>
      <w:r>
        <w:rPr>
          <w:rFonts w:ascii="Arial" w:cs="Arial" w:eastAsia="Arial" w:hAnsi="Arial"/>
          <w:sz w:val="14"/>
          <w:szCs w:val="14"/>
          <w:color w:val="auto"/>
        </w:rPr>
        <w:t>The U.S. Patent and Trademark Office (</w:t>
      </w:r>
      <w:r>
        <w:rPr>
          <w:rFonts w:ascii="Arial" w:cs="Arial" w:eastAsia="Arial" w:hAnsi="Arial"/>
          <w:sz w:val="14"/>
          <w:szCs w:val="14"/>
          <w:i w:val="1"/>
          <w:iCs w:val="1"/>
          <w:color w:val="auto"/>
        </w:rPr>
        <w:t>USPTO</w:t>
      </w:r>
      <w:r>
        <w:rPr>
          <w:rFonts w:ascii="Arial" w:cs="Arial" w:eastAsia="Arial" w:hAnsi="Arial"/>
          <w:sz w:val="14"/>
          <w:szCs w:val="14"/>
          <w:color w:val="auto"/>
        </w:rPr>
        <w:t>)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time-consuming and unsuccessful.</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5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68"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Issued patents covering our product candidates could be found invalid or unenforceable if challenged in court.</w:t>
      </w:r>
    </w:p>
    <w:p>
      <w:pPr>
        <w:spacing w:after="0" w:line="201" w:lineRule="exact"/>
        <w:rPr>
          <w:sz w:val="20"/>
          <w:szCs w:val="20"/>
          <w:color w:val="auto"/>
        </w:rPr>
      </w:pPr>
    </w:p>
    <w:p>
      <w:pPr>
        <w:ind w:right="100"/>
        <w:spacing w:after="0" w:line="305" w:lineRule="auto"/>
        <w:rPr>
          <w:sz w:val="20"/>
          <w:szCs w:val="20"/>
          <w:color w:val="auto"/>
        </w:rPr>
      </w:pPr>
      <w:r>
        <w:rPr>
          <w:rFonts w:ascii="Arial" w:cs="Arial" w:eastAsia="Arial" w:hAnsi="Arial"/>
          <w:sz w:val="12"/>
          <w:szCs w:val="12"/>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25" w:lineRule="exact"/>
        <w:rPr>
          <w:sz w:val="20"/>
          <w:szCs w:val="20"/>
          <w:color w:val="auto"/>
        </w:rPr>
      </w:pPr>
    </w:p>
    <w:p>
      <w:pPr>
        <w:ind w:right="480"/>
        <w:spacing w:after="0" w:line="283" w:lineRule="auto"/>
        <w:rPr>
          <w:sz w:val="20"/>
          <w:szCs w:val="20"/>
          <w:color w:val="auto"/>
        </w:rPr>
      </w:pPr>
      <w:r>
        <w:rPr>
          <w:rFonts w:ascii="Arial" w:cs="Arial" w:eastAsia="Arial" w:hAnsi="Arial"/>
          <w:sz w:val="14"/>
          <w:szCs w:val="14"/>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3"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34" w:name="page35"/>
    <w:bookmarkEnd w:id="3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60"/>
        <w:spacing w:after="0" w:line="263" w:lineRule="auto"/>
        <w:rPr>
          <w:sz w:val="20"/>
          <w:szCs w:val="20"/>
          <w:color w:val="auto"/>
        </w:rPr>
      </w:pPr>
      <w:r>
        <w:rPr>
          <w:rFonts w:ascii="Arial" w:cs="Arial" w:eastAsia="Arial" w:hAnsi="Arial"/>
          <w:sz w:val="14"/>
          <w:szCs w:val="14"/>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25"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4"/>
          <w:szCs w:val="14"/>
          <w:i w:val="1"/>
          <w:iCs w:val="1"/>
          <w:color w:val="auto"/>
        </w:rPr>
        <w:t>Business—Intellectual Property</w:t>
      </w:r>
      <w:r>
        <w:rPr>
          <w:rFonts w:ascii="Arial" w:cs="Arial" w:eastAsia="Arial" w:hAnsi="Arial"/>
          <w:sz w:val="14"/>
          <w:szCs w:val="14"/>
          <w:color w:val="auto"/>
        </w:rPr>
        <w:t>” herein for a description of our license agreements, which includes a description of the termination provisions of these agreements.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5" w:name="page36"/>
    <w:bookmarkEnd w:id="3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50" w:lineRule="exact"/>
        <w:rPr>
          <w:sz w:val="20"/>
          <w:szCs w:val="20"/>
          <w:color w:val="auto"/>
        </w:rPr>
      </w:pPr>
    </w:p>
    <w:p>
      <w:pPr>
        <w:ind w:right="540"/>
        <w:spacing w:after="0" w:line="283" w:lineRule="auto"/>
        <w:rPr>
          <w:sz w:val="20"/>
          <w:szCs w:val="20"/>
          <w:color w:val="auto"/>
        </w:rPr>
      </w:pPr>
      <w:r>
        <w:rPr>
          <w:rFonts w:ascii="Arial" w:cs="Arial" w:eastAsia="Arial" w:hAnsi="Arial"/>
          <w:sz w:val="14"/>
          <w:szCs w:val="14"/>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03" w:lineRule="exact"/>
        <w:rPr>
          <w:sz w:val="20"/>
          <w:szCs w:val="20"/>
          <w:color w:val="auto"/>
        </w:rPr>
      </w:pPr>
    </w:p>
    <w:p>
      <w:pPr>
        <w:ind w:left="520" w:hanging="515"/>
        <w:spacing w:after="0"/>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the scope of rights granted under the license agreement and other interpretation-related issues;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whether and the extent to which our technology and processes infringe on intellectual property of the licensor that is not subject to the licensing agreement;</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our right to sublicense patent and other rights to third parties under collaborative development relationships;</w:t>
      </w:r>
    </w:p>
    <w:p>
      <w:pPr>
        <w:spacing w:after="0" w:line="181" w:lineRule="exact"/>
        <w:rPr>
          <w:rFonts w:ascii="Arial" w:cs="Arial" w:eastAsia="Arial" w:hAnsi="Arial"/>
          <w:sz w:val="20"/>
          <w:szCs w:val="20"/>
          <w:color w:val="auto"/>
          <w:vertAlign w:val="superscript"/>
        </w:rPr>
      </w:pPr>
    </w:p>
    <w:p>
      <w:pPr>
        <w:ind w:left="520" w:right="240" w:hanging="515"/>
        <w:spacing w:after="0" w:line="215" w:lineRule="auto"/>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our diligence obligations with respect to the use of the licensed technology in relation to our development and commercialization of our product candidates, and what activities satisfy those diligence obligations; and</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the ownership of inventions and know-how resulting from the joint creation or use of intellectual property by our licensors and us and our partners.</w:t>
      </w:r>
    </w:p>
    <w:p>
      <w:pPr>
        <w:spacing w:after="0" w:line="182"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3" w:lineRule="exact"/>
        <w:rPr>
          <w:sz w:val="20"/>
          <w:szCs w:val="20"/>
          <w:color w:val="auto"/>
        </w:rPr>
      </w:pPr>
    </w:p>
    <w:p>
      <w:pPr>
        <w:ind w:right="640"/>
        <w:spacing w:after="0" w:line="283" w:lineRule="auto"/>
        <w:rPr>
          <w:sz w:val="20"/>
          <w:szCs w:val="20"/>
          <w:color w:val="auto"/>
        </w:rPr>
      </w:pPr>
      <w:r>
        <w:rPr>
          <w:rFonts w:ascii="Arial" w:cs="Arial" w:eastAsia="Arial" w:hAnsi="Arial"/>
          <w:sz w:val="14"/>
          <w:szCs w:val="14"/>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3"/>
          <w:szCs w:val="13"/>
          <w:i w:val="1"/>
          <w:iCs w:val="1"/>
          <w:color w:val="auto"/>
        </w:rPr>
        <w:t>Bayh-Dole</w:t>
      </w:r>
      <w:r>
        <w:rPr>
          <w:rFonts w:ascii="Arial" w:cs="Arial" w:eastAsia="Arial" w:hAnsi="Arial"/>
          <w:sz w:val="13"/>
          <w:szCs w:val="13"/>
          <w:color w:val="auto"/>
        </w:rPr>
        <w:t xml:space="preserve"> </w:t>
      </w:r>
      <w:r>
        <w:rPr>
          <w:rFonts w:ascii="Arial" w:cs="Arial" w:eastAsia="Arial" w:hAnsi="Arial"/>
          <w:sz w:val="13"/>
          <w:szCs w:val="13"/>
          <w:i w:val="1"/>
          <w:iCs w:val="1"/>
          <w:color w:val="auto"/>
        </w:rPr>
        <w:t>Act</w:t>
      </w:r>
      <w:r>
        <w:rPr>
          <w:rFonts w:ascii="Arial" w:cs="Arial" w:eastAsia="Arial" w:hAnsi="Arial"/>
          <w:sz w:val="13"/>
          <w:szCs w:val="13"/>
          <w:color w:val="auto"/>
        </w:rPr>
        <w:t>). These U.S. government rights in certain inventions developed under a government-funded program include a non-exclusive, non-transferable, irrevocable worldwide license to use inventions for</w:t>
      </w:r>
      <w:r>
        <w:rPr>
          <w:rFonts w:ascii="Arial" w:cs="Arial" w:eastAsia="Arial" w:hAnsi="Arial"/>
          <w:sz w:val="13"/>
          <w:szCs w:val="13"/>
          <w:i w:val="1"/>
          <w:iCs w:val="1"/>
          <w:color w:val="auto"/>
        </w:rPr>
        <w:t xml:space="preserve"> </w:t>
      </w:r>
      <w:r>
        <w:rPr>
          <w:rFonts w:ascii="Arial" w:cs="Arial" w:eastAsia="Arial" w:hAnsi="Arial"/>
          <w:sz w:val="13"/>
          <w:szCs w:val="13"/>
          <w:color w:val="auto"/>
        </w:rPr>
        <w:t>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36" w:name="page37"/>
    <w:bookmarkEnd w:id="3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53" w:lineRule="exact"/>
        <w:rPr>
          <w:sz w:val="20"/>
          <w:szCs w:val="20"/>
          <w:color w:val="auto"/>
        </w:rPr>
      </w:pPr>
    </w:p>
    <w:p>
      <w:pPr>
        <w:ind w:right="440"/>
        <w:spacing w:after="0" w:line="283" w:lineRule="auto"/>
        <w:rPr>
          <w:sz w:val="20"/>
          <w:szCs w:val="20"/>
          <w:color w:val="auto"/>
        </w:rPr>
      </w:pPr>
      <w:r>
        <w:rPr>
          <w:rFonts w:ascii="Arial" w:cs="Arial" w:eastAsia="Arial" w:hAnsi="Arial"/>
          <w:sz w:val="14"/>
          <w:szCs w:val="14"/>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53"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U.S. patent law could diminish the value of patents in general, thereby impairing our ability to protect our products.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35"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damages resulting from claims that we or our employees have wrongfully used or disclosed alleged trade secrets of their former employers.</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53" w:lineRule="exact"/>
        <w:rPr>
          <w:sz w:val="20"/>
          <w:szCs w:val="20"/>
          <w:color w:val="auto"/>
        </w:rPr>
      </w:pPr>
    </w:p>
    <w:p>
      <w:pPr>
        <w:ind w:right="60"/>
        <w:spacing w:after="0" w:line="311" w:lineRule="auto"/>
        <w:rPr>
          <w:sz w:val="20"/>
          <w:szCs w:val="20"/>
          <w:color w:val="auto"/>
        </w:rPr>
      </w:pPr>
      <w:r>
        <w:rPr>
          <w:rFonts w:ascii="Arial" w:cs="Arial" w:eastAsia="Arial" w:hAnsi="Arial"/>
          <w:sz w:val="12"/>
          <w:szCs w:val="12"/>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Numerous factors may limit any potential competitive advantage provided by our intellectual property rights.</w:t>
      </w:r>
    </w:p>
    <w:p>
      <w:pPr>
        <w:spacing w:after="0" w:line="201" w:lineRule="exact"/>
        <w:rPr>
          <w:sz w:val="20"/>
          <w:szCs w:val="20"/>
          <w:color w:val="auto"/>
        </w:rPr>
      </w:pPr>
    </w:p>
    <w:p>
      <w:pPr>
        <w:ind w:right="80"/>
        <w:spacing w:after="0" w:line="298" w:lineRule="auto"/>
        <w:rPr>
          <w:sz w:val="20"/>
          <w:szCs w:val="20"/>
          <w:color w:val="auto"/>
        </w:rPr>
      </w:pPr>
      <w:r>
        <w:rPr>
          <w:rFonts w:ascii="Arial" w:cs="Arial" w:eastAsia="Arial" w:hAnsi="Arial"/>
          <w:sz w:val="13"/>
          <w:szCs w:val="13"/>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46" w:lineRule="exact"/>
        <w:rPr>
          <w:sz w:val="20"/>
          <w:szCs w:val="20"/>
          <w:color w:val="auto"/>
        </w:rPr>
      </w:pPr>
    </w:p>
    <w:p>
      <w:pPr>
        <w:ind w:left="480" w:hanging="475"/>
        <w:spacing w:after="0" w:line="215" w:lineRule="auto"/>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we might not have been the first to make the inventions covered by a pending patent application that we own;</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we might not have been the first to file patent applications covering an invention;</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others may independently develop similar or alternative technologies without infringing our intellectual property rights;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pending patent applications that we own or license may not lead to issued patents;</w:t>
      </w:r>
    </w:p>
    <w:p>
      <w:pPr>
        <w:spacing w:after="0" w:line="12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19"/>
          <w:szCs w:val="19"/>
          <w:color w:val="auto"/>
          <w:vertAlign w:val="superscript"/>
        </w:rPr>
      </w:pPr>
      <w:r>
        <w:rPr>
          <w:rFonts w:ascii="Arial" w:cs="Arial" w:eastAsia="Arial" w:hAnsi="Arial"/>
          <w:sz w:val="13"/>
          <w:szCs w:val="13"/>
          <w:color w:val="auto"/>
        </w:rPr>
        <w:t>patents, if issued, that we own or license may not provide us with any competitive advantages, or may be held invalid or unenforceable, as a result of legal challenges by our competitors;</w:t>
      </w:r>
    </w:p>
    <w:p>
      <w:pPr>
        <w:spacing w:after="0" w:line="110" w:lineRule="exact"/>
        <w:rPr>
          <w:rFonts w:ascii="Arial" w:cs="Arial" w:eastAsia="Arial" w:hAnsi="Arial"/>
          <w:sz w:val="19"/>
          <w:szCs w:val="19"/>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third parties may compete with us in jurisdictions where we do not pursue and obtain patent protection;</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we may not be able to obtain and/or maintain necessary or useful licenses on reasonable terms or at all;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the patents of others may have an adverse effect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Should any of these events occur, they could significantly harm our business and results of operations.</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142" w:lineRule="exact"/>
        <w:rPr>
          <w:sz w:val="20"/>
          <w:szCs w:val="20"/>
          <w:color w:val="auto"/>
        </w:rPr>
      </w:pPr>
    </w:p>
    <w:p>
      <w:pPr>
        <w:jc w:val="both"/>
        <w:ind w:right="80"/>
        <w:spacing w:after="0" w:line="290" w:lineRule="auto"/>
        <w:rPr>
          <w:sz w:val="20"/>
          <w:szCs w:val="20"/>
          <w:color w:val="auto"/>
        </w:rPr>
      </w:pPr>
      <w:r>
        <w:rPr>
          <w:rFonts w:ascii="Arial" w:cs="Arial" w:eastAsia="Arial" w:hAnsi="Arial"/>
          <w:sz w:val="13"/>
          <w:szCs w:val="13"/>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38" w:name="page39"/>
    <w:bookmarkEnd w:id="3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Securities</w:t>
      </w:r>
    </w:p>
    <w:p>
      <w:pPr>
        <w:spacing w:after="0" w:line="184"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53"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Since we became a publicly traded company in May 2011, there has been a limited public market for shares of our common stock on the OTCQB. We do not yet meet the initial listing standards of the New York Stock Exchange, the NASDAQ Capital Market, or other similar national securities exchanges. Although we have applied for listing on the NASDAQ Capital Market and intend to uplist concurrently upon completion of this Offering, no assurances can be given that we will be successful. Until our common stock is listed on that market or a broader exchange, we anticipate that it will remain quoted on the OTCQB. In that venue,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volatility may affect our stock price and the value of your investment.</w:t>
      </w:r>
    </w:p>
    <w:p>
      <w:pPr>
        <w:spacing w:after="0" w:line="201"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82" w:lineRule="exact"/>
        <w:rPr>
          <w:sz w:val="20"/>
          <w:szCs w:val="20"/>
          <w:color w:val="auto"/>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plans for, progress of or results from non-clinical studies and clinical trials of our product candidates;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the failure of the FDA to approve our product candidates;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announcements of new products, technologies, commercial relationships, acquisitions or other events by us or our competitors;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the success or failure of other CNS therapies;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regulatory or legal developments in the United States and other countries;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failure of our product candidates, if approved, to achieve commercial success;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fluctuations in stock market prices and trading volumes of similar companies;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general market conditions and overall fluctuations in U.S. equity markets;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variations in our quarterly operating results;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changes in our financial guidance or securities analysts’ estimates of our financial performance;</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changes in accounting principles;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our ability to raise additional capital and the terms on which we can raise it;</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sales of large blocks of our common stock, including sales by our executive officers, directors and significant stockholders;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additions or departures of key personnel;</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discussion of us or our stock price by the press and by online investor communities;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other risks and uncertainties described in these risk factors.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39" w:name="page40"/>
    <w:bookmarkEnd w:id="3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and issuances of our common stock may cause our stock price to decline.</w:t>
      </w:r>
    </w:p>
    <w:p>
      <w:pPr>
        <w:spacing w:after="0" w:line="20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153" w:lineRule="exact"/>
        <w:rPr>
          <w:sz w:val="20"/>
          <w:szCs w:val="20"/>
          <w:color w:val="auto"/>
        </w:rPr>
      </w:pPr>
    </w:p>
    <w:p>
      <w:pPr>
        <w:ind w:right="40"/>
        <w:spacing w:after="0" w:line="314" w:lineRule="auto"/>
        <w:rPr>
          <w:sz w:val="20"/>
          <w:szCs w:val="20"/>
          <w:color w:val="auto"/>
        </w:rPr>
      </w:pPr>
      <w:r>
        <w:rPr>
          <w:rFonts w:ascii="Arial" w:cs="Arial" w:eastAsia="Arial" w:hAnsi="Arial"/>
          <w:sz w:val="12"/>
          <w:szCs w:val="12"/>
          <w:color w:val="auto"/>
        </w:rPr>
        <w:t>The stock market in general, and biotechnology-based companies like ours in particular, has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2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highly limited public market for shares of our common stock on the OTCQB.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including warrants offered in the Offering,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224"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Certain of our current institutional stockholders, including Platinum and its affiliate, own a substantial portion of our outstanding capital stock, including our common stock, all of our Series A Preferred, a substantial portion of our Series B Preferred, and all of our Series C Preferred, all of which preferred stock is convertible into a substantial number of shares of common stock. Accordingly, Platinum and other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59"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53" w:lineRule="exact"/>
        <w:rPr>
          <w:sz w:val="20"/>
          <w:szCs w:val="20"/>
          <w:color w:val="auto"/>
        </w:rPr>
      </w:pPr>
    </w:p>
    <w:p>
      <w:pPr>
        <w:ind w:right="260"/>
        <w:spacing w:after="0" w:line="268" w:lineRule="auto"/>
        <w:rPr>
          <w:sz w:val="20"/>
          <w:szCs w:val="20"/>
          <w:color w:val="auto"/>
        </w:rPr>
      </w:pPr>
      <w:r>
        <w:rPr>
          <w:rFonts w:ascii="Arial" w:cs="Arial" w:eastAsia="Arial" w:hAnsi="Arial"/>
          <w:sz w:val="14"/>
          <w:szCs w:val="14"/>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may be additional issuances of shares of preferred stock in the future.</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Following approval by our stockholders in October 2011, our Articles of Incorporation (the </w:t>
      </w:r>
      <w:r>
        <w:rPr>
          <w:rFonts w:ascii="Arial" w:cs="Arial" w:eastAsia="Arial" w:hAnsi="Arial"/>
          <w:sz w:val="14"/>
          <w:szCs w:val="14"/>
          <w:i w:val="1"/>
          <w:iCs w:val="1"/>
          <w:color w:val="auto"/>
        </w:rPr>
        <w:t>Articles</w:t>
      </w:r>
      <w:r>
        <w:rPr>
          <w:rFonts w:ascii="Arial" w:cs="Arial" w:eastAsia="Arial" w:hAnsi="Arial"/>
          <w:sz w:val="14"/>
          <w:szCs w:val="14"/>
          <w:color w:val="auto"/>
        </w:rPr>
        <w:t>) permit us to issue up to 10.0 million shares of preferred stock. Our Board of Directors has authorized the issuance of (i) 500,000 shares of Series A Preferred, all of which shares are currently issued and outstanding; (ii) 4.0 million shares of Series B 10% Convertible Preferred stock, of which approximately 3.7 million shares are issued and outstanding as of May 6, 2016; and (iii) 3.0 million shares of Series C Convertible Preferred Stock, of which approximately 2.3 million shares are issued and outstanding as of May 6, 2016.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40" w:name="page41"/>
    <w:bookmarkEnd w:id="4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4"/>
          <w:szCs w:val="14"/>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53"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to ensure compliance with corporate governance, federal securities law and accounting requirements.</w:t>
      </w:r>
    </w:p>
    <w:p>
      <w:pPr>
        <w:spacing w:after="0" w:line="20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Since becoming a public company by means of a reverse merger in 2011, we have been subject to the reporting requirements of the Securities Exchange Act of 1934, as amended (</w:t>
      </w:r>
      <w:r>
        <w:rPr>
          <w:rFonts w:ascii="Arial" w:cs="Arial" w:eastAsia="Arial" w:hAnsi="Arial"/>
          <w:sz w:val="14"/>
          <w:szCs w:val="14"/>
          <w:i w:val="1"/>
          <w:iCs w:val="1"/>
          <w:color w:val="auto"/>
        </w:rPr>
        <w:t>Exchange Act</w:t>
      </w:r>
      <w:r>
        <w:rPr>
          <w:rFonts w:ascii="Arial" w:cs="Arial" w:eastAsia="Arial" w:hAnsi="Arial"/>
          <w:sz w:val="14"/>
          <w:szCs w:val="14"/>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common stock may be considered a “penny stock”, and thereby be subject to additional sale and trading regulations that may make it more difficult to sell.</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Our common stock may be considered to be a “penny stock” if it does not qualify for one of the exemptions from the definition of “penny stock” under Section 3a51-1 of the Exchange Act. Our common stock may be a “penny stock” if it meets one or more of the following conditions: (i) the stock trades at a price less than $5 per share; (ii) it is not traded on a “recognized” national exchange; or (iii) is issued by a company that has been in business less than three years with net tangible assets less than $5 million.</w:t>
      </w:r>
    </w:p>
    <w:p>
      <w:pPr>
        <w:spacing w:after="0" w:line="163" w:lineRule="exact"/>
        <w:rPr>
          <w:sz w:val="20"/>
          <w:szCs w:val="20"/>
          <w:color w:val="auto"/>
        </w:rPr>
      </w:pPr>
    </w:p>
    <w:p>
      <w:pPr>
        <w:jc w:val="both"/>
        <w:ind w:right="40"/>
        <w:spacing w:after="0" w:line="302" w:lineRule="auto"/>
        <w:rPr>
          <w:sz w:val="20"/>
          <w:szCs w:val="20"/>
          <w:color w:val="auto"/>
        </w:rPr>
      </w:pPr>
      <w:r>
        <w:rPr>
          <w:rFonts w:ascii="Arial" w:cs="Arial" w:eastAsia="Arial" w:hAnsi="Arial"/>
          <w:sz w:val="12"/>
          <w:szCs w:val="12"/>
          <w:color w:val="auto"/>
        </w:rPr>
        <w:t>The principal result or effect of being designated a “penny stock” is that securities broker-dealers participating in sales of our common stock will be subject to the “penny stock” regulations set forth in Rules 15g-2 through 15g-9 promulgated under the Exchange Act. For example, Rule 15g-2 requires broker-dealers dealing in penny stocks to provide potential investors with a document disclosing the risks of penny stocks and to obtain a manually signed and dated written receipt of the document at least two business days before effecting any transaction in a penny stock for the investor’s account.</w:t>
      </w:r>
    </w:p>
    <w:p>
      <w:pPr>
        <w:ind w:right="40"/>
        <w:spacing w:after="0" w:line="280" w:lineRule="auto"/>
        <w:rPr>
          <w:sz w:val="20"/>
          <w:szCs w:val="20"/>
          <w:color w:val="auto"/>
        </w:rPr>
      </w:pPr>
      <w:r>
        <w:rPr>
          <w:rFonts w:ascii="Arial" w:cs="Arial" w:eastAsia="Arial" w:hAnsi="Arial"/>
          <w:sz w:val="13"/>
          <w:szCs w:val="13"/>
          <w:color w:val="auto"/>
        </w:rPr>
        <w:t>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 (iv) receive a signed and dated copy of such statement from the investor, confirming that it accurately reflects the investor’s financial situation, investment experience and investment objectives. Compliance with these requirements may make it more difficult and time consuming for holders of our common stock to resell their shares to third parties or to otherwise dispose of them in the market or otherwise.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41" w:name="page42"/>
    <w:bookmarkEnd w:id="4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FINRA sales practice requirements may also limit your ability to buy and sell our common stock, which could depress the price of our shares.</w:t>
      </w:r>
    </w:p>
    <w:p>
      <w:pPr>
        <w:spacing w:after="0" w:line="201" w:lineRule="exact"/>
        <w:rPr>
          <w:sz w:val="20"/>
          <w:szCs w:val="20"/>
          <w:color w:val="auto"/>
        </w:rPr>
      </w:pPr>
    </w:p>
    <w:p>
      <w:pPr>
        <w:ind w:right="220"/>
        <w:spacing w:after="0" w:line="285" w:lineRule="auto"/>
        <w:rPr>
          <w:sz w:val="20"/>
          <w:szCs w:val="20"/>
          <w:color w:val="auto"/>
        </w:rPr>
      </w:pPr>
      <w:r>
        <w:rPr>
          <w:rFonts w:ascii="Arial" w:cs="Arial" w:eastAsia="Arial" w:hAnsi="Arial"/>
          <w:sz w:val="13"/>
          <w:szCs w:val="13"/>
          <w:color w:val="auto"/>
        </w:rPr>
        <w:t>Financial Industry Regulatory Authority, Inc. (</w:t>
      </w:r>
      <w:r>
        <w:rPr>
          <w:rFonts w:ascii="Arial" w:cs="Arial" w:eastAsia="Arial" w:hAnsi="Arial"/>
          <w:sz w:val="13"/>
          <w:szCs w:val="13"/>
          <w:i w:val="1"/>
          <w:iCs w:val="1"/>
          <w:color w:val="auto"/>
        </w:rPr>
        <w:t>FINRA</w:t>
      </w:r>
      <w:r>
        <w:rPr>
          <w:rFonts w:ascii="Arial" w:cs="Arial" w:eastAsia="Arial" w:hAnsi="Arial"/>
          <w:sz w:val="13"/>
          <w:szCs w:val="13"/>
          <w:color w:val="auto"/>
        </w:rPr>
        <w:t>) rules require broker-dealers to have reasonable grounds for believing that an investment is suitable for a customer before recommending that investment to the customer. Prior to recommending speculative low-priced securities to their non-institutional customers, broker-dealers must make reasonable efforts to obtain information about the customer’s financial status, tax status and investment objectives, among other things. Under interpretations of these rules, FINRA believes that there is a high probability such speculative low-priced securities will not be suitable for at least some customers. Thus, FINRA requirements make it more difficult for broker-dealers to recommend that their customers buy our common stock, which may limit your ability to buy and sell our shares, have an adverse effect on the market for our shares, and thereby depress our share price.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Purchasers in this Offering will experience immediate and substantial dilution in the book value of their investment.</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If we successfully sell all securities registered by this Offering and investors exercise all warrants included in this Offering, new investors will own approximately 47.6% of our outstanding common stock. In addition, we have issued options, warrants or other derivative securities to acquire common stock at prices below the public offering price. To the extent outstanding options, warrants or other derivative securities are ultimately exercised or converted, or if we issue restricted stock to our employees under our equity incentive plans,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4"/>
          <w:szCs w:val="14"/>
          <w:i w:val="1"/>
          <w:iCs w:val="1"/>
          <w:color w:val="auto"/>
        </w:rPr>
        <w:t>Dilution</w:t>
      </w:r>
      <w:r>
        <w:rPr>
          <w:rFonts w:ascii="Arial" w:cs="Arial" w:eastAsia="Arial" w:hAnsi="Arial"/>
          <w:sz w:val="14"/>
          <w:szCs w:val="14"/>
          <w:color w:val="auto"/>
        </w:rPr>
        <w:t>.”</w:t>
      </w:r>
    </w:p>
    <w:p>
      <w:pPr>
        <w:spacing w:after="0" w:line="168"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We may allocate the net proceeds from this Offering in ways that differ from our estimates based on our current plans and assumptions discussed in the section titled "Use of Proceeds" and with which you may not agree.</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allocation of net proceeds of the Offering set forth in the “</w:t>
      </w:r>
      <w:r>
        <w:rPr>
          <w:rFonts w:ascii="Arial" w:cs="Arial" w:eastAsia="Arial" w:hAnsi="Arial"/>
          <w:sz w:val="14"/>
          <w:szCs w:val="14"/>
          <w:i w:val="1"/>
          <w:iCs w:val="1"/>
          <w:color w:val="auto"/>
        </w:rPr>
        <w:t>Use of Proceeds</w:t>
      </w:r>
      <w:r>
        <w:rPr>
          <w:rFonts w:ascii="Arial" w:cs="Arial" w:eastAsia="Arial" w:hAnsi="Arial"/>
          <w:sz w:val="14"/>
          <w:szCs w:val="14"/>
          <w:color w:val="auto"/>
        </w:rPr>
        <w:t>” section of this prospectus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in this prospectus entitled “</w:t>
      </w:r>
      <w:r>
        <w:rPr>
          <w:rFonts w:ascii="Arial" w:cs="Arial" w:eastAsia="Arial" w:hAnsi="Arial"/>
          <w:sz w:val="14"/>
          <w:szCs w:val="14"/>
          <w:i w:val="1"/>
          <w:iCs w:val="1"/>
          <w:color w:val="auto"/>
        </w:rPr>
        <w:t>Use of Proceeds</w:t>
      </w:r>
      <w:r>
        <w:rPr>
          <w:rFonts w:ascii="Arial" w:cs="Arial" w:eastAsia="Arial" w:hAnsi="Arial"/>
          <w:sz w:val="14"/>
          <w:szCs w:val="14"/>
          <w:color w:val="auto"/>
        </w:rPr>
        <w:t>”. You may not have an opportunity to evaluate the economic, financial or other information on which we base our decisions on how to use our proceeds. As a result, you and other stockholders may not agree with our decisions. See “</w:t>
      </w:r>
      <w:r>
        <w:rPr>
          <w:rFonts w:ascii="Arial" w:cs="Arial" w:eastAsia="Arial" w:hAnsi="Arial"/>
          <w:sz w:val="14"/>
          <w:szCs w:val="14"/>
          <w:i w:val="1"/>
          <w:iCs w:val="1"/>
          <w:color w:val="auto"/>
        </w:rPr>
        <w:t>Use of Proceeds</w:t>
      </w:r>
      <w:r>
        <w:rPr>
          <w:rFonts w:ascii="Arial" w:cs="Arial" w:eastAsia="Arial" w:hAnsi="Arial"/>
          <w:sz w:val="14"/>
          <w:szCs w:val="14"/>
          <w:color w:val="auto"/>
        </w:rPr>
        <w:t>”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warrants are speculative in nature.</w:t>
      </w:r>
    </w:p>
    <w:p>
      <w:pPr>
        <w:spacing w:after="0" w:line="18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warrants offered by us in this Offering do not confer any rights of ownership of shares of common stock on its holders, such as voting rights or the right to receive dividends, but only represent the right to acquire shares of common stock at a fixed price for a limited period of time. Specifically, commencing on the date of issuance, holders of the warrants may exercise their right to acquire the shares of common stock and pay an expected exercise price of $[_____] per share, subject to adjustment upon certain events, prior to five years from the date of issuance, after which date any unexercised warrants will expire and have no further value.</w:t>
      </w:r>
    </w:p>
    <w:p>
      <w:pPr>
        <w:spacing w:after="0" w:line="146"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b w:val="1"/>
          <w:bCs w:val="1"/>
          <w:i w:val="1"/>
          <w:iCs w:val="1"/>
          <w:color w:val="auto"/>
        </w:rPr>
        <w:t>There is no established public trading market for the warrants being offered in this Offering and we do not intend to apply to list the warrants on a securities exchange or automated quotation system.</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There is no established public trading market for the warrants being offered in this Offering. We do not intend to apply to list the warrants on a securities exchange or automated quotation system.</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Without an active trading market, the liquidity of warrants will be limited.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2" w:name="page43"/>
    <w:bookmarkEnd w:id="4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USE OF PROCEEDS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We estimate that the net proceeds to us from this Offering will be approximately $[____] million, or approximately $[____] million if the underwriters exercise their option to purchase additional</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shares, and/or warrants, from us in full, assuming an offering price of $[____] per share and $0.01 per warrant, after deducting underwriting discounts and commissions and estimated offering expenses</w:t>
      </w:r>
    </w:p>
    <w:p>
      <w:pPr>
        <w:spacing w:after="0" w:line="32" w:lineRule="exact"/>
        <w:rPr>
          <w:sz w:val="20"/>
          <w:szCs w:val="20"/>
          <w:color w:val="auto"/>
        </w:rPr>
      </w:pPr>
    </w:p>
    <w:p>
      <w:pPr>
        <w:ind w:right="200"/>
        <w:spacing w:after="0" w:line="260" w:lineRule="auto"/>
        <w:rPr>
          <w:sz w:val="20"/>
          <w:szCs w:val="20"/>
          <w:color w:val="auto"/>
        </w:rPr>
      </w:pPr>
      <w:r>
        <w:rPr>
          <w:rFonts w:ascii="Arial" w:cs="Arial" w:eastAsia="Arial" w:hAnsi="Arial"/>
          <w:sz w:val="14"/>
          <w:szCs w:val="14"/>
          <w:color w:val="auto"/>
        </w:rPr>
        <w:t>payable by us. Each $1.00 increase (decrease) in the assumed public offering price of $[___] per share would increase (decrease) the net proceeds to us from this Offering by approximately $[___] million, or approximately $[___] million if the underwriters exercise their over-allotment option in full, assuming the number of shares offered by us, as set forth on the cover page of this prospectus, remain the same and after deducting estimated underwriting discounts and commissions and estimated Offering expenses payable by us.</w:t>
      </w:r>
    </w:p>
    <w:p>
      <w:pPr>
        <w:spacing w:after="0" w:line="148"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We expect to use the net proceeds from this Offering (including proceeds resulting from the exercise of warrants, if any) on (i) manufacturing and regulatory activities required to support the anticipated launch in the fourth quarter of 2016 of our potentially pivotal Phase 2b MDD Study, (ii) launch and conduct of a substantial portion of the Phase 2b MDD Study, (iii) nonclinical development related to our stem cell technology platform, with emphasis on drug rescue, and (iv) other general corporate purposes, including satisfying accounts payable. The table below reflects our current planned use of the net proceeds from this Offering, assuming no exercise of the warrants and no exercise of the underwriters’ option to purchase additional shares and warrants. Each of these amounts is an estimate only, and is subject to change at any time before or after closing of the Offering.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Amounts in $000</w:t>
            </w:r>
          </w:p>
        </w:tc>
      </w:tr>
      <w:tr>
        <w:trPr>
          <w:trHeight w:val="170"/>
        </w:trPr>
        <w:tc>
          <w:tcPr>
            <w:tcW w:w="10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Assumed gross proceeds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4"/>
                <w:szCs w:val="14"/>
                <w:color w:val="auto"/>
              </w:rPr>
            </w:pPr>
          </w:p>
        </w:tc>
      </w:tr>
      <w:tr>
        <w:trPr>
          <w:trHeight w:val="172"/>
        </w:trPr>
        <w:tc>
          <w:tcPr>
            <w:tcW w:w="10200" w:type="dxa"/>
            <w:vAlign w:val="bottom"/>
          </w:tcPr>
          <w:p>
            <w:pPr>
              <w:spacing w:after="0"/>
              <w:rPr>
                <w:sz w:val="20"/>
                <w:szCs w:val="20"/>
                <w:color w:val="auto"/>
              </w:rPr>
            </w:pPr>
            <w:r>
              <w:rPr>
                <w:rFonts w:ascii="Arial" w:cs="Arial" w:eastAsia="Arial" w:hAnsi="Arial"/>
                <w:sz w:val="14"/>
                <w:szCs w:val="14"/>
                <w:color w:val="auto"/>
              </w:rPr>
              <w:t>Underwriting discounts, commissions and other expenses of the Offering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(1,232)</w:t>
            </w:r>
          </w:p>
        </w:tc>
      </w:tr>
      <w:tr>
        <w:trPr>
          <w:trHeight w:val="210"/>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proceeds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53"/>
        </w:trPr>
        <w:tc>
          <w:tcPr>
            <w:tcW w:w="10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200" w:type="dxa"/>
            <w:vAlign w:val="bottom"/>
          </w:tcPr>
          <w:p>
            <w:pPr>
              <w:ind w:left="140"/>
              <w:spacing w:after="0"/>
              <w:rPr>
                <w:sz w:val="20"/>
                <w:szCs w:val="20"/>
                <w:color w:val="auto"/>
              </w:rPr>
            </w:pPr>
            <w:r>
              <w:rPr>
                <w:rFonts w:ascii="Arial" w:cs="Arial" w:eastAsia="Arial" w:hAnsi="Arial"/>
                <w:sz w:val="14"/>
                <w:szCs w:val="14"/>
                <w:color w:val="auto"/>
              </w:rPr>
              <w:t>Operations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14"/>
                <w:szCs w:val="14"/>
                <w:color w:val="auto"/>
              </w:rPr>
            </w:pPr>
          </w:p>
        </w:tc>
      </w:tr>
      <w:tr>
        <w:trPr>
          <w:trHeight w:val="170"/>
        </w:trPr>
        <w:tc>
          <w:tcPr>
            <w:tcW w:w="10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Preparation, launch and partial conduct of AV-101 Phase 2b MDD Study</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3,562</w:t>
            </w:r>
          </w:p>
        </w:tc>
        <w:tc>
          <w:tcPr>
            <w:tcW w:w="100" w:type="dxa"/>
            <w:vAlign w:val="bottom"/>
            <w:shd w:val="clear" w:color="auto" w:fill="CCEEFF"/>
          </w:tcPr>
          <w:p>
            <w:pPr>
              <w:spacing w:after="0"/>
              <w:rPr>
                <w:sz w:val="14"/>
                <w:szCs w:val="14"/>
                <w:color w:val="auto"/>
              </w:rPr>
            </w:pPr>
          </w:p>
        </w:tc>
      </w:tr>
      <w:tr>
        <w:trPr>
          <w:trHeight w:val="172"/>
        </w:trPr>
        <w:tc>
          <w:tcPr>
            <w:tcW w:w="10200" w:type="dxa"/>
            <w:vAlign w:val="bottom"/>
          </w:tcPr>
          <w:p>
            <w:pPr>
              <w:ind w:left="140"/>
              <w:spacing w:after="0"/>
              <w:rPr>
                <w:sz w:val="20"/>
                <w:szCs w:val="20"/>
                <w:color w:val="auto"/>
              </w:rPr>
            </w:pPr>
            <w:r>
              <w:rPr>
                <w:rFonts w:ascii="Arial" w:cs="Arial" w:eastAsia="Arial" w:hAnsi="Arial"/>
                <w:sz w:val="14"/>
                <w:szCs w:val="14"/>
                <w:color w:val="auto"/>
              </w:rPr>
              <w:t>Nonclinical development of stem cell technology platform drug</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4"/>
                <w:szCs w:val="14"/>
                <w:color w:val="auto"/>
              </w:rPr>
            </w:pP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Total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5,939</w:t>
            </w:r>
          </w:p>
        </w:tc>
        <w:tc>
          <w:tcPr>
            <w:tcW w:w="100" w:type="dxa"/>
            <w:vAlign w:val="bottom"/>
            <w:shd w:val="clear" w:color="auto" w:fill="CCEEFF"/>
          </w:tcPr>
          <w:p>
            <w:pPr>
              <w:spacing w:after="0"/>
              <w:rPr>
                <w:sz w:val="14"/>
                <w:szCs w:val="14"/>
                <w:color w:val="auto"/>
              </w:rPr>
            </w:pPr>
          </w:p>
        </w:tc>
      </w:tr>
      <w:tr>
        <w:trPr>
          <w:trHeight w:val="170"/>
        </w:trPr>
        <w:tc>
          <w:tcPr>
            <w:tcW w:w="10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 working capital and other general corporate purposes, including payment of accounts payable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0"/>
        </w:trPr>
        <w:tc>
          <w:tcPr>
            <w:tcW w:w="10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8,768</w:t>
            </w:r>
          </w:p>
        </w:tc>
        <w:tc>
          <w:tcPr>
            <w:tcW w:w="100" w:type="dxa"/>
            <w:vAlign w:val="bottom"/>
          </w:tcPr>
          <w:p>
            <w:pPr>
              <w:spacing w:after="0"/>
              <w:rPr>
                <w:sz w:val="14"/>
                <w:szCs w:val="14"/>
                <w:color w:val="auto"/>
              </w:rPr>
            </w:pPr>
          </w:p>
        </w:tc>
      </w:tr>
      <w:tr>
        <w:trPr>
          <w:trHeight w:val="20"/>
        </w:trPr>
        <w:tc>
          <w:tcPr>
            <w:tcW w:w="10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Although we expect net proceeds from this Offering to provide sufficient funding for our operations through the release of topline results of our fully-funded, NIH-sponsored Phase 2a MDD Study, anticipated in the second quarter of 2017, as well as the launch and conduct of a substantial portion of our Phase 2b MDD Study, the net proceeds from the Offering will not be sufficient to complete the Phase 2b MDD Study unless we also receive, prior to the end of the second quarter of 2017, proceeds resulting from the exercise of a substantial portion of the warrants in this Offering and the underwriters exercise their option to purchase additional shares and warrants. Assuming no exercise of the warrants acquired in this Offering and no exercise of the underwriters’ option to purchase additional shares and warrants, we believe an additional $10.0 million to $12.0 million will be required prior to the end of the second quarter of 2017 in order to complete the Phase 2b MDD Study. No assurances can be provided that such additional capital will be available to us when necessary, on reasonable terms, or at all. In the event we are unable to raise such additional capital, our operations will be negatively and materially affected.</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the Offering, and investors will be relying on the judgment of our management regarding the application of the net proceeds.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3" w:name="page44"/>
    <w:bookmarkEnd w:id="4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 FOR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Currently, our common stock is quoted for trading on the OTCQB under the symbol “VSTA.”</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We have applied for listing of our common stock on the NASDAQ Capital Market under the symbol “VTGN.” Although we believe we will satisfy NASDAQ listing requirements, no assurance can be given that such listing will be achieved in a timely manner or at all. There is no established public trading market for the warrants and we do not intend to apply to list the warrants on any securities exchange or automated quotation system.</w:t>
      </w:r>
    </w:p>
    <w:p>
      <w:pPr>
        <w:spacing w:after="0" w:line="16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Shown below is the range of high and low sales prices for our common stock for the periods indicated as reported by the OTCQB. The market quotations reflect inter-dealer prices, without retail mark-up, markdown or commissions and may not necessarily represent actual transactions.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r>
      <w:tr>
        <w:trPr>
          <w:trHeight w:val="17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2017</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2016 (through May 6, 2016)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w:t>
            </w:r>
          </w:p>
        </w:tc>
      </w:tr>
      <w:tr>
        <w:trPr>
          <w:trHeight w:val="34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16.50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14.90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6.50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10.25</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ending March 31, 2016</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9.97</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6.50</w:t>
            </w:r>
          </w:p>
        </w:tc>
      </w:tr>
      <w:tr>
        <w:trPr>
          <w:trHeight w:val="33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14.80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15.00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7.99</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ending March 31,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3.16</w:t>
            </w:r>
          </w:p>
        </w:tc>
      </w:tr>
      <w:tr>
        <w:trPr>
          <w:trHeight w:val="33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18.00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2013</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17.80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12.20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ending March 31,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5.60</w:t>
            </w:r>
          </w:p>
        </w:tc>
      </w:tr>
    </w:tbl>
    <w:p>
      <w:pPr>
        <w:spacing w:after="0" w:line="171" w:lineRule="exact"/>
        <w:rPr>
          <w:sz w:val="20"/>
          <w:szCs w:val="20"/>
          <w:color w:val="auto"/>
        </w:rPr>
      </w:pPr>
    </w:p>
    <w:p>
      <w:pPr>
        <w:ind w:right="440"/>
        <w:spacing w:after="0" w:line="283" w:lineRule="auto"/>
        <w:rPr>
          <w:sz w:val="20"/>
          <w:szCs w:val="20"/>
          <w:color w:val="auto"/>
        </w:rPr>
      </w:pPr>
      <w:r>
        <w:rPr>
          <w:rFonts w:ascii="Arial" w:cs="Arial" w:eastAsia="Arial" w:hAnsi="Arial"/>
          <w:sz w:val="14"/>
          <w:szCs w:val="14"/>
          <w:color w:val="auto"/>
        </w:rPr>
        <w:t>On May 6, 2016, the closing price of our common stock on the OTCQB was $7.00 per share. Quotes on the OTCQB may not be indicative of the market price of our common stock on a national securities exchange, including the NASDAQ Capital Market.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4" w:name="page45"/>
    <w:bookmarkEnd w:id="4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DIVIDEND POLICY</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available funds for use in the operation and expansion of our business, and do not anticipate paying any cash dividends in the foreseeable future. Any future determination related to dividend policy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45" w:name="page46"/>
    <w:bookmarkEnd w:id="4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DILUTION</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If you invest in our common stock you will experience dilution immediately to the extent of the difference between the public offering price per share of our common stock you pay in this Offering, and the pro forma net tangible book value per share of our common stock immediately after this Offering. As of December 31, 2015, our historical net tangible book value (deficit) was approximately ($1.6) million, or ($0.87) per share of common stock. This calculation does not reflect any dilution associated with the sale and exercise of the warrants offered hereby. As of December 31, 2015, our pro forma net tangible book value (deficit) was approximately $[ ] million, or $[___] per share of common stock. Pro forma net tangible book value per share (deficit) is determined by dividing our total tangible assets less total liabilities, by the number of outstanding shares of our common stock, assuming we issue the maximum amount of securities registered herein.</w:t>
      </w:r>
    </w:p>
    <w:p>
      <w:pPr>
        <w:spacing w:after="0" w:line="135"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Dilution in pro forma net tangible book value (deficit) per share represents the difference between the amount per share paid by buyers of shares of our common stock in this Offering and the pro forma net tangible book value (deficit) per share of our common stock immediately following this Offering. After giving effect to the issuance of 2,352,942 shares of common stock at an assumed offering price of $[___] per share, and after deducting underwriting discounts and commissions and estimated offering expenses payable by us, our pro forma as adjusted net tangible book value (deficit) as of December 31, 2015, would have been approximately $[___] million, or $[___] per share of common stock. This data represents an immediate increase in pro forma net tangible book value of $[___] per share to existing stockholders and an immediate dilution of $[___] per share to new investors purchasing shares at the offering price.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80" w:type="dxa"/>
            <w:vAlign w:val="bottom"/>
          </w:tcPr>
          <w:p>
            <w:pPr>
              <w:spacing w:after="0"/>
              <w:rPr>
                <w:sz w:val="20"/>
                <w:szCs w:val="20"/>
                <w:color w:val="auto"/>
              </w:rPr>
            </w:pPr>
            <w:r>
              <w:rPr>
                <w:rFonts w:ascii="Arial" w:cs="Arial" w:eastAsia="Arial" w:hAnsi="Arial"/>
                <w:sz w:val="14"/>
                <w:szCs w:val="14"/>
                <w:color w:val="auto"/>
              </w:rPr>
              <w:t>The following table illustrates the per share dilution to investors in this Offering:</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1"/>
        </w:trPr>
        <w:tc>
          <w:tcPr>
            <w:tcW w:w="7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Assumed public offering price per share</w:t>
            </w:r>
          </w:p>
        </w:tc>
        <w:tc>
          <w:tcPr>
            <w:tcW w:w="220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7880" w:type="dxa"/>
            <w:vAlign w:val="bottom"/>
          </w:tcPr>
          <w:p>
            <w:pPr>
              <w:spacing w:after="0"/>
              <w:rPr>
                <w:sz w:val="20"/>
                <w:szCs w:val="20"/>
                <w:color w:val="auto"/>
              </w:rPr>
            </w:pPr>
            <w:r>
              <w:rPr>
                <w:rFonts w:ascii="Arial" w:cs="Arial" w:eastAsia="Arial" w:hAnsi="Arial"/>
                <w:sz w:val="14"/>
                <w:szCs w:val="14"/>
                <w:color w:val="auto"/>
              </w:rPr>
              <w:t>Historical net tangible book value (deficit) per share as of December 31, 2015</w:t>
            </w:r>
          </w:p>
        </w:tc>
        <w:tc>
          <w:tcPr>
            <w:tcW w:w="220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Increase in pro forma net tangible book value per share attributable to investors in this Offering</w:t>
            </w:r>
          </w:p>
        </w:tc>
        <w:tc>
          <w:tcPr>
            <w:tcW w:w="10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72"/>
        </w:trPr>
        <w:tc>
          <w:tcPr>
            <w:tcW w:w="7880" w:type="dxa"/>
            <w:vAlign w:val="bottom"/>
          </w:tcPr>
          <w:p>
            <w:pPr>
              <w:spacing w:after="0"/>
              <w:rPr>
                <w:sz w:val="20"/>
                <w:szCs w:val="20"/>
                <w:color w:val="auto"/>
              </w:rPr>
            </w:pPr>
            <w:r>
              <w:rPr>
                <w:rFonts w:ascii="Arial" w:cs="Arial" w:eastAsia="Arial" w:hAnsi="Arial"/>
                <w:sz w:val="14"/>
                <w:szCs w:val="14"/>
                <w:color w:val="auto"/>
              </w:rPr>
              <w:t>Pro forma net tangible book value (deficit) per share as of December 31, 2015, as adjusted to give effect to this Offering</w:t>
            </w:r>
          </w:p>
        </w:tc>
        <w:tc>
          <w:tcPr>
            <w:tcW w:w="1060" w:type="dxa"/>
            <w:vAlign w:val="bottom"/>
          </w:tcPr>
          <w:p>
            <w:pPr>
              <w:spacing w:after="0"/>
              <w:rPr>
                <w:sz w:val="14"/>
                <w:szCs w:val="14"/>
                <w:color w:val="auto"/>
              </w:rPr>
            </w:pPr>
          </w:p>
        </w:tc>
        <w:tc>
          <w:tcPr>
            <w:tcW w:w="1140" w:type="dxa"/>
            <w:vAlign w:val="bottom"/>
            <w:tcBorders>
              <w:bottom w:val="single" w:sz="8" w:color="auto"/>
            </w:tcBorders>
          </w:tcPr>
          <w:p>
            <w:pPr>
              <w:jc w:val="right"/>
              <w:ind w:right="989"/>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Less: Pro forma as adjusted dilution per share to investors in this Offering</w:t>
            </w:r>
          </w:p>
        </w:tc>
        <w:tc>
          <w:tcPr>
            <w:tcW w:w="220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Each $1.00 increase (decrease) in the assumed public offering price of $[____] per share, would increase (decrease) our as adjusted net tangible book value after this Offering by approximately $[____]</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million, or approximately $[____] per share, and the dilution per share to new investors by approximately $[____] per share, assuming that the number of shares offered by us, as set forth on the cover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page of this prospectus, remain the same and after deducting the estimated underwriting discounts and commissions and estimated offering expenses payable by us. We may also increase or decrease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number of shares we are offering. An increase of 1,000,000 shares in the number of shares offered by us would increase our as adjusted net tangible book value after this Offering by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$[____] million, or $[____] per share, and decrease the dilution per share to new investors by $[____] per share, assuming that the assumed public offering price remains the same, and after deducting</w:t>
      </w:r>
    </w:p>
    <w:p>
      <w:pPr>
        <w:spacing w:after="0" w:line="32" w:lineRule="exact"/>
        <w:rPr>
          <w:sz w:val="20"/>
          <w:szCs w:val="20"/>
          <w:color w:val="auto"/>
        </w:rPr>
      </w:pPr>
    </w:p>
    <w:p>
      <w:pPr>
        <w:ind w:right="200"/>
        <w:spacing w:after="0" w:line="296" w:lineRule="auto"/>
        <w:rPr>
          <w:sz w:val="20"/>
          <w:szCs w:val="20"/>
          <w:color w:val="auto"/>
        </w:rPr>
      </w:pPr>
      <w:r>
        <w:rPr>
          <w:rFonts w:ascii="Arial" w:cs="Arial" w:eastAsia="Arial" w:hAnsi="Arial"/>
          <w:sz w:val="12"/>
          <w:szCs w:val="12"/>
          <w:color w:val="auto"/>
        </w:rPr>
        <w:t>the estimated underwriting discounts and commissions and estimated offering expenses payable by us. Similarly, a decrease of 1,000,000 shares in the number of shares offered by us would decrease our as adjusted net tangible book value after this Offering by approximately $[____] million, or $[____] per share, and increase the dilution per share to new investors by $[____] per share, assuming</w:t>
      </w:r>
    </w:p>
    <w:p>
      <w:pPr>
        <w:ind w:right="300"/>
        <w:spacing w:after="0" w:line="267" w:lineRule="auto"/>
        <w:rPr>
          <w:sz w:val="20"/>
          <w:szCs w:val="20"/>
          <w:color w:val="auto"/>
        </w:rPr>
      </w:pPr>
      <w:r>
        <w:rPr>
          <w:rFonts w:ascii="Arial" w:cs="Arial" w:eastAsia="Arial" w:hAnsi="Arial"/>
          <w:sz w:val="14"/>
          <w:szCs w:val="14"/>
          <w:color w:val="auto"/>
        </w:rPr>
        <w:t>that the assumed public offering price remains the same, and after deducting the estimated underwriting discounts and commissions and estimated offering expenses payable by us. The information discussed above is illustrative only and will adjust based on the actual public offering price and other terms of this Offering determined at pricing.</w:t>
      </w:r>
    </w:p>
    <w:p>
      <w:pPr>
        <w:spacing w:after="0" w:line="164"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If the underwriters’ option to purchase additional shares is exercised in full, the pro forma as adjusted net tangible book value per share of our common stock, as adjusted to give effect to this Offering, would be $[____] per share, and the dilution in pro forma net tangible book value per share to new investors in this Offering would be $[____]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outstanding share information set forth above is as of December 31, 2015 and excludes, as of that date:</w:t>
      </w:r>
    </w:p>
    <w:p>
      <w:pPr>
        <w:spacing w:after="0" w:line="152" w:lineRule="exact"/>
        <w:rPr>
          <w:sz w:val="20"/>
          <w:szCs w:val="20"/>
          <w:color w:val="auto"/>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296,738 shares of common stock issuable upon the exercise of outstanding options under our 1999 Stock Incentive Plan and 2008 Stock Incentive Plan;</w:t>
      </w:r>
    </w:p>
    <w:p>
      <w:pPr>
        <w:spacing w:after="0" w:line="132" w:lineRule="exact"/>
        <w:rPr>
          <w:rFonts w:ascii="Arial" w:cs="Arial" w:eastAsia="Arial" w:hAnsi="Arial"/>
          <w:sz w:val="20"/>
          <w:szCs w:val="20"/>
          <w:color w:val="auto"/>
          <w:vertAlign w:val="superscript"/>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700,491 shares of common stock reserved for issuance in connection with future grants under our stock 2008 Stock Incentive Plan;</w:t>
      </w:r>
    </w:p>
    <w:p>
      <w:pPr>
        <w:spacing w:after="0" w:line="132" w:lineRule="exact"/>
        <w:rPr>
          <w:rFonts w:ascii="Arial" w:cs="Arial" w:eastAsia="Arial" w:hAnsi="Arial"/>
          <w:sz w:val="20"/>
          <w:szCs w:val="20"/>
          <w:color w:val="auto"/>
          <w:vertAlign w:val="superscript"/>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4,971,497 shares of common stock reserved for issuance upon exercise of outstanding warrants, which have exercise prices ranging from $7.00 per share to $30.00 per share;</w:t>
      </w:r>
    </w:p>
    <w:p>
      <w:pPr>
        <w:spacing w:after="0" w:line="132" w:lineRule="exact"/>
        <w:rPr>
          <w:rFonts w:ascii="Arial" w:cs="Arial" w:eastAsia="Arial" w:hAnsi="Arial"/>
          <w:sz w:val="20"/>
          <w:szCs w:val="20"/>
          <w:color w:val="auto"/>
          <w:vertAlign w:val="superscript"/>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750,000 shares of common stock reserved for issuance upon conversion of our Series A Preferred; and</w:t>
      </w:r>
    </w:p>
    <w:p>
      <w:pPr>
        <w:spacing w:after="0" w:line="132" w:lineRule="exact"/>
        <w:rPr>
          <w:rFonts w:ascii="Arial" w:cs="Arial" w:eastAsia="Arial" w:hAnsi="Arial"/>
          <w:sz w:val="20"/>
          <w:szCs w:val="20"/>
          <w:color w:val="auto"/>
          <w:vertAlign w:val="superscript"/>
        </w:rPr>
      </w:pPr>
    </w:p>
    <w:p>
      <w:pPr>
        <w:ind w:left="440" w:hanging="435"/>
        <w:spacing w:after="0"/>
        <w:tabs>
          <w:tab w:leader="none" w:pos="440" w:val="left"/>
        </w:tabs>
        <w:numPr>
          <w:ilvl w:val="0"/>
          <w:numId w:val="30"/>
        </w:numPr>
        <w:rPr>
          <w:rFonts w:ascii="Arial" w:cs="Arial" w:eastAsia="Arial" w:hAnsi="Arial"/>
          <w:sz w:val="20"/>
          <w:szCs w:val="20"/>
          <w:color w:val="auto"/>
          <w:vertAlign w:val="superscript"/>
        </w:rPr>
      </w:pPr>
      <w:r>
        <w:rPr>
          <w:rFonts w:ascii="Arial" w:cs="Arial" w:eastAsia="Arial" w:hAnsi="Arial"/>
          <w:sz w:val="14"/>
          <w:szCs w:val="14"/>
          <w:color w:val="auto"/>
        </w:rPr>
        <w:t>3,588,863 shares of common stock reserved for issuance upon conversion of our Series B Preferred.</w:t>
      </w:r>
    </w:p>
    <w:p>
      <w:pPr>
        <w:spacing w:after="0" w:line="160" w:lineRule="exact"/>
        <w:rPr>
          <w:sz w:val="20"/>
          <w:szCs w:val="20"/>
          <w:color w:val="auto"/>
        </w:rPr>
      </w:pPr>
    </w:p>
    <w:p>
      <w:pPr>
        <w:jc w:val="both"/>
        <w:ind w:right="540"/>
        <w:spacing w:after="0" w:line="268" w:lineRule="auto"/>
        <w:rPr>
          <w:sz w:val="20"/>
          <w:szCs w:val="20"/>
          <w:color w:val="auto"/>
        </w:rPr>
      </w:pPr>
      <w:r>
        <w:rPr>
          <w:rFonts w:ascii="Arial" w:cs="Arial" w:eastAsia="Arial" w:hAnsi="Arial"/>
          <w:sz w:val="14"/>
          <w:szCs w:val="14"/>
          <w:color w:val="auto"/>
        </w:rPr>
        <w:t>The outstanding share information set forth above does not include up to 2,352,942 shares of common stock issuable upon exercise of warrants being offered in this Offering, shares of Series B Preferred issued subsequent to December 31, 2015, or shares of common stock reserved for issuance upon exchange of our Series C Preferred, as the Series C Preferred was created and issued subsequent to December 31, 2015.</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6" w:name="page47"/>
    <w:bookmarkEnd w:id="4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CAPITALIZATION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capitalization as of December 31, 2015 that is derived from our unaudited financial information included elsewhere in this prospectus:</w:t>
      </w:r>
    </w:p>
    <w:p>
      <w:pPr>
        <w:spacing w:after="0" w:line="130" w:lineRule="exact"/>
        <w:rPr>
          <w:sz w:val="20"/>
          <w:szCs w:val="20"/>
          <w:color w:val="auto"/>
        </w:rPr>
      </w:pPr>
    </w:p>
    <w:p>
      <w:pPr>
        <w:ind w:left="520" w:hanging="515"/>
        <w:spacing w:after="0"/>
        <w:tabs>
          <w:tab w:leader="none" w:pos="520" w:val="left"/>
        </w:tabs>
        <w:numPr>
          <w:ilvl w:val="0"/>
          <w:numId w:val="31"/>
        </w:numPr>
        <w:rPr>
          <w:rFonts w:ascii="Arial" w:cs="Arial" w:eastAsia="Arial" w:hAnsi="Arial"/>
          <w:sz w:val="20"/>
          <w:szCs w:val="20"/>
          <w:color w:val="auto"/>
          <w:vertAlign w:val="superscript"/>
        </w:rPr>
      </w:pPr>
      <w:r>
        <w:rPr>
          <w:rFonts w:ascii="Arial" w:cs="Arial" w:eastAsia="Arial" w:hAnsi="Arial"/>
          <w:sz w:val="14"/>
          <w:szCs w:val="14"/>
          <w:color w:val="auto"/>
        </w:rPr>
        <w:t>on an actual basis; and</w:t>
      </w:r>
    </w:p>
    <w:p>
      <w:pPr>
        <w:spacing w:after="0" w:line="181" w:lineRule="exact"/>
        <w:rPr>
          <w:rFonts w:ascii="Arial" w:cs="Arial" w:eastAsia="Arial" w:hAnsi="Arial"/>
          <w:sz w:val="20"/>
          <w:szCs w:val="20"/>
          <w:color w:val="auto"/>
          <w:vertAlign w:val="superscript"/>
        </w:rPr>
      </w:pPr>
    </w:p>
    <w:p>
      <w:pPr>
        <w:ind w:left="480" w:hanging="475"/>
        <w:spacing w:after="0" w:line="226" w:lineRule="auto"/>
        <w:tabs>
          <w:tab w:leader="none" w:pos="480" w:val="left"/>
        </w:tabs>
        <w:numPr>
          <w:ilvl w:val="0"/>
          <w:numId w:val="31"/>
        </w:numPr>
        <w:rPr>
          <w:rFonts w:ascii="Arial" w:cs="Arial" w:eastAsia="Arial" w:hAnsi="Arial"/>
          <w:sz w:val="20"/>
          <w:szCs w:val="20"/>
          <w:color w:val="auto"/>
          <w:vertAlign w:val="superscript"/>
        </w:rPr>
      </w:pPr>
      <w:r>
        <w:rPr>
          <w:rFonts w:ascii="Arial" w:cs="Arial" w:eastAsia="Arial" w:hAnsi="Arial"/>
          <w:sz w:val="14"/>
          <w:szCs w:val="14"/>
          <w:color w:val="auto"/>
        </w:rPr>
        <w:t>on a pro forma basis, giving effect to the sale and issuance by us of 2,352,942 shares of common stock in this Offering, at an offering price of $[______] per share and warrants to purchase up to 2,352,942 shares of common stock in this Offering, at an offering price of $0.01 per warrant, and after deducting underwriting discounts and commissions and estimated offering expenses payable by 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2015 (amounts in dollars, and in thousands)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Long-term debt, excluding current portion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 (deficit):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160"/>
              <w:spacing w:after="0"/>
              <w:rPr>
                <w:sz w:val="20"/>
                <w:szCs w:val="20"/>
                <w:color w:val="auto"/>
              </w:rPr>
            </w:pPr>
            <w:r>
              <w:rPr>
                <w:rFonts w:ascii="Arial" w:cs="Arial" w:eastAsia="Arial" w:hAnsi="Arial"/>
                <w:sz w:val="14"/>
                <w:szCs w:val="14"/>
                <w:color w:val="auto"/>
              </w:rPr>
              <w:t>Preferred stock, $0.001 par value, 10,000,000 shares authorized: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Series A Preferred, 500,000 shares authorized and outstanding, actual and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8720" w:type="dxa"/>
            <w:vAlign w:val="bottom"/>
          </w:tcPr>
          <w:p>
            <w:pPr>
              <w:ind w:left="320"/>
              <w:spacing w:after="0" w:line="160" w:lineRule="exact"/>
              <w:rPr>
                <w:sz w:val="20"/>
                <w:szCs w:val="20"/>
                <w:color w:val="auto"/>
              </w:rPr>
            </w:pPr>
            <w:r>
              <w:rPr>
                <w:rFonts w:ascii="Arial" w:cs="Arial" w:eastAsia="Arial" w:hAnsi="Arial"/>
                <w:sz w:val="14"/>
                <w:szCs w:val="14"/>
                <w:color w:val="auto"/>
                <w:w w:val="91"/>
              </w:rPr>
              <w:t>Series B Preferred, 4,000,000 shares authorized and 3,588,863 shares outstanding, actual; 4,000,000 authorized and 1,173,669 shares outstanding,</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8720" w:type="dxa"/>
            <w:vAlign w:val="bottom"/>
          </w:tcPr>
          <w:p>
            <w:pPr>
              <w:ind w:left="480"/>
              <w:spacing w:after="0"/>
              <w:rPr>
                <w:sz w:val="20"/>
                <w:szCs w:val="20"/>
                <w:color w:val="auto"/>
              </w:rPr>
            </w:pPr>
            <w:r>
              <w:rPr>
                <w:rFonts w:ascii="Arial" w:cs="Arial" w:eastAsia="Arial" w:hAnsi="Arial"/>
                <w:sz w:val="14"/>
                <w:szCs w:val="14"/>
                <w:color w:val="auto"/>
              </w:rPr>
              <w:t>pro forma</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$0.001 par value, 30,000,000 shares authorized; 1,965,170 shares issued, actual; 7,576,842 shares issued,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125,605</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Treasury stock, at cost, 135,665 shares, actual; 135,665 shares,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(3,968)</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(123,242)</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(1,598)</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0"/>
        </w:trPr>
        <w:tc>
          <w:tcPr>
            <w:tcW w:w="8720" w:type="dxa"/>
            <w:vAlign w:val="bottom"/>
          </w:tcPr>
          <w:p>
            <w:pPr>
              <w:ind w:left="100"/>
              <w:spacing w:after="0"/>
              <w:rPr>
                <w:sz w:val="20"/>
                <w:szCs w:val="20"/>
                <w:color w:val="auto"/>
              </w:rPr>
            </w:pPr>
            <w:r>
              <w:rPr>
                <w:rFonts w:ascii="Arial" w:cs="Arial" w:eastAsia="Arial" w:hAnsi="Arial"/>
                <w:sz w:val="14"/>
                <w:szCs w:val="14"/>
                <w:color w:val="auto"/>
              </w:rPr>
              <w:t>Total capitalization</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( 411)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Common stock outstanding in the table above excludes the following shares as of December 31, 2015:</w:t>
      </w:r>
    </w:p>
    <w:p>
      <w:pPr>
        <w:spacing w:after="0" w:line="152" w:lineRule="exact"/>
        <w:rPr>
          <w:sz w:val="20"/>
          <w:szCs w:val="20"/>
          <w:color w:val="auto"/>
        </w:rPr>
      </w:pPr>
    </w:p>
    <w:p>
      <w:pPr>
        <w:ind w:left="400" w:hanging="395"/>
        <w:spacing w:after="0"/>
        <w:tabs>
          <w:tab w:leader="none" w:pos="400" w:val="left"/>
        </w:tabs>
        <w:numPr>
          <w:ilvl w:val="0"/>
          <w:numId w:val="32"/>
        </w:numPr>
        <w:rPr>
          <w:rFonts w:ascii="Arial" w:cs="Arial" w:eastAsia="Arial" w:hAnsi="Arial"/>
          <w:sz w:val="20"/>
          <w:szCs w:val="20"/>
          <w:color w:val="auto"/>
          <w:vertAlign w:val="superscript"/>
        </w:rPr>
      </w:pPr>
      <w:r>
        <w:rPr>
          <w:rFonts w:ascii="Arial" w:cs="Arial" w:eastAsia="Arial" w:hAnsi="Arial"/>
          <w:sz w:val="14"/>
          <w:szCs w:val="14"/>
          <w:color w:val="auto"/>
        </w:rPr>
        <w:t>296,738 shares of common stock issuable upon the exercise of outstanding options under our 1999 Stock Incentive Plan and 2008 Stock Incentive Plan;</w:t>
      </w:r>
    </w:p>
    <w:p>
      <w:pPr>
        <w:spacing w:after="0" w:line="132" w:lineRule="exact"/>
        <w:rPr>
          <w:rFonts w:ascii="Arial" w:cs="Arial" w:eastAsia="Arial" w:hAnsi="Arial"/>
          <w:sz w:val="20"/>
          <w:szCs w:val="20"/>
          <w:color w:val="auto"/>
          <w:vertAlign w:val="superscript"/>
        </w:rPr>
      </w:pPr>
    </w:p>
    <w:p>
      <w:pPr>
        <w:ind w:left="400" w:hanging="395"/>
        <w:spacing w:after="0"/>
        <w:tabs>
          <w:tab w:leader="none" w:pos="400" w:val="left"/>
        </w:tabs>
        <w:numPr>
          <w:ilvl w:val="0"/>
          <w:numId w:val="32"/>
        </w:numPr>
        <w:rPr>
          <w:rFonts w:ascii="Arial" w:cs="Arial" w:eastAsia="Arial" w:hAnsi="Arial"/>
          <w:sz w:val="20"/>
          <w:szCs w:val="20"/>
          <w:color w:val="auto"/>
          <w:vertAlign w:val="superscript"/>
        </w:rPr>
      </w:pPr>
      <w:r>
        <w:rPr>
          <w:rFonts w:ascii="Arial" w:cs="Arial" w:eastAsia="Arial" w:hAnsi="Arial"/>
          <w:sz w:val="14"/>
          <w:szCs w:val="14"/>
          <w:color w:val="auto"/>
        </w:rPr>
        <w:t>700,491 shares of common stock reserved for issuance in connection with future grants under our stock 2008 Stock Incentive Plan;</w:t>
      </w:r>
    </w:p>
    <w:p>
      <w:pPr>
        <w:spacing w:after="0" w:line="143" w:lineRule="exact"/>
        <w:rPr>
          <w:rFonts w:ascii="Arial" w:cs="Arial" w:eastAsia="Arial" w:hAnsi="Arial"/>
          <w:sz w:val="20"/>
          <w:szCs w:val="20"/>
          <w:color w:val="auto"/>
          <w:vertAlign w:val="superscript"/>
        </w:rPr>
      </w:pPr>
    </w:p>
    <w:p>
      <w:pPr>
        <w:ind w:left="400" w:hanging="395"/>
        <w:spacing w:after="0"/>
        <w:tabs>
          <w:tab w:leader="none" w:pos="400" w:val="left"/>
        </w:tabs>
        <w:numPr>
          <w:ilvl w:val="0"/>
          <w:numId w:val="32"/>
        </w:numPr>
        <w:rPr>
          <w:rFonts w:ascii="Arial" w:cs="Arial" w:eastAsia="Arial" w:hAnsi="Arial"/>
          <w:sz w:val="19"/>
          <w:szCs w:val="19"/>
          <w:color w:val="auto"/>
          <w:vertAlign w:val="superscript"/>
        </w:rPr>
      </w:pPr>
      <w:r>
        <w:rPr>
          <w:rFonts w:ascii="Arial" w:cs="Arial" w:eastAsia="Arial" w:hAnsi="Arial"/>
          <w:sz w:val="13"/>
          <w:szCs w:val="13"/>
          <w:color w:val="auto"/>
        </w:rPr>
        <w:t>4,971,497 shares of common stock reserved for issuance upon exercise of outstanding warrants, which have exercise prices ranging from $7.00 per share to $30.00 per share; and</w:t>
      </w:r>
    </w:p>
    <w:p>
      <w:pPr>
        <w:spacing w:after="0" w:line="143" w:lineRule="exact"/>
        <w:rPr>
          <w:rFonts w:ascii="Arial" w:cs="Arial" w:eastAsia="Arial" w:hAnsi="Arial"/>
          <w:sz w:val="19"/>
          <w:szCs w:val="19"/>
          <w:color w:val="auto"/>
          <w:vertAlign w:val="superscript"/>
        </w:rPr>
      </w:pPr>
    </w:p>
    <w:p>
      <w:pPr>
        <w:ind w:left="400" w:hanging="395"/>
        <w:spacing w:after="0"/>
        <w:tabs>
          <w:tab w:leader="none" w:pos="400" w:val="left"/>
        </w:tabs>
        <w:numPr>
          <w:ilvl w:val="0"/>
          <w:numId w:val="32"/>
        </w:numPr>
        <w:rPr>
          <w:rFonts w:ascii="Arial" w:cs="Arial" w:eastAsia="Arial" w:hAnsi="Arial"/>
          <w:sz w:val="19"/>
          <w:szCs w:val="19"/>
          <w:color w:val="auto"/>
          <w:vertAlign w:val="superscript"/>
        </w:rPr>
      </w:pPr>
      <w:r>
        <w:rPr>
          <w:rFonts w:ascii="Arial" w:cs="Arial" w:eastAsia="Arial" w:hAnsi="Arial"/>
          <w:sz w:val="13"/>
          <w:szCs w:val="13"/>
          <w:color w:val="auto"/>
        </w:rPr>
        <w:t>2,352,942 shares of common stock issuable upon exercise of warrants to be issued to purchasers in this Offering at an exercise price equal to 125% of the per share offering price.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7" w:name="page48"/>
    <w:bookmarkEnd w:id="4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CONSOLIDATED FINANCIAL DATA</w:t>
      </w:r>
    </w:p>
    <w:p>
      <w:pPr>
        <w:spacing w:after="0" w:line="205"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The following selected consolidated financial data of VistaGen Therapeutics, Inc. should be read in conjunction with, and are qualified by reference to, the section titled “</w:t>
      </w:r>
      <w:r>
        <w:rPr>
          <w:rFonts w:ascii="Arial" w:cs="Arial" w:eastAsia="Arial" w:hAnsi="Arial"/>
          <w:sz w:val="13"/>
          <w:szCs w:val="13"/>
          <w:i w:val="1"/>
          <w:iCs w:val="1"/>
          <w:color w:val="auto"/>
        </w:rPr>
        <w:t>Management’s Discussion and</w:t>
      </w:r>
      <w:r>
        <w:rPr>
          <w:rFonts w:ascii="Arial" w:cs="Arial" w:eastAsia="Arial" w:hAnsi="Arial"/>
          <w:sz w:val="13"/>
          <w:szCs w:val="13"/>
          <w:color w:val="auto"/>
        </w:rPr>
        <w:t xml:space="preserve"> </w:t>
      </w:r>
      <w:r>
        <w:rPr>
          <w:rFonts w:ascii="Arial" w:cs="Arial" w:eastAsia="Arial" w:hAnsi="Arial"/>
          <w:sz w:val="13"/>
          <w:szCs w:val="13"/>
          <w:i w:val="1"/>
          <w:iCs w:val="1"/>
          <w:color w:val="auto"/>
        </w:rPr>
        <w:t>Analysis of Financial Condition and Results of Operations</w:t>
      </w:r>
      <w:r>
        <w:rPr>
          <w:rFonts w:ascii="Arial" w:cs="Arial" w:eastAsia="Arial" w:hAnsi="Arial"/>
          <w:sz w:val="13"/>
          <w:szCs w:val="13"/>
          <w:color w:val="auto"/>
        </w:rPr>
        <w:t>” and the consolidated financial statements and notes thereto included elsewhere in this prospectus. The consolidated statement of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data for the years ended March 31, 2015 and 2014, and the consolidated balance sheet data as of March 31, 2015 and 2014 are derived from, and qualified by reference to, our audited consolidated financial statements included elsewhere in this prospectus and should be read in conjunction with those consolidated financial statements and notes thereto. The consolidated statement of operations data for the nine month periods ended December 31, 2015 and 2014 and the consolidated balance sheet data as of December 31, 2015 are derived from our unaudited consolidated financial statements included elsewhere in this prospectus which, in our opinion, have been prepared on the same basis as the audited consolidated financial statements and reflect only adjustments, consisting only of normal recurring adjustments, necessary for a fair presentation of our results of operations and financial position. Our results for the nine months ended December 31, 2015 are not necessarily indicative of results to be expected for the full year or any other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Fiscal 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Nine-Months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center"/>
              <w:ind w:right="32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line="160" w:lineRule="exact"/>
              <w:rPr>
                <w:sz w:val="20"/>
                <w:szCs w:val="20"/>
                <w:color w:val="auto"/>
              </w:rPr>
            </w:pPr>
            <w:r>
              <w:rPr>
                <w:rFonts w:ascii="Arial" w:cs="Arial" w:eastAsia="Arial" w:hAnsi="Arial"/>
                <w:sz w:val="14"/>
                <w:szCs w:val="14"/>
                <w:b w:val="1"/>
                <w:bCs w:val="1"/>
                <w:color w:val="auto"/>
              </w:rPr>
              <w:t>Consolidated Statement of Operations Data:</w:t>
            </w: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spacing w:after="0" w:line="160" w:lineRule="exact"/>
              <w:rPr>
                <w:sz w:val="20"/>
                <w:szCs w:val="20"/>
                <w:color w:val="auto"/>
              </w:rPr>
            </w:pPr>
            <w:r>
              <w:rPr>
                <w:rFonts w:ascii="Arial" w:cs="Arial" w:eastAsia="Arial" w:hAnsi="Arial"/>
                <w:sz w:val="14"/>
                <w:szCs w:val="14"/>
                <w:b w:val="1"/>
                <w:bCs w:val="1"/>
                <w:color w:val="auto"/>
                <w:w w:val="87"/>
              </w:rPr>
              <w:t>(in thousands, except</w:t>
            </w:r>
          </w:p>
        </w:tc>
        <w:tc>
          <w:tcPr>
            <w:tcW w:w="100" w:type="dxa"/>
            <w:vAlign w:val="bottom"/>
          </w:tcPr>
          <w:p>
            <w:pPr>
              <w:spacing w:after="0"/>
              <w:rPr>
                <w:sz w:val="13"/>
                <w:szCs w:val="13"/>
                <w:color w:val="auto"/>
              </w:rPr>
            </w:pPr>
          </w:p>
        </w:tc>
        <w:tc>
          <w:tcPr>
            <w:tcW w:w="1280" w:type="dxa"/>
            <w:vAlign w:val="bottom"/>
            <w:gridSpan w:val="3"/>
          </w:tcPr>
          <w:p>
            <w:pPr>
              <w:jc w:val="right"/>
              <w:ind w:right="29"/>
              <w:spacing w:after="0" w:line="160" w:lineRule="exact"/>
              <w:rPr>
                <w:sz w:val="20"/>
                <w:szCs w:val="20"/>
                <w:color w:val="auto"/>
              </w:rPr>
            </w:pPr>
            <w:r>
              <w:rPr>
                <w:rFonts w:ascii="Arial" w:cs="Arial" w:eastAsia="Arial" w:hAnsi="Arial"/>
                <w:sz w:val="14"/>
                <w:szCs w:val="14"/>
                <w:b w:val="1"/>
                <w:bCs w:val="1"/>
                <w:color w:val="auto"/>
                <w:w w:val="89"/>
              </w:rPr>
              <w:t>per share amounts)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60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2,433</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2,835</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6,515</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5,029</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9,350</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(6,777)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(5,029)</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(9,350)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(4,549)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(770)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warrant liabilities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(1,895)</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Loss on early extinguishment of debt</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(2,388)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(26,700)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expense</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(13,884)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(2,965)</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(38,717)</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(13,886)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(2,968)</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(38,719)</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dividend on Series B Preferred Stock</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(1,459)</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860" w:type="dxa"/>
            <w:vAlign w:val="bottom"/>
          </w:tcPr>
          <w:p>
            <w:pPr>
              <w:ind w:left="160"/>
              <w:spacing w:after="0"/>
              <w:rPr>
                <w:sz w:val="20"/>
                <w:szCs w:val="20"/>
                <w:color w:val="auto"/>
              </w:rPr>
            </w:pPr>
            <w:r>
              <w:rPr>
                <w:rFonts w:ascii="Arial" w:cs="Arial" w:eastAsia="Arial" w:hAnsi="Arial"/>
                <w:sz w:val="14"/>
                <w:szCs w:val="14"/>
                <w:color w:val="auto"/>
              </w:rPr>
              <w:t>Deemed dividend on Series B Preferred Units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(1,812)</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(2,968)</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(41,990)</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(10.53)</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(25.45)</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269"/>
              <w:spacing w:after="0"/>
              <w:rPr>
                <w:sz w:val="20"/>
                <w:szCs w:val="20"/>
                <w:color w:val="auto"/>
              </w:rPr>
            </w:pPr>
            <w:r>
              <w:rPr>
                <w:rFonts w:ascii="Arial" w:cs="Arial" w:eastAsia="Arial" w:hAnsi="Arial"/>
                <w:sz w:val="14"/>
                <w:szCs w:val="14"/>
                <w:color w:val="auto"/>
              </w:rPr>
              <w:t>(25.45 )$</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1,318,797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1,098,742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1,650,160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Diluted net loss attributable to common stockholders per common share</w:t>
            </w:r>
          </w:p>
        </w:tc>
        <w:tc>
          <w:tcPr>
            <w:tcW w:w="1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1,318,797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1,099,216</w:t>
            </w:r>
          </w:p>
        </w:tc>
        <w:tc>
          <w:tcPr>
            <w:tcW w:w="1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1,650,160</w:t>
            </w: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1,288,674</w:t>
            </w:r>
          </w:p>
        </w:tc>
        <w:tc>
          <w:tcPr>
            <w:tcW w:w="0" w:type="dxa"/>
            <w:vAlign w:val="bottom"/>
          </w:tcPr>
          <w:p>
            <w:pPr>
              <w:spacing w:after="0"/>
              <w:rPr>
                <w:sz w:val="1"/>
                <w:szCs w:val="1"/>
                <w:color w:val="auto"/>
              </w:rPr>
            </w:pPr>
          </w:p>
        </w:tc>
      </w:tr>
      <w:tr>
        <w:trPr>
          <w:trHeight w:val="330"/>
        </w:trPr>
        <w:tc>
          <w:tcPr>
            <w:tcW w:w="486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7"/>
              </w:rPr>
              <w:t>As of December</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6"/>
              </w:rPr>
              <w:t>As of 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center"/>
              <w:ind w:right="349"/>
              <w:spacing w:after="0"/>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2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70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Total assets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9"/>
              <w:spacing w:after="0"/>
              <w:rPr>
                <w:sz w:val="20"/>
                <w:szCs w:val="20"/>
                <w:color w:val="auto"/>
              </w:rPr>
            </w:pPr>
            <w:r>
              <w:rPr>
                <w:rFonts w:ascii="Arial" w:cs="Arial" w:eastAsia="Arial" w:hAnsi="Arial"/>
                <w:sz w:val="14"/>
                <w:szCs w:val="14"/>
                <w:color w:val="auto"/>
              </w:rPr>
              <w:t>270</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Current portion of notes payable</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13,930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2,129</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Working capital</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9"/>
              <w:spacing w:after="0"/>
              <w:rPr>
                <w:sz w:val="20"/>
                <w:szCs w:val="20"/>
                <w:color w:val="auto"/>
              </w:rPr>
            </w:pPr>
            <w:r>
              <w:rPr>
                <w:rFonts w:ascii="Arial" w:cs="Arial" w:eastAsia="Arial" w:hAnsi="Arial"/>
                <w:sz w:val="14"/>
                <w:szCs w:val="14"/>
                <w:color w:val="auto"/>
              </w:rPr>
              <w:t>(17,282)</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(5,165)</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and preferred stock additional paid-in capital</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67,948</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62,003</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125,611</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20"/>
                <w:szCs w:val="20"/>
                <w:color w:val="auto"/>
              </w:rPr>
            </w:pPr>
            <w:r>
              <w:rPr>
                <w:rFonts w:ascii="Arial" w:cs="Arial" w:eastAsia="Arial" w:hAnsi="Arial"/>
                <w:sz w:val="14"/>
                <w:szCs w:val="14"/>
                <w:color w:val="auto"/>
              </w:rPr>
              <w:t>Total stockholders’ deficit</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9"/>
              <w:spacing w:after="0"/>
              <w:rPr>
                <w:sz w:val="20"/>
                <w:szCs w:val="20"/>
                <w:color w:val="auto"/>
              </w:rPr>
            </w:pPr>
            <w:r>
              <w:rPr>
                <w:rFonts w:ascii="Arial" w:cs="Arial" w:eastAsia="Arial" w:hAnsi="Arial"/>
                <w:sz w:val="14"/>
                <w:szCs w:val="14"/>
                <w:color w:val="auto"/>
              </w:rPr>
              <w:t>(20,543)</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(12,780)</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468"/>
        </w:trPr>
        <w:tc>
          <w:tcPr>
            <w:tcW w:w="4860" w:type="dxa"/>
            <w:vAlign w:val="bottom"/>
          </w:tcPr>
          <w:p>
            <w:pPr>
              <w:spacing w:after="0"/>
              <w:rPr>
                <w:sz w:val="24"/>
                <w:szCs w:val="24"/>
                <w:color w:val="auto"/>
              </w:rPr>
            </w:pP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86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8" w:name="page49"/>
    <w:bookmarkEnd w:id="4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84"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Overview</w:t>
      </w:r>
    </w:p>
    <w:p>
      <w:pPr>
        <w:spacing w:after="0" w:line="180" w:lineRule="exact"/>
        <w:rPr>
          <w:sz w:val="20"/>
          <w:szCs w:val="20"/>
          <w:color w:val="auto"/>
        </w:rPr>
      </w:pPr>
    </w:p>
    <w:p>
      <w:pPr>
        <w:jc w:val="both"/>
        <w:ind w:right="24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CNS. Our lead product candidate, AV-101, is a next generation, orally available prodrug candidate in Phase 2 development, initially for the adjunctive treatment of MDD in patients with an inadequate response to standard antidepressants.</w:t>
      </w:r>
    </w:p>
    <w:p>
      <w:pPr>
        <w:spacing w:after="0" w:line="16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AV-101’s mechanism of action, as an NMDAR antagonist binding selectively at the GlyB co-agonist site of the NMDAR, is fundamentally differentiated from all standard antidepressants, as well as all atypical antipsychotics used adjunctively with standard antidepressants, currently approved by the FDA.</w:t>
      </w:r>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Our ongoing Phase 2a clinical study of AV-101 in subjects with treatment-resistant MDD is being conducted and funded by the NIMH under our February 2015 CRADA with the NIMH. The first patient in this NIMH-sponsored Phase 2a study was dosed in November 2015.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I.V. ketamine on depression. These NIMH studies have demonstrated robust antidepressant effects in patients with treatment-resistant MDD within hours of a single low dose of I.V. ketamine and stimulated research and development around a new generation of antidepressants with potential to deliver ketamine-like fast-onset benefits without its side effects.</w:t>
      </w:r>
    </w:p>
    <w:p>
      <w:pPr>
        <w:spacing w:after="0" w:line="156"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MGH Research Institute and Executive Director, MGH Clinical Trials Network and Institute, will be the Principal Investigator of our Phase 2b study.</w:t>
      </w:r>
    </w:p>
    <w:p>
      <w:pPr>
        <w:spacing w:after="0" w:line="167"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ind w:right="280"/>
        <w:spacing w:after="0" w:line="323" w:lineRule="auto"/>
        <w:rPr>
          <w:sz w:val="20"/>
          <w:szCs w:val="20"/>
          <w:color w:val="auto"/>
        </w:rPr>
      </w:pPr>
      <w:r>
        <w:rPr>
          <w:rFonts w:ascii="Arial" w:cs="Arial" w:eastAsia="Arial" w:hAnsi="Arial"/>
          <w:sz w:val="13"/>
          <w:szCs w:val="13"/>
          <w:color w:val="auto"/>
        </w:rPr>
        <w:t>In addition to clinical development of AV-101, we are also focused on establishing strategic collaborations to advance potential commercial applications of our hPSC technology platform, including drug rescue to develop proprietary NCEs for our internal drug candidate pipeline, and RM using blood, cartilage, heart and liver cells derived from our hPSC technology.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Merger</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VistaGen Therapeutics, Inc., a California corporation incorporated on May 26, 1998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 owned subsidiary. Excaliber Enterprises, Ltd. (</w:t>
      </w:r>
      <w:r>
        <w:rPr>
          <w:rFonts w:ascii="Arial" w:cs="Arial" w:eastAsia="Arial" w:hAnsi="Arial"/>
          <w:sz w:val="14"/>
          <w:szCs w:val="14"/>
          <w:i w:val="1"/>
          <w:iCs w:val="1"/>
          <w:color w:val="auto"/>
        </w:rPr>
        <w:t>Excaliber</w:t>
      </w:r>
      <w:r>
        <w:rPr>
          <w:rFonts w:ascii="Arial" w:cs="Arial" w:eastAsia="Arial" w:hAnsi="Arial"/>
          <w:sz w:val="14"/>
          <w:szCs w:val="14"/>
          <w:color w:val="auto"/>
        </w:rPr>
        <w:t xml:space="preserve">), a publicly held company (formerly OTCBB: EXCA) was incorporated under the laws of the State of Nevada on October 6, 2005. Pursuant to a strategic merger transaction on May 11, 2011, Excaliber acquired all outstanding shares of VistaGen California in exchange for 341,823 shares of our common stock and assumed all of VistaGen California’s pre-Merger obligations (the </w:t>
      </w:r>
      <w:r>
        <w:rPr>
          <w:rFonts w:ascii="Arial" w:cs="Arial" w:eastAsia="Arial" w:hAnsi="Arial"/>
          <w:sz w:val="14"/>
          <w:szCs w:val="14"/>
          <w:i w:val="1"/>
          <w:iCs w:val="1"/>
          <w:color w:val="auto"/>
        </w:rPr>
        <w:t>Merger</w:t>
      </w:r>
      <w:r>
        <w:rPr>
          <w:rFonts w:ascii="Arial" w:cs="Arial" w:eastAsia="Arial" w:hAnsi="Arial"/>
          <w:sz w:val="14"/>
          <w:szCs w:val="14"/>
          <w:color w:val="auto"/>
        </w:rPr>
        <w:t>). Shortly after the Merger, Excaliber’s name was changed to “VistaGen Therapeutics, Inc.” (a Nevada corporation).</w:t>
      </w:r>
    </w:p>
    <w:p>
      <w:pPr>
        <w:spacing w:after="0" w:line="146"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and effected for a post-Merger two-for-one (2:1) stock split, have been reflected as outstanding for all periods presented in the Consolidated Financial Statements for the years ended March 31, 2015 and 2014 of the Company included elsewhere in this prospectus. Additionally, the Consolidated Balance Sheets reflect the $0.001 par value of Excaliber’s common stock.</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Consolidated Financial Statements for the years ended March 31, 2015 and 2014 included elsewhere in this prospectus represent the activity of VistaGen California from May 26, 1998, and the consolidated activity of VistaGen California and Excaliber (now VistaGen Therapeutics, Inc., a Nevada corporation), from May 11, 2011 (the date of the Merger). The Consolidated Financial Statements for the years ended March 31, 2015 and 2014 also include the accounts of VistaGen California’s two inactive wholly-owned subsidiaries, Artemis Neuroscience, Inc., a Maryland corporation (</w:t>
      </w:r>
      <w:r>
        <w:rPr>
          <w:rFonts w:ascii="Arial" w:cs="Arial" w:eastAsia="Arial" w:hAnsi="Arial"/>
          <w:sz w:val="14"/>
          <w:szCs w:val="14"/>
          <w:i w:val="1"/>
          <w:iCs w:val="1"/>
          <w:color w:val="auto"/>
        </w:rPr>
        <w:t>Artemis</w:t>
      </w:r>
      <w:r>
        <w:rPr>
          <w:rFonts w:ascii="Arial" w:cs="Arial" w:eastAsia="Arial" w:hAnsi="Arial"/>
          <w:sz w:val="14"/>
          <w:szCs w:val="14"/>
          <w:color w:val="auto"/>
        </w:rPr>
        <w:t>), and VistaStem Canada, Inc., a corporation organized under the laws of Ontario, Canada (</w:t>
      </w:r>
      <w:r>
        <w:rPr>
          <w:rFonts w:ascii="Arial" w:cs="Arial" w:eastAsia="Arial" w:hAnsi="Arial"/>
          <w:sz w:val="14"/>
          <w:szCs w:val="14"/>
          <w:i w:val="1"/>
          <w:iCs w:val="1"/>
          <w:color w:val="auto"/>
        </w:rPr>
        <w:t>VistaStem Canada</w:t>
      </w:r>
      <w:r>
        <w:rPr>
          <w:rFonts w:ascii="Arial" w:cs="Arial" w:eastAsia="Arial" w:hAnsi="Arial"/>
          <w:sz w:val="14"/>
          <w:szCs w:val="14"/>
          <w:color w:val="auto"/>
        </w:rPr>
        <w: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9" w:name="page50"/>
    <w:bookmarkEnd w:id="4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Loss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not yet achieved revenue-generating status from any of our product candidates. Since inception, we have devoted substantially all of our time and efforts developing AV-101 from early preclinical studies to our ongoing Phase 2a clinical study in MDD, as well as stem cell research and bioassay development, small molecule drug development, and creating, protecting and patenting intellectual property, with the corollary initiatives of recruiting personnel and raising working capital. As of December 31, 2015, we had an accumulated deficit of approximately $123.2 million. Our net loss for the nine month period ended December 31, 2015 was $38.7 million, including a non-cash loss of approximately $26.7 million attributable to converting over $17.2 million of our indebtedness into equity securities between May 2015 and August 2015. Our net loss for the nine-month period ended December 31, 2014 was $7.7 million. We expect losses to continue for the foreseeable future, primarily related to our further development of AV-101 for MDD and additional CNS indications.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of Fiscal Year 2015 and Nine-Months Ended December 31, 2015</w:t>
      </w:r>
    </w:p>
    <w:p>
      <w:pPr>
        <w:spacing w:after="0" w:line="201" w:lineRule="exact"/>
        <w:rPr>
          <w:sz w:val="20"/>
          <w:szCs w:val="20"/>
          <w:color w:val="auto"/>
        </w:rPr>
      </w:pPr>
    </w:p>
    <w:p>
      <w:pPr>
        <w:spacing w:after="0" w:line="370" w:lineRule="auto"/>
        <w:rPr>
          <w:sz w:val="20"/>
          <w:szCs w:val="20"/>
          <w:color w:val="auto"/>
        </w:rPr>
      </w:pPr>
      <w:r>
        <w:rPr>
          <w:rFonts w:ascii="Arial" w:cs="Arial" w:eastAsia="Arial" w:hAnsi="Arial"/>
          <w:sz w:val="12"/>
          <w:szCs w:val="12"/>
          <w:color w:val="auto"/>
        </w:rPr>
        <w:t>Although our financial resources have been limited, we have continued to advance development of AV-101 for MDD and other CNS indications and explore NCE drug rescue and regenerative medicine opportunities related to our stem cell technology platform. Pursuant to our February 2015 CRADA with the NIH, the NIH is funding and conducting our Phase 2 clinical study of AV-101 in MDD.</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Throughout fiscal 2014 and 2015 and the nine months ended December 31, 2015, through self-placed private placement transactions and other corporate finance initiatives, our executive management has been focused on raising sufficient operating capital to continue to advance development of AV-101, as well as other research and development objectives, while meeting our continuing operational needs. Among our most significant accomplishments during the nine months ended December 31, 2015 have been the following: (i) entering into our CRADA with the NIMH; (ii) launching, under the CRADA, our NIH-funded Phase 2a clinical study of AV-101 in subjects with treatment-resistant MDD, with Dr. Carlos Zarate, Jr., Chief of the Section on the Neurobiology and Treatment of Mood Disorders and Chief of the Experimental Therapeutics and Pathophysiology Branch at the NIMH, as Principal Investigator; (iii) bolstering our Clinical and Scientific Advisory Board with the additions of both Dr. Maurizio Fava, Professor of Psychiatry at Harvard Medical School and Director of the Division of Clinical Research of the Massachusetts General Hospital Research Institute, and Dr. Gerard Sanacora, Associate Professor at Yale School of Medicine and Director of the Yale Depression Research Program; (iv) publishing AV-101 preclinical data in the October 2015 issue of the peer-reviewed, Journal of Pharmacology and Experimental Therapeutics, in an article entitled “The prodrug 4-chlorokynurenine causes ketamine-like antidepressant effects, but not side effects, by NMDA/glycineB-site inhibition;” (v) successfully negotiating, extinguishing and converting (in self-placed private placement transactions) approximately $17.2 million (substantially all) of our outstanding indebtedness into our equity securities; and (vi) completing self-placed private placement transactions with accredited investors thereby providing additional operating capital through the sale of our equity securities.</w:t>
      </w:r>
    </w:p>
    <w:p>
      <w:pPr>
        <w:spacing w:after="0" w:line="177" w:lineRule="exact"/>
        <w:rPr>
          <w:sz w:val="20"/>
          <w:szCs w:val="20"/>
          <w:color w:val="auto"/>
        </w:rPr>
      </w:pPr>
    </w:p>
    <w:p>
      <w:pPr>
        <w:spacing w:after="0" w:line="299" w:lineRule="auto"/>
        <w:rPr>
          <w:sz w:val="20"/>
          <w:szCs w:val="20"/>
          <w:color w:val="auto"/>
        </w:rPr>
      </w:pPr>
      <w:r>
        <w:rPr>
          <w:rFonts w:ascii="Arial" w:cs="Arial" w:eastAsia="Arial" w:hAnsi="Arial"/>
          <w:sz w:val="12"/>
          <w:szCs w:val="12"/>
          <w:color w:val="auto"/>
        </w:rPr>
        <w:t>To meet our working capital needs, in April and May 2015, we completed self-placed private placement transactions involving securities purchase agreements with accredited investors pursuant to which we sold to such accredited investors 2014 Private Placement Units, for aggregate cash proceeds of $280,000, consisting of (i) 10% convertible notes in the aggregate face amount of $280,000 due between April 30, 2015 and May 15, 2015; (ii) an aggregate of 33,000 restricted shares of our common stock; and (iii) warrants exercisable through December 31, 2016 to purchase an aggregate of 24,250 restricted shares of our common stock at an exercise price of $10.00 per share. Between May 2015 and December 31, 2015, we entered into self-placed private placement transactions involving securities purchase agreements with accredited investors, pursuant to which we sold Series B Preferred Units, for aggregate cash proceeds of approximately $4.3 million, consisting of an aggregate of</w:t>
      </w:r>
    </w:p>
    <w:p>
      <w:pPr>
        <w:spacing w:after="0" w:line="2" w:lineRule="exact"/>
        <w:rPr>
          <w:sz w:val="20"/>
          <w:szCs w:val="20"/>
          <w:color w:val="auto"/>
        </w:rPr>
      </w:pPr>
    </w:p>
    <w:p>
      <w:pPr>
        <w:ind w:firstLine="5"/>
        <w:spacing w:after="0" w:line="307" w:lineRule="auto"/>
        <w:tabs>
          <w:tab w:leader="none" w:pos="169" w:val="left"/>
        </w:tabs>
        <w:numPr>
          <w:ilvl w:val="0"/>
          <w:numId w:val="33"/>
        </w:numPr>
        <w:rPr>
          <w:rFonts w:ascii="Arial" w:cs="Arial" w:eastAsia="Arial" w:hAnsi="Arial"/>
          <w:sz w:val="13"/>
          <w:szCs w:val="13"/>
          <w:color w:val="auto"/>
        </w:rPr>
      </w:pPr>
      <w:r>
        <w:rPr>
          <w:rFonts w:ascii="Arial" w:cs="Arial" w:eastAsia="Arial" w:hAnsi="Arial"/>
          <w:sz w:val="13"/>
          <w:szCs w:val="13"/>
          <w:color w:val="auto"/>
        </w:rPr>
        <w:t>628,264 shares of our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and (ii) five-year warrants to purchase an aggregate of 628,264 shares of our common stock. In connection with the foregoing self-placed private placement transactions, from April 1, 2015 and December 31, 2015, we received aggregate cash proceeds of approximately $4.6 million.</w:t>
      </w:r>
    </w:p>
    <w:p>
      <w:pPr>
        <w:spacing w:after="0" w:line="140" w:lineRule="exact"/>
        <w:rPr>
          <w:sz w:val="20"/>
          <w:szCs w:val="20"/>
          <w:color w:val="auto"/>
        </w:rPr>
      </w:pPr>
    </w:p>
    <w:p>
      <w:pPr>
        <w:ind w:right="180"/>
        <w:spacing w:after="0" w:line="370" w:lineRule="auto"/>
        <w:rPr>
          <w:sz w:val="20"/>
          <w:szCs w:val="20"/>
          <w:color w:val="auto"/>
        </w:rPr>
      </w:pPr>
      <w:r>
        <w:rPr>
          <w:rFonts w:ascii="Arial" w:cs="Arial" w:eastAsia="Arial" w:hAnsi="Arial"/>
          <w:sz w:val="12"/>
          <w:szCs w:val="12"/>
          <w:color w:val="auto"/>
        </w:rPr>
        <w:t>As a matter of course, we seek to minimize cash commitments and expenditures for both internal and external research and development and general and administrative services to the greatest extent possible. The conversion of such a substantial portion of our outstanding indebtedness during the nine months ended December 31, 2015 materially reduced our cash requirements for debt service.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0" w:name="page51"/>
    <w:bookmarkEnd w:id="5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80"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We reported no revenue for the fiscal years ended March 31, 2015 or 2014, or for the nine months ended December 31, 2015. We have successfully completed our Phase 1 clinical development of AV-101, our orally available, next generation prodrug candidate in clinical development for the treatment of MDD, with additional potential as a new therapy for neuropathic pain, epilepsy, Parkinson’s disease and Huntington’s disease. Additionally, as indicated previously, we have entered into a CRADA with the NIH providing for an NIH-sponsored Phase 2 clinical study of AV-101 in MDD beginning in Fall 2015. We presently have no revenue generating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180"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Research and development expense consists of both internal and external expenses incurred in drug development activities, costs associated with the development of AV-101, sponsored stem cell research and costs related to the licensing, application and prosecution of our intellectual property. These expenses primarily consist of the following:</w:t>
      </w:r>
    </w:p>
    <w:p>
      <w:pPr>
        <w:spacing w:after="0" w:line="103" w:lineRule="exact"/>
        <w:rPr>
          <w:sz w:val="20"/>
          <w:szCs w:val="20"/>
          <w:color w:val="auto"/>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salaries and benefits, including stock-based compensation costs, travel and related expense for personnel associated with internal research and development activities;</w:t>
      </w:r>
    </w:p>
    <w:p>
      <w:pPr>
        <w:spacing w:after="0" w:line="12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4"/>
        </w:numPr>
        <w:rPr>
          <w:rFonts w:ascii="Arial" w:cs="Arial" w:eastAsia="Arial" w:hAnsi="Arial"/>
          <w:sz w:val="19"/>
          <w:szCs w:val="19"/>
          <w:color w:val="auto"/>
          <w:vertAlign w:val="superscript"/>
        </w:rPr>
      </w:pPr>
      <w:r>
        <w:rPr>
          <w:rFonts w:ascii="Arial" w:cs="Arial" w:eastAsia="Arial" w:hAnsi="Arial"/>
          <w:sz w:val="13"/>
          <w:szCs w:val="13"/>
          <w:color w:val="auto"/>
        </w:rPr>
        <w:t>fees to contract research organizations and other professional service providers for services related to the conduct and analysis of clinical trials and other drug development activities;</w:t>
      </w:r>
    </w:p>
    <w:p>
      <w:pPr>
        <w:spacing w:after="0" w:line="110" w:lineRule="exact"/>
        <w:rPr>
          <w:rFonts w:ascii="Arial" w:cs="Arial" w:eastAsia="Arial" w:hAnsi="Arial"/>
          <w:sz w:val="19"/>
          <w:szCs w:val="19"/>
          <w:color w:val="auto"/>
          <w:vertAlign w:val="superscript"/>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fees to third parties for access to licensed technology and costs associated with securing and maintaining patents related to our internally generated inventions: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laboratory supplies and materials;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leasing and depreciation of laboratory equipment;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allocated costs of facilities and infrastructure.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180" w:lineRule="exact"/>
        <w:rPr>
          <w:sz w:val="20"/>
          <w:szCs w:val="20"/>
          <w:color w:val="auto"/>
        </w:rPr>
      </w:pPr>
    </w:p>
    <w:p>
      <w:pPr>
        <w:jc w:val="both"/>
        <w:ind w:right="320"/>
        <w:spacing w:after="0" w:line="268" w:lineRule="auto"/>
        <w:rPr>
          <w:sz w:val="20"/>
          <w:szCs w:val="20"/>
          <w:color w:val="auto"/>
        </w:rPr>
      </w:pPr>
      <w:r>
        <w:rPr>
          <w:rFonts w:ascii="Arial" w:cs="Arial" w:eastAsia="Arial" w:hAnsi="Arial"/>
          <w:sz w:val="14"/>
          <w:szCs w:val="14"/>
          <w:color w:val="auto"/>
        </w:rPr>
        <w:t>General and administrative expense consists primarily of salaries and benefits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Expenses, Net</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2"/>
          <w:szCs w:val="12"/>
          <w:color w:val="auto"/>
        </w:rPr>
        <w:t>In both fiscal 2015 and 2014, we incurred interest expense, including significant amounts of non-cash discount amortization attributable to certain notes, on the outstanding balances of our Senior Secured Convertible Promissory Notes issued to Platinum between October 2012 and July 2013, on subordinated convertible promissory notes issued between March 2013 and March 2015 as components of our Unit Private Placements and on unsecured promissory notes issued to various contract research organizations, technology licensors and other professional service providers since fiscal 2011. In fiscal 2015 and 2014, we recorded non-cash expense and income, respectively, related to changes in the fair values of the warrants issued or issuable to Platinum in connection with the various Senior Secured Convertible Promissory Notes we issued to Platinum between October 2012 and July 2013. In fiscal 2015, we incurred non-cash losses on extinguishment of debt resulting from settlements or modifications of indebtedness to Platinum, to various holders of promissory notes issued in connection with our 2013 Unit Private Placement and scheduled to mature on July 30, 2014, and to a technology licensor and a professional service provider. Additionally, in fiscal 2015 we incurred non-cash expense related to the settlement of a note receivable we accepted in fiscal 2012.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4"/>
          <w:szCs w:val="14"/>
          <w:i w:val="1"/>
          <w:iCs w:val="1"/>
          <w:color w:val="auto"/>
        </w:rPr>
        <w:t>GAAP</w:t>
      </w:r>
      <w:r>
        <w:rPr>
          <w:rFonts w:ascii="Arial" w:cs="Arial" w:eastAsia="Arial" w:hAnsi="Arial"/>
          <w:sz w:val="14"/>
          <w:szCs w:val="14"/>
          <w:color w:val="auto"/>
        </w:rPr>
        <w:t>) requires us to make estimates and assumptions that affect the amounts reported in the financial statements and accompanying notes to the Consolidated Financial Statements for the years ended March 31, 2015 and 2014. These estimates include useful lives for property and equipment and related depreciation calculations, and assumptions for valuing options, warrants and other stock-based compensation. Our actual results could differ from these estimates.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1" w:name="page52"/>
    <w:bookmarkEnd w:id="5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4"/>
          <w:szCs w:val="14"/>
          <w:i w:val="1"/>
          <w:iCs w:val="1"/>
          <w:color w:val="auto"/>
        </w:rPr>
        <w:t>Revenue Recognition Revised and Updated</w:t>
      </w:r>
      <w:r>
        <w:rPr>
          <w:rFonts w:ascii="Arial" w:cs="Arial" w:eastAsia="Arial" w:hAnsi="Arial"/>
          <w:sz w:val="14"/>
          <w:szCs w:val="14"/>
          <w:color w:val="auto"/>
        </w:rPr>
        <w:t xml:space="preserve"> (</w:t>
      </w:r>
      <w:r>
        <w:rPr>
          <w:rFonts w:ascii="Arial" w:cs="Arial" w:eastAsia="Arial" w:hAnsi="Arial"/>
          <w:sz w:val="14"/>
          <w:szCs w:val="14"/>
          <w:i w:val="1"/>
          <w:iCs w:val="1"/>
          <w:color w:val="auto"/>
        </w:rPr>
        <w:t>SAB 104</w:t>
      </w:r>
      <w:r>
        <w:rPr>
          <w:rFonts w:ascii="Arial" w:cs="Arial" w:eastAsia="Arial" w:hAnsi="Arial"/>
          <w:sz w:val="14"/>
          <w:szCs w:val="14"/>
          <w:color w:val="auto"/>
        </w:rPr>
        <w:t>) and Accounting Standards Codification (</w:t>
      </w:r>
      <w:r>
        <w:rPr>
          <w:rFonts w:ascii="Arial" w:cs="Arial" w:eastAsia="Arial" w:hAnsi="Arial"/>
          <w:sz w:val="14"/>
          <w:szCs w:val="14"/>
          <w:i w:val="1"/>
          <w:iCs w:val="1"/>
          <w:color w:val="auto"/>
        </w:rPr>
        <w:t>ASC</w:t>
      </w:r>
      <w:r>
        <w:rPr>
          <w:rFonts w:ascii="Arial" w:cs="Arial" w:eastAsia="Arial" w:hAnsi="Arial"/>
          <w:sz w:val="14"/>
          <w:szCs w:val="14"/>
          <w:color w:val="auto"/>
        </w:rPr>
        <w:t xml:space="preserve">) 605-25, </w:t>
      </w:r>
      <w:r>
        <w:rPr>
          <w:rFonts w:ascii="Arial" w:cs="Arial" w:eastAsia="Arial" w:hAnsi="Arial"/>
          <w:sz w:val="14"/>
          <w:szCs w:val="14"/>
          <w:i w:val="1"/>
          <w:iCs w:val="1"/>
          <w:color w:val="auto"/>
        </w:rPr>
        <w:t>Revenue Arrangements-Multiple Element Arrangements</w:t>
      </w:r>
      <w:r>
        <w:rPr>
          <w:rFonts w:ascii="Arial" w:cs="Arial" w:eastAsia="Arial" w:hAnsi="Arial"/>
          <w:sz w:val="14"/>
          <w:szCs w:val="14"/>
          <w:color w:val="auto"/>
        </w:rPr>
        <w:t xml:space="preserve"> (</w:t>
      </w:r>
      <w:r>
        <w:rPr>
          <w:rFonts w:ascii="Arial" w:cs="Arial" w:eastAsia="Arial" w:hAnsi="Arial"/>
          <w:sz w:val="14"/>
          <w:szCs w:val="14"/>
          <w:i w:val="1"/>
          <w:iCs w:val="1"/>
          <w:color w:val="auto"/>
        </w:rPr>
        <w:t>ASC 605-25</w:t>
      </w:r>
      <w:r>
        <w:rPr>
          <w:rFonts w:ascii="Arial" w:cs="Arial" w:eastAsia="Arial" w:hAnsi="Arial"/>
          <w:sz w:val="14"/>
          <w:szCs w:val="14"/>
          <w:color w:val="auto"/>
        </w:rPr>
        <w:t>). Revenue for arrangements not having multiple deliverables, as outlined in ASC 605-25, is recognized once costs are incurred and collectability is reasonably assured.</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w:t>
      </w:r>
      <w:r>
        <w:rPr>
          <w:rFonts w:ascii="Arial" w:cs="Arial" w:eastAsia="Arial" w:hAnsi="Arial"/>
          <w:sz w:val="14"/>
          <w:szCs w:val="14"/>
          <w:i w:val="1"/>
          <w:iCs w:val="1"/>
          <w:color w:val="auto"/>
        </w:rPr>
        <w:t>VSOE</w:t>
      </w:r>
      <w:r>
        <w:rPr>
          <w:rFonts w:ascii="Arial" w:cs="Arial" w:eastAsia="Arial" w:hAnsi="Arial"/>
          <w:sz w:val="14"/>
          <w:szCs w:val="14"/>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46" w:lineRule="exact"/>
        <w:rPr>
          <w:sz w:val="20"/>
          <w:szCs w:val="20"/>
          <w:color w:val="auto"/>
        </w:rPr>
      </w:pPr>
    </w:p>
    <w:p>
      <w:pPr>
        <w:ind w:right="100"/>
        <w:spacing w:after="0" w:line="370"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07" w:lineRule="exact"/>
        <w:rPr>
          <w:sz w:val="20"/>
          <w:szCs w:val="20"/>
          <w:color w:val="auto"/>
        </w:rPr>
      </w:pPr>
    </w:p>
    <w:p>
      <w:pPr>
        <w:ind w:left="480" w:right="180" w:hanging="475"/>
        <w:spacing w:after="0" w:line="263" w:lineRule="auto"/>
        <w:tabs>
          <w:tab w:leader="none" w:pos="480"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8" w:lineRule="exact"/>
        <w:rPr>
          <w:rFonts w:ascii="Arial" w:cs="Arial" w:eastAsia="Arial" w:hAnsi="Arial"/>
          <w:sz w:val="19"/>
          <w:szCs w:val="19"/>
          <w:color w:val="auto"/>
          <w:vertAlign w:val="superscript"/>
        </w:rPr>
      </w:pPr>
    </w:p>
    <w:p>
      <w:pPr>
        <w:ind w:left="480" w:right="120" w:hanging="475"/>
        <w:spacing w:after="0" w:line="242" w:lineRule="auto"/>
        <w:tabs>
          <w:tab w:leader="none" w:pos="480"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81" w:lineRule="exact"/>
        <w:rPr>
          <w:rFonts w:ascii="Arial" w:cs="Arial" w:eastAsia="Arial" w:hAnsi="Arial"/>
          <w:sz w:val="19"/>
          <w:szCs w:val="19"/>
          <w:color w:val="auto"/>
          <w:vertAlign w:val="superscript"/>
        </w:rPr>
      </w:pPr>
    </w:p>
    <w:p>
      <w:pPr>
        <w:ind w:left="480" w:right="40" w:hanging="475"/>
        <w:spacing w:after="0" w:line="215" w:lineRule="auto"/>
        <w:tabs>
          <w:tab w:leader="none" w:pos="480" w:val="left"/>
        </w:tabs>
        <w:numPr>
          <w:ilvl w:val="0"/>
          <w:numId w:val="35"/>
        </w:numPr>
        <w:rPr>
          <w:rFonts w:ascii="Arial" w:cs="Arial" w:eastAsia="Arial" w:hAnsi="Arial"/>
          <w:sz w:val="20"/>
          <w:szCs w:val="20"/>
          <w:color w:val="auto"/>
          <w:vertAlign w:val="superscript"/>
        </w:rPr>
      </w:pPr>
      <w:r>
        <w:rPr>
          <w:rFonts w:ascii="Arial" w:cs="Arial" w:eastAsia="Arial" w:hAnsi="Arial"/>
          <w:sz w:val="14"/>
          <w:szCs w:val="14"/>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Long-Lived Assets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In accordance with ASC 360-10</w:t>
      </w:r>
      <w:r>
        <w:rPr>
          <w:rFonts w:ascii="Arial" w:cs="Arial" w:eastAsia="Arial" w:hAnsi="Arial"/>
          <w:sz w:val="14"/>
          <w:szCs w:val="14"/>
          <w:i w:val="1"/>
          <w:iCs w:val="1"/>
          <w:color w:val="auto"/>
        </w:rPr>
        <w:t>, Property, Plant &amp; Equipment -Overall</w:t>
      </w:r>
      <w:r>
        <w:rPr>
          <w:rFonts w:ascii="Arial" w:cs="Arial" w:eastAsia="Arial" w:hAnsi="Arial"/>
          <w:sz w:val="14"/>
          <w:szCs w:val="14"/>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52" w:name="page53"/>
    <w:bookmarkEnd w:id="5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MDD, sponsored stem cell research and development costs, and costs related to the application and prosecution of patents related to our stem cell technology platform and AV-101.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7" w:lineRule="exact"/>
        <w:rPr>
          <w:sz w:val="20"/>
          <w:szCs w:val="20"/>
          <w:color w:val="auto"/>
        </w:rPr>
      </w:pPr>
    </w:p>
    <w:p>
      <w:pPr>
        <w:ind w:right="60"/>
        <w:spacing w:after="0" w:line="285" w:lineRule="auto"/>
        <w:rPr>
          <w:sz w:val="20"/>
          <w:szCs w:val="20"/>
          <w:color w:val="auto"/>
        </w:rPr>
      </w:pPr>
      <w:r>
        <w:rPr>
          <w:rFonts w:ascii="Arial" w:cs="Arial" w:eastAsia="Arial" w:hAnsi="Arial"/>
          <w:sz w:val="13"/>
          <w:szCs w:val="13"/>
          <w:color w:val="auto"/>
        </w:rPr>
        <w:t>We use the Black-Scholes option-pricing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 Liability</w:t>
      </w: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have issued to Platinum Long Term Growth VII, LLC, our largest investor (</w:t>
      </w:r>
      <w:r>
        <w:rPr>
          <w:rFonts w:ascii="Arial" w:cs="Arial" w:eastAsia="Arial" w:hAnsi="Arial"/>
          <w:sz w:val="14"/>
          <w:szCs w:val="14"/>
          <w:i w:val="1"/>
          <w:iCs w:val="1"/>
          <w:color w:val="auto"/>
        </w:rPr>
        <w:t>Platinum</w:t>
      </w:r>
      <w:r>
        <w:rPr>
          <w:rFonts w:ascii="Arial" w:cs="Arial" w:eastAsia="Arial" w:hAnsi="Arial"/>
          <w:sz w:val="14"/>
          <w:szCs w:val="14"/>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The Platinum Warrants contain an exercise price adjustment feature that will reduce the exercise price of the warrants in the event we subsequently issue equity instruments at a price lower than the exercise price of the Platinum Warrants. We account for the Platinum Warrants as non-cash liabilities and estimate their fair value at the end of each financial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income or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 xml:space="preserve">Notwithstanding the foregoing, and as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to the Consolidated Financial Statements for the fiscal years ended March 31, 2015 and 2014 included in this prospectus, on May 12, 2015, we entered into an agreement with Platinum pursuant to which Platinum agreed to amend the Platinum Warrants to (A) fix the exercise price thereof at $7.00 per share, (B) eliminate the exercise price reset features and (C) fix the number of shares of our common stock issuable thereunder. This agreement and the related amendments to the Platinum Warrants resulted in the elimination of the warrant liability with respect to the Platinum Warrants during the quarter ending June 30, 2015.</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Note 3 to the Consolidated Financial Statements included in in this prospectus for information on recent accounting pronouncements.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Results of Operations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Comparison of Years Ended March 31, 2015 and 2014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8840" w:type="dxa"/>
            <w:vAlign w:val="bottom"/>
            <w:gridSpan w:val="2"/>
          </w:tcPr>
          <w:p>
            <w:pPr>
              <w:spacing w:after="0"/>
              <w:rPr>
                <w:sz w:val="20"/>
                <w:szCs w:val="20"/>
                <w:color w:val="auto"/>
              </w:rPr>
            </w:pPr>
            <w:r>
              <w:rPr>
                <w:rFonts w:ascii="Arial" w:cs="Arial" w:eastAsia="Arial" w:hAnsi="Arial"/>
                <w:sz w:val="14"/>
                <w:szCs w:val="14"/>
                <w:color w:val="auto"/>
              </w:rPr>
              <w:t>The following table summarizes the results of our operations for the fiscal years ended March 31, 2015 and 2014 (amounts in $000):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r>
      <w:tr>
        <w:trPr>
          <w:trHeight w:val="172"/>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2,433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2,481</w:t>
            </w: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4,344</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2,548</w:t>
            </w:r>
          </w:p>
        </w:tc>
      </w:tr>
      <w:tr>
        <w:trPr>
          <w:trHeight w:val="21"/>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operating expenses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6,777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5,029</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(6,777)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(5,029)</w:t>
            </w: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(4,549)</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r>
      <w:tr>
        <w:trPr>
          <w:trHeight w:val="170"/>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Change in warrant liabilities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3,567</w:t>
            </w: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(2,388)</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Other expense</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Loss before income taxes</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(13,884)</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(2,965)</w:t>
            </w: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(13,886)</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(2,968)</w:t>
            </w: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80" w:lineRule="exact"/>
        <w:rPr>
          <w:sz w:val="20"/>
          <w:szCs w:val="20"/>
          <w:color w:val="auto"/>
        </w:rPr>
      </w:pPr>
    </w:p>
    <w:p>
      <w:pPr>
        <w:jc w:val="both"/>
        <w:ind w:right="40"/>
        <w:spacing w:after="0" w:line="283" w:lineRule="auto"/>
        <w:rPr>
          <w:sz w:val="20"/>
          <w:szCs w:val="20"/>
          <w:color w:val="auto"/>
        </w:rPr>
      </w:pPr>
      <w:r>
        <w:rPr>
          <w:rFonts w:ascii="Arial" w:cs="Arial" w:eastAsia="Arial" w:hAnsi="Arial"/>
          <w:sz w:val="14"/>
          <w:szCs w:val="14"/>
          <w:color w:val="auto"/>
        </w:rPr>
        <w:t>We reported no revenue for the fiscal years ended March 31, 2015 or 2014. We have successfully completed our Phase 1 development of AV-101. Additionally, as indicated previously, we have entered into a CRADA with the NIH providing for an NIH-sponsored Phase 2 clinical study of AV-101 in MDD, which study began in October 2015.</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Research and development expense decreased by 2% in fiscal 2015 compared to fiscal 2014. The following table compares the primary components of research and development expense between the periods (in $000):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Arial" w:cs="Arial" w:eastAsia="Arial" w:hAnsi="Arial"/>
                <w:sz w:val="14"/>
                <w:szCs w:val="14"/>
                <w:b w:val="1"/>
                <w:bCs w:val="1"/>
                <w:color w:val="auto"/>
              </w:rPr>
              <w:t>Fiscal Years Ended March 31,</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4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889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849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UHN research under SRCA</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Consulting services</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Technology licenses and royalties</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Project-related third-party research and supplies:</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AV-101</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All other including CardioSafe and LiverSafe</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1"/>
        </w:trPr>
        <w:tc>
          <w:tcPr>
            <w:tcW w:w="4200" w:type="dxa"/>
            <w:vAlign w:val="bottom"/>
            <w:shd w:val="clear" w:color="auto" w:fill="CCEEFF"/>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Rent</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220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Arial" w:cs="Arial" w:eastAsia="Arial" w:hAnsi="Arial"/>
                <w:sz w:val="14"/>
                <w:szCs w:val="14"/>
                <w:color w:val="auto"/>
              </w:rPr>
              <w:t>All other</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Total Research and Development Expense</w:t>
            </w:r>
          </w:p>
        </w:tc>
        <w:tc>
          <w:tcPr>
            <w:tcW w:w="4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2,433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2,481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640" w:type="dxa"/>
            <w:vAlign w:val="bottom"/>
            <w:vMerge w:val="restart"/>
          </w:tcPr>
          <w:p>
            <w:pPr>
              <w:jc w:val="right"/>
              <w:ind w:right="2909"/>
              <w:spacing w:after="0"/>
              <w:rPr>
                <w:sz w:val="20"/>
                <w:szCs w:val="20"/>
                <w:color w:val="auto"/>
              </w:rPr>
            </w:pPr>
            <w:r>
              <w:rPr>
                <w:rFonts w:ascii="Arial" w:cs="Arial" w:eastAsia="Arial" w:hAnsi="Arial"/>
                <w:sz w:val="14"/>
                <w:szCs w:val="14"/>
                <w:color w:val="auto"/>
              </w:rPr>
              <w:t>-49-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200" w:type="dxa"/>
            <w:vAlign w:val="bottom"/>
            <w:tcBorders>
              <w:bottom w:val="single" w:sz="8" w:color="808080"/>
            </w:tcBorders>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54" w:name="page55"/>
    <w:bookmarkEnd w:id="5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311" w:lineRule="auto"/>
        <w:rPr>
          <w:sz w:val="20"/>
          <w:szCs w:val="20"/>
          <w:color w:val="auto"/>
        </w:rPr>
      </w:pPr>
      <w:r>
        <w:rPr>
          <w:rFonts w:ascii="Arial" w:cs="Arial" w:eastAsia="Arial" w:hAnsi="Arial"/>
          <w:sz w:val="12"/>
          <w:szCs w:val="12"/>
          <w:color w:val="auto"/>
        </w:rPr>
        <w:t>To conserve cash resources, during fiscal 2015 and 2014, Ralph Snodgrass, PhD, our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accepted a voluntary cash pay reduction to substantially less than his contractual pay rate. For fiscal 2015, the CSO’s actual cash pay represented approximately 52% of his contractual pay rate. In fiscal 2014, the CSO voluntarily agreed to accept a cash pay rate of approximately 82% of his contractual rate, not all of which amount was paid. In fiscal 2015, we have accrued the difference between the CSO’s contractual pay rate and his actual cash pay, $147,700, for future payment. In fiscal 2014, we accrued the difference between the CSO’s reduced pay rate and his actual cash pay, $100,400, for future payment. Aside from a minimal partial repayment received by the CSO during August 2015, a majority of such accrued amounts for both fiscal 2014 and fiscal 2015 remains unpaid. Pay rates for other scientific personnel remained constant between years. One member of our scientific staff voluntarily resigned at the end of September 2014 and another member has voluntarily reduced her work hours and pay since September 2014.</w:t>
      </w:r>
    </w:p>
    <w:p>
      <w:pPr>
        <w:spacing w:after="0" w:line="141" w:lineRule="exact"/>
        <w:rPr>
          <w:sz w:val="20"/>
          <w:szCs w:val="20"/>
          <w:color w:val="auto"/>
        </w:rPr>
      </w:pPr>
    </w:p>
    <w:p>
      <w:pPr>
        <w:ind w:right="80"/>
        <w:spacing w:after="0" w:line="300" w:lineRule="auto"/>
        <w:rPr>
          <w:sz w:val="20"/>
          <w:szCs w:val="20"/>
          <w:color w:val="auto"/>
        </w:rPr>
      </w:pPr>
      <w:r>
        <w:rPr>
          <w:rFonts w:ascii="Arial" w:cs="Arial" w:eastAsia="Arial" w:hAnsi="Arial"/>
          <w:sz w:val="12"/>
          <w:szCs w:val="12"/>
          <w:color w:val="auto"/>
        </w:rPr>
        <w:t>In January 2015, we granted five-year fully exercisable warrants to purchase an aggregate of 115,000 restricted shares of our common stock at an exercise price of $8.00 per share to our CSO and other scientific consultants and service providers, recognizing approximately $528,000 in stock-based compensation expense. Stock based compensation expense for fiscal 2015 and fiscal 2014 also reflects approximately $176,000 and $297,000, respectively, related to the ratable four-year amortization of option grants made to scientific staff and consultants in October 2013 and March 2014 and earlier. The ratable amortization of stock compensation expense related to certain options granted in October 2012 with a two-year vesting period ceased when the options became fully vested in October</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2014. An additional component of stock compensation expense is the amortization attributable to grants of warrants made to our CSO in March 2014 and March 2013, amounting to $145,000 in fiscal 2015 and $156,000 in fiscal 2014. The warrants are being amortized over a two-year vesting period, but are subject to certain vesting acceleration events. No further expense will be recognized with respect to the warrants granted in March 2013.</w:t>
      </w:r>
    </w:p>
    <w:p>
      <w:pPr>
        <w:spacing w:after="0" w:line="169"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color w:val="auto"/>
        </w:rPr>
        <w:t>Our most recent sponsored research project budget under the collaboration agreement with Dr. Gordon Keller’s laboratory at UHN ended on September 30, 2013, and we have incurred no sponsored research expense under the agreement since that date. We are engaged in discussions with Dr. Keller and UHN regarding the scope of subsequent sponsored research projects and budget under the agreement, but have not yet finalized such project definitions and budgets.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reflects fees paid or accrued for scientific services rendered to us by third parties, primarily by members of our scientific advisory board.</w:t>
      </w:r>
    </w:p>
    <w:p>
      <w:pPr>
        <w:spacing w:after="0" w:line="201"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 Certain of our technology licensors invoiced us for significant legal fees for patent protection and prosecution during fiscal 2014.</w:t>
      </w:r>
    </w:p>
    <w:p>
      <w:pPr>
        <w:spacing w:after="0" w:line="163"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color w:val="auto"/>
        </w:rPr>
        <w:t>AV-101 expenses in both fiscal years 2015 and 2014 primarily reflect the costs associated with monitoring for and responding to potential feedback related to the Phase 1 clinical trial and preparing other reports required under the terms of our prior NIH grant, primarily through our contract research collaborator, Cato Research Ltd.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rent expense versus FY 2014 reflects the full-year impact of rental costs related to our relocation to our current facilities in late-July 2013.</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20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General and administrative expense increased by 70% in fiscal 2015 compared to fiscal 2014. The following table compares the primary components of general and administrative expense between the periods (in $000):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color w:val="auto"/>
              </w:rPr>
              <w:t>Fiscal Years Ended March 31,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5500" w:type="dxa"/>
            <w:vAlign w:val="bottom"/>
            <w:gridSpan w:val="2"/>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714</w:t>
            </w:r>
          </w:p>
        </w:tc>
        <w:tc>
          <w:tcPr>
            <w:tcW w:w="780" w:type="dxa"/>
            <w:vAlign w:val="bottom"/>
            <w:shd w:val="clear" w:color="auto" w:fill="CCEEFF"/>
          </w:tcPr>
          <w:p>
            <w:pPr>
              <w:jc w:val="right"/>
              <w:ind w:right="663"/>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1,611</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112</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Legal, accounting and other professional fees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1,197</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Investor relations</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132</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Insurance</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136</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Travel and entertainment</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Rent and utilities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155</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Arial" w:cs="Arial" w:eastAsia="Arial" w:hAnsi="Arial"/>
                <w:sz w:val="14"/>
                <w:szCs w:val="14"/>
                <w:color w:val="auto"/>
              </w:rPr>
              <w:t>All other expenses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118</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14"/>
                <w:szCs w:val="14"/>
                <w:color w:val="auto"/>
              </w:rPr>
            </w:pPr>
          </w:p>
        </w:tc>
        <w:tc>
          <w:tcPr>
            <w:tcW w:w="474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Total General and Administrative Expense</w:t>
            </w:r>
          </w:p>
        </w:tc>
        <w:tc>
          <w:tcPr>
            <w:tcW w:w="550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4,344</w:t>
            </w:r>
          </w:p>
        </w:tc>
        <w:tc>
          <w:tcPr>
            <w:tcW w:w="780" w:type="dxa"/>
            <w:vAlign w:val="bottom"/>
          </w:tcPr>
          <w:p>
            <w:pPr>
              <w:jc w:val="right"/>
              <w:ind w:right="663"/>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2,548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740" w:type="dxa"/>
            <w:vAlign w:val="bottom"/>
            <w:vMerge w:val="restart"/>
          </w:tcPr>
          <w:p>
            <w:pPr>
              <w:jc w:val="right"/>
              <w:ind w:right="2909"/>
              <w:spacing w:after="0"/>
              <w:rPr>
                <w:sz w:val="20"/>
                <w:szCs w:val="20"/>
                <w:color w:val="auto"/>
              </w:rPr>
            </w:pPr>
            <w:r>
              <w:rPr>
                <w:rFonts w:ascii="Arial" w:cs="Arial" w:eastAsia="Arial" w:hAnsi="Arial"/>
                <w:sz w:val="14"/>
                <w:szCs w:val="14"/>
                <w:color w:val="auto"/>
              </w:rPr>
              <w:t>-50-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1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100" w:type="dxa"/>
            <w:vAlign w:val="bottom"/>
            <w:tcBorders>
              <w:bottom w:val="single" w:sz="8" w:color="808080"/>
            </w:tcBorders>
          </w:tcPr>
          <w:p>
            <w:pPr>
              <w:spacing w:after="0"/>
              <w:rPr>
                <w:sz w:val="7"/>
                <w:szCs w:val="7"/>
                <w:color w:val="auto"/>
              </w:rPr>
            </w:pPr>
          </w:p>
        </w:tc>
        <w:tc>
          <w:tcPr>
            <w:tcW w:w="47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5" w:name="page56"/>
    <w:bookmarkEnd w:id="5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To conserve cash resources, during fiscal 2015 and 2014, both Shawn Singh, our Chief Executive Officer (</w:t>
      </w:r>
      <w:r>
        <w:rPr>
          <w:rFonts w:ascii="Arial" w:cs="Arial" w:eastAsia="Arial" w:hAnsi="Arial"/>
          <w:sz w:val="13"/>
          <w:szCs w:val="13"/>
          <w:i w:val="1"/>
          <w:iCs w:val="1"/>
          <w:color w:val="auto"/>
        </w:rPr>
        <w:t>CEO</w:t>
      </w:r>
      <w:r>
        <w:rPr>
          <w:rFonts w:ascii="Arial" w:cs="Arial" w:eastAsia="Arial" w:hAnsi="Arial"/>
          <w:sz w:val="13"/>
          <w:szCs w:val="13"/>
          <w:color w:val="auto"/>
        </w:rPr>
        <w:t>), and Jerrold Dotson, our Chief Financial Officer (</w:t>
      </w:r>
      <w:r>
        <w:rPr>
          <w:rFonts w:ascii="Arial" w:cs="Arial" w:eastAsia="Arial" w:hAnsi="Arial"/>
          <w:sz w:val="13"/>
          <w:szCs w:val="13"/>
          <w:i w:val="1"/>
          <w:iCs w:val="1"/>
          <w:color w:val="auto"/>
        </w:rPr>
        <w:t>CFO</w:t>
      </w:r>
      <w:r>
        <w:rPr>
          <w:rFonts w:ascii="Arial" w:cs="Arial" w:eastAsia="Arial" w:hAnsi="Arial"/>
          <w:sz w:val="13"/>
          <w:szCs w:val="13"/>
          <w:color w:val="auto"/>
        </w:rPr>
        <w:t>), accepted voluntary cash pay reductions to substantially less than their contractual pay rates. For fiscal 2015, the CEO’s and CFO’s actual cash pay represented approximately 24% and 62%, respectively, of contractual rates. In fiscal 2014, the CEO and CFO voluntarily agreed to accept cash pay rates of approximately 72% and 80%, respectively, of their contractual rates, not all of which amounts were paid. In fiscal 2015, we accrued the difference between the CEO’s and CFO’s contractual pay rate and his actual cash pay, $264,700 and $96,100, respectively, for future payment. In fiscal 2014, we accrued the difference between the CEO’s and CFO’s reduced pay rates and his actual cash pay, $125,000 and $56,700, respectively, for future payment. Aside from a minimal partial repayment received by each executive during August 2015, a majority of such accrued amounts for both fiscal 2014 and fiscal 2015 remain unpaid and owing. Offsetting the impact of the accrual to contractual pay rates for the CEO and CFO for fiscal 2015 is the annual impact of the voluntary resignations of two administrative employees in August and November 2013 who have not been replaced. Pay rates for other administrative employees remained stable between the periods presented.</w:t>
      </w:r>
    </w:p>
    <w:p>
      <w:pPr>
        <w:spacing w:after="0" w:line="138"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In January 2015, we granted five-year fully exercisable warrants to purchase an aggregate of 271,715 restricted shares of our common stock at an exercise price of $8.00 per share to our CEO and CFO, independent members of our Board of Directors and other consultants and service providers, recognizing approximately $1,229,000 in stock-based compensation expense. Stock based compensation expense for fiscal 2015 and fiscal 2014 also reflects approximately $99,000 and $385,000, respectively, related to the ratable four-year amortization of option grants made to employees and consultants in October 2013 and March 2014 and earlier. The ratable amortization of stock compensation expense related to certain options granted in October 2012 with a two-year vesting period ceased when the options became fully vested in October 2014. An additional component of stock compensation expense is the amortization attributable to grants of warrants made to our CEO, CFO and independent members of our Board of Directors in March 2014 and March 2013, amounting to $283,000 in fiscal 2015 and $299,000 in fiscal 2014. The warrants are being amortized over a two-year vesting period, but are subject to certain vesting acceleration events. No further expense will be recognized with respect to the warrants granted in March 2013.</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primarily reflects fees paid or accrued for the services of the independent members of our Board of Directors.</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increase in legal, accounting and other professional fees results primarily from the impact of (i) two consulting agreements for strategic advisory and business development services pursuant to which we issued an aggregate of 55,000 restricted shares of our common stock valued at $469,000 at the date of issuance and paid $100,000 as cash compensation for such professional services during fiscal 2015; (ii) direct legal fees aggregating $150,000 related to services provided with respect to our prospective public offering of our equity securities and a proposed private offering of our equity securities; (iii) the expensing of approximately $102,000 of investment banker, banker’s counsel, accounting and other fees and costs related to the cancellation of our prospective public offering; (iv) legal and other costs related to the 1:20 reverse split of our common stock in August 2014 and legal and filing fees for our private placement Unit financing offerings; and (v) costs related to temporary employee fees for part-time administrative services.</w:t>
      </w:r>
    </w:p>
    <w:p>
      <w:pPr>
        <w:spacing w:after="0" w:line="171"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Outsourced investor relations service expenses are essentially flat between periods; we have conducted no special awareness or other initiatives during either fiscal 2015 or 2014. Travel expenses related to meetings with potential investors in our attempted registered public offering account for the increase compared to fiscal 2014.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fiscal 2015 increase in rent and utilities expense reflects the full-year impact of increased costs related to our relocation to expanded facilities in late-July 2013.</w:t>
      </w:r>
    </w:p>
    <w:p>
      <w:pPr>
        <w:spacing w:after="0" w:line="201"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Warrant modification expense in fiscal 2015 reflects the extension by one year of the term of outstanding warrants otherwise scheduled to expire during calendar 2015, as approved by our Board of Directors in January 2015. Warrant modification expense in fiscal 2014 reflects the impact of October 2013 and December 2013 reductions in the exercise price of certain outstanding warrants, generally from $35.00 per share or $30.00 per share, to $10.00 per share, and in limited cases, the extension of the term of certain outstanding warrants, and from which we used the proceeds of the warrant exercises as a source of short-term working capital.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fiscal 2015 decrease in other expenses is attributable to one-time relocation costs incurred in fiscal 2014 in connection with our relocation to expanded facilities in late-July 2013.</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6" w:name="page57"/>
    <w:bookmarkEnd w:id="5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Expenses, Net</w:t>
      </w:r>
    </w:p>
    <w:p>
      <w:pPr>
        <w:spacing w:after="0" w:line="201"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In both fiscal 2015 and 2014, other expenses, net includes interest expense, including non-cash discount amortization, on our outstanding promissory notes, as well as the non-cash impact of changes in the fair value of the warrant liabilities related to warrants issued or issuable to Platinum between October 2012 and July 2013. In fiscal 2015, other expenses, net also includes the non-cash loss on extinguishment of debt resulting from the modification of indebtedness to Platinum, holders of convertible promissory notes originally scheduled to mature on July 30, 2014, and to a technology licensor and a professional service provider. Additionally, in fiscal 2015 we incurred non-cash expense related to the settlement of a note receivable we accepted in fiscal 2012.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spacing w:after="0"/>
              <w:rPr>
                <w:sz w:val="20"/>
                <w:szCs w:val="20"/>
                <w:color w:val="auto"/>
              </w:rPr>
            </w:pPr>
            <w:r>
              <w:rPr>
                <w:rFonts w:ascii="Arial" w:cs="Arial" w:eastAsia="Arial" w:hAnsi="Arial"/>
                <w:sz w:val="14"/>
                <w:szCs w:val="14"/>
                <w:color w:val="auto"/>
              </w:rPr>
              <w:t>The following table compares the primary components of net interest expense between the periods (in $000):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8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4"/>
                <w:szCs w:val="14"/>
                <w:color w:val="auto"/>
                <w:w w:val="98"/>
              </w:rPr>
              <w:t>Fiscal Years Ended March 31,</w:t>
            </w:r>
          </w:p>
        </w:tc>
      </w:tr>
      <w:tr>
        <w:trPr>
          <w:trHeight w:val="172"/>
        </w:trPr>
        <w:tc>
          <w:tcPr>
            <w:tcW w:w="88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on promissory notes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907</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Amortization of discount on promissory notes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640</w:t>
            </w:r>
          </w:p>
        </w:tc>
      </w:tr>
      <w:tr>
        <w:trPr>
          <w:trHeight w:val="172"/>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interest expense, including on capital leases and premium financing</w:t>
            </w: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2"/>
        </w:trPr>
        <w:tc>
          <w:tcPr>
            <w:tcW w:w="8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currency fluctuations on notes payable</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r>
      <w:tr>
        <w:trPr>
          <w:trHeight w:val="170"/>
        </w:trPr>
        <w:tc>
          <w:tcPr>
            <w:tcW w:w="88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Interest expense, net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4,549</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1,503</w:t>
            </w:r>
          </w:p>
        </w:tc>
      </w:tr>
      <w:tr>
        <w:trPr>
          <w:trHeight w:val="20"/>
        </w:trPr>
        <w:tc>
          <w:tcPr>
            <w:tcW w:w="8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140"/>
        <w:spacing w:after="0" w:line="285" w:lineRule="auto"/>
        <w:rPr>
          <w:sz w:val="20"/>
          <w:szCs w:val="20"/>
          <w:color w:val="auto"/>
        </w:rPr>
      </w:pPr>
      <w:r>
        <w:rPr>
          <w:rFonts w:ascii="Arial" w:cs="Arial" w:eastAsia="Arial" w:hAnsi="Arial"/>
          <w:sz w:val="13"/>
          <w:szCs w:val="13"/>
          <w:color w:val="auto"/>
        </w:rPr>
        <w:t>The increase in interest expense between the periods is primarily attributable to the accrued interest recorded for the issuances between August 2013 and March 2015 of an aggregate of approximately $4.1 million of unsecured 10% convertible promissory notes pursuant to the 2013 Unit Private Placement and the 2014 Unit Private Placement. As a result of the significant inception-date discounts recorded in connection with the Unit Notes, approximately $2.7 million in fiscal 2015; the relatively short period between issuance and maturity over which the discount on the Unit Notes must be amortized, generally less than 12 months; and the accelerating amount of discount amortization recorded using the effective interest rate method as the notes approach maturity, discount amortization expense increased by approximately $2.7 million between the periods shown in the preceding table.</w:t>
      </w:r>
    </w:p>
    <w:p>
      <w:pPr>
        <w:spacing w:after="0" w:line="156"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Under the terms of the October 2012 Note Exchange and Purchase Agreement we entered with Platinum, we issued Senior Secured Convertible Promissory Notes and a related Exchange Warrant and Investment Warrants between October 2012 and March 2013. We issued a similar senior secured promissory note and related warrant to Platinum in July 2013. Upon Platinum’s exchange of the shares of our Series A preferred stock it holds into shares of our common stock, we will also be required to issue a Series A Exchange Warrant to Platinum. We determined that certain exercise price and share adjustment features contained in the various warrants require us to treat the warrants as liabilities. Accordingly, we recorded a non-cash warrant liability at its estimated fair value as of the date the warrant was issued or the contract executed. During fiscal 2015, we recognized a non-cash loss of $34,600 related to the net increase in the estimated fair value of these non-cash liabilities since March 31, 2014, which resulted primarily from the change in the market price of our common stock in relation to the exercise price of the warrants and an additional year elapsed in the remaining term for all but the Series A Exchange Warrant. During fiscal 2014, we recognized a non-cash gain of $3,556,900 related to the net decrease in the estimated fair value of the warrant liabilities since March 31, 2013, which resulted primarily from the decrease in the market price of our common stock in relation to the exercise price of the warrants.</w:t>
      </w:r>
    </w:p>
    <w:p>
      <w:pPr>
        <w:spacing w:after="0" w:line="138"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 xml:space="preserve">As described more fully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in the Consolidated Financial Statements for the Years Ended March 31, 2015 and 2014 included in this prospectus, effective May 31, 2014, we entered into agreements with substantially all holders of our 2013 Unit Notes and 2013 Unit Warrants to amend certain terms of the notes and the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as described more completely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to the Consolidated Financial Statements for the fiscal years Ended March 31, 2015 and 2014 included in this prospectus. We recognized a further $16,700 non-cash loss on extinguishment of debt as a result of the shares of our unregistered common stock issued to a professional services provider in settlement of fees for prior services rendered, as also described more completely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to the Consolidated Financial Statements for the fiscal years Ended March 31, 2015 and 2014 included in this prospectus.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7" w:name="page58"/>
    <w:bookmarkEnd w:id="5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As described more completely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to the Consolidated Financial Statements for the fiscal years Ended March 31, 2015 and 2014 included in this prospectus, in July 2014, we entered into an agreement with Platinum, as further amended in September 2014, pursuant to which Platinum agreed to convert into our unregistered equity securities all Senior Notes and accrued but unpaid interest thereon held by Platinum upon our consummation prior to October 31, 2014 (the </w:t>
      </w:r>
      <w:r>
        <w:rPr>
          <w:rFonts w:ascii="Arial" w:cs="Arial" w:eastAsia="Arial" w:hAnsi="Arial"/>
          <w:sz w:val="13"/>
          <w:szCs w:val="13"/>
          <w:i w:val="1"/>
          <w:iCs w:val="1"/>
          <w:color w:val="auto"/>
        </w:rPr>
        <w:t>Closing Date</w:t>
      </w:r>
      <w:r>
        <w:rPr>
          <w:rFonts w:ascii="Arial" w:cs="Arial" w:eastAsia="Arial" w:hAnsi="Arial"/>
          <w:sz w:val="13"/>
          <w:szCs w:val="13"/>
          <w:color w:val="auto"/>
        </w:rPr>
        <w:t>) of either (i) a Private Financing or a Public Offering, each as defined in the agreement.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newly created Series B Convertible Preferred Stock with an aggregate liquidation preference equal to the Outstanding Balance on the Closing Date. Prior to the agreement, the Senior Notes were convertible, at Platinum’s option, at any time prior to maturity at a conversion price of $10.00 per share. The modification of the conversion feature in the Senior Notes was treated as an extinguishment of the debt for accounting purposes. Accordingly, since the fair value of the amended Senior Notes substantially exceeded the carrying amount of the original notes, we recognized a non-cash loss on the extinguishment of debt in the aggregate amount of $1,603,400 attributable to the amendment.</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 xml:space="preserve">As described in Note 9, </w:t>
      </w:r>
      <w:r>
        <w:rPr>
          <w:rFonts w:ascii="Arial" w:cs="Arial" w:eastAsia="Arial" w:hAnsi="Arial"/>
          <w:sz w:val="14"/>
          <w:szCs w:val="14"/>
          <w:i w:val="1"/>
          <w:iCs w:val="1"/>
          <w:color w:val="auto"/>
        </w:rPr>
        <w:t>Capital Stock</w:t>
      </w:r>
      <w:r>
        <w:rPr>
          <w:rFonts w:ascii="Arial" w:cs="Arial" w:eastAsia="Arial" w:hAnsi="Arial"/>
          <w:sz w:val="14"/>
          <w:szCs w:val="14"/>
          <w:color w:val="auto"/>
        </w:rPr>
        <w:t>, to the Consolidated Financial Statements for the fiscal years Ended March 31, 2015 and 2014 included elsewhere in this Prospectus, in October 2014, we accepted a cash payment of $60,000 as settlement in full for a promissory note issued to us in May 2011 for the purchase of shares of our common stock. At the time of the payment, the principal and accrued interest due to us under the note receivable was $194,900, resulting in a recognized loss of $134,900 related to the settlement.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spacing w:after="0"/>
              <w:rPr>
                <w:sz w:val="20"/>
                <w:szCs w:val="20"/>
                <w:color w:val="auto"/>
              </w:rPr>
            </w:pPr>
            <w:r>
              <w:rPr>
                <w:rFonts w:ascii="Arial" w:cs="Arial" w:eastAsia="Arial" w:hAnsi="Arial"/>
                <w:sz w:val="14"/>
                <w:szCs w:val="14"/>
                <w:b w:val="1"/>
                <w:bCs w:val="1"/>
                <w:i w:val="1"/>
                <w:iCs w:val="1"/>
                <w:color w:val="auto"/>
              </w:rPr>
              <w:t>Comparison of Nine Months Ended December 31, 2015 and 2014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1"/>
        </w:trPr>
        <w:tc>
          <w:tcPr>
            <w:tcW w:w="8840" w:type="dxa"/>
            <w:vAlign w:val="bottom"/>
          </w:tcPr>
          <w:p>
            <w:pPr>
              <w:spacing w:after="0"/>
              <w:rPr>
                <w:sz w:val="20"/>
                <w:szCs w:val="20"/>
                <w:color w:val="auto"/>
              </w:rPr>
            </w:pPr>
            <w:r>
              <w:rPr>
                <w:rFonts w:ascii="Arial" w:cs="Arial" w:eastAsia="Arial" w:hAnsi="Arial"/>
                <w:sz w:val="14"/>
                <w:szCs w:val="14"/>
                <w:color w:val="auto"/>
                <w:w w:val="99"/>
              </w:rPr>
              <w:t>The following table summarizes the results of our operations for the nine months ended December 31, 2015 and 2014 (amounts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3"/>
        </w:trPr>
        <w:tc>
          <w:tcPr>
            <w:tcW w:w="8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December 31,</w:t>
            </w:r>
          </w:p>
        </w:tc>
      </w:tr>
      <w:tr>
        <w:trPr>
          <w:trHeight w:val="172"/>
        </w:trPr>
        <w:tc>
          <w:tcPr>
            <w:tcW w:w="88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340"/>
        </w:trPr>
        <w:tc>
          <w:tcPr>
            <w:tcW w:w="8840" w:type="dxa"/>
            <w:vAlign w:val="bottom"/>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8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2,835</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1,477</w:t>
            </w:r>
          </w:p>
        </w:tc>
      </w:tr>
      <w:tr>
        <w:trPr>
          <w:trHeight w:val="170"/>
        </w:trPr>
        <w:tc>
          <w:tcPr>
            <w:tcW w:w="884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6,515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r>
      <w:tr>
        <w:trPr>
          <w:trHeight w:val="21"/>
        </w:trPr>
        <w:tc>
          <w:tcPr>
            <w:tcW w:w="8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8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w:t>
            </w:r>
          </w:p>
        </w:tc>
      </w:tr>
      <w:tr>
        <w:trPr>
          <w:trHeight w:val="170"/>
        </w:trPr>
        <w:tc>
          <w:tcPr>
            <w:tcW w:w="88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(3,501)</w:t>
            </w:r>
          </w:p>
        </w:tc>
      </w:tr>
      <w:tr>
        <w:trPr>
          <w:trHeight w:val="170"/>
        </w:trPr>
        <w:tc>
          <w:tcPr>
            <w:tcW w:w="8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(2,183)</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Change in warrant liabilities</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(1,895)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528</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(2,371)</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Other expense</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(135)</w:t>
            </w:r>
          </w:p>
        </w:tc>
      </w:tr>
      <w:tr>
        <w:trPr>
          <w:trHeight w:val="170"/>
        </w:trPr>
        <w:tc>
          <w:tcPr>
            <w:tcW w:w="88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(38,717)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(7,662)</w:t>
            </w:r>
          </w:p>
        </w:tc>
      </w:tr>
      <w:tr>
        <w:trPr>
          <w:trHeight w:val="172"/>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r>
      <w:tr>
        <w:trPr>
          <w:trHeight w:val="170"/>
        </w:trPr>
        <w:tc>
          <w:tcPr>
            <w:tcW w:w="88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(38,719)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w:t>
            </w:r>
          </w:p>
        </w:tc>
      </w:tr>
      <w:tr>
        <w:trPr>
          <w:trHeight w:val="170"/>
        </w:trPr>
        <w:tc>
          <w:tcPr>
            <w:tcW w:w="8840" w:type="dxa"/>
            <w:vAlign w:val="bottom"/>
          </w:tcPr>
          <w:p>
            <w:pPr>
              <w:ind w:left="180"/>
              <w:spacing w:after="0"/>
              <w:rPr>
                <w:sz w:val="20"/>
                <w:szCs w:val="20"/>
                <w:color w:val="auto"/>
              </w:rPr>
            </w:pPr>
            <w:r>
              <w:rPr>
                <w:rFonts w:ascii="Arial" w:cs="Arial" w:eastAsia="Arial" w:hAnsi="Arial"/>
                <w:sz w:val="14"/>
                <w:szCs w:val="14"/>
                <w:color w:val="auto"/>
              </w:rPr>
              <w:t>Accrued dividend on Series B Preferred Stock</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(1,459)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Deemed dividend on Series B Preferred Stock</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(1,812)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8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(41,990)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(7,664)</w:t>
            </w:r>
          </w:p>
        </w:tc>
      </w:tr>
      <w:tr>
        <w:trPr>
          <w:trHeight w:val="20"/>
        </w:trPr>
        <w:tc>
          <w:tcPr>
            <w:tcW w:w="8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1" w:lineRule="exact"/>
        <w:rPr>
          <w:sz w:val="20"/>
          <w:szCs w:val="20"/>
          <w:color w:val="auto"/>
        </w:rPr>
      </w:pPr>
    </w:p>
    <w:p>
      <w:pPr>
        <w:ind w:right="160"/>
        <w:spacing w:after="0" w:line="268" w:lineRule="auto"/>
        <w:rPr>
          <w:sz w:val="20"/>
          <w:szCs w:val="20"/>
          <w:color w:val="auto"/>
        </w:rPr>
      </w:pPr>
      <w:r>
        <w:rPr>
          <w:rFonts w:ascii="Arial" w:cs="Arial" w:eastAsia="Arial" w:hAnsi="Arial"/>
          <w:sz w:val="14"/>
          <w:szCs w:val="14"/>
          <w:color w:val="auto"/>
        </w:rPr>
        <w:t>We reported no revenue for the nine-month periods ended December 31, 2015 or 2014 and we presently have no revenue generating arrangements. However, as indicated previously, we have entered into a CRADA with the NIH providing for a Phase 2a clinical study of AV-101 in treatment-resistant MDD. This Phase 2a study, which began in late-2015, is being funded by the NIH and being conducted at the NIMH.</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8" w:name="page59"/>
    <w:bookmarkEnd w:id="5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Research and development expense totaled $2.8 million for the nine months ended December 31, 2015 compared to $1.5 million for the nine months ended December 31, 2014, primarily as a result of noncash expense related to stock based compensation awards granted in September 2015 and warrant modifications made in November 2015, as well as patent- and technology license-related expenses in support of AV-101 and our stem cell technology platforms. The following table indicates the primary components of research and development expense for each of the periods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color w:val="auto"/>
              </w:rPr>
              <w:t>Nine Months Ended December 31,</w:t>
            </w:r>
          </w:p>
        </w:tc>
      </w:tr>
      <w:tr>
        <w:trPr>
          <w:trHeight w:val="172"/>
        </w:trPr>
        <w:tc>
          <w:tcPr>
            <w:tcW w:w="88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680</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265</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Consulting and other professional services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Technology licenses and royalties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177</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Project-related research and supplies: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ind w:left="320"/>
              <w:spacing w:after="0"/>
              <w:rPr>
                <w:sz w:val="20"/>
                <w:szCs w:val="20"/>
                <w:color w:val="auto"/>
              </w:rPr>
            </w:pPr>
            <w:r>
              <w:rPr>
                <w:rFonts w:ascii="Arial" w:cs="Arial" w:eastAsia="Arial" w:hAnsi="Arial"/>
                <w:sz w:val="14"/>
                <w:szCs w:val="14"/>
                <w:color w:val="auto"/>
              </w:rPr>
              <w:t>AV-101</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r>
      <w:tr>
        <w:trPr>
          <w:trHeight w:val="172"/>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Stem cell and all other</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2"/>
        </w:trPr>
        <w:tc>
          <w:tcPr>
            <w:tcW w:w="8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Rent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All other</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Total Research and Development Expense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2,835</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1,477</w:t>
            </w:r>
          </w:p>
        </w:tc>
      </w:tr>
      <w:tr>
        <w:trPr>
          <w:trHeight w:val="20"/>
        </w:trPr>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decrease in salaries and benefits is primarily the result of the voluntary resignation of one member of our scientific staff at the end of September 2014 and the voluntary reduction of work hours and pay by another member of our scientific staff during the period October 2014 through September 2015.</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 xml:space="preserve">The increase in stock based compensation expense for 2015 reflects the $852,200 fair value, determined using the Black-Scholes Option Pricing Model and the assumptions indicated in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to the accompanying Condensed Consolidated Financial Statements for the nine months ended December 31, 2015 included elsewhere in this prospectus of</w:t>
      </w:r>
      <w:r>
        <w:rPr>
          <w:rFonts w:ascii="Arial" w:cs="Arial" w:eastAsia="Arial" w:hAnsi="Arial"/>
          <w:sz w:val="14"/>
          <w:szCs w:val="14"/>
          <w:i w:val="1"/>
          <w:iCs w:val="1"/>
          <w:color w:val="auto"/>
        </w:rPr>
        <w:t xml:space="preserve"> </w:t>
      </w:r>
      <w:r>
        <w:rPr>
          <w:rFonts w:ascii="Arial" w:cs="Arial" w:eastAsia="Arial" w:hAnsi="Arial"/>
          <w:sz w:val="14"/>
          <w:szCs w:val="14"/>
          <w:color w:val="auto"/>
        </w:rPr>
        <w:t>the September 2015 grant of immediately vested and expensed warrants to purchase 150,000 shares of our common stock granted to our CSO. Stock based compensation expense additionally reflects the ratable amortization of option grants made to scientific staff and consultants, most recently in September 2015, March 2014 and October 2013, as well as the ratable amortization of a warrant grant made to our CSO in March 2014. Our stock options are generally amortized over a two-year or four-year vesting period, and warrants granted to the CSO in March 2014 are being amortized over a three-year vesting period. Essentially all of the option grants made prior to October 2013 and a warrant grant made to our CSO in March 2013 became fully-vested and fully-expensed prior to the quarter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reflects fees paid or accrued for scientific services rendered to us by third parties, primarily by members of our scientific and clinical advisory board.</w:t>
      </w:r>
    </w:p>
    <w:p>
      <w:pPr>
        <w:spacing w:after="0" w:line="201"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Technology license expense reflects both recurring annual fees as well as costs for patent prosecution and protection that we are required to fund under the terms of certain of our stem cell technology license agreements, as well as those we elected to make for commercial purposes. We recognize these costs as they are invoiced to us by the licensors and they do not occur ratably throughout the year or between years. Additionally, in 2015, this expense includes significant costs we have incurred to advance, in the U.S. and numerous foreign counties, a number of pending patent applications with respect to AV-101 and our stem cell technology platform.</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9" w:name="page60"/>
    <w:bookmarkEnd w:id="5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20"/>
        <w:spacing w:after="0" w:line="290" w:lineRule="auto"/>
        <w:rPr>
          <w:sz w:val="20"/>
          <w:szCs w:val="20"/>
          <w:color w:val="auto"/>
        </w:rPr>
      </w:pPr>
      <w:r>
        <w:rPr>
          <w:rFonts w:ascii="Arial" w:cs="Arial" w:eastAsia="Arial" w:hAnsi="Arial"/>
          <w:sz w:val="13"/>
          <w:szCs w:val="13"/>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 An additional level of expense has been incurred during the nine months ended December 31, 2015 to explore and develop more efficient and cost-effective production methods for AV-101 as well as for updating documentation to facilitate the Phase 2 clinical trial of AV-101 in treatment resistant MDD that is being funded and conducted by the NIH. Stem cell and other project related expenses in both periods were nominal.</w:t>
      </w:r>
    </w:p>
    <w:p>
      <w:pPr>
        <w:spacing w:after="0" w:line="151" w:lineRule="exact"/>
        <w:rPr>
          <w:sz w:val="20"/>
          <w:szCs w:val="20"/>
          <w:color w:val="auto"/>
        </w:rPr>
      </w:pPr>
    </w:p>
    <w:p>
      <w:pPr>
        <w:ind w:right="180"/>
        <w:spacing w:after="0" w:line="323" w:lineRule="auto"/>
        <w:rPr>
          <w:sz w:val="20"/>
          <w:szCs w:val="20"/>
          <w:color w:val="auto"/>
        </w:rPr>
      </w:pPr>
      <w:r>
        <w:rPr>
          <w:rFonts w:ascii="Arial" w:cs="Arial" w:eastAsia="Arial" w:hAnsi="Arial"/>
          <w:sz w:val="13"/>
          <w:szCs w:val="13"/>
          <w:color w:val="auto"/>
        </w:rPr>
        <w:t>Warrant modification expense reflects an increase in the fair value attributable to the November 2015 modification of outstanding warrants to purchase an aggregate of 315,000 shares of our common stock previously granted to our CSO and a key scientific advisor to reduce the exercise prices thereof from a range of $9.25 to $12.80 per share to $7.00 per share.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General and administrative expense was $6.5 million for the nine months ended December 31, 2015 compared to $2.0 million reported for the nine months ended December 31, 2014, primarily as a result of noncash expense of approximately $2.9 million related to stock based compensation awards granted in September 2015 and warrant modifications made in November 2015, as well as increased professional services fees. The following table indicates the primary components of general and administrative expenses for each of the periods (amounts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6"/>
          </w:tcPr>
          <w:p>
            <w:pPr>
              <w:ind w:left="260"/>
              <w:spacing w:after="0"/>
              <w:rPr>
                <w:sz w:val="20"/>
                <w:szCs w:val="20"/>
                <w:color w:val="auto"/>
              </w:rPr>
            </w:pPr>
            <w:r>
              <w:rPr>
                <w:rFonts w:ascii="Arial" w:cs="Arial" w:eastAsia="Arial" w:hAnsi="Arial"/>
                <w:sz w:val="14"/>
                <w:szCs w:val="14"/>
                <w:color w:val="auto"/>
              </w:rPr>
              <w:t>Nine Months Ended December 31,</w:t>
            </w:r>
          </w:p>
        </w:tc>
        <w:tc>
          <w:tcPr>
            <w:tcW w:w="0" w:type="dxa"/>
            <w:vAlign w:val="bottom"/>
          </w:tcPr>
          <w:p>
            <w:pPr>
              <w:spacing w:after="0"/>
              <w:rPr>
                <w:sz w:val="1"/>
                <w:szCs w:val="1"/>
                <w:color w:val="auto"/>
              </w:rPr>
            </w:pPr>
          </w:p>
        </w:tc>
      </w:tr>
      <w:tr>
        <w:trPr>
          <w:trHeight w:val="172"/>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1860" w:type="dxa"/>
            <w:vAlign w:val="bottom"/>
            <w:gridSpan w:val="2"/>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2,889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Legal, accounting and other professional fees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2,113</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Investor relations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Insurance</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Travel expenses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Rent and utilities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116</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740" w:type="dxa"/>
            <w:vAlign w:val="bottom"/>
          </w:tcPr>
          <w:p>
            <w:pPr>
              <w:spacing w:after="0"/>
              <w:rPr>
                <w:sz w:val="20"/>
                <w:szCs w:val="20"/>
                <w:color w:val="auto"/>
              </w:rPr>
            </w:pPr>
            <w:r>
              <w:rPr>
                <w:rFonts w:ascii="Arial" w:cs="Arial" w:eastAsia="Arial" w:hAnsi="Arial"/>
                <w:sz w:val="14"/>
                <w:szCs w:val="14"/>
                <w:color w:val="auto"/>
              </w:rPr>
              <w:t>All other expenses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87</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Total General and Administrative Expense</w:t>
            </w:r>
          </w:p>
        </w:tc>
        <w:tc>
          <w:tcPr>
            <w:tcW w:w="186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6,515</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color w:val="auto"/>
              </w:rPr>
              <w:t>Administrative employee headcount and pay rates have remained essentially consistent between the periods reported.</w:t>
            </w:r>
          </w:p>
        </w:tc>
        <w:tc>
          <w:tcPr>
            <w:tcW w:w="1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 xml:space="preserve">The increase in stock based compensation expense for 2015 reflects the $2,840,700 fair value, determined using the Black-Scholes Option Pricing Model and the assumptions indicated in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to the accompanying Condensed Consolidated Financial Statements for the nine months ended December 31, 2015 included elsewhere in this prospectus of</w:t>
      </w:r>
      <w:r>
        <w:rPr>
          <w:rFonts w:ascii="Arial" w:cs="Arial" w:eastAsia="Arial" w:hAnsi="Arial"/>
          <w:sz w:val="13"/>
          <w:szCs w:val="13"/>
          <w:i w:val="1"/>
          <w:iCs w:val="1"/>
          <w:color w:val="auto"/>
        </w:rPr>
        <w:t xml:space="preserve"> </w:t>
      </w:r>
      <w:r>
        <w:rPr>
          <w:rFonts w:ascii="Arial" w:cs="Arial" w:eastAsia="Arial" w:hAnsi="Arial"/>
          <w:sz w:val="13"/>
          <w:szCs w:val="13"/>
          <w:color w:val="auto"/>
        </w:rPr>
        <w:t>the September 2015 grant of immediately vested and expensed warrants to purchase an aggregate of 500,000 shares of our common stock granted to our officers, independent members of our Board of Directors and certain administrative consultants. Stock based compensation expense additionally reflects the ratable amortization of option grants made to administrative staff and consultants, most recently in September 2015, March 2014 and October 2013, as well as the ratable amortization of a warrant grant made to certain officers and independent members of our Board of Directors in March 2014. Our stock options are generally amortized over a two-year or four-year vesting period, and warrants granted to officers and directors in March 2014 are being amortized over a three-year vesting period. Essentially all of the option grants made prior to October 2013 and warrant grants made to our officers and independent members of our Board of Directors in March 2013 became fully-vested and fully-expensed prior to the quarter ended December 31, 2015.</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0" w:name="page61"/>
    <w:bookmarkEnd w:id="6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primarily include fees accrued for the services of independent members of our Board of Directors.</w:t>
      </w:r>
    </w:p>
    <w:p>
      <w:pPr>
        <w:spacing w:after="0" w:line="20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 xml:space="preserve">The increase in legal, accounting and other professional service fees results primarily from (i) the $675,000 noncash expense recognized pursuant to the June 30, 2015 grant of an aggregate of 90,000 shares of our Series B Preferred having an aggregate value of $1,350,000 as compensation for financial advisory and corporate development service contracts with two independent contractors for services to be performed through June 30, 2016; (ii) the grant of an aggregate of 50,000 shares of our common stock having an aggregate fair value of $500,000 pursuant to two corporate development contracts initiated during the quarter ended June 30, 2015; (iii) the grant of 25,000 shares of our Series B Preferred having a fair value of $250,000 to legal counsel as compensation for services in connection with our debt restructuring and other corporate finance matters, and (iv) $138,000 of noncash expense attributable to the fair value of 15,750 shares of our unregistered common stock and a five-year warrant to purchase 7,500 unregistered shares of our common stock granted in connection with investment banking services.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to the accompanying Condensed Consolidated Financial Statements for the nine months ended December 31, 2016 included elsewhere in this prospectus, the $1,350,000 fair value of the 90,000 shares of Series B Preferred was recorded as a prepaid expense at the date of the grant and is being expensed ratably over the twelve months ending June 30, 2016. Legal expense for 2015 also includes one-time cash fees associated with the conversion of our promissory notes and other debt into our Series B Preferred. Professional services expense in 2015 reflects a $100,000 reduction in expense related to a contract for strategic advisory and business development services compared to 2014. In both years, accounting service fees include expense related to the annual audit of the prior year financial statements and current quarterly financial statement review services.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outsourced investor relations service reflects a reduction in investor relations initiatives during the latter portion of calendar 2015.</w:t>
      </w:r>
    </w:p>
    <w:p>
      <w:pPr>
        <w:spacing w:after="0" w:line="201"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color w:val="auto"/>
        </w:rPr>
        <w:t>In both periods, travel expense reflects costs associated with meetings with accredited investors in connection with the self-placed private placements of our securities, and in 2015, with various creditors in connection with extinguishment of a substantial portion of our indebtedness.</w:t>
      </w:r>
    </w:p>
    <w:p>
      <w:pPr>
        <w:spacing w:after="0" w:line="153" w:lineRule="exact"/>
        <w:rPr>
          <w:sz w:val="20"/>
          <w:szCs w:val="20"/>
          <w:color w:val="auto"/>
        </w:rPr>
      </w:pPr>
    </w:p>
    <w:p>
      <w:pPr>
        <w:jc w:val="both"/>
        <w:ind w:right="80"/>
        <w:spacing w:after="0" w:line="263" w:lineRule="auto"/>
        <w:rPr>
          <w:sz w:val="20"/>
          <w:szCs w:val="20"/>
          <w:color w:val="auto"/>
        </w:rPr>
      </w:pPr>
      <w:r>
        <w:rPr>
          <w:rFonts w:ascii="Arial" w:cs="Arial" w:eastAsia="Arial" w:hAnsi="Arial"/>
          <w:sz w:val="14"/>
          <w:szCs w:val="14"/>
          <w:color w:val="auto"/>
        </w:rPr>
        <w:t>Noncash warrant modification expense in 2015 includes (i) a $122,000 increase in the fair value attributable to the June 2015 strategic modification of outstanding warrants to purchase an aggregate of 54,576 shares of our common stock to reduce the exercise prices thereof, generally from $30.00 per share to $10.00 per share; and (ii) a $358,000 increase in the fair value attributable to the November 2015 modification of outstanding warrants to purchase an aggregate of 808,553 shares of our common stock previously granted to our CEO, CFO, and independent members of our Board of Directors to reduce the exercise prices thereof from a range of $9.25 to $12.80 per share to $7.00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and Other Expenses, Net</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Interest expense, net totaled $769,800 for the nine months ended December 31, 2015 compared to the $2,182,900 reported for the nine months ended December 31, 2014, reflecting the extinguishment of substantially all of our promissory notes and related discounts upon conversion into our Series B Preferred between May 2015 and August 2015. The following table summarizes the primary components of interest expense for each of the periods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jc w:val="right"/>
              <w:ind w:right="380"/>
              <w:spacing w:after="0"/>
              <w:rPr>
                <w:sz w:val="20"/>
                <w:szCs w:val="20"/>
                <w:color w:val="auto"/>
              </w:rPr>
            </w:pPr>
            <w:r>
              <w:rPr>
                <w:rFonts w:ascii="Arial" w:cs="Arial" w:eastAsia="Arial" w:hAnsi="Arial"/>
                <w:sz w:val="14"/>
                <w:szCs w:val="14"/>
                <w:color w:val="auto"/>
                <w:w w:val="95"/>
              </w:rPr>
              <w:t>Nine Months Ended December 31,</w:t>
            </w:r>
          </w:p>
        </w:tc>
      </w:tr>
      <w:tr>
        <w:trPr>
          <w:trHeight w:val="172"/>
        </w:trPr>
        <w:tc>
          <w:tcPr>
            <w:tcW w:w="88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on promissory notes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909</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Amortization of discount on promissory notes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1,295</w:t>
            </w:r>
          </w:p>
        </w:tc>
      </w:tr>
      <w:tr>
        <w:trPr>
          <w:trHeight w:val="172"/>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interest expense, including on capital leases and premium financing</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2,210</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currency fluctuations on notes payable</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r>
      <w:tr>
        <w:trPr>
          <w:trHeight w:val="170"/>
        </w:trPr>
        <w:tc>
          <w:tcPr>
            <w:tcW w:w="88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770</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2,183</w:t>
            </w:r>
          </w:p>
        </w:tc>
      </w:tr>
      <w:tr>
        <w:trPr>
          <w:trHeight w:val="20"/>
        </w:trPr>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auto"/>
        </w:rPr>
        <w:t>The substantial overall decrease in interest expense on promissory notes and the related amortization of discounts on such notes between the periods primarily reflects (i) accrued interest and discount amortization recorded for the issuances between July 2014 and May 2015 of an aggregate of approximately $1.8 million of 10% convertible promissory notes (</w:t>
      </w:r>
      <w:r>
        <w:rPr>
          <w:rFonts w:ascii="Arial" w:cs="Arial" w:eastAsia="Arial" w:hAnsi="Arial"/>
          <w:sz w:val="14"/>
          <w:szCs w:val="14"/>
          <w:i w:val="1"/>
          <w:iCs w:val="1"/>
          <w:color w:val="auto"/>
        </w:rPr>
        <w:t>2014 Unit Notes</w:t>
      </w:r>
      <w:r>
        <w:rPr>
          <w:rFonts w:ascii="Arial" w:cs="Arial" w:eastAsia="Arial" w:hAnsi="Arial"/>
          <w:sz w:val="14"/>
          <w:szCs w:val="14"/>
          <w:color w:val="auto"/>
        </w:rPr>
        <w:t>); and (ii) the offsetting cessation of interest accrual and discount amortization upon the conversion of all outstanding Senior Secured Convertible Notes, 2014 Unit Notes and other outstanding promissory notes aggregating approximately $13.3 million into shares of our Series B Preferred between May 2015 and August 2015.</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1" w:name="page62"/>
    <w:bookmarkEnd w:id="6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Under the terms of our October 2012 Note Exchange and Purchase Agreement with Platinum, we issued certain Senior Secured Convertible Promissory Notes and a related Exchange Warrant and Investment Warrants between October 2012 and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and Note 4,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Measurements, </w:t>
      </w:r>
      <w:r>
        <w:rPr>
          <w:rFonts w:ascii="Arial" w:cs="Arial" w:eastAsia="Arial" w:hAnsi="Arial"/>
          <w:sz w:val="13"/>
          <w:szCs w:val="13"/>
          <w:color w:val="auto"/>
        </w:rPr>
        <w:t>to the Condensed Consolidated Financial Statements for the nine months ended December 31, 2015 included elsewhere in this prospectus on May 12, 2015, we entered into an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with Platinum pursuant to which we amended the various warrants to fix the exercise price thereof and eliminate the anti-dilution reset features that had previously required the warrants to be treated as liabilities and carried at fair value. Accordingly, during the quarter ended June 30, 2015, we adjusted these warrants to their fair value, estimated to be $4,903,200, reflecting an increase of $1,894,700 since March 31, 2015, resulting primarily from the increase in the market price of our common stock in relation to the exercise price of the warrants, and then subsequently eliminated the entire warrant liability with respect to these warrants. (Refer to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to the Condensed Consolidated Financial Statements for the nine months ended December 31, 2015 included elsewhere in this prospectus regarding the subsequent exchange of these warrants for shares of our Series C Preferred stock.) During the nine months ended December 31, 2014, we recognized noncash gains of $528,300 related to the net decrease in the estimated fair value of the warrant liabilities since March 31, 2014, which resulted primarily from the decrease in the market price of our common stock in relation to the exercise price of the warrants.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As described more completely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8, </w:t>
      </w:r>
      <w:r>
        <w:rPr>
          <w:rFonts w:ascii="Arial" w:cs="Arial" w:eastAsia="Arial" w:hAnsi="Arial"/>
          <w:sz w:val="12"/>
          <w:szCs w:val="12"/>
          <w:i w:val="1"/>
          <w:iCs w:val="1"/>
          <w:color w:val="auto"/>
        </w:rPr>
        <w:t>Capital Stock</w:t>
      </w:r>
      <w:r>
        <w:rPr>
          <w:rFonts w:ascii="Arial" w:cs="Arial" w:eastAsia="Arial" w:hAnsi="Arial"/>
          <w:sz w:val="12"/>
          <w:szCs w:val="12"/>
          <w:color w:val="auto"/>
        </w:rPr>
        <w:t>, to the accompanying Condensed Consolidated Financial Statements for the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nine months ended December 31, 2015 included elsewhere in this prospectus, between May 12, 2015 and December 31, 2015, we have extinguished the outstanding balances of approximately $17.2</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million of promissory notes, including our Senior Secured Notes, our 2014 Unit Notes and other debt and certain adjustments thereto that were either already due and payable or would have otherwise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matured prior to March 31, 2016 by converting such balances into shares of our Series B Preferred. We treated the conversion of the indebtedness into Series B Preferred as extinguishments of debt for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accounting purposes. Since the fair value of the Series B Preferred we negotiated in settlement of the promissory notes and other indebtedness exceeded the carrying value of the debts, we incurred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noncash losses on each of the extinguishments. Additionally, under the terms of the Platinum Agreement, we issued to Platinum 400,000 shares of Series B Preferred having an aggregate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$4.0 million and Series B Warrants to purchase 1.2 million shares of our common stock having an aggregate of fair value of $8,270,900. We recognized this aggregate fair value as an additional noncash</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component of loss on extinguishment of debt. Many of the 2014 Unit Notes that were converted into Series B Preferred contained a beneficial conversion feature at the time they were originally issued.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We have accounted for the repurchase of the beneficial conversion feature at the time the 2014 Unit Notes were extinguished and converted, an aggregate of $2,237,100, as a reduction to the loss 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extinguishment of debt. We recorded an aggregate net noncash loss of $26.7 million attributable to the extinguishment of the indebtedness converted into Series B Preferred.</w:t>
      </w:r>
    </w:p>
    <w:p>
      <w:pPr>
        <w:spacing w:after="0" w:line="191"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During the quarter ended June 30, 2014, we entered into agreements with substantially all holders of our 2013 Unit Notes and 2013 Unit Warrants to amend certain terms of the notes and the warrants to essentially conform them to the 2014 Unit Notes and 2014 Unit Warrants. We treated the amendments as an extinguishment of debt for accounting purposes and recognized noncash losses on the extinguishment of debt in the aggregate amount of $526,200 attributable to the amendments. We also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during the quarter ended June 30, 2014. In July 2014, we entered into an agreement with Platinum, as further amended in September 2014, pursuant to which Platinum agreed to convert into our unregistered equity securities all then outstanding Senior Secured Notes and related accrued interest held by Platinum upon our consummation prior to October 31, 2014 of either (i) a Private Financing or a Public Offering, each as defined in the agreement. Prior to the agreement, the Senior Secured Notes were convertible, at Platinum’s option, at any time prior to maturity at a conversion price of $10.00 per share. The modification of the conversion feature in the Senior Secured Notes was treated as an extinguishment of the debt for accounting purposes and we recognized a non-cash loss on the extinguishment of debt in the aggregate amount of $1,603,400 attributable to the amendment in the quarter ended September 30, 2014.</w:t>
      </w:r>
    </w:p>
    <w:p>
      <w:pPr>
        <w:spacing w:after="0" w:line="161" w:lineRule="exact"/>
        <w:rPr>
          <w:sz w:val="20"/>
          <w:szCs w:val="20"/>
          <w:color w:val="auto"/>
        </w:rPr>
      </w:pPr>
    </w:p>
    <w:p>
      <w:pPr>
        <w:ind w:right="360"/>
        <w:spacing w:after="0" w:line="298" w:lineRule="auto"/>
        <w:rPr>
          <w:sz w:val="20"/>
          <w:szCs w:val="20"/>
          <w:color w:val="auto"/>
        </w:rPr>
      </w:pPr>
      <w:r>
        <w:rPr>
          <w:rFonts w:ascii="Arial" w:cs="Arial" w:eastAsia="Arial" w:hAnsi="Arial"/>
          <w:sz w:val="13"/>
          <w:szCs w:val="13"/>
          <w:color w:val="auto"/>
        </w:rPr>
        <w:t>In October 2014, we accepted a cash payment of $60,000 as settlement in full for a promissory note issued to us in May 2011 for the purchase of shares of our common stock. At the time of the payment, the principal and accrued interest due to us on the note receivable was $194,900, resulting in a noncash loss of $134,900 related to the settlement recognized in Other Expense in the nine months ended December 31, 2014. Other expense in the nine months ended December 31, 2015 reflects the noncash loss on the disposition of a piece of failed lab equipment.</w:t>
      </w:r>
    </w:p>
    <w:p>
      <w:pPr>
        <w:spacing w:after="0" w:line="146" w:lineRule="exact"/>
        <w:rPr>
          <w:sz w:val="20"/>
          <w:szCs w:val="20"/>
          <w:color w:val="auto"/>
        </w:rPr>
      </w:pPr>
    </w:p>
    <w:p>
      <w:pPr>
        <w:ind w:right="60"/>
        <w:spacing w:after="0" w:line="308" w:lineRule="auto"/>
        <w:rPr>
          <w:sz w:val="20"/>
          <w:szCs w:val="20"/>
          <w:color w:val="auto"/>
        </w:rPr>
      </w:pPr>
      <w:r>
        <w:rPr>
          <w:rFonts w:ascii="Arial" w:cs="Arial" w:eastAsia="Arial" w:hAnsi="Arial"/>
          <w:sz w:val="12"/>
          <w:szCs w:val="12"/>
          <w:color w:val="auto"/>
        </w:rPr>
        <w:t>We allocated the proceeds from the self-placed private placement sales of Series B Preferred Units between May 2015 and December 31, 2015 to the Series B Preferred and the Series B Warrants based on their relative fair values on the dates of the sales. The difference, for accounting purposes, between the relative fair value per share of the Series B Preferred, approximately $4.12 per share, and its Conversion Price (or stated value) of $7.00 per share represents a deemed dividend to the purchasers of the Series B Preferred Units. Accordingly, we have recognized a deemed dividend in the aggregate amount of $1,811,800 in arriving at net loss attributable to common stockholders for the nine months ended December 31, 2015 in the accompanying Condensed Consolidated Statement of Operations and Comprehensive Loss for the nine months ended December 31, 2015 included elsewhere in this prospectus. Further, we have recognized $1,459,300 representing the 10% cumulative dividend payable on our Series B Preferred as an additional deduction in arriving at net loss attributable to common stockholders for the nine months ended December 31, 2015 in the accompanying Condensed Consolidated Statement of Operations and Comprehensive Loss for the nine months ended December 31, 2015 included elsewhere in this prospectus.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2" w:name="page63"/>
    <w:bookmarkEnd w:id="6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Since our inception in May 1998 through December 31, 2015, we have financed our operations through (1) the issuance and sale of our common stock, preferred stock, warrants for common stock, and promissory notes for aggregate cash proceeds of approximately $33.9 million; (2) issuance of common stock and preferred stock with an approximate value at issuance of $28.9 million as consideration for, among other things, technology licenses and patent prosecution, sponsored research, contract research, drug development, drug manufacturing, regulatory services, and legal, investor relations, corporate development and financial advisory services; and (3) receipt of aggregate non-dilutive cash proceeds of approximately $16.4 million from government research and development grant awards and strategic collaboration transactions.</w:t>
      </w:r>
    </w:p>
    <w:p>
      <w:pPr>
        <w:spacing w:after="0" w:line="168"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As described more completely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8, </w:t>
      </w:r>
      <w:r>
        <w:rPr>
          <w:rFonts w:ascii="Arial" w:cs="Arial" w:eastAsia="Arial" w:hAnsi="Arial"/>
          <w:sz w:val="13"/>
          <w:szCs w:val="13"/>
          <w:i w:val="1"/>
          <w:iCs w:val="1"/>
          <w:color w:val="auto"/>
        </w:rPr>
        <w:t>Capital Stock</w:t>
      </w:r>
      <w:r>
        <w:rPr>
          <w:rFonts w:ascii="Arial" w:cs="Arial" w:eastAsia="Arial" w:hAnsi="Arial"/>
          <w:sz w:val="13"/>
          <w:szCs w:val="13"/>
          <w:color w:val="auto"/>
        </w:rPr>
        <w:t>, to the accompanying Condensed Consolidated Financial Statements for the nine months ended December 31, 2015 included elsewhere in this prospectus, between March 31, 2015 and December 31, 2015, we created our Series B 10% Convertible Preferred Stock (</w:t>
      </w:r>
      <w:r>
        <w:rPr>
          <w:rFonts w:ascii="Arial" w:cs="Arial" w:eastAsia="Arial" w:hAnsi="Arial"/>
          <w:sz w:val="13"/>
          <w:szCs w:val="13"/>
          <w:i w:val="1"/>
          <w:iCs w:val="1"/>
          <w:color w:val="auto"/>
        </w:rPr>
        <w:t>Series B</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w:t>
      </w:r>
      <w:r>
        <w:rPr>
          <w:rFonts w:ascii="Arial" w:cs="Arial" w:eastAsia="Arial" w:hAnsi="Arial"/>
          <w:sz w:val="13"/>
          <w:szCs w:val="13"/>
          <w:color w:val="auto"/>
        </w:rPr>
        <w:t>) and eliminated the outstanding balances of approximately $17.2 million of promissory notes, other indebtedness and certain adjustments thereto that was either already due and payable or</w:t>
      </w:r>
      <w:r>
        <w:rPr>
          <w:rFonts w:ascii="Arial" w:cs="Arial" w:eastAsia="Arial" w:hAnsi="Arial"/>
          <w:sz w:val="13"/>
          <w:szCs w:val="13"/>
          <w:i w:val="1"/>
          <w:iCs w:val="1"/>
          <w:color w:val="auto"/>
        </w:rPr>
        <w:t xml:space="preserve"> </w:t>
      </w:r>
      <w:r>
        <w:rPr>
          <w:rFonts w:ascii="Arial" w:cs="Arial" w:eastAsia="Arial" w:hAnsi="Arial"/>
          <w:sz w:val="13"/>
          <w:szCs w:val="13"/>
          <w:color w:val="auto"/>
        </w:rPr>
        <w:t>would have otherwise matured prior to March 31, 2016, through conversion into our Series B Preferred and, with respect to a portion of the indebtedness converted, warrants to purchase common stock. More specifically, through December 31, 2015, we have extinguished and converted (i) all of the Senior Secured Convertible Promissory Notes originally issued to Platinum, (ii) all of the 2014 Unit Notes outstanding at March 31, 2015 and those issued subsequently, and (iii) substantially all other outstanding promissory notes and accounts payable, including those issued to Cato Research Ltd., Cato Holding Company, Morrison &amp; Foerster (Note A and Note B), University Health Network, McCarthy Tetrault, Desjardins Securities, Burr Pilger &amp; Mayer, National Jewish Health, MicroConstants and several others, into an aggregate of 2,618,917 shares of our Series B Preferred. Additionally, through December 31, 2015, in our self-placed private placement of Series B Units, we have sold additional Series B Preferred Units consisting of an aggregate of 628,264 unregistered shares of Series B Preferred and five year warrants to purchase 628,264 shares of our common stock, and we have received cash proceeds of $4,397,800.</w:t>
      </w:r>
    </w:p>
    <w:p>
      <w:pPr>
        <w:spacing w:after="0" w:line="13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At December 31, 2015, we did not have sufficient cash and cash equivalents to enable us to fund our planned operations over the next twelve months, including expected cash expenditures of approximately $6.0 million. In August 2015, we entered into an agreement with Platinum (</w:t>
      </w:r>
      <w:r>
        <w:rPr>
          <w:rFonts w:ascii="Arial" w:cs="Arial" w:eastAsia="Arial" w:hAnsi="Arial"/>
          <w:sz w:val="13"/>
          <w:szCs w:val="13"/>
          <w:i w:val="1"/>
          <w:iCs w:val="1"/>
          <w:color w:val="auto"/>
        </w:rPr>
        <w:t>August 2015 Agreement</w:t>
      </w:r>
      <w:r>
        <w:rPr>
          <w:rFonts w:ascii="Arial" w:cs="Arial" w:eastAsia="Arial" w:hAnsi="Arial"/>
          <w:sz w:val="13"/>
          <w:szCs w:val="13"/>
          <w:color w:val="auto"/>
        </w:rPr>
        <w:t xml:space="preserve">) pursuant to which we agreed to sell to Platinum an additional $3.0 million of our Series B Preferred and Series B Warrants (collectively, </w:t>
      </w:r>
      <w:r>
        <w:rPr>
          <w:rFonts w:ascii="Arial" w:cs="Arial" w:eastAsia="Arial" w:hAnsi="Arial"/>
          <w:sz w:val="13"/>
          <w:szCs w:val="13"/>
          <w:i w:val="1"/>
          <w:iCs w:val="1"/>
          <w:color w:val="auto"/>
        </w:rPr>
        <w:t>Series B Units</w:t>
      </w:r>
      <w:r>
        <w:rPr>
          <w:rFonts w:ascii="Arial" w:cs="Arial" w:eastAsia="Arial" w:hAnsi="Arial"/>
          <w:sz w:val="13"/>
          <w:szCs w:val="13"/>
          <w:color w:val="auto"/>
        </w:rPr>
        <w:t xml:space="preserve">). Through December 31, 2015, Platinum purchased an additional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more particularly disclosed in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to the accompanying Condensed Consolidated Financial Statements for the nine months ended December 31, 2015 included elsewhere in this prospectus, from January 1, 2016 through February 12, 2016, we have sold to certain accredited investors other than Platinum $128,000 of our Series B Units in self-placed private placement transactions. We intend to raise additional capital through conversions, exchanges, issuances, and/or sales of our securities, which may include both debt and equity securities. We may also seek research and development collaborations that could generate revenue, as well as government grant awards. Further, strategic collaborations, such as our February 2015 CRADA with the NIMH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46"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49"/>
        </w:trPr>
        <w:tc>
          <w:tcPr>
            <w:tcW w:w="746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7460" w:type="dxa"/>
            <w:vAlign w:val="bottom"/>
            <w:gridSpan w:val="2"/>
          </w:tcPr>
          <w:p>
            <w:pPr>
              <w:spacing w:after="0"/>
              <w:rPr>
                <w:sz w:val="20"/>
                <w:szCs w:val="20"/>
                <w:color w:val="auto"/>
              </w:rPr>
            </w:pPr>
            <w:r>
              <w:rPr>
                <w:rFonts w:ascii="Arial" w:cs="Arial" w:eastAsia="Arial" w:hAnsi="Arial"/>
                <w:sz w:val="14"/>
                <w:szCs w:val="14"/>
                <w:color w:val="auto"/>
              </w:rPr>
              <w:t>The following table summarizes changes in cash and cash equivalents for the periods stated (in thousands):</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9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in operating activities</w:t>
            </w:r>
          </w:p>
        </w:tc>
        <w:tc>
          <w:tcPr>
            <w:tcW w:w="212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(3,499)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70"/>
        </w:trPr>
        <w:tc>
          <w:tcPr>
            <w:tcW w:w="746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4,592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656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1,088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7460" w:type="dxa"/>
            <w:vAlign w:val="bottom"/>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65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2120" w:type="dxa"/>
            <w:vAlign w:val="bottom"/>
            <w:gridSpan w:val="2"/>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1,158</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Off-Balance Sheet Arrangements</w:t>
            </w:r>
          </w:p>
        </w:tc>
        <w:tc>
          <w:tcPr>
            <w:tcW w:w="1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46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 owned subsidiaries, Artemis Neuroscience, Inc., a Maryland corporation, and VistaStem Canada, Inc., an Ontario corporation.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64" w:name="page65"/>
    <w:bookmarkEnd w:id="6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BUSINESS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in patients with an inadequate response to standard antidepressants.</w:t>
      </w:r>
    </w:p>
    <w:p>
      <w:pPr>
        <w:spacing w:after="0" w:line="163" w:lineRule="exact"/>
        <w:rPr>
          <w:sz w:val="20"/>
          <w:szCs w:val="20"/>
          <w:color w:val="auto"/>
        </w:rPr>
      </w:pPr>
    </w:p>
    <w:p>
      <w:pPr>
        <w:ind w:right="360"/>
        <w:spacing w:after="0" w:line="370" w:lineRule="auto"/>
        <w:rPr>
          <w:sz w:val="20"/>
          <w:szCs w:val="20"/>
          <w:color w:val="auto"/>
        </w:rPr>
      </w:pPr>
      <w:r>
        <w:rPr>
          <w:rFonts w:ascii="Arial" w:cs="Arial" w:eastAsia="Arial" w:hAnsi="Arial"/>
          <w:sz w:val="12"/>
          <w:szCs w:val="12"/>
          <w:color w:val="auto"/>
        </w:rPr>
        <w:t>AV-101’s mechanism of action, as an N-methyl D 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antagonist binding selectively at the glycine binding (</w:t>
      </w:r>
      <w:r>
        <w:rPr>
          <w:rFonts w:ascii="Arial" w:cs="Arial" w:eastAsia="Arial" w:hAnsi="Arial"/>
          <w:sz w:val="12"/>
          <w:szCs w:val="12"/>
          <w:i w:val="1"/>
          <w:iCs w:val="1"/>
          <w:color w:val="auto"/>
        </w:rPr>
        <w:t>GlyB</w:t>
      </w:r>
      <w:r>
        <w:rPr>
          <w:rFonts w:ascii="Arial" w:cs="Arial" w:eastAsia="Arial" w:hAnsi="Arial"/>
          <w:sz w:val="12"/>
          <w:szCs w:val="12"/>
          <w:color w:val="auto"/>
        </w:rPr>
        <w:t>) co-agonist site of the NMDAR, is fundamentally differentiated from all antidepressants, as well as all atypical antipsychotics used adjunctively with standard antidepressants, currently approved by the U.S. Food and Drug Administration (</w:t>
      </w:r>
      <w:r>
        <w:rPr>
          <w:rFonts w:ascii="Arial" w:cs="Arial" w:eastAsia="Arial" w:hAnsi="Arial"/>
          <w:sz w:val="12"/>
          <w:szCs w:val="12"/>
          <w:i w:val="1"/>
          <w:iCs w:val="1"/>
          <w:color w:val="auto"/>
        </w:rPr>
        <w:t>FDA</w:t>
      </w:r>
      <w:r>
        <w:rPr>
          <w:rFonts w:ascii="Arial" w:cs="Arial" w:eastAsia="Arial" w:hAnsi="Arial"/>
          <w:sz w:val="12"/>
          <w:szCs w:val="12"/>
          <w:color w:val="auto"/>
        </w:rPr>
        <w:t>).</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ongoing Phase 2a clinical study of AV-101 in subjects with treatment-resistant MDD is being conducted and funded by the U.S. National Institutes of Mental Health (</w:t>
      </w:r>
      <w:r>
        <w:rPr>
          <w:rFonts w:ascii="Arial" w:cs="Arial" w:eastAsia="Arial" w:hAnsi="Arial"/>
          <w:sz w:val="14"/>
          <w:szCs w:val="14"/>
          <w:i w:val="1"/>
          <w:iCs w:val="1"/>
          <w:color w:val="auto"/>
        </w:rPr>
        <w:t>NIMH</w:t>
      </w:r>
      <w:r>
        <w:rPr>
          <w:rFonts w:ascii="Arial" w:cs="Arial" w:eastAsia="Arial" w:hAnsi="Arial"/>
          <w:sz w:val="14"/>
          <w:szCs w:val="14"/>
          <w:color w:val="auto"/>
        </w:rPr>
        <w:t>) under our February 2015 Cooperative Research and Development Agreement (</w:t>
      </w:r>
      <w:r>
        <w:rPr>
          <w:rFonts w:ascii="Arial" w:cs="Arial" w:eastAsia="Arial" w:hAnsi="Arial"/>
          <w:sz w:val="14"/>
          <w:szCs w:val="14"/>
          <w:i w:val="1"/>
          <w:iCs w:val="1"/>
          <w:color w:val="auto"/>
        </w:rPr>
        <w:t>CRADA</w:t>
      </w:r>
      <w:r>
        <w:rPr>
          <w:rFonts w:ascii="Arial" w:cs="Arial" w:eastAsia="Arial" w:hAnsi="Arial"/>
          <w:sz w:val="14"/>
          <w:szCs w:val="14"/>
          <w:color w:val="auto"/>
        </w:rPr>
        <w:t>) with the NIMH. The first patient in this NIMH-sponsored Phase 2a study was dosed in November 2015.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intravenous (</w:t>
      </w:r>
      <w:r>
        <w:rPr>
          <w:rFonts w:ascii="Arial" w:cs="Arial" w:eastAsia="Arial" w:hAnsi="Arial"/>
          <w:sz w:val="14"/>
          <w:szCs w:val="14"/>
          <w:i w:val="1"/>
          <w:iCs w:val="1"/>
          <w:color w:val="auto"/>
        </w:rPr>
        <w:t>I.V.</w:t>
      </w:r>
      <w:r>
        <w:rPr>
          <w:rFonts w:ascii="Arial" w:cs="Arial" w:eastAsia="Arial" w:hAnsi="Arial"/>
          <w:sz w:val="14"/>
          <w:szCs w:val="14"/>
          <w:color w:val="auto"/>
        </w:rPr>
        <w:t>) ketamine on depression. These NIMH studies, as well as clinical research by others, have demonstrated robust antidepressant effects in patients with treatment-resistant MDD within hours of a single low dose of I.V. ketamine and stimulated research and development around a new generation of antidepressants with potential to deliver ketamine-like fast-onset benefits without its side effects.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Massachusetts General Hospital (</w:t>
      </w:r>
      <w:r>
        <w:rPr>
          <w:rFonts w:ascii="Arial" w:cs="Arial" w:eastAsia="Arial" w:hAnsi="Arial"/>
          <w:sz w:val="14"/>
          <w:szCs w:val="14"/>
          <w:i w:val="1"/>
          <w:iCs w:val="1"/>
          <w:color w:val="auto"/>
        </w:rPr>
        <w:t>MGH</w:t>
      </w:r>
      <w:r>
        <w:rPr>
          <w:rFonts w:ascii="Arial" w:cs="Arial" w:eastAsia="Arial" w:hAnsi="Arial"/>
          <w:sz w:val="14"/>
          <w:szCs w:val="14"/>
          <w:color w:val="auto"/>
        </w:rPr>
        <w:t>) Research Institute and Executive Director, MGH Clinical Trials Network and Institute, will be the principal investigator of our Phase 2b study.</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In addition to clinical development of AV-101, we are also focused on establishing strategic collaborations to advance potential commercial applications of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technology platform, including drug rescue to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internal drug candidate pipeline, and regenerative medicine (</w:t>
      </w:r>
      <w:r>
        <w:rPr>
          <w:rFonts w:ascii="Arial" w:cs="Arial" w:eastAsia="Arial" w:hAnsi="Arial"/>
          <w:sz w:val="14"/>
          <w:szCs w:val="14"/>
          <w:i w:val="1"/>
          <w:iCs w:val="1"/>
          <w:color w:val="auto"/>
        </w:rPr>
        <w:t>RM</w:t>
      </w:r>
      <w:r>
        <w:rPr>
          <w:rFonts w:ascii="Arial" w:cs="Arial" w:eastAsia="Arial" w:hAnsi="Arial"/>
          <w:sz w:val="14"/>
          <w:szCs w:val="14"/>
          <w:color w:val="auto"/>
        </w:rPr>
        <w:t>) using blood, cartilage, heart and liver cells derived from our hPSC technology.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and Major Depressive Disorder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Background</w:t>
      </w:r>
    </w:p>
    <w:p>
      <w:pPr>
        <w:spacing w:after="0" w:line="201"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color w:val="auto"/>
        </w:rPr>
        <w:t>The World Health Organization (</w:t>
      </w:r>
      <w:r>
        <w:rPr>
          <w:rFonts w:ascii="Arial" w:cs="Arial" w:eastAsia="Arial" w:hAnsi="Arial"/>
          <w:sz w:val="13"/>
          <w:szCs w:val="13"/>
          <w:i w:val="1"/>
          <w:iCs w:val="1"/>
          <w:color w:val="auto"/>
        </w:rPr>
        <w:t>WHO</w:t>
      </w:r>
      <w:r>
        <w:rPr>
          <w:rFonts w:ascii="Arial" w:cs="Arial" w:eastAsia="Arial" w:hAnsi="Arial"/>
          <w:sz w:val="13"/>
          <w:szCs w:val="13"/>
          <w:color w:val="auto"/>
        </w:rPr>
        <w:t>) estimates that 350 million people worldwide are affected by depression. According to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3"/>
          <w:szCs w:val="13"/>
          <w:i w:val="1"/>
          <w:iCs w:val="1"/>
          <w:color w:val="auto"/>
        </w:rPr>
        <w:t>CDC</w:t>
      </w:r>
      <w:r>
        <w:rPr>
          <w:rFonts w:ascii="Arial" w:cs="Arial" w:eastAsia="Arial" w:hAnsi="Arial"/>
          <w:sz w:val="13"/>
          <w:szCs w:val="13"/>
          <w:color w:val="auto"/>
        </w:rPr>
        <w:t>) one in 10 Americans takes an antidepressant medication.</w:t>
      </w:r>
    </w:p>
    <w:p>
      <w:pPr>
        <w:spacing w:after="0" w:line="125"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Most standard blockbuster antidepressants target neurotransmitter reuptake inhibition - serotonin (</w:t>
      </w:r>
      <w:r>
        <w:rPr>
          <w:rFonts w:ascii="Arial" w:cs="Arial" w:eastAsia="Arial" w:hAnsi="Arial"/>
          <w:sz w:val="13"/>
          <w:szCs w:val="13"/>
          <w:i w:val="1"/>
          <w:iCs w:val="1"/>
          <w:color w:val="auto"/>
        </w:rPr>
        <w:t>SSRIs</w:t>
      </w:r>
      <w:r>
        <w:rPr>
          <w:rFonts w:ascii="Arial" w:cs="Arial" w:eastAsia="Arial" w:hAnsi="Arial"/>
          <w:sz w:val="13"/>
          <w:szCs w:val="13"/>
          <w:color w:val="auto"/>
        </w:rPr>
        <w:t>) or serotonin/norepinephrine (</w:t>
      </w:r>
      <w:r>
        <w:rPr>
          <w:rFonts w:ascii="Arial" w:cs="Arial" w:eastAsia="Arial" w:hAnsi="Arial"/>
          <w:sz w:val="13"/>
          <w:szCs w:val="13"/>
          <w:i w:val="1"/>
          <w:iCs w:val="1"/>
          <w:color w:val="auto"/>
        </w:rPr>
        <w:t>SNRIs</w:t>
      </w:r>
      <w:r>
        <w:rPr>
          <w:rFonts w:ascii="Arial" w:cs="Arial" w:eastAsia="Arial" w:hAnsi="Arial"/>
          <w:sz w:val="13"/>
          <w:szCs w:val="13"/>
          <w:color w:val="auto"/>
        </w:rPr>
        <w:t>). Even when effective, standard antidepressants take many weeks to achieve adequate therapeutic benefits. Nearly two out of every three drug-treated depression patients, including an estimated 6.9 million drug-treated MDD patients in the U.S., obtain no benefit from initial treatment using standard antidepressants and have significant side effects, including anxiety, metabolic syndrome, sleep disturbance, and sexual dysfunction.</w:t>
      </w:r>
    </w:p>
    <w:p>
      <w:pPr>
        <w:spacing w:after="0" w:line="125"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All standard antidepressants have a “Black Box” warning due to safety risks, including, in certain groups, worsening depression and risk of suicide. Unfortunately, even after treatment with as many as four different standard antidepressants, nearly one out of every three drug-treated depression patients do not achieve an adequate therapeutic response, and often transition to using atypical antipsychotics to augment their use of standard antidepressants. However, adjunctive use of atypical antipsychotics increases risk of serious side effects, including tardive dyskinesia, significant weight gain, diabetes and heart disease, while offering only a modest (10% to 20%) potential increase in therapeutic benefit.</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65" w:name="page66"/>
    <w:bookmarkEnd w:id="6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w:t>
      </w:r>
    </w:p>
    <w:p>
      <w:pPr>
        <w:spacing w:after="0" w:line="180"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 xml:space="preserve">AV-101, our orally available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3"/>
          <w:szCs w:val="13"/>
          <w:i w:val="1"/>
          <w:iCs w:val="1"/>
          <w:color w:val="auto"/>
        </w:rPr>
        <w:t>Journal of Pharmacology and Experimental Therapeutics,</w:t>
      </w:r>
      <w:r>
        <w:rPr>
          <w:rFonts w:ascii="Arial" w:cs="Arial" w:eastAsia="Arial" w:hAnsi="Arial"/>
          <w:sz w:val="13"/>
          <w:szCs w:val="13"/>
          <w:color w:val="auto"/>
        </w:rPr>
        <w:t xml:space="preserve"> in an article entitled, </w:t>
      </w:r>
      <w:r>
        <w:rPr>
          <w:rFonts w:ascii="Arial" w:cs="Arial" w:eastAsia="Arial" w:hAnsi="Arial"/>
          <w:sz w:val="13"/>
          <w:szCs w:val="13"/>
          <w:i w:val="1"/>
          <w:iCs w:val="1"/>
          <w:color w:val="auto"/>
        </w:rPr>
        <w:t>The prodrug 4-chlorokynurenine causes ketamine-like antidepressant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effects, but not side effects, by NMDA/glycineB-site inhibition, </w:t>
      </w:r>
      <w:r>
        <w:rPr>
          <w:rFonts w:ascii="Arial" w:cs="Arial" w:eastAsia="Arial" w:hAnsi="Arial"/>
          <w:sz w:val="13"/>
          <w:szCs w:val="13"/>
          <w:color w:val="auto"/>
        </w:rPr>
        <w:t>using well-established preclinical models of depression, AV-101 was shown to induce fast-acting, dose-dependent, persistent and</w:t>
      </w:r>
      <w:r>
        <w:rPr>
          <w:rFonts w:ascii="Arial" w:cs="Arial" w:eastAsia="Arial" w:hAnsi="Arial"/>
          <w:sz w:val="13"/>
          <w:szCs w:val="13"/>
          <w:i w:val="1"/>
          <w:iCs w:val="1"/>
          <w:color w:val="auto"/>
        </w:rPr>
        <w:t xml:space="preserve"> </w:t>
      </w:r>
      <w:r>
        <w:rPr>
          <w:rFonts w:ascii="Arial" w:cs="Arial" w:eastAsia="Arial" w:hAnsi="Arial"/>
          <w:sz w:val="13"/>
          <w:szCs w:val="13"/>
          <w:color w:val="auto"/>
        </w:rPr>
        <w:t>statistically significant antidepressant-like responses, following a single treatment. These responses were equivalent to those seen with a single, sub-anesthetic control dose of the NMDAR antagonist ketamine. In the same preclinical studies, the SSRI fluoxetine did not induce rapid onset antidepressant-like responses.</w:t>
      </w:r>
    </w:p>
    <w:p>
      <w:pPr>
        <w:spacing w:after="0" w:line="135"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Following the completion of our randomized, double blind, placebo-controlled Phase 1a and Phase 1b safety studies funded by the NIH, we are now collaborating with the NIMH under our February 2015 CRADA. Pursuant to the CRADA, the NIMH is sponsoring our ongoing Phase 2a efficacy and safety study of AV-101 in subjects with treatment-resistant MDD. The Principal Investigator of our Phase 2a study is Dr. Carlos Zarate, Jr. of the NIMH. The trial is expected to enroll 24 to 28 patients, and the first patient was dosed in November 2015. We currently anticipate receiving topline results of our Phase 2a study in the second quarter of 2017.</w:t>
      </w:r>
    </w:p>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We are preparing to launch our Phase 2b clinical study of AV-101 for the adjunctive treatment of MDD in patients with an inadequate response to standard antidepressants. We anticipate the launch of this study, which is expected to enroll approximately 315 patients, and seek FDA Fast Track designation for AV-101 in the fourth quarter of 2016. The Principal Investigator of this Phase 2b study will be Dr. Maurizio Fava of Harvard Medical School. We anticipate top line results from our Phase 2b study in the second quarter of 2018, and, although no assurances can be given, we estimate that AV-101 may be ready for commercialization as early as 2021. We intend to seek FDA Fast Track designation for AV-101 in MDD and anticipate that such designation may be granted in the fourth quarter of 2016.</w:t>
      </w:r>
    </w:p>
    <w:p>
      <w:pPr>
        <w:spacing w:after="0" w:line="168"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achieve therapeutic benefit.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CardioSafe 3D™; NCE Drug Rescue and Regenerative Medicine (RM)</w:t>
      </w:r>
    </w:p>
    <w:p>
      <w:pPr>
        <w:spacing w:after="0" w:line="205" w:lineRule="exact"/>
        <w:rPr>
          <w:sz w:val="20"/>
          <w:szCs w:val="20"/>
          <w:color w:val="auto"/>
        </w:rPr>
      </w:pPr>
    </w:p>
    <w:p>
      <w:pPr>
        <w:jc w:val="both"/>
        <w:ind w:right="80"/>
        <w:spacing w:after="0" w:line="320" w:lineRule="auto"/>
        <w:rPr>
          <w:sz w:val="20"/>
          <w:szCs w:val="20"/>
          <w:color w:val="auto"/>
        </w:rPr>
      </w:pP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is our customized</w:t>
      </w:r>
      <w:r>
        <w:rPr>
          <w:rFonts w:ascii="Arial" w:cs="Arial" w:eastAsia="Arial" w:hAnsi="Arial"/>
          <w:sz w:val="12"/>
          <w:szCs w:val="12"/>
          <w:i w:val="1"/>
          <w:iCs w:val="1"/>
          <w:color w:val="auto"/>
        </w:rPr>
        <w:t xml:space="preserve"> in vitro </w:t>
      </w:r>
      <w:r>
        <w:rPr>
          <w:rFonts w:ascii="Arial" w:cs="Arial" w:eastAsia="Arial" w:hAnsi="Arial"/>
          <w:sz w:val="12"/>
          <w:szCs w:val="12"/>
          <w:color w:val="auto"/>
        </w:rPr>
        <w:t>cardiac bioassay system capable of predicting potential human heart toxicity of NCEs</w:t>
      </w:r>
      <w:r>
        <w:rPr>
          <w:rFonts w:ascii="Arial" w:cs="Arial" w:eastAsia="Arial" w:hAnsi="Arial"/>
          <w:sz w:val="12"/>
          <w:szCs w:val="12"/>
          <w:i w:val="1"/>
          <w:iCs w:val="1"/>
          <w:color w:val="auto"/>
        </w:rPr>
        <w:t xml:space="preserve"> in vitro</w:t>
      </w:r>
      <w:r>
        <w:rPr>
          <w:rFonts w:ascii="Arial" w:cs="Arial" w:eastAsia="Arial" w:hAnsi="Arial"/>
          <w:sz w:val="12"/>
          <w:szCs w:val="12"/>
          <w:color w:val="auto"/>
        </w:rPr>
        <w:t>, long before they are ever tested in animal and human studies.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Our current strategic interests involving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our stem cell technology platform include establishing collaborative arrangements focused on advancing potential commercial applications, including both (i) drug rescue designed to expand our pipeline by leveraging substantial prior investments by pharmaceutical companies and others related to screening large-scale compound libraries, and optimizing and testing for efficacy NCEs terminated before FDA approval due to heart toxicity risks and (ii) RM involving hPSC-derived blood, bone, cartilage, heart and/or liver cells.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184" w:lineRule="exact"/>
        <w:rPr>
          <w:sz w:val="20"/>
          <w:szCs w:val="20"/>
          <w:color w:val="auto"/>
        </w:rPr>
      </w:pPr>
    </w:p>
    <w:p>
      <w:pPr>
        <w:ind w:right="200"/>
        <w:spacing w:after="0" w:line="298" w:lineRule="auto"/>
        <w:rPr>
          <w:sz w:val="20"/>
          <w:szCs w:val="20"/>
          <w:color w:val="auto"/>
        </w:rPr>
      </w:pPr>
      <w:r>
        <w:rPr>
          <w:rFonts w:ascii="Arial" w:cs="Arial" w:eastAsia="Arial" w:hAnsi="Arial"/>
          <w:sz w:val="13"/>
          <w:szCs w:val="13"/>
          <w:color w:val="auto"/>
        </w:rPr>
        <w:t>Our core strategy is to develop, and commercialize innovative small molecule drugs that address significant unmet medical needs related to CNS diseases and disorders. We have assembled a management team and a team of scientific, clinical, and regulatory advisors, including recognized experts in the fields of depression and other CNS disorders, with significant industry and regulatory experience to lead and execute the development and commercialization of our CNS product candidate opportunities. Key elements of our strategy are to:</w:t>
      </w:r>
    </w:p>
    <w:p>
      <w:pPr>
        <w:spacing w:after="0" w:line="142" w:lineRule="exact"/>
        <w:rPr>
          <w:sz w:val="20"/>
          <w:szCs w:val="20"/>
          <w:color w:val="auto"/>
        </w:rPr>
      </w:pPr>
    </w:p>
    <w:p>
      <w:pPr>
        <w:ind w:left="520" w:right="40" w:hanging="515"/>
        <w:spacing w:after="0" w:line="264" w:lineRule="auto"/>
        <w:tabs>
          <w:tab w:leader="none" w:pos="520" w:val="left"/>
        </w:tabs>
        <w:numPr>
          <w:ilvl w:val="0"/>
          <w:numId w:val="36"/>
        </w:numPr>
        <w:rPr>
          <w:rFonts w:ascii="Arial" w:cs="Arial" w:eastAsia="Arial" w:hAnsi="Arial"/>
          <w:sz w:val="19"/>
          <w:szCs w:val="19"/>
          <w:color w:val="auto"/>
          <w:vertAlign w:val="superscript"/>
        </w:rPr>
      </w:pPr>
      <w:r>
        <w:rPr>
          <w:rFonts w:ascii="Arial" w:cs="Arial" w:eastAsia="Arial" w:hAnsi="Arial"/>
          <w:sz w:val="13"/>
          <w:szCs w:val="13"/>
          <w:b w:val="1"/>
          <w:bCs w:val="1"/>
          <w:color w:val="auto"/>
        </w:rPr>
        <w:t xml:space="preserve">Develop and commercialize our lead product candidate, AV-101, for depression, including MDD. </w:t>
      </w:r>
      <w:r>
        <w:rPr>
          <w:rFonts w:ascii="Arial" w:cs="Arial" w:eastAsia="Arial" w:hAnsi="Arial"/>
          <w:sz w:val="13"/>
          <w:szCs w:val="13"/>
          <w:color w:val="auto"/>
        </w:rPr>
        <w:t>We are pursuing MDD as our lead indication for AV-101. Under our 2015 CRADA with</w:t>
      </w:r>
      <w:r>
        <w:rPr>
          <w:rFonts w:ascii="Arial" w:cs="Arial" w:eastAsia="Arial" w:hAnsi="Arial"/>
          <w:sz w:val="13"/>
          <w:szCs w:val="13"/>
          <w:b w:val="1"/>
          <w:bCs w:val="1"/>
          <w:color w:val="auto"/>
        </w:rPr>
        <w:t xml:space="preserve"> </w:t>
      </w:r>
      <w:r>
        <w:rPr>
          <w:rFonts w:ascii="Arial" w:cs="Arial" w:eastAsia="Arial" w:hAnsi="Arial"/>
          <w:sz w:val="13"/>
          <w:szCs w:val="13"/>
          <w:color w:val="auto"/>
        </w:rPr>
        <w:t>the NIMH, we launched our ongoing NIMH-sponsored AV-101 MDD Phase 2a clinical study in collaboration with Dr. Carlos Zarate of the NIMH. This study was initiated in October 2015, and the first patient in the study was dosed in November 2015. We are currently preparing to launch our potentially pivotal, multi-center Phase 2b clinical study of AV-101 for the adjunctive treatment of MDD in patients with an inadequate response to standard antidepressants. We intend to develop AV-101 internally, through a pivotal Phase 3 clinical study and submission of our New Drug Application (</w:t>
      </w:r>
      <w:r>
        <w:rPr>
          <w:rFonts w:ascii="Arial" w:cs="Arial" w:eastAsia="Arial" w:hAnsi="Arial"/>
          <w:sz w:val="13"/>
          <w:szCs w:val="13"/>
          <w:i w:val="1"/>
          <w:iCs w:val="1"/>
          <w:color w:val="auto"/>
        </w:rPr>
        <w:t>NDA</w:t>
      </w:r>
      <w:r>
        <w:rPr>
          <w:rFonts w:ascii="Arial" w:cs="Arial" w:eastAsia="Arial" w:hAnsi="Arial"/>
          <w:sz w:val="13"/>
          <w:szCs w:val="13"/>
          <w:color w:val="auto"/>
        </w:rPr>
        <w:t>) to the FDA. If approved by the FDA, we plan to commercialize AV-101 for this indication in the U.S. either by (A) establishing or contracting for a specialty U.S. sales force focused primarily on psychiatrists and long-term care physicians who are high prescribers of standard antidepressants and atypical antipsychotics or (B) collaborating with a pharmaceutical company with a strong commercial presence in U.S. depression and other CNS markets. Outside the U.S., we intend to commercialize AV-101 by establishing a partnering arrangement with one or more pharmaceutical companies with extensive commercial capabilities in multiple non-U.S. depression and other CNS markets.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6" w:name="page67"/>
    <w:bookmarkEnd w:id="6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ind w:left="520" w:right="120" w:hanging="515"/>
        <w:spacing w:after="0" w:line="234" w:lineRule="auto"/>
        <w:tabs>
          <w:tab w:leader="none" w:pos="520" w:val="left"/>
        </w:tabs>
        <w:numPr>
          <w:ilvl w:val="0"/>
          <w:numId w:val="37"/>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Leverage the commercial potential of AV-101 by expanding to additional CNS-related disorders and diseases. </w:t>
      </w:r>
      <w:r>
        <w:rPr>
          <w:rFonts w:ascii="Arial" w:cs="Arial" w:eastAsia="Arial" w:hAnsi="Arial"/>
          <w:sz w:val="14"/>
          <w:szCs w:val="14"/>
          <w:color w:val="auto"/>
        </w:rPr>
        <w:t>We intend to pursue broad clinical development and commercialization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AV-101 across a range of CNS-related indications that are underserved by currently available medicines and represent significant unmet medical needs. Based on AV-101 preclinical studies, and by leveraging our successful NIH-funded AV-101 Phase 1a and 1b clinical safety studies, we now have opportunities to expand Phase 2 development of AV-101 beyond MDD to include, among other indications, chronic neuropathic pain, epilepsy, Huntington’s disease and Parkinson’s disease.</w:t>
      </w:r>
    </w:p>
    <w:p>
      <w:pPr>
        <w:spacing w:after="0" w:line="178" w:lineRule="exact"/>
        <w:rPr>
          <w:rFonts w:ascii="Arial" w:cs="Arial" w:eastAsia="Arial" w:hAnsi="Arial"/>
          <w:sz w:val="20"/>
          <w:szCs w:val="20"/>
          <w:color w:val="auto"/>
          <w:vertAlign w:val="superscript"/>
        </w:rPr>
      </w:pPr>
    </w:p>
    <w:p>
      <w:pPr>
        <w:ind w:left="520" w:hanging="515"/>
        <w:spacing w:after="0" w:line="257" w:lineRule="auto"/>
        <w:tabs>
          <w:tab w:leader="none" w:pos="520" w:val="left"/>
        </w:tabs>
        <w:numPr>
          <w:ilvl w:val="0"/>
          <w:numId w:val="37"/>
        </w:numPr>
        <w:rPr>
          <w:rFonts w:ascii="Arial" w:cs="Arial" w:eastAsia="Arial" w:hAnsi="Arial"/>
          <w:sz w:val="19"/>
          <w:szCs w:val="19"/>
          <w:color w:val="auto"/>
          <w:vertAlign w:val="superscript"/>
        </w:rPr>
      </w:pPr>
      <w:r>
        <w:rPr>
          <w:rFonts w:ascii="Arial" w:cs="Arial" w:eastAsia="Arial" w:hAnsi="Arial"/>
          <w:sz w:val="13"/>
          <w:szCs w:val="13"/>
          <w:b w:val="1"/>
          <w:bCs w:val="1"/>
          <w:color w:val="auto"/>
        </w:rPr>
        <w:t xml:space="preserve">Capitalize on our drug rescue and RM opportunities using our stem cell technology. </w:t>
      </w:r>
      <w:r>
        <w:rPr>
          <w:rFonts w:ascii="Arial" w:cs="Arial" w:eastAsia="Arial" w:hAnsi="Arial"/>
          <w:sz w:val="13"/>
          <w:szCs w:val="13"/>
          <w:color w:val="auto"/>
        </w:rPr>
        <w:t>We are using our stem cell technology and proprietary cardiac bioassay system,</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CardioSafe</w:t>
      </w:r>
      <w:r>
        <w:rPr>
          <w:rFonts w:ascii="Arial" w:cs="Arial" w:eastAsia="Arial" w:hAnsi="Arial"/>
          <w:sz w:val="13"/>
          <w:szCs w:val="13"/>
          <w:b w:val="1"/>
          <w:bCs w:val="1"/>
          <w:color w:val="auto"/>
        </w:rPr>
        <w:t xml:space="preserve"> </w:t>
      </w:r>
      <w:r>
        <w:rPr>
          <w:rFonts w:ascii="Arial" w:cs="Arial" w:eastAsia="Arial" w:hAnsi="Arial"/>
          <w:sz w:val="13"/>
          <w:szCs w:val="13"/>
          <w:color w:val="auto"/>
        </w:rPr>
        <w:t>3D, to</w:t>
      </w:r>
      <w:r>
        <w:rPr>
          <w:rFonts w:ascii="Arial" w:cs="Arial" w:eastAsia="Arial" w:hAnsi="Arial"/>
          <w:sz w:val="13"/>
          <w:szCs w:val="13"/>
          <w:b w:val="1"/>
          <w:bCs w:val="1"/>
          <w:color w:val="auto"/>
        </w:rPr>
        <w:t xml:space="preserve"> </w:t>
      </w:r>
      <w:r>
        <w:rPr>
          <w:rFonts w:ascii="Arial" w:cs="Arial" w:eastAsia="Arial" w:hAnsi="Arial"/>
          <w:sz w:val="13"/>
          <w:szCs w:val="13"/>
          <w:color w:val="auto"/>
        </w:rPr>
        <w:t>screen and develop proprietary NCEs through drug rescue programs intended to produce proprietary NCEs for our internal drug development pipeline, without incurring many of the substantial costs and risks typically inherent in new drug discovery and nonclinical drug development. In order to capitalize on our existing stem cell technology, we are focused on establishing new strategic collaborations, including investigating potential spin-off opportunities. As most of our resources are currently focused on the clinical development of AV-101, a strategic collaboration or spin-off would allow us to capitalize on our existing stem cell technology and shift our focus exclusively to developing our CNS pipeline.</w:t>
      </w:r>
    </w:p>
    <w:p>
      <w:pPr>
        <w:spacing w:after="0" w:line="169" w:lineRule="exact"/>
        <w:rPr>
          <w:rFonts w:ascii="Arial" w:cs="Arial" w:eastAsia="Arial" w:hAnsi="Arial"/>
          <w:sz w:val="19"/>
          <w:szCs w:val="19"/>
          <w:color w:val="auto"/>
          <w:vertAlign w:val="superscript"/>
        </w:rPr>
      </w:pPr>
    </w:p>
    <w:p>
      <w:pPr>
        <w:ind w:left="520" w:right="60" w:hanging="515"/>
        <w:spacing w:after="0" w:line="228" w:lineRule="auto"/>
        <w:tabs>
          <w:tab w:leader="none" w:pos="520" w:val="left"/>
        </w:tabs>
        <w:numPr>
          <w:ilvl w:val="0"/>
          <w:numId w:val="37"/>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Pursue in-licensing and acquisition of other product candidates for treatment of CNS-related disorders. </w:t>
      </w:r>
      <w:r>
        <w:rPr>
          <w:rFonts w:ascii="Arial" w:cs="Arial" w:eastAsia="Arial" w:hAnsi="Arial"/>
          <w:sz w:val="14"/>
          <w:szCs w:val="14"/>
          <w:color w:val="auto"/>
        </w:rPr>
        <w:t>While our resources are currently focused primarily on clinical development of</w:t>
      </w:r>
      <w:r>
        <w:rPr>
          <w:rFonts w:ascii="Arial" w:cs="Arial" w:eastAsia="Arial" w:hAnsi="Arial"/>
          <w:sz w:val="14"/>
          <w:szCs w:val="14"/>
          <w:b w:val="1"/>
          <w:bCs w:val="1"/>
          <w:color w:val="auto"/>
        </w:rPr>
        <w:t xml:space="preserve"> </w:t>
      </w:r>
      <w:r>
        <w:rPr>
          <w:rFonts w:ascii="Arial" w:cs="Arial" w:eastAsia="Arial" w:hAnsi="Arial"/>
          <w:sz w:val="14"/>
          <w:szCs w:val="14"/>
          <w:color w:val="auto"/>
        </w:rPr>
        <w:t>AV-101 for MDD, we anticipate pursuing additional CNS-related product candidates in the future. These may be developed independently or in partnerships. We believe that a diversified CNS product candidate portfolio will mitigate risks inherent in drug development and increase the likelihood of our success.</w:t>
      </w:r>
    </w:p>
    <w:p>
      <w:pPr>
        <w:spacing w:after="0" w:line="178" w:lineRule="exact"/>
        <w:rPr>
          <w:rFonts w:ascii="Arial" w:cs="Arial" w:eastAsia="Arial" w:hAnsi="Arial"/>
          <w:sz w:val="20"/>
          <w:szCs w:val="20"/>
          <w:color w:val="auto"/>
          <w:vertAlign w:val="superscript"/>
        </w:rPr>
      </w:pPr>
    </w:p>
    <w:p>
      <w:pPr>
        <w:ind w:left="520" w:right="120" w:hanging="515"/>
        <w:spacing w:after="0" w:line="228" w:lineRule="auto"/>
        <w:tabs>
          <w:tab w:leader="none" w:pos="520" w:val="left"/>
        </w:tabs>
        <w:numPr>
          <w:ilvl w:val="0"/>
          <w:numId w:val="37"/>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Grow our internal development pipeline through drug rescue using our stem cell technology platform. </w:t>
      </w:r>
      <w:r>
        <w:rPr>
          <w:rFonts w:ascii="Arial" w:cs="Arial" w:eastAsia="Arial" w:hAnsi="Arial"/>
          <w:sz w:val="14"/>
          <w:szCs w:val="14"/>
          <w:color w:val="auto"/>
        </w:rPr>
        <w:t>We have developed our cardiac bioassay system,</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CardioSafe</w:t>
      </w:r>
      <w:r>
        <w:rPr>
          <w:rFonts w:ascii="Arial" w:cs="Arial" w:eastAsia="Arial" w:hAnsi="Arial"/>
          <w:sz w:val="14"/>
          <w:szCs w:val="14"/>
          <w:b w:val="1"/>
          <w:bCs w:val="1"/>
          <w:color w:val="auto"/>
        </w:rPr>
        <w:t xml:space="preserve"> </w:t>
      </w:r>
      <w:r>
        <w:rPr>
          <w:rFonts w:ascii="Arial" w:cs="Arial" w:eastAsia="Arial" w:hAnsi="Arial"/>
          <w:sz w:val="14"/>
          <w:szCs w:val="14"/>
          <w:color w:val="auto"/>
        </w:rPr>
        <w:t>3D, for drug rescue</w:t>
      </w:r>
      <w:r>
        <w:rPr>
          <w:rFonts w:ascii="Arial" w:cs="Arial" w:eastAsia="Arial" w:hAnsi="Arial"/>
          <w:sz w:val="14"/>
          <w:szCs w:val="14"/>
          <w:b w:val="1"/>
          <w:bCs w:val="1"/>
          <w:color w:val="auto"/>
        </w:rPr>
        <w:t xml:space="preserve"> </w:t>
      </w:r>
      <w:r>
        <w:rPr>
          <w:rFonts w:ascii="Arial" w:cs="Arial" w:eastAsia="Arial" w:hAnsi="Arial"/>
          <w:sz w:val="14"/>
          <w:szCs w:val="14"/>
          <w:color w:val="auto"/>
        </w:rPr>
        <w:t>applications intended to produce proprietary NCEs for our internal drug development pipeline, without incurring many of the substantial costs and risks typically inherent in new drug discovery and nonclinical drug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Opportunities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 (L-4-cholorkyurenine or 4-Cl-KYN)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Mechanism of Action</w:t>
      </w:r>
    </w:p>
    <w:p>
      <w:pPr>
        <w:spacing w:after="0" w:line="184" w:lineRule="exact"/>
        <w:rPr>
          <w:sz w:val="20"/>
          <w:szCs w:val="20"/>
          <w:color w:val="auto"/>
        </w:rPr>
      </w:pPr>
    </w:p>
    <w:p>
      <w:pPr>
        <w:ind w:right="720"/>
        <w:spacing w:after="0" w:line="283" w:lineRule="auto"/>
        <w:rPr>
          <w:sz w:val="20"/>
          <w:szCs w:val="20"/>
          <w:color w:val="auto"/>
        </w:rPr>
      </w:pPr>
      <w:r>
        <w:rPr>
          <w:rFonts w:ascii="Arial" w:cs="Arial" w:eastAsia="Arial" w:hAnsi="Arial"/>
          <w:sz w:val="14"/>
          <w:szCs w:val="14"/>
          <w:color w:val="auto"/>
        </w:rPr>
        <w:t xml:space="preserve">AV-101 is an orally available, clinical-stage prodrug candidate that readily gains access to the CNS after systemic administration and is rapidly converted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into its active metabolite, 7-chlorokynurenic acid (</w:t>
      </w:r>
      <w:r>
        <w:rPr>
          <w:rFonts w:ascii="Arial" w:cs="Arial" w:eastAsia="Arial" w:hAnsi="Arial"/>
          <w:sz w:val="14"/>
          <w:szCs w:val="14"/>
          <w:i w:val="1"/>
          <w:iCs w:val="1"/>
          <w:color w:val="auto"/>
        </w:rPr>
        <w:t>7-Cl-KYNA</w:t>
      </w:r>
      <w:r>
        <w:rPr>
          <w:rFonts w:ascii="Arial" w:cs="Arial" w:eastAsia="Arial" w:hAnsi="Arial"/>
          <w:sz w:val="14"/>
          <w:szCs w:val="14"/>
          <w:color w:val="auto"/>
        </w:rPr>
        <w:t>), a well-characterized, potent and highly selective antagonist of then NMDAR at the GlyB co-agonist site.</w:t>
      </w:r>
    </w:p>
    <w:p>
      <w:pPr>
        <w:spacing w:after="0" w:line="153" w:lineRule="exact"/>
        <w:rPr>
          <w:sz w:val="20"/>
          <w:szCs w:val="20"/>
          <w:color w:val="auto"/>
        </w:rPr>
      </w:pPr>
    </w:p>
    <w:p>
      <w:pPr>
        <w:ind w:right="180"/>
        <w:spacing w:after="0" w:line="370" w:lineRule="auto"/>
        <w:rPr>
          <w:sz w:val="20"/>
          <w:szCs w:val="20"/>
          <w:color w:val="auto"/>
        </w:rPr>
      </w:pPr>
      <w:r>
        <w:rPr>
          <w:rFonts w:ascii="Arial" w:cs="Arial" w:eastAsia="Arial" w:hAnsi="Arial"/>
          <w:sz w:val="12"/>
          <w:szCs w:val="12"/>
          <w:color w:val="auto"/>
        </w:rPr>
        <w:t>Current evidence suggests that AV-101’s antagonism of NMDAR signaling may provide fast-acting antidepressant effects in the treatment of MDD. In addition, as confirmed in our AV-101 Phase 1 clinical studies, targeting the GlyB site of the NMDAR does not have the adverse effects typically associated with classic NMDAR antagonists, such as ketamine, and other NMDA channel blockers.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Major Depressive Disorder</w:t>
      </w:r>
    </w:p>
    <w:p>
      <w:pPr>
        <w:spacing w:after="0" w:line="180" w:lineRule="exact"/>
        <w:rPr>
          <w:sz w:val="20"/>
          <w:szCs w:val="20"/>
          <w:color w:val="auto"/>
        </w:rPr>
      </w:pPr>
    </w:p>
    <w:p>
      <w:pPr>
        <w:ind w:right="380"/>
        <w:spacing w:after="0" w:line="323" w:lineRule="auto"/>
        <w:rPr>
          <w:sz w:val="20"/>
          <w:szCs w:val="20"/>
          <w:color w:val="auto"/>
        </w:rPr>
      </w:pPr>
      <w:r>
        <w:rPr>
          <w:rFonts w:ascii="Arial" w:cs="Arial" w:eastAsia="Arial" w:hAnsi="Arial"/>
          <w:sz w:val="13"/>
          <w:szCs w:val="13"/>
          <w:color w:val="auto"/>
        </w:rPr>
        <w:t>Depression is a serious medical illness and a global public health concern. The WHO estimates that depression is the leading cause of disability worldwide, and is a major contributor to the global burden of disease, affecting 350 million people globally. According to the CDC, approximately one in every 10 Americans aged 12 and over takes antidepressant medication.</w:t>
      </w:r>
    </w:p>
    <w:p>
      <w:pPr>
        <w:spacing w:after="0" w:line="109"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individuals with MDD.</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7" w:name="page68"/>
    <w:bookmarkEnd w:id="6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Standard Antidepressants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For many people, depression cannot be controlled for any length of time without treatment. Standard medications available in the multi-billion dollar global antidepressant market, including commonly-prescribed SSRIs and SNRIs, have limited effectiveness, and, because of their mechanism of action, must be taken for several weeks or months before patients experience any significant therapeutic benefit. In addition, most standard antidepressants have an FDA-required “Black Box” safety warning due to a risk, in certain groups, of worsening depression and an increased risk of suicidal thoughts and behaviors during treatment, a property not expected to occur with AV-101. About two out of every three depression sufferers, including an estimated 6.9 million drug-treated MDD patients in the U.S., do not receive adequate therapeutic benefits from their initial treatment with a standard antidepressant, and the likelihood of achieving remission of depressive symptoms declines with each successive treatment attempt. Even after multiple treatment attempts, approximately one out of every three depression sufferers still fails to find an effective standard antidepressant. In addition, this trial and error process and the systemic effects of the various antidepressants involved, increases the risks of patient tolerability issues and serious side effects, including suicidal thoughts and behaviors in certain groups.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Ketamine and NIH Clinical Studies in Major Depressive Disorder</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Ketamine hydrochloride (</w:t>
      </w:r>
      <w:r>
        <w:rPr>
          <w:rFonts w:ascii="Arial" w:cs="Arial" w:eastAsia="Arial" w:hAnsi="Arial"/>
          <w:sz w:val="14"/>
          <w:szCs w:val="14"/>
          <w:i w:val="1"/>
          <w:iCs w:val="1"/>
          <w:color w:val="auto"/>
        </w:rPr>
        <w:t>ketamine</w:t>
      </w:r>
      <w:r>
        <w:rPr>
          <w:rFonts w:ascii="Arial" w:cs="Arial" w:eastAsia="Arial" w:hAnsi="Arial"/>
          <w:sz w:val="14"/>
          <w:szCs w:val="14"/>
          <w:color w:val="auto"/>
        </w:rPr>
        <w:t>) is an FDA-approved, rapid-acting general anesthetic. The use of ketamine (an NMDA receptor antagonist which acts as an NMDA channel blocker) to treat MDD has been studied in several clinical trials conducted by depression experts at the NIMH, including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intravenous low dose of ketamine (0.5 mg/kg over 40 minutes) produced robust and rapid antidepressant effects in MDD patients who had not responded to standard anti-depressants. These results were in contrast to the very slow onset of SSRIs and SNRIs that usually require many weeks or months of chronic usage to achieve similar antidepressant effects. The potential for widespread therapeutic use of current FDA-approved ketamine, a Schedule III drug, for MDD is limited by its potential for abuse, dissociative and psychosis-like side effects and by practical challenges associated with the necessity of I.V. administration in a medical center. Notwithstanding these limitations, however, the discovery of ketamine’s fast-acting antidepressant effects revolutionized thinking about the current MDD treatment paradigm and increased interest in the development of a new generation of antidepressants with a fast-acting mechanism of action similar to ketamine’s. Our orally available AV-101 is among the next generation of antidepressants with potential to deliver fast-onset ketamine-like antidepressant effects, without ketamine’s side effects or required I.V. administration in a medical setting.</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AV-101 and Major Depressive Disorder</w:t>
      </w:r>
    </w:p>
    <w:p>
      <w:pPr>
        <w:spacing w:after="0" w:line="180" w:lineRule="exact"/>
        <w:rPr>
          <w:sz w:val="20"/>
          <w:szCs w:val="20"/>
          <w:color w:val="auto"/>
        </w:rPr>
      </w:pPr>
    </w:p>
    <w:p>
      <w:pPr>
        <w:ind w:right="460"/>
        <w:spacing w:after="0" w:line="323" w:lineRule="auto"/>
        <w:rPr>
          <w:sz w:val="20"/>
          <w:szCs w:val="20"/>
          <w:color w:val="auto"/>
        </w:rPr>
      </w:pPr>
      <w:r>
        <w:rPr>
          <w:rFonts w:ascii="Arial" w:cs="Arial" w:eastAsia="Arial" w:hAnsi="Arial"/>
          <w:sz w:val="13"/>
          <w:szCs w:val="13"/>
          <w:color w:val="auto"/>
        </w:rPr>
        <w:t>AV-101 is an orally available prodrug candidate that produces, in the brain, 7-Cl-KYNA, one of the most potent and selective antagonists of the GlyB site of the NMDAR, resulting in the down-regulation of NMDAR signaling. Growing evidence suggests that the glutamatergic system is central to the neurobiology and treatment of MDD and other mood disorders.</w:t>
      </w:r>
    </w:p>
    <w:p>
      <w:pPr>
        <w:spacing w:after="0" w:line="109" w:lineRule="exact"/>
        <w:rPr>
          <w:sz w:val="20"/>
          <w:szCs w:val="20"/>
          <w:color w:val="auto"/>
        </w:rPr>
      </w:pPr>
    </w:p>
    <w:p>
      <w:pPr>
        <w:spacing w:after="0" w:line="308" w:lineRule="auto"/>
        <w:rPr>
          <w:sz w:val="20"/>
          <w:szCs w:val="20"/>
          <w:color w:val="auto"/>
        </w:rPr>
      </w:pPr>
      <w:r>
        <w:rPr>
          <w:rFonts w:ascii="Arial" w:cs="Arial" w:eastAsia="Arial" w:hAnsi="Arial"/>
          <w:sz w:val="12"/>
          <w:szCs w:val="12"/>
          <w:color w:val="auto"/>
        </w:rPr>
        <w:t>AV-101’s mechanism of action is fundamentally differentiated from all standard antidepressants and all atypical antipsychotics often used to augment inadequate response with standard antidepressants, placing it among a new generation of glutamatergic antidepressants with potential to treat millions of MDD sufferers worldwide who are poorly served by SSRIs, SNRIs and other current depression therapies. AV-101 is functionally similar to ketamine in that both induce antidepressant activity via glutamatergic activation involving AMPA receptor pathways. However, AV-101 down-regulates the NMDAR channel activity, whereas ketamine blocks it. AV-101, as a prodrug, produces in the brain an antagonist that down-regulates the NMDAR by selectively binding to the functionally required GlyB site of the NMDAR. Strong experimental evidence confirms that down-regulating the NMDAR by targeting the GlyB site can produce potent antidepressive effects and bypass adverse effects that result when ketamine blocks the NMDA ion channel. Experimental evidence supports the conclusion that this NMDAR modulation by AV-101 may then result in a glutamatergic activation that depends on the AMPA receptor pathway, resulting in an increase in neuronal connections that has been associated with the fast-acting antidepressant effects similar to those seen with ketamine.</w:t>
      </w:r>
    </w:p>
    <w:p>
      <w:pPr>
        <w:spacing w:after="0" w:line="145"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In recently published preclinical studies, AV-101 has demonstrated the antidepressant-like activity of ketamine, including rapid onset and long duration of effect, without causing ketamine’s serious side effects. In two NIH-funded randomized, double blind, placebo-controlled Phase 1 safety studies, AV-101 was safe, well-tolerated and not associated with any severe adverse events. There were no signs of sedation, hallucinations or schizophrenia-like side effects often associated with ketamine and traditional NMDAR channel blockers.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68" w:name="page69"/>
    <w:bookmarkEnd w:id="6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Building on over $8.8 million of prior grant award funding from the NIH for preclinical and Phase 1 clinical development of AV-101, in February 2015, we entered into our CRADA with the NIMH. Under the CRADA, we are collaborating with Dr. Carlos Zarate and the NIMH on a Phase 2a clinical study of AV-101 in subjects with treatment-resistant MDD. Pursuant to the CRADA, this study is being conducted at the NIMH by Dr. Zarate and being fully-sponsored by the NIMH. The primary objective of the NIH-funded Phase 2a study will be to evaluate the ability of AV-101 to improve overall depressive symptomatology in subjects with MDD, specifically whether subjects with MDD have a greater and more rapid decrease in depressive symptoms when treated with AV-101 than with placebo. The first patient in this Phase 2a study was dosed in November 2015. We anticipate top line results in this study in the second quarter of 2017.</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We are currently preparing to launch our Phase 2b clinical study of AV-101 for the adjunctive treatment of MDD in patients with an inadequate response to standard antidepressants. We anticipate the launch of this potentially pivotal multi-center, multi-dose, double blind, placebo-controlled Phase 2b efficacy and safety study, which is expected to enroll approximately 315 patients, in the fourth quarter of 2016. The Principal Investigator of the study will be Dr. Maurizio Fava of Harvard Medical School. Dr. Fava was the co-Principal Investigator with Dr. A. John Rush of the largest clinical trial ever conducted in depression, STAR*D, whose findings were published in journals such the New England Journal of Medicine (</w:t>
      </w:r>
      <w:r>
        <w:rPr>
          <w:rFonts w:ascii="Arial" w:cs="Arial" w:eastAsia="Arial" w:hAnsi="Arial"/>
          <w:sz w:val="14"/>
          <w:szCs w:val="14"/>
          <w:i w:val="1"/>
          <w:iCs w:val="1"/>
          <w:color w:val="auto"/>
        </w:rPr>
        <w:t>NEJM</w:t>
      </w:r>
      <w:r>
        <w:rPr>
          <w:rFonts w:ascii="Arial" w:cs="Arial" w:eastAsia="Arial" w:hAnsi="Arial"/>
          <w:sz w:val="14"/>
          <w:szCs w:val="14"/>
          <w:color w:val="auto"/>
        </w:rPr>
        <w:t>) and the Journal of the American Medical Association (</w:t>
      </w:r>
      <w:r>
        <w:rPr>
          <w:rFonts w:ascii="Arial" w:cs="Arial" w:eastAsia="Arial" w:hAnsi="Arial"/>
          <w:sz w:val="14"/>
          <w:szCs w:val="14"/>
          <w:i w:val="1"/>
          <w:iCs w:val="1"/>
          <w:color w:val="auto"/>
        </w:rPr>
        <w:t>JAMA</w:t>
      </w:r>
      <w:r>
        <w:rPr>
          <w:rFonts w:ascii="Arial" w:cs="Arial" w:eastAsia="Arial" w:hAnsi="Arial"/>
          <w:sz w:val="14"/>
          <w:szCs w:val="14"/>
          <w:color w:val="auto"/>
        </w:rPr>
        <w:t>). We anticipate top line results in this study in the second quarter of 2018.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Nonclinical Studies in Chronic Neuropathic Pain, Epilepsy, Parkinson’s disease and Huntington’s disease</w:t>
      </w:r>
    </w:p>
    <w:p>
      <w:pPr>
        <w:spacing w:after="0" w:line="184"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In addition to well-established nonclinical models of depression, AV-101 nonclinical data in other CNS-related disorders support our hypothesis that it may have therapeutic and commercial potential beyond treatment of depression.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Chronic Neuropathic Pain and Acute Tissue Injury Hyperalgesia</w:t>
      </w:r>
    </w:p>
    <w:p>
      <w:pPr>
        <w:spacing w:after="0" w:line="201"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effect of AV-101 on chronic neuropathic pain due to inflammation and nerve damage was assessed in rats by using the Chung nerve ligation model. AV-101 effects were compared to either saline, MK-801 or gabapentin controls. Similarly to what was observed in the formalin and thermal hyperalgesia test systems, AV-101 had a positive effect on chronic neuropathic pain in the Chung model, with no observed adverse behavioral effects. The efficacy observed for AV-101 in both the acute and chronic neuropathic pain model systems was dose dependent, and the drug response was not associated with any side effects within the range of doses administered.</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The antihyperalgesic effect of AV-101 has been evaluated in two standard tissue injury model systems: inflammatory thermal hyperalgesia and the formalin paw test. AV-101 was compared to two positive controls, the classic NMDAR antagonist MK-801 (discontinued in preclinical development by Merck due to neurotoxicity) and the anticonvulsant gabapentin. A significant drug response was defined as a response that was greater than or equal to 2 standard deviations (</w:t>
      </w:r>
      <w:r>
        <w:rPr>
          <w:rFonts w:ascii="Arial" w:cs="Arial" w:eastAsia="Arial" w:hAnsi="Arial"/>
          <w:sz w:val="14"/>
          <w:szCs w:val="14"/>
          <w:i w:val="1"/>
          <w:iCs w:val="1"/>
          <w:color w:val="auto"/>
        </w:rPr>
        <w:t>SD</w:t>
      </w:r>
      <w:r>
        <w:rPr>
          <w:rFonts w:ascii="Arial" w:cs="Arial" w:eastAsia="Arial" w:hAnsi="Arial"/>
          <w:sz w:val="14"/>
          <w:szCs w:val="14"/>
          <w:color w:val="auto"/>
        </w:rPr>
        <w:t>) from the response produced by vehicle. Animal behavior and motor function were observed and evaluated throughout the study.</w:t>
      </w:r>
    </w:p>
    <w:p>
      <w:pPr>
        <w:spacing w:after="0" w:line="146"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In the formalin hyperalgesia model, MK-801 caused significant spontaneous locomotor activity that prevented assessment of its analgesic activity. However, AV-101 displayed dose-dependent antihyperpathic effects in the absence of behavioral deficits for both Phase 1 (acute nociceptive pain) and Phase 2 (chronic and neuropathic pain) of hyperalgesia. In contrast, gabapentin did not have a significant anti-hyperalgesia response at any dose during Phase 1, but showed a significant positive response during Phase 2.</w:t>
      </w:r>
    </w:p>
    <w:p>
      <w:pPr>
        <w:spacing w:after="0" w:line="163" w:lineRule="exact"/>
        <w:rPr>
          <w:sz w:val="20"/>
          <w:szCs w:val="20"/>
          <w:color w:val="auto"/>
        </w:rPr>
      </w:pPr>
    </w:p>
    <w:p>
      <w:pPr>
        <w:ind w:right="360"/>
        <w:spacing w:after="0" w:line="290" w:lineRule="auto"/>
        <w:rPr>
          <w:sz w:val="20"/>
          <w:szCs w:val="20"/>
          <w:color w:val="auto"/>
        </w:rPr>
      </w:pPr>
      <w:r>
        <w:rPr>
          <w:rFonts w:ascii="Arial" w:cs="Arial" w:eastAsia="Arial" w:hAnsi="Arial"/>
          <w:sz w:val="13"/>
          <w:szCs w:val="13"/>
          <w:color w:val="auto"/>
        </w:rPr>
        <w:t>For the carrageenan inflammatory thermal hyperalgesia model, neither MK-801, gabapentin, nor AV-101 had an effect on acute thermal nociception, but produced a dose dependent block of the carrageenan-induced hyperalgesia that were greater than 2 SD of the vehicle: There were no behavioral changes observed at any AV-101 dose, but signs of behavioral and motor dysfunction were observed for gabapentin and MK-801 treated animals. The profile of analgesic activity observed for AV-101 in the formalin and inflammatory thermal hyperalgesia model systems supports the conclusion that AV-101 demonstrates anti-hyperalgesia activity in validated models of facilitated pain processing produced by peripheral tissue inflammation.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69" w:name="page70"/>
    <w:bookmarkEnd w:id="6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Epilepsy</w:t>
      </w:r>
    </w:p>
    <w:p>
      <w:pPr>
        <w:spacing w:after="0" w:line="201" w:lineRule="exact"/>
        <w:rPr>
          <w:sz w:val="20"/>
          <w:szCs w:val="20"/>
          <w:color w:val="auto"/>
        </w:rPr>
      </w:pPr>
    </w:p>
    <w:p>
      <w:pPr>
        <w:jc w:val="both"/>
        <w:ind w:right="120"/>
        <w:spacing w:after="0" w:line="298" w:lineRule="auto"/>
        <w:rPr>
          <w:sz w:val="20"/>
          <w:szCs w:val="20"/>
          <w:color w:val="auto"/>
        </w:rPr>
      </w:pPr>
      <w:r>
        <w:rPr>
          <w:rFonts w:ascii="Arial" w:cs="Arial" w:eastAsia="Arial" w:hAnsi="Arial"/>
          <w:sz w:val="13"/>
          <w:szCs w:val="13"/>
          <w:color w:val="auto"/>
        </w:rPr>
        <w:t>AV-101 has been shown to protect against seizures and neuronal damage in animal models of epilepsy, providing preclinical support for its potential as a novel treatment of epilepsy. Epilepsy is one of the most prevalent neurological disorders, affecting almost 1% of the worldwide population. Approximately 2.5 million Americans have epilepsy. Nearly half of the people suffering from epilepsy are not effectively treated with currently available medications. In addition, the anticonvulsants used today can cause significant side effects, which frequently interfere with compliance.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Glutamate is a neurotransmitter that is critically involved in the pathophysiology of epilepsy. Through its stimulation of the NMDAR subtype, glutamate has been implicated in the neuropathology and clinical symptoms of the disease. In support of this, NMDAR antagonists are potent anticonvulsants. However, classic NMDAR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NMDAR function and are therefore anticonvulsant and neuroprotective. Importantly, GlyB site antagonists have fewer and less severe side effects than classic NMDAR antagonists and other antiepileptic agents, making them a safer potential alternative to, and one expected to be associated with greater patient compliance than, available anticonvulsant medications.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AV-101 has two additional therapeutically important properties as a drug candidate for treatment of epilepsy:</w:t>
      </w:r>
    </w:p>
    <w:p>
      <w:pPr>
        <w:spacing w:after="0" w:line="201" w:lineRule="exact"/>
        <w:rPr>
          <w:sz w:val="20"/>
          <w:szCs w:val="20"/>
          <w:color w:val="auto"/>
        </w:rPr>
      </w:pPr>
    </w:p>
    <w:p>
      <w:pPr>
        <w:ind w:left="620" w:right="40" w:hanging="615"/>
        <w:spacing w:after="0" w:line="333" w:lineRule="auto"/>
        <w:tabs>
          <w:tab w:leader="none" w:pos="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28" w:lineRule="exact"/>
        <w:rPr>
          <w:rFonts w:ascii="Arial" w:cs="Arial" w:eastAsia="Arial" w:hAnsi="Arial"/>
          <w:sz w:val="12"/>
          <w:szCs w:val="12"/>
          <w:color w:val="auto"/>
        </w:rPr>
      </w:pPr>
    </w:p>
    <w:p>
      <w:pPr>
        <w:ind w:left="620" w:right="180" w:hanging="615"/>
        <w:spacing w:after="0" w:line="283" w:lineRule="auto"/>
        <w:tabs>
          <w:tab w:leader="none" w:pos="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 active metabolite of AV-101, 4-Cl-3-hydroxyanthranilic acid, inhibits the synthesis of quinolinic acid, an endogenous NMDAR agonist that causes convulsions and excitotoxic neuronal damage.</w:t>
      </w:r>
    </w:p>
    <w:p>
      <w:pPr>
        <w:spacing w:after="0" w:line="13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Parkinson’s Disease</w:t>
      </w:r>
    </w:p>
    <w:p>
      <w:pPr>
        <w:spacing w:after="0" w:line="180"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AV-101 has been shown to activate ventral tegmental area (</w:t>
      </w:r>
      <w:r>
        <w:rPr>
          <w:rFonts w:ascii="Arial" w:cs="Arial" w:eastAsia="Arial" w:hAnsi="Arial"/>
          <w:sz w:val="13"/>
          <w:szCs w:val="13"/>
          <w:i w:val="1"/>
          <w:iCs w:val="1"/>
          <w:color w:val="auto"/>
        </w:rPr>
        <w:t>VTA</w:t>
      </w:r>
      <w:r>
        <w:rPr>
          <w:rFonts w:ascii="Arial" w:cs="Arial" w:eastAsia="Arial" w:hAnsi="Arial"/>
          <w:sz w:val="13"/>
          <w:szCs w:val="13"/>
          <w:color w:val="auto"/>
        </w:rPr>
        <w:t>) dopaminergic (</w:t>
      </w:r>
      <w:r>
        <w:rPr>
          <w:rFonts w:ascii="Arial" w:cs="Arial" w:eastAsia="Arial" w:hAnsi="Arial"/>
          <w:sz w:val="13"/>
          <w:szCs w:val="13"/>
          <w:i w:val="1"/>
          <w:iCs w:val="1"/>
          <w:color w:val="auto"/>
        </w:rPr>
        <w:t>DA</w:t>
      </w:r>
      <w:r>
        <w:rPr>
          <w:rFonts w:ascii="Arial" w:cs="Arial" w:eastAsia="Arial" w:hAnsi="Arial"/>
          <w:sz w:val="13"/>
          <w:szCs w:val="13"/>
          <w:color w:val="auto"/>
        </w:rPr>
        <w:t>) neurons. Kynurenic acid (</w:t>
      </w:r>
      <w:r>
        <w:rPr>
          <w:rFonts w:ascii="Arial" w:cs="Arial" w:eastAsia="Arial" w:hAnsi="Arial"/>
          <w:sz w:val="13"/>
          <w:szCs w:val="13"/>
          <w:i w:val="1"/>
          <w:iCs w:val="1"/>
          <w:color w:val="auto"/>
        </w:rPr>
        <w:t>KYNA</w:t>
      </w:r>
      <w:r>
        <w:rPr>
          <w:rFonts w:ascii="Arial" w:cs="Arial" w:eastAsia="Arial" w:hAnsi="Arial"/>
          <w:sz w:val="13"/>
          <w:szCs w:val="13"/>
          <w:color w:val="auto"/>
        </w:rPr>
        <w:t>) is an endogenous NMDA receptor antagonist, as well as a blocker of the 7-nicotinic acid receptor. Mounting evidence suggests that this compound participates in the pathophysiology of schizophrenia. Preclinical studies have shown that elevated levels of endogenous KYNA are associated with increased firing of midbrain DA neurons. AV-101 is converted to the selective NMDAR GlyB antagonist 7-Cl-KYNA, which is 20 times more potent and selective than KYNA in binding the GlyB site. Utilizing extra cellular single unit cell recording techniques, we have shown that AV-101, which is converted to the selective NMDAR GlyB antagonist 7-Cl-KYNA, significantly increases the firing rate and percent burst firing activity of VTA DA neurons. These results have potential therapeutic implications for Parkinson’s disease.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Huntington’s Disease</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Working together with metabotropic glutamate receptors, the NMDAR ensures the establishment of long-term potentiation (</w:t>
      </w:r>
      <w:r>
        <w:rPr>
          <w:rFonts w:ascii="Arial" w:cs="Arial" w:eastAsia="Arial" w:hAnsi="Arial"/>
          <w:sz w:val="14"/>
          <w:szCs w:val="14"/>
          <w:i w:val="1"/>
          <w:iCs w:val="1"/>
          <w:color w:val="auto"/>
        </w:rPr>
        <w:t>LTP</w:t>
      </w:r>
      <w:r>
        <w:rPr>
          <w:rFonts w:ascii="Arial" w:cs="Arial" w:eastAsia="Arial" w:hAnsi="Arial"/>
          <w:sz w:val="14"/>
          <w:szCs w:val="14"/>
          <w:color w:val="auto"/>
        </w:rPr>
        <w:t>), a process believed to be responsible for the acquisition of information. These functions are mediated by calcium entry through the NMDAR-associated channel, which in turn influences a wide variety of cellular components, like cytoskeletal proteins or second- messenger synthases. However, over activation at the NMDAR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46" w:lineRule="exact"/>
        <w:rPr>
          <w:sz w:val="20"/>
          <w:szCs w:val="20"/>
          <w:color w:val="auto"/>
        </w:rPr>
      </w:pPr>
    </w:p>
    <w:p>
      <w:pPr>
        <w:jc w:val="both"/>
        <w:ind w:right="200"/>
        <w:spacing w:after="0" w:line="320" w:lineRule="auto"/>
        <w:rPr>
          <w:sz w:val="20"/>
          <w:szCs w:val="20"/>
          <w:color w:val="auto"/>
        </w:rPr>
      </w:pPr>
      <w:r>
        <w:rPr>
          <w:rFonts w:ascii="Arial" w:cs="Arial" w:eastAsia="Arial" w:hAnsi="Arial"/>
          <w:sz w:val="12"/>
          <w:szCs w:val="12"/>
          <w:color w:val="auto"/>
        </w:rPr>
        <w:t>Huntington's disease (</w:t>
      </w:r>
      <w:r>
        <w:rPr>
          <w:rFonts w:ascii="Arial" w:cs="Arial" w:eastAsia="Arial" w:hAnsi="Arial"/>
          <w:sz w:val="12"/>
          <w:szCs w:val="12"/>
          <w:i w:val="1"/>
          <w:iCs w:val="1"/>
          <w:color w:val="auto"/>
        </w:rPr>
        <w:t>HD</w:t>
      </w:r>
      <w:r>
        <w:rPr>
          <w:rFonts w:ascii="Arial" w:cs="Arial" w:eastAsia="Arial" w:hAnsi="Arial"/>
          <w:sz w:val="12"/>
          <w:szCs w:val="12"/>
          <w:color w:val="auto"/>
        </w:rPr>
        <w:t>) is an inherited disorder that causes degeneration of brain cells, called neurons, in motor control regions of the brain, as well as other areas. Symptoms of the disease, which gets progressively worse, include uncontrolled movements (called chorea), abnormal body postures, and changes in behavior, emotion, judgment, and cognition. HD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0" w:name="page71"/>
    <w:bookmarkEnd w:id="7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jc w:val="both"/>
        <w:ind w:right="460"/>
        <w:spacing w:after="0" w:line="298" w:lineRule="auto"/>
        <w:rPr>
          <w:sz w:val="20"/>
          <w:szCs w:val="20"/>
          <w:color w:val="auto"/>
        </w:rPr>
      </w:pPr>
      <w:r>
        <w:rPr>
          <w:rFonts w:ascii="Arial" w:cs="Arial" w:eastAsia="Arial" w:hAnsi="Arial"/>
          <w:sz w:val="13"/>
          <w:szCs w:val="13"/>
          <w:color w:val="auto"/>
        </w:rPr>
        <w:t>The tissue levels of two neurotoxic metabolites of the kynurenine pathway of tryptophan degradation, quinolinic acid (</w:t>
      </w:r>
      <w:r>
        <w:rPr>
          <w:rFonts w:ascii="Arial" w:cs="Arial" w:eastAsia="Arial" w:hAnsi="Arial"/>
          <w:sz w:val="13"/>
          <w:szCs w:val="13"/>
          <w:i w:val="1"/>
          <w:iCs w:val="1"/>
          <w:color w:val="auto"/>
        </w:rPr>
        <w:t>QUIN</w:t>
      </w:r>
      <w:r>
        <w:rPr>
          <w:rFonts w:ascii="Arial" w:cs="Arial" w:eastAsia="Arial" w:hAnsi="Arial"/>
          <w:sz w:val="13"/>
          <w:szCs w:val="13"/>
          <w:color w:val="auto"/>
        </w:rPr>
        <w:t>) and 3-hydroxykynurenine (</w:t>
      </w:r>
      <w:r>
        <w:rPr>
          <w:rFonts w:ascii="Arial" w:cs="Arial" w:eastAsia="Arial" w:hAnsi="Arial"/>
          <w:sz w:val="13"/>
          <w:szCs w:val="13"/>
          <w:i w:val="1"/>
          <w:iCs w:val="1"/>
          <w:color w:val="auto"/>
        </w:rPr>
        <w:t>3-HK</w:t>
      </w:r>
      <w:r>
        <w:rPr>
          <w:rFonts w:ascii="Arial" w:cs="Arial" w:eastAsia="Arial" w:hAnsi="Arial"/>
          <w:sz w:val="13"/>
          <w:szCs w:val="13"/>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OUIN and to potentially produce significant local concentrations of 7-Cl-KYNA on chronic administration, presents an exciting opportunity for Phase 2 clinical investigation of AV-101 as a potential chronic treatment of the symptoms of HD.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Additional AV-101 Nonclinical Information</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 comprehensive nonclinical pharmacology, pharmacokinetic (</w:t>
      </w:r>
      <w:r>
        <w:rPr>
          <w:rFonts w:ascii="Arial" w:cs="Arial" w:eastAsia="Arial" w:hAnsi="Arial"/>
          <w:sz w:val="14"/>
          <w:szCs w:val="14"/>
          <w:i w:val="1"/>
          <w:iCs w:val="1"/>
          <w:color w:val="auto"/>
        </w:rPr>
        <w:t>PK</w:t>
      </w:r>
      <w:r>
        <w:rPr>
          <w:rFonts w:ascii="Arial" w:cs="Arial" w:eastAsia="Arial" w:hAnsi="Arial"/>
          <w:sz w:val="14"/>
          <w:szCs w:val="14"/>
          <w:color w:val="auto"/>
        </w:rPr>
        <w:t>)/toxicokinetic (</w:t>
      </w:r>
      <w:r>
        <w:rPr>
          <w:rFonts w:ascii="Arial" w:cs="Arial" w:eastAsia="Arial" w:hAnsi="Arial"/>
          <w:sz w:val="14"/>
          <w:szCs w:val="14"/>
          <w:i w:val="1"/>
          <w:iCs w:val="1"/>
          <w:color w:val="auto"/>
        </w:rPr>
        <w:t>TK</w:t>
      </w:r>
      <w:r>
        <w:rPr>
          <w:rFonts w:ascii="Arial" w:cs="Arial" w:eastAsia="Arial" w:hAnsi="Arial"/>
          <w:sz w:val="14"/>
          <w:szCs w:val="14"/>
          <w:color w:val="auto"/>
        </w:rPr>
        <w:t xml:space="preserve">), and toxicology program has been conducted to support the clinical use of AV-101 in multiple CNS-related indications. The primary pharmacological activity of AV-101 has been investigated in a series of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Pharmacology (absorption, distribution, metabolism, and excretion), PK/TK, and toxicology studies have been conducted with AV-101 in rats, dogs, and monkeys. The excellent safety profile of AV-101 was confirmed by pilot tolerability, single-dose range finding, and repeated-dose toxicology studies in rats, dogs and monkeys. The genotoxic potential of AV-101 and its active metabolite, 7-Cl-KYNA, was assessed in multiple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genotoxicity studies (bacterial mutation, chromosomal aberration, mouse lymphoma TK+/-, and micronucleus tests).</w:t>
      </w:r>
    </w:p>
    <w:p>
      <w:pPr>
        <w:spacing w:after="0" w:line="147"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The behavioral effects of AV-101 assessed in a Good Laboratory Practice (</w:t>
      </w:r>
      <w:r>
        <w:rPr>
          <w:rFonts w:ascii="Arial" w:cs="Arial" w:eastAsia="Arial" w:hAnsi="Arial"/>
          <w:sz w:val="13"/>
          <w:szCs w:val="13"/>
          <w:i w:val="1"/>
          <w:iCs w:val="1"/>
          <w:color w:val="auto"/>
        </w:rPr>
        <w:t>GLP</w:t>
      </w:r>
      <w:r>
        <w:rPr>
          <w:rFonts w:ascii="Arial" w:cs="Arial" w:eastAsia="Arial" w:hAnsi="Arial"/>
          <w:sz w:val="13"/>
          <w:szCs w:val="13"/>
          <w:color w:val="auto"/>
        </w:rPr>
        <w:t>) Irwin test in rats show it to have no adverse effect on the CNS following single oral administration at doses up to 2,000 mg/kg. Although AV-101 inhibited the human ether à-go-go–related gene (</w:t>
      </w:r>
      <w:r>
        <w:rPr>
          <w:rFonts w:ascii="Arial" w:cs="Arial" w:eastAsia="Arial" w:hAnsi="Arial"/>
          <w:sz w:val="13"/>
          <w:szCs w:val="13"/>
          <w:i w:val="1"/>
          <w:iCs w:val="1"/>
          <w:color w:val="auto"/>
        </w:rPr>
        <w:t>hERG</w:t>
      </w:r>
      <w:r>
        <w:rPr>
          <w:rFonts w:ascii="Arial" w:cs="Arial" w:eastAsia="Arial" w:hAnsi="Arial"/>
          <w:sz w:val="13"/>
          <w:szCs w:val="13"/>
          <w:color w:val="auto"/>
        </w:rPr>
        <w:t>) current in a dose-dependent manner (median concentration that causes 50% inhibition for the inhibitory effect [IC50] of 70.5 μM), its active metabolite, 7-Cl-KYNA, showed no inhibitory effect on the hERG channel current. Electrocardiograms (</w:t>
      </w:r>
      <w:r>
        <w:rPr>
          <w:rFonts w:ascii="Arial" w:cs="Arial" w:eastAsia="Arial" w:hAnsi="Arial"/>
          <w:sz w:val="13"/>
          <w:szCs w:val="13"/>
          <w:i w:val="1"/>
          <w:iCs w:val="1"/>
          <w:color w:val="auto"/>
        </w:rPr>
        <w:t>ECGs</w:t>
      </w:r>
      <w:r>
        <w:rPr>
          <w:rFonts w:ascii="Arial" w:cs="Arial" w:eastAsia="Arial" w:hAnsi="Arial"/>
          <w:sz w:val="13"/>
          <w:szCs w:val="13"/>
          <w:color w:val="auto"/>
        </w:rPr>
        <w:t xml:space="preserve">) recorded during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dog toxicology studies showed no AV-101–related adverse cardiovascular effects. Furthermore, in a pivotal GLP dog 14-day toxicology study, no treatment-related effects on ECGs, including QT interval and QTc, at dose levels up to 120 mg/kg/d. No evidence of any treatment-related adverse effects on the respiratory system has been noted with AV-101.</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Oral administration of AV-101 to Sprague-Dawley rats and mice was shown to result in rapid absorption of AV-101 (rats: time to maximum plasma concentration [Tmax], approximately 0.25 to 0.5 hours), adequate bioavailability (rats: approximately 39% to 94%), and plasma elimination half-life (rats: t1/2 approximately 1 to 3 hours). Furthermore, in rats 7-Cl-KYNA was detected in the plasma and reached the maximum plasma concentration (</w:t>
      </w:r>
      <w:r>
        <w:rPr>
          <w:rFonts w:ascii="Arial" w:cs="Arial" w:eastAsia="Arial" w:hAnsi="Arial"/>
          <w:sz w:val="14"/>
          <w:szCs w:val="14"/>
          <w:i w:val="1"/>
          <w:iCs w:val="1"/>
          <w:color w:val="auto"/>
        </w:rPr>
        <w:t>Cmax</w:t>
      </w:r>
      <w:r>
        <w:rPr>
          <w:rFonts w:ascii="Arial" w:cs="Arial" w:eastAsia="Arial" w:hAnsi="Arial"/>
          <w:sz w:val="14"/>
          <w:szCs w:val="14"/>
          <w:color w:val="auto"/>
        </w:rPr>
        <w:t>) approximately 0.25 to 0.5 hours after oral administration, suggesting a rapid conversion of AV-101 to 7-Cl-KYNA. Pharmacokinetic analyses were conducted in many of the toxicology studies in rats, dogs, and monkeys. These analyses showed that the AV-101-related clinical signs observed in dogs (versus monkeys) were associated with a similar, and at some does a significantly higher, exposure. Furthermore, although AUC and Cmax values increased non-proportionately with dose level in dogs, AUC values only marginally increased with dose in monkeys, with little change in Cmax values.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Low levels of potential metabolites of AV-101 were detected following in vitro incubations with hepatocytes from the mouse, rat, dog, monkey, and humans, indicating little concern with liver metabolism issues. No appreciable conversion of AV-101 to D-4-Cl-KYN during these hepatocyte incubations was noted. Results from cytochrome P-450 (</w:t>
      </w:r>
      <w:r>
        <w:rPr>
          <w:rFonts w:ascii="Arial" w:cs="Arial" w:eastAsia="Arial" w:hAnsi="Arial"/>
          <w:sz w:val="14"/>
          <w:szCs w:val="14"/>
          <w:i w:val="1"/>
          <w:iCs w:val="1"/>
          <w:color w:val="auto"/>
        </w:rPr>
        <w:t>CYP</w:t>
      </w:r>
      <w:r>
        <w:rPr>
          <w:rFonts w:ascii="Arial" w:cs="Arial" w:eastAsia="Arial" w:hAnsi="Arial"/>
          <w:sz w:val="14"/>
          <w:szCs w:val="14"/>
          <w:color w:val="auto"/>
        </w:rPr>
        <w:t>) inhibition and induction studies showed that AV-101 was not a potent inhibitor or inducer of the human CYP isoforms evaluated.</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Single-dose studies in rats and monkeys did not show clear evidence of toxicity at maximal doses of 2,000 mg/kg. In dogs, consistent with the expected drug mechanism of action, oral administration of AV-101 resulted in CNS-related clinical signs, including decreased activity, abnormal gait/stance, ataxia, and prostration at the maximum tolerated dose.</w:t>
      </w:r>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A repeated-dose (14-day) ocular toxicity study in Sprague-Dawley rats (unpigmented) and brown Norway rats (pigmented) at dose levels up to 2,000 mg/kg/d did not reveal any signs of retinal degeneration at any dose level or rat strain. A subsequent pivotal GLP 14-day repeated-dose toxicity study in Sprague-Dawley rats showed no treatment-related ocular findings after daily dosing of AV-101 for 14 consecutive days at dose levels up to 2,000 mg/kg/d.</w:t>
      </w:r>
    </w:p>
    <w:p>
      <w:pPr>
        <w:spacing w:after="0" w:line="163" w:lineRule="exact"/>
        <w:rPr>
          <w:sz w:val="20"/>
          <w:szCs w:val="20"/>
          <w:color w:val="auto"/>
        </w:rPr>
      </w:pPr>
    </w:p>
    <w:p>
      <w:pPr>
        <w:ind w:right="100"/>
        <w:spacing w:after="0" w:line="323" w:lineRule="auto"/>
        <w:rPr>
          <w:sz w:val="20"/>
          <w:szCs w:val="20"/>
          <w:color w:val="auto"/>
        </w:rPr>
      </w:pPr>
      <w:r>
        <w:rPr>
          <w:rFonts w:ascii="Arial" w:cs="Arial" w:eastAsia="Arial" w:hAnsi="Arial"/>
          <w:sz w:val="13"/>
          <w:szCs w:val="13"/>
          <w:color w:val="auto"/>
        </w:rPr>
        <w:t>A GLP 14-day repeated-dose CNS toxicity study conducted in dogs, at dose levels up to 100 mg/kg/d showed no treatment-related lesions in the brain of any animal. The pivotal GLP 14-day repeated-dose toxicity study in Beagle dogs, also showed no treatment-related CNS findings after daily dosing of AV-101 for 14 consecutive days at dose levels up to 120 mg/kg/d.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1" w:name="page72"/>
    <w:bookmarkEnd w:id="7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80"/>
        <w:spacing w:after="0" w:line="283" w:lineRule="auto"/>
        <w:rPr>
          <w:sz w:val="20"/>
          <w:szCs w:val="20"/>
          <w:color w:val="auto"/>
        </w:rPr>
      </w:pPr>
      <w:r>
        <w:rPr>
          <w:rFonts w:ascii="Arial" w:cs="Arial" w:eastAsia="Arial" w:hAnsi="Arial"/>
          <w:sz w:val="14"/>
          <w:szCs w:val="14"/>
          <w:color w:val="auto"/>
        </w:rPr>
        <w:t>The genotoxic potential of AV-101 and 7-Cl-KYNA was assessed in multiple in vitro genotoxicity studies (bacterial reverse mutation, chromosomal aberration, mouse lymphoma TK+/-, and micronucleus tests), and the overall results confirmed that both AV-101 and 7-Cl-KYNA are not mutagenic.</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 rat Olney lesion study was conducted to assess the potential CNS toxicity. No lesions were observed in the brain after a single oral dose of AV-101 at doses up to 2,000 mg/kg.</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Nonclinical Pharmacology Studies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Primary Pharmacodynamics</w:t>
      </w:r>
    </w:p>
    <w:p>
      <w:pPr>
        <w:spacing w:after="0" w:line="180" w:lineRule="exact"/>
        <w:rPr>
          <w:sz w:val="20"/>
          <w:szCs w:val="20"/>
          <w:color w:val="auto"/>
        </w:rPr>
      </w:pPr>
    </w:p>
    <w:p>
      <w:pPr>
        <w:jc w:val="both"/>
        <w:ind w:right="240"/>
        <w:spacing w:after="0" w:line="268" w:lineRule="auto"/>
        <w:rPr>
          <w:sz w:val="20"/>
          <w:szCs w:val="20"/>
          <w:color w:val="auto"/>
        </w:rPr>
      </w:pPr>
      <w:r>
        <w:rPr>
          <w:rFonts w:ascii="Arial" w:cs="Arial" w:eastAsia="Arial" w:hAnsi="Arial"/>
          <w:sz w:val="14"/>
          <w:szCs w:val="14"/>
          <w:color w:val="auto"/>
        </w:rPr>
        <w:t>Much of the nonclinical pharmacology information of AV-101 is derived from many published research results on 4-Cl-KYN or 7-Cl-KYNA. Primary pharmacodynamic studies conducted in rodent models for neuropathic pain demonstrated AV-101’s antihyperalgesic activity in models of facilitated pain processing, its analgesic properties, its ability to provide neuroprotection from excitotoxic death, its ability to reduce seizures, and its activity in multiple preclinical models of depression.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Nonclinical Absorption, Distribution, Metabolism and Excretion Studies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rats, area under the concentration-time curve from time of dosing extrapolated to infinity (AUC0-∞) values were proportional to dose for AV-101, but Cmax was less than proportional to dose, suggesting a saturation of absorption rate. 7-Cl-KYNA Cmax was less than proportional to dose, and generally females tended to have a higher exposure to AV-101 than males, but no sex difference was noted for 7-Cl-KYNA exposure. In the repeated-dose studies, D-4-Cl-KYN, 4-Cl-KYN, and 7-Cl-KYNA mean area under the concentration-time curves from time of dosing to the last sampling time (AUC0-t) and AUC0-∞ values were higher on Day 14 than on Day 1 in both sexes of most treatment groups, indicating that exposure increased following daily repeated dosing of AV-101. Sex differences were noted for D-4-Cl-KYN and 4-Cl-KYN, with mean AUC0-t and AUC0-∞ estimates higher in females relative to males for most treatment groups. Conversely, mean AUC0-t and AUC0-∞ values of 7-Cl-KYNA were generally higher in males relative to females.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dogs, AUC0-∞ values were slightly less than proportional to dose up to 100 mg/kg AV-101 and Cmax values were less than proportional to dose, suggesting a saturation of absorption. No consistent sex differences were noted for Cmax or AUC values. AUC0-∞ and Cmax values for 7-Cl-KYNA were less than proportional to dose. In the repeated-dose study, D-4-Cl-KYN, 4-Cl-KYN, and 7-Cl-KYNA showed a proportional increase in Cmax with the administered dose level of AV-101 in both sexes. There was no evidence of plasma accumulation for any of the analytes. Sex differences were noted for D-4-Cl-KYN, with slightly higher mean AUC0-t and AUC0-∞ estimates in females relative to males on Day 1 and Day 14, in all treatment groups. For 7-Cl-KYNA, mean Cmax was elevated in females relative to males at all dose levels on Days 1 and Day 14, and mean AUC0-t and AUC0-∞ estimates were also generally higher in females relative to males at all dose levels. No clear sex differences were noted for 4-Cl-KYN.</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In monkeys, AUC0-∞ values were relatively proportional to dose, but Cmax values were not proportional to dose (comparable or lower Cmax with increasing doses). The AUC0-∞ and Cmax values for 7-Cl-KYNA were less than proportional to dose, and no major sex differences were noted.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Nonclinical Toxicology Studies</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safety profile of AV-101 was determined in single-dose, range-finding, and repeated-dose toxicology studies in rats and dogs, and in a single-dose study in monkeys. A GLP CNS safety pharmacology study in rats that included a microscopic evaluation for Olney lesions was also conducted. Additionally, pivotal GLP 14-day repeated-dose toxicology studies in rats and dogs have been conducted. The genotoxic potentials of AV-101 and 7-Cl-KYNA were assessed in multiple in vitro and in vivo genotoxicity studies, including bacterial reverse mutation, chromosomal aberration, mouse lymphoma TK+/-, and micronucleus tests. Neither was determined to be mutagenic.</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Local tolerance studies have not been conducted with AV-101. However, no lesions in the gastrointestinal tract were observed after oral administration of AV-101 in the repeated-dose toxicity studies in the rat and dog.</w:t>
      </w:r>
    </w:p>
    <w:p>
      <w:pPr>
        <w:spacing w:after="0" w:line="153" w:lineRule="exact"/>
        <w:rPr>
          <w:sz w:val="20"/>
          <w:szCs w:val="20"/>
          <w:color w:val="auto"/>
        </w:rPr>
      </w:pPr>
    </w:p>
    <w:p>
      <w:pPr>
        <w:ind w:right="220"/>
        <w:spacing w:after="0" w:line="298" w:lineRule="auto"/>
        <w:rPr>
          <w:sz w:val="20"/>
          <w:szCs w:val="20"/>
          <w:color w:val="auto"/>
        </w:rPr>
      </w:pPr>
      <w:r>
        <w:rPr>
          <w:rFonts w:ascii="Arial" w:cs="Arial" w:eastAsia="Arial" w:hAnsi="Arial"/>
          <w:sz w:val="13"/>
          <w:szCs w:val="13"/>
          <w:color w:val="auto"/>
        </w:rPr>
        <w:t>The results of the pivotal 14-day studies show the dog to be the most sensitive species. The dog NOAEL was determined to be the highest dose level (120 mg/kg/d), and therefore the maximum recommended starting dose (</w:t>
      </w:r>
      <w:r>
        <w:rPr>
          <w:rFonts w:ascii="Arial" w:cs="Arial" w:eastAsia="Arial" w:hAnsi="Arial"/>
          <w:sz w:val="13"/>
          <w:szCs w:val="13"/>
          <w:i w:val="1"/>
          <w:iCs w:val="1"/>
          <w:color w:val="auto"/>
        </w:rPr>
        <w:t>MRSD</w:t>
      </w:r>
      <w:r>
        <w:rPr>
          <w:rFonts w:ascii="Arial" w:cs="Arial" w:eastAsia="Arial" w:hAnsi="Arial"/>
          <w:sz w:val="13"/>
          <w:szCs w:val="13"/>
          <w:color w:val="auto"/>
        </w:rPr>
        <w:t xml:space="preserve">) would be 6.5 mg/kg (12 mg/kg/d </w:t>
      </w:r>
      <w:r>
        <w:rPr>
          <w:rFonts w:ascii="Arial" w:cs="Arial" w:eastAsia="Arial" w:hAnsi="Arial"/>
          <w:sz w:val="13"/>
          <w:szCs w:val="13"/>
          <w:color w:val="auto"/>
        </w:rPr>
        <w:t>Ч</w:t>
      </w:r>
      <w:r>
        <w:rPr>
          <w:rFonts w:ascii="Arial" w:cs="Arial" w:eastAsia="Arial" w:hAnsi="Arial"/>
          <w:sz w:val="13"/>
          <w:szCs w:val="13"/>
          <w:color w:val="auto"/>
        </w:rPr>
        <w:t xml:space="preserve"> 0.54 [conversion factor]) or 390 mg per subject for a 60-kg person. As a further added margin of safety for the clinical use of AV-101, the Company applied an additional safety factor to the calculated MRSD, and set the starting dose in the proposed Phase 1a clinical trial at 0.5 mg/kg (i.e., 30 mg for 60 kg subjects).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2" w:name="page73"/>
    <w:bookmarkEnd w:id="7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Phase 1 Clinical Safety Studies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The safety data from two NIH-funded AV-101 Phase 1 clinical safety studies indicate that AV-101 was safe and well tolerated in healthy subjects at all doses tested. There were no adverse effects (</w:t>
      </w:r>
      <w:r>
        <w:rPr>
          <w:rFonts w:ascii="Arial" w:cs="Arial" w:eastAsia="Arial" w:hAnsi="Arial"/>
          <w:sz w:val="14"/>
          <w:szCs w:val="14"/>
          <w:i w:val="1"/>
          <w:iCs w:val="1"/>
          <w:color w:val="auto"/>
        </w:rPr>
        <w:t>AEs</w:t>
      </w:r>
      <w:r>
        <w:rPr>
          <w:rFonts w:ascii="Arial" w:cs="Arial" w:eastAsia="Arial" w:hAnsi="Arial"/>
          <w:sz w:val="14"/>
          <w:szCs w:val="14"/>
          <w:color w:val="auto"/>
        </w:rPr>
        <w:t>) reported by subjects that received AV-101 that were graded as probably related to study drug. The type and distribution of AEs reported by subjects in the studies were considered to be typical for studies in healthy volunteers. All AEs were completely resolved, and no Serious Adverse Events (</w:t>
      </w:r>
      <w:r>
        <w:rPr>
          <w:rFonts w:ascii="Arial" w:cs="Arial" w:eastAsia="Arial" w:hAnsi="Arial"/>
          <w:sz w:val="14"/>
          <w:szCs w:val="14"/>
          <w:i w:val="1"/>
          <w:iCs w:val="1"/>
          <w:color w:val="auto"/>
        </w:rPr>
        <w:t>SAEs</w:t>
      </w:r>
      <w:r>
        <w:rPr>
          <w:rFonts w:ascii="Arial" w:cs="Arial" w:eastAsia="Arial" w:hAnsi="Arial"/>
          <w:sz w:val="14"/>
          <w:szCs w:val="14"/>
          <w:color w:val="auto"/>
        </w:rPr>
        <w:t>) were reported.</w:t>
      </w:r>
    </w:p>
    <w:p>
      <w:pPr>
        <w:spacing w:after="0" w:line="142" w:lineRule="exact"/>
        <w:rPr>
          <w:sz w:val="20"/>
          <w:szCs w:val="20"/>
          <w:color w:val="auto"/>
        </w:rPr>
      </w:pPr>
    </w:p>
    <w:p>
      <w:pPr>
        <w:ind w:right="40"/>
        <w:spacing w:after="0" w:line="370"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Study</w:t>
      </w:r>
    </w:p>
    <w:p>
      <w:pPr>
        <w:spacing w:after="0" w:line="180" w:lineRule="exact"/>
        <w:rPr>
          <w:sz w:val="20"/>
          <w:szCs w:val="20"/>
          <w:color w:val="auto"/>
        </w:rPr>
      </w:pPr>
    </w:p>
    <w:p>
      <w:pPr>
        <w:ind w:right="60"/>
        <w:spacing w:after="0" w:line="306" w:lineRule="auto"/>
        <w:rPr>
          <w:sz w:val="20"/>
          <w:szCs w:val="20"/>
          <w:color w:val="auto"/>
        </w:rPr>
      </w:pPr>
      <w:r>
        <w:rPr>
          <w:rFonts w:ascii="Arial" w:cs="Arial" w:eastAsia="Arial" w:hAnsi="Arial"/>
          <w:sz w:val="12"/>
          <w:szCs w:val="12"/>
          <w:color w:val="auto"/>
        </w:rPr>
        <w:t>A phase 1a, randomized, double blind, placebo-controlled study to evaluate the safety and PK of single doses of AV-101 in healthy volunteers was conducted (VSG-CL-001). Seven cohorts (30, 120, 360, 720, 1,080, 1,440, and 1,800 mg) with six subjects per cohort (1:1, AV-101: placebo) were to be enrolled in the study. For the first five cohorts (30, 120, 360, 710 and 1,080 mg) only two subjects were dosed at a time as a pair (1:1, AV-101: placebo) on Day 1. The safety and tolerability of AV-101 in each pair of subjects was assessed by the investigator before proceeding to the next pair within the dose cohort of the study. If no safety concerns were found after analysis of the laboratory samples, physical assessments, and results of the neurological and ophthalmological examinations, the next two subjects in the cohort were dosed, but no sooner than 48 hours after the previous pair of subjects. The next cohort was dosed when the investigator and medical monitor agreed that it was safe to proceed based on review of the previous dose group’s preliminary safety information. In addition, PK assessments were to be reviewed for each cohort starting with the 720 mg through the 1,800 mg dose cohort. A minimum of four evaluable subjects (two AV-101 and two placebo) were required for determination of tolerability and safety of a dose level. The PK stopping criteria would be reached when the 4-C1-KYN mean AUC0-t reaches 900,486 ng·h/mL, or a mean Cmax of 81,633 ng/mL, or a PK extrapolation predicts exceeding one of these values in the next cohort.</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All the subjects from the 1,440 mg cohort were dosed during a single day (3 subjects receiving active drug and 3 subjects receiving placebo). The safety and tolerability of AV-101 in the 1,440 mg dose cohort was to be assessed by the investigator and medical monitor before proceeding to the 1,800 mg dose cohort. If no safety concerns were found after analysis of the laboratory samples including the PK results, physical assessments, and results of the neurological and ophthalmological examinations for the 1,440 mg cohort, the 1,800-mg cohort was to be dosed. However, the PK stopping criteria were reached at the 1,440-mg cohort, and the study was stopped and did not proceed to the planned 1,800 mg cohort.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Study Pharmacokinetics Summary</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Validated bioanalytical methods were used to measure plasma analyte concentrations. These assays had lower limits of quantification of 2 ng/mL for 7-Cl-KYNA and 5 ng/mL for 4-Cl-KYN and D-4-Cl- KYN. Pharmacokinetic parameters were calculated by using WinNonlin Pro v. 5.2. Parameters calculated included observed maximal concentration (Cmax), observed time to Cmax (Tmax), area under the concentration-time curve to the last sample collected (AUC0-t) or extrapolated to infinity (AUC0-∞), and half-life (t1/2). Concentrations of all three analytes were measurable in both plasma and urine after administration of each of the six dose levels: 30, 120, 360, 720, 1,080 and 1,440 mg.</w:t>
      </w:r>
    </w:p>
    <w:p>
      <w:pPr>
        <w:spacing w:after="0" w:line="146"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Concentration-time data were obtained after dosing of the six cohorts. Three subjects received AV-101 and three received placebo in each cohort. Plasma concentrations of 4-Cl-KYN and 7-Cl-KYNA were obtained in addition to urine concentrations of these two analytes. Plasma and urine concentrations of D-4-Cl-KYN also were determined, but will be reported only for the first two cohorts.</w:t>
      </w:r>
    </w:p>
    <w:p>
      <w:pPr>
        <w:spacing w:after="0" w:line="86"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This study was conducted under dose escalation stopping criteria as determined by the FDA of 4-Cl-KYN mean Cmax and AUC limits of 81,633 ng/mL and 900,486 ng·h/mL, respectively. Although these criteria were not met for the mean data of the 1,440-mg dose, one subject had a Cmax that was slightly greater than the limit of 81,633 ng/mL. Therefore, dose escalation to the planned seventh cohort of 1,800 mg of AV-101 did not occur in this study. However, from a safety perspective, a maximum tolerable dose was not achieved. Also, maximum AUC values at the highest dose level remained substantially lower than the limit.</w:t>
      </w:r>
    </w:p>
    <w:p>
      <w:pPr>
        <w:spacing w:after="0" w:line="146"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Concentrations of all three analytes were measurable in both plasma and urine after administration of all dose levels, although many of the samples from the 30-mg dose group had concentrations below the limit of quantification for 7-Cl-KYNA. Plasma concentration-time profiles were consistent with rapid absorption of the oral dose and first-order elimination. The plasma concentration-time profiles were well defined for 4-Cl-KYN at all dose levels. Maximum concentrations occurred fairly rapidly, with individual values of Tmax ranging from 0.5 to 2 hours, with greater values tending to be in the higher dose groups. Individual t1/2 values were fairly consistent within cohorts, and mean values ranged from 1.80 to 3.33 hours. Mean t1/2 values also tended to increase with increasing dose. Mean Cmax and AUC0-∞ values appeared to be approximately dose proportional except for those of the highest dose group.</w:t>
      </w:r>
    </w:p>
    <w:p>
      <w:pPr>
        <w:spacing w:after="0" w:line="14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The 7-Cl-KYNA plasma concentration-time profiles were not well defined for the 30-mg dose. Most samples for the 30-mg dose cohort had concentrations below the lower limits of quantification, and t1/2 values could not be calculated; however, profiles were sufficient after the 120-mg and greater doses to calculate all parameters.</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general, 7-Cl-KYNA maximum concentrations occurred at the same time or later than those for 4-Cl-KYN, as may be expected since 7-Cl-KYNA is a metabolite of 4-Cl-KYN. Individual values of Tmax ranged from 0.5 to 2 hours for both analytes. Individual 7-Cl-KYNA t1/2 values were fairly consistent within cohorts, and mean values ranged from 2.17 to 3.19 hours. Mean t1/2 values did not appear to be dose-related. Mean 7-Cl-KYNA Cmax values were somewhat dose proportional for the two initial dose groups, but tended to increase in a more than dose-proportional manner. Similarly, mean 7-Cl-KYNA AUC0-t values for all dose groups and AUC0-∞ values for dose groups of 120 mg or greater tended to increase in a more than dose-proportional manner. Mean plasma concentrations of 4-Cl-KYN (Figure 1) and 7-Cl-KYNA (Figure 2) are depicted for all six cohorts.</w:t>
      </w:r>
    </w:p>
    <w:p>
      <w:pPr>
        <w:spacing w:after="0" w:line="14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As with the 120-mg dose cohort, the plasma concentration-time profiles were well defined for both 4-Cl-KYN and 7-Cl-KYNA at the four higher dose levels. Interestingly, the mean concentration-time profiles suggest that maximum concentrations were lower than expected, particularly for 7-Cl-KYNA.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3" w:name="page74"/>
    <w:bookmarkEnd w:id="7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Assessment of Dose Proportionality</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For 4-Cl-KYN, mean Cmax and AUC0-∞ values appeared to be approximately dose proportional except for those of the highest dose group. These values are presented by dose in Figure 3 (Cmax) and in Figure 4 (AUC0-∞) below. Figure 3 indicates that for 4-Cl-KYN the mean Cmax values are approximately dose linear and proportional up to a dose of 1,080 mg of AV-101. After a dose of 1,440 mg, the mean Cmax values increased only 8.8% while the dose increased by 33.3%. This is evident in the deviation of the graph from linearity at the highest dose.</w:t>
      </w:r>
    </w:p>
    <w:p>
      <w:pPr>
        <w:spacing w:after="0" w:line="125"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Although the 4-Cl-KYN mean Cmax values were not linear after the 1,080-mg dose, AUC0-∞ values are approximately linear and dose proportional throughout the dose range. The nonlinearity of Cmax values at the highest dose could be a result of an outlier or simply variability in a small number of subjects (Cmax values of 44,600, 54,900, and 89,500 ng/mL were observed after the dose of 1,040-mg AV-101), it suggests that the rate or extent of absorption could be limited. The fact that AUC0-∞ values were linear throughout the dose range suggests that the extent of absorption was not a limitation, but the rate of absorption may be limited at doses above 1,080 mg.</w:t>
      </w:r>
    </w:p>
    <w:p>
      <w:pPr>
        <w:spacing w:after="0" w:line="167" w:lineRule="exact"/>
        <w:rPr>
          <w:sz w:val="20"/>
          <w:szCs w:val="20"/>
          <w:color w:val="auto"/>
        </w:rPr>
      </w:pPr>
    </w:p>
    <w:p>
      <w:pPr>
        <w:jc w:val="both"/>
        <w:ind w:right="180"/>
        <w:spacing w:after="0" w:line="323" w:lineRule="auto"/>
        <w:rPr>
          <w:sz w:val="20"/>
          <w:szCs w:val="20"/>
          <w:color w:val="auto"/>
        </w:rPr>
      </w:pPr>
      <w:r>
        <w:rPr>
          <w:rFonts w:ascii="Arial" w:cs="Arial" w:eastAsia="Arial" w:hAnsi="Arial"/>
          <w:sz w:val="13"/>
          <w:szCs w:val="13"/>
          <w:color w:val="auto"/>
        </w:rPr>
        <w:t>The lack of linearity of the 4-Cl-KYN mean Cmax values would be expected to have a similar effect on the 7-Cl-KYNA mean Cmax values. Similarly, because the extent of absorption of 4-Cl-KYN was linear throughout the dose range, exposure to 7-Cl-KYNA would be expected to also be linear. Mean values of 7-Cl-KYNA are presented by dose in Figure 5 (Cmax) and in Figure 6 (AUC0-∞).</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Safety Summary</w:t>
      </w:r>
    </w:p>
    <w:p>
      <w:pPr>
        <w:spacing w:after="0" w:line="180" w:lineRule="exact"/>
        <w:rPr>
          <w:sz w:val="20"/>
          <w:szCs w:val="20"/>
          <w:color w:val="auto"/>
        </w:rPr>
      </w:pPr>
    </w:p>
    <w:p>
      <w:pPr>
        <w:ind w:right="120"/>
        <w:spacing w:after="0" w:line="305" w:lineRule="auto"/>
        <w:rPr>
          <w:sz w:val="20"/>
          <w:szCs w:val="20"/>
          <w:color w:val="auto"/>
        </w:rPr>
      </w:pPr>
      <w:r>
        <w:rPr>
          <w:rFonts w:ascii="Arial" w:cs="Arial" w:eastAsia="Arial" w:hAnsi="Arial"/>
          <w:sz w:val="12"/>
          <w:szCs w:val="12"/>
          <w:color w:val="auto"/>
        </w:rPr>
        <w:t>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(2 AEs) when compared with that at the 120-mg dose (1 AE), 360-mg dose (1 AE),</w:t>
      </w:r>
    </w:p>
    <w:p>
      <w:pPr>
        <w:spacing w:after="0" w:line="256" w:lineRule="auto"/>
        <w:rPr>
          <w:sz w:val="20"/>
          <w:szCs w:val="20"/>
          <w:color w:val="auto"/>
        </w:rPr>
      </w:pPr>
      <w:r>
        <w:rPr>
          <w:rFonts w:ascii="Arial" w:cs="Arial" w:eastAsia="Arial" w:hAnsi="Arial"/>
          <w:sz w:val="14"/>
          <w:szCs w:val="14"/>
          <w:color w:val="auto"/>
        </w:rPr>
        <w:t>720-mg dose (0 AEs), 1,080-mg dose (0 AEs), or 1,440-mg dose (2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2 days of onset. This AE was also considered not serious.</w:t>
      </w:r>
    </w:p>
    <w:p>
      <w:pPr>
        <w:spacing w:after="0" w:line="173"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Even though these safety studies were not designed to quantitatively assess effects on mood, during the interviews 2 out of 3 subjects who received the highest dose (1440 mg) of AV-101, voluntarily acknowledged positive effects on mood. Similar comments were not made by any of the 18 placebo group subjects. One incident lasted approximately 15 minutes after study drug dosing, and the other event of euphoria lasted approximately 3 hours after study drug dosing. There were no other reported AEs for this cohort. The events resolved and were considered not serious.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74" w:name="page75"/>
    <w:bookmarkEnd w:id="7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1b Study</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to have been dosed for 14 consecutive days. Each subject was given a paper diary and instructed to record daily dose administration, concomitant medications, and AEs during the 14-day treatment period.</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safety and tolerability of AV-101 were assessed by evaluating AEs and by physical examinations, vital signs, and clinical laboratory tests (chemistry and hematology assessments) that were performed on Days 1, 7 (±1 day), and 14. Blood sampling for PK was performed on Days 1, 2, 14, and 15. Additionally, ophthalmological examinations were performed at screening and Day 15. Physical examinations, including vital signs, 12-lead ECGs, neurocognitive tests, and ataxia tests were performed on Day 1 and Day 14. Before proceeding to the next higher dose, the following criteria were met:</w:t>
      </w:r>
    </w:p>
    <w:p>
      <w:pPr>
        <w:spacing w:after="0" w:line="118" w:lineRule="exact"/>
        <w:rPr>
          <w:sz w:val="20"/>
          <w:szCs w:val="20"/>
          <w:color w:val="auto"/>
        </w:rPr>
      </w:pPr>
    </w:p>
    <w:p>
      <w:pPr>
        <w:ind w:left="520" w:hanging="515"/>
        <w:spacing w:after="0"/>
        <w:tabs>
          <w:tab w:leader="none" w:pos="520" w:val="left"/>
        </w:tabs>
        <w:numPr>
          <w:ilvl w:val="0"/>
          <w:numId w:val="39"/>
        </w:numPr>
        <w:rPr>
          <w:rFonts w:ascii="Arial" w:cs="Arial" w:eastAsia="Arial" w:hAnsi="Arial"/>
          <w:sz w:val="20"/>
          <w:szCs w:val="20"/>
          <w:color w:val="auto"/>
          <w:vertAlign w:val="superscript"/>
        </w:rPr>
      </w:pPr>
      <w:r>
        <w:rPr>
          <w:rFonts w:ascii="Arial" w:cs="Arial" w:eastAsia="Arial" w:hAnsi="Arial"/>
          <w:sz w:val="14"/>
          <w:szCs w:val="14"/>
          <w:color w:val="auto"/>
        </w:rPr>
        <w:t>Blinded safety and tolerability data were reviewed and assessed as being satisfactory by the investigator and medical monitor; and</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39"/>
        </w:numPr>
        <w:rPr>
          <w:rFonts w:ascii="Arial" w:cs="Arial" w:eastAsia="Arial" w:hAnsi="Arial"/>
          <w:sz w:val="20"/>
          <w:szCs w:val="20"/>
          <w:color w:val="auto"/>
          <w:vertAlign w:val="superscript"/>
        </w:rPr>
      </w:pPr>
      <w:r>
        <w:rPr>
          <w:rFonts w:ascii="Arial" w:cs="Arial" w:eastAsia="Arial" w:hAnsi="Arial"/>
          <w:sz w:val="14"/>
          <w:szCs w:val="14"/>
          <w:color w:val="auto"/>
        </w:rPr>
        <w:t>PK assessments were reviewed by the blinded Cato Research PK specialist to determine if the PK stopping criteria were reached.</w:t>
      </w:r>
    </w:p>
    <w:p>
      <w:pPr>
        <w:spacing w:after="0" w:line="182" w:lineRule="exact"/>
        <w:rPr>
          <w:sz w:val="20"/>
          <w:szCs w:val="20"/>
          <w:color w:val="auto"/>
        </w:rPr>
      </w:pPr>
    </w:p>
    <w:p>
      <w:pPr>
        <w:jc w:val="both"/>
        <w:ind w:right="140"/>
        <w:spacing w:after="0" w:line="283" w:lineRule="auto"/>
        <w:rPr>
          <w:sz w:val="20"/>
          <w:szCs w:val="20"/>
          <w:color w:val="auto"/>
        </w:rPr>
      </w:pPr>
      <w:r>
        <w:rPr>
          <w:rFonts w:ascii="Arial" w:cs="Arial" w:eastAsia="Arial" w:hAnsi="Arial"/>
          <w:sz w:val="14"/>
          <w:szCs w:val="14"/>
          <w:color w:val="auto"/>
        </w:rPr>
        <w:t>The doses evaluated in this Phase 1b multi-dose study of AV-101 were based on results obtained in a previously conducted Phase 1a single-dose study of AV-101 in healthy adults. The dose-escalation design was consistent with a standard scheme, and careful monitoring occurred to ensure the safety of all subjects.</w:t>
      </w:r>
    </w:p>
    <w:p>
      <w:pPr>
        <w:spacing w:after="0" w:line="153"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The minimum toxic dose was defined as the dose at which the stopping criteria were reached. For this study, the minimum toxic dose was to be (1) the dose at which a drug-related SAE occurred in an AV-101–treated subject, or (2) the dose at which a severe AE that warranted stopping the study, as determined by the investigator and medical monitor, occurred in an AV-101–treated subject within a cohort. The minimum toxic dose was not reached in this study.</w:t>
      </w:r>
    </w:p>
    <w:p>
      <w:pPr>
        <w:spacing w:after="0" w:line="163"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A total of 40 AEs were reported by 24 of 37 (64.9%) subjects receiving AV-101, and 17 AEs were reported by 10 of 13 (76.9%) subject receiving placebo (Table 2).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 and no SAEs were reported.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5" w:name="page76"/>
    <w:bookmarkEnd w:id="7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majority of the reported AEs were nervous system disorders (23 subjects, 46% of subjects) and gastrointestinal disorders (7 subjects, 14.0%). The remaining AEs were classified as eye disorders (3 subjects, 6.0%); psychiatric disorders (3 subjects, 6.0%); respiratory, thoracic, and mediastinal disorders (3, 6.0%); skin and subcutaneous tissue disorders (3 subjects, 6.0%); general disorders and administration site conditions (2 subjects, 4.0%); cardiac disorders (1 subject, 2.0%); infections and infestations (1 subject, 2.0%); musculoskeletal and connective tissue disorders (1 subject, 2.0%); and renal disorders (1 subject, 2.0%).</w:t>
      </w:r>
    </w:p>
    <w:p>
      <w:pPr>
        <w:spacing w:after="0" w:line="146"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distribution of AEs by System Organ Class was similar among the cohorts with the exception of headaches and gastrointestinal disorders. Eight of the 18 (44.4%) reported headaches were in the placebo group, 6 (33.3%) were in the 1,080-mg group, 3 (16.7%) were in the 1,440-mg group, and 1 (5.6%) was in the 360-mg group. Three (42.9%) of the 7 reported gastrointestinal disorders were in the 360-mg group, 2 (28.6%) were in the placebo group, 1 (14.3%) was in the 1,080-mg group, and 1 (14.3%) was in the 1,440-mg group.</w:t>
      </w:r>
    </w:p>
    <w:p>
      <w:pPr>
        <w:spacing w:after="0" w:line="142"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The determination of the relationship of the AE to the study drug was made when the data were unblinded. Ten of the 15 AEs (66.7%) that occurred in the 360-mg AV-101 group, 10 of the 14 AEs (71.4%) that occurred in the 1,040-mg AV-101 group, 7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8 (14.0%) were of moderate intensity. There were 2 moderate intensity AEs in the 360-mg AV-101 group; 1 was unrelated pain in the right foot, and 1 was a possibly related headache. All other moderate AEs occurred in the placebo group and included nausea or vomiting (2 AEs), headache (2 AEs), and rash around the neck (1 AE). No SAEs were reported.</w:t>
      </w:r>
    </w:p>
    <w:p>
      <w:pPr>
        <w:spacing w:after="0" w:line="135"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color w:val="auto"/>
        </w:rPr>
        <w:t>Even though these safety studies were not designed to quantitatively assess effects on mood, during the interviews certain subjects who received 360, 1080, and 1440 mg of AV-101, voluntarily acknowledged positive effects on mood. Similar comments were not made by any of the placebo-group subjects.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1b Pharmacokinetics Summary</w:t>
      </w:r>
    </w:p>
    <w:p>
      <w:pPr>
        <w:spacing w:after="0" w:line="180"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Concentration-time data were obtained after dosing of the three cohorts. Plasma concentrations of 4-Cl-KYN (AV-101) and the metabolite, 7-Cl-KYNA, were obtained from subjects that received AV-101. PK parameters were calculated by using WinNonlin Pro Version 5.3. Parameters calculated included Cmax, Tmax, AUC0-t, AUC0-∞, and t1/2.</w:t>
      </w:r>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Plasma concentration-time profiles obtained for 4-Cl-KYN after administration of once-daily oral doses of 360, 1,080, or 1,440 mg AV-101 were consistent with rapid absorption of the oral dose and first-order elimination of both 4-Cl-KYN and 7-Cl-KYNA, with evidence of multicompartment kinetics, particularly for the metabolite 7-Cl-KYNA. Several subjects had plasma concentration-time profiles with a last measurable sample that appeared to be an outlier or suggested multicompartment kinetics, making it challenging to identify a terminal log-linear elimination phase. Particularly for 7-Cl-KYNA, using the last two measurable samples to calculate t1/2 resulted in unrealistic values for some subjects.</w:t>
      </w:r>
    </w:p>
    <w:p>
      <w:pPr>
        <w:spacing w:after="0" w:line="146" w:lineRule="exact"/>
        <w:rPr>
          <w:sz w:val="20"/>
          <w:szCs w:val="20"/>
          <w:color w:val="auto"/>
        </w:rPr>
      </w:pPr>
    </w:p>
    <w:p>
      <w:pPr>
        <w:jc w:val="both"/>
        <w:ind w:right="120"/>
        <w:spacing w:after="0" w:line="263" w:lineRule="auto"/>
        <w:rPr>
          <w:sz w:val="20"/>
          <w:szCs w:val="20"/>
          <w:color w:val="auto"/>
        </w:rPr>
      </w:pPr>
      <w:r>
        <w:rPr>
          <w:rFonts w:ascii="Arial" w:cs="Arial" w:eastAsia="Arial" w:hAnsi="Arial"/>
          <w:sz w:val="14"/>
          <w:szCs w:val="14"/>
          <w:color w:val="auto"/>
        </w:rPr>
        <w:t>Plasma concentration-time profiles for 4-Cl-KYN were more consistently single compartment, but several had a subtle multicompartment appearance. To be consistent in the calculation of t1/2 and to report a meaningful value, the final three samples with measurable concentrations were used to calculate t1/2 for subjects for whom those samples appeared to be log-linear. Otherwise, the last sample was essentially treated as an outlier, and the prior samples in the log-linear phase were used to calculate t1/2 (these samples had a higher coefficient of determination value than the last three samples). In addition, the AUC0-∞ values reported are calculated using the predicted last value rather than observed.</w:t>
      </w:r>
    </w:p>
    <w:p>
      <w:pPr>
        <w:spacing w:after="0" w:line="146" w:lineRule="exact"/>
        <w:rPr>
          <w:sz w:val="20"/>
          <w:szCs w:val="20"/>
          <w:color w:val="auto"/>
        </w:rPr>
      </w:pPr>
    </w:p>
    <w:p>
      <w:pPr>
        <w:jc w:val="both"/>
        <w:ind w:right="100"/>
        <w:spacing w:after="0" w:line="283" w:lineRule="auto"/>
        <w:rPr>
          <w:sz w:val="20"/>
          <w:szCs w:val="20"/>
          <w:color w:val="auto"/>
        </w:rPr>
      </w:pPr>
      <w:r>
        <w:rPr>
          <w:rFonts w:ascii="Arial" w:cs="Arial" w:eastAsia="Arial" w:hAnsi="Arial"/>
          <w:sz w:val="14"/>
          <w:szCs w:val="14"/>
          <w:color w:val="auto"/>
        </w:rPr>
        <w:t>An absolute bioavailability evaluation is not possible from the data; however, an estimate of exposure can be done by comparing the AUC at the same doses. The mean AUC0-∞values in the Phase 1b study were higher at all three doses than seen in Phase 1a study, suggesting similar or even higher bioavailability than that in the Phase 1a study, i.e. ≥ 31%.</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In conclusion, the PK of AV-101 was fully characterized across the range of doses in this study. Plasma concentration-time profiles obtained for 4-Cl-KYN (AV-101) and 7-Cl-KYNA after administration of a single and multiple, once daily oral doses of 360, 1,080, or 1,440 mg were consistent with rapid absorption of the oral dose and first-order elimination of both analytes, with evidence of multi-compartment kinetics, particularly for the metabolite 7-Cl-KYNA.</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76" w:name="page77"/>
    <w:bookmarkEnd w:id="7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 Program - Summary</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safety data from two NIH-funded AV-101 Phase 1 clinical safety studies indicate that AV-101 was safe and well tolerated in healthy subjects at all doses tested. There were no AEs reported by subjects that received AV-101 that were graded as probably related to study drug. The type and distribution of AEs reported by subjects in the studies were considered to be typical for studies in healthy volunteers. All of the AEs were completely resolved, and no SAEs were reported.</w:t>
      </w:r>
    </w:p>
    <w:p>
      <w:pPr>
        <w:spacing w:after="0" w:line="163" w:lineRule="exact"/>
        <w:rPr>
          <w:sz w:val="20"/>
          <w:szCs w:val="20"/>
          <w:color w:val="auto"/>
        </w:rPr>
      </w:pPr>
    </w:p>
    <w:p>
      <w:pPr>
        <w:spacing w:after="0" w:line="370"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86"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five reports of feelings of well being occurred in one subject each at 360 (7%, 1 of 15 subjects) and 1,080 mg (7%, 1 of 15 subjects), and three subjects at 1,440 mg (20%, 3 of 15 subjects) in the Phase 1a and Phase 1b clinical studies, combined. Four of the five subjects reporting feelings of well-being did not have any other adverse experiences, and one subject (1,080 mg) also reported a mild headache. These results suggest a dose response and that AV-101 at the higher doses may lead to an increased positive mood.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77" w:name="page78"/>
    <w:bookmarkEnd w:id="7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5" w:lineRule="exact"/>
        <w:rPr>
          <w:sz w:val="20"/>
          <w:szCs w:val="20"/>
          <w:color w:val="auto"/>
        </w:rPr>
      </w:pPr>
    </w:p>
    <w:p>
      <w:pPr>
        <w:ind w:right="280"/>
        <w:spacing w:after="0" w:line="268" w:lineRule="auto"/>
        <w:rPr>
          <w:sz w:val="20"/>
          <w:szCs w:val="20"/>
          <w:color w:val="auto"/>
        </w:rPr>
      </w:pPr>
      <w:r>
        <w:rPr>
          <w:rFonts w:ascii="Arial" w:cs="Arial" w:eastAsia="Arial" w:hAnsi="Arial"/>
          <w:sz w:val="14"/>
          <w:szCs w:val="14"/>
          <w:color w:val="auto"/>
        </w:rPr>
        <w:t>Our stem cell technology platform is based on proprietary and licensed technologies for controlling the differentiation of human pluripotent stem cells (</w:t>
      </w:r>
      <w:r>
        <w:rPr>
          <w:rFonts w:ascii="Arial" w:cs="Arial" w:eastAsia="Arial" w:hAnsi="Arial"/>
          <w:sz w:val="14"/>
          <w:szCs w:val="14"/>
          <w:i w:val="1"/>
          <w:iCs w:val="1"/>
          <w:color w:val="auto"/>
        </w:rPr>
        <w:t>hPSCs</w:t>
      </w:r>
      <w:r>
        <w:rPr>
          <w:rFonts w:ascii="Arial" w:cs="Arial" w:eastAsia="Arial" w:hAnsi="Arial"/>
          <w:sz w:val="14"/>
          <w:szCs w:val="14"/>
          <w:color w:val="auto"/>
        </w:rPr>
        <w:t xml:space="preserve">) and producing the multiple types of mature, non-transformed, functional, adult human cells that we use, or plan to use, to reproduce complex human biology and disease and assess, </w:t>
      </w:r>
      <w:r>
        <w:rPr>
          <w:rFonts w:ascii="Arial" w:cs="Arial" w:eastAsia="Arial" w:hAnsi="Arial"/>
          <w:sz w:val="14"/>
          <w:szCs w:val="14"/>
          <w:i w:val="1"/>
          <w:iCs w:val="1"/>
          <w:color w:val="auto"/>
        </w:rPr>
        <w:t>in vitro</w:t>
      </w:r>
      <w:r>
        <w:rPr>
          <w:rFonts w:ascii="Arial" w:cs="Arial" w:eastAsia="Arial" w:hAnsi="Arial"/>
          <w:sz w:val="14"/>
          <w:szCs w:val="14"/>
          <w:color w:val="auto"/>
        </w:rPr>
        <w:t>, the potential therapeutic benefits and safety risks of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w:t>
      </w:r>
    </w:p>
    <w:p>
      <w:pPr>
        <w:spacing w:after="0" w:line="142"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 xml:space="preserve">We used our hPSC-derived cardiomyocytes (human heart cells) in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our novel, customized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bioassay system for predicting potential cardiotoxicity of drug rescue NCEs. We believe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more comprehensive and clinically predictive than the hERG assay, currently the only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cardiac safety assay required by FDA guidelines, and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offers us a new paradigm for evaluating and predicting potential heart toxicity of drug rescue NCEs early in development, long before costly, high risk human clinical trials.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Scientific Background</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Human pluripotent stem cells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42"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Human pluripotent stem cells are either embryonic stem cells (</w:t>
      </w:r>
      <w:r>
        <w:rPr>
          <w:rFonts w:ascii="Arial" w:cs="Arial" w:eastAsia="Arial" w:hAnsi="Arial"/>
          <w:sz w:val="14"/>
          <w:szCs w:val="14"/>
          <w:i w:val="1"/>
          <w:iCs w:val="1"/>
          <w:color w:val="auto"/>
        </w:rPr>
        <w:t>hESCs</w:t>
      </w:r>
      <w:r>
        <w:rPr>
          <w:rFonts w:ascii="Arial" w:cs="Arial" w:eastAsia="Arial" w:hAnsi="Arial"/>
          <w:sz w:val="14"/>
          <w:szCs w:val="14"/>
          <w:color w:val="auto"/>
        </w:rPr>
        <w:t>) or induced pluripotent stem cells (</w:t>
      </w:r>
      <w:r>
        <w:rPr>
          <w:rFonts w:ascii="Arial" w:cs="Arial" w:eastAsia="Arial" w:hAnsi="Arial"/>
          <w:sz w:val="14"/>
          <w:szCs w:val="14"/>
          <w:i w:val="1"/>
          <w:iCs w:val="1"/>
          <w:color w:val="auto"/>
        </w:rPr>
        <w:t>iPSCs</w:t>
      </w:r>
      <w:r>
        <w:rPr>
          <w:rFonts w:ascii="Arial" w:cs="Arial" w:eastAsia="Arial" w:hAnsi="Arial"/>
          <w:sz w:val="14"/>
          <w:szCs w:val="14"/>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to design and develop novel, customized bioassay systems to test the safety and efficacy of NCEs </w:t>
      </w:r>
      <w:r>
        <w:rPr>
          <w:rFonts w:ascii="Arial" w:cs="Arial" w:eastAsia="Arial" w:hAnsi="Arial"/>
          <w:sz w:val="14"/>
          <w:szCs w:val="14"/>
          <w:i w:val="1"/>
          <w:iCs w:val="1"/>
          <w:color w:val="auto"/>
        </w:rPr>
        <w:t>in vitro</w:t>
      </w:r>
      <w:r>
        <w:rPr>
          <w:rFonts w:ascii="Arial" w:cs="Arial" w:eastAsia="Arial" w:hAnsi="Arial"/>
          <w:sz w:val="14"/>
          <w:szCs w:val="14"/>
          <w:color w:val="auto"/>
        </w:rPr>
        <w:t>. These cells also have potential for diverse regenerative medicine applications.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Human Embryonic Stem Cells</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 xml:space="preserve">According to the NIH, hESCs are derived from excess embryos that develop from eggs that have been fertilized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fertilization (</w:t>
      </w:r>
      <w:r>
        <w:rPr>
          <w:rFonts w:ascii="Arial" w:cs="Arial" w:eastAsia="Arial" w:hAnsi="Arial"/>
          <w:sz w:val="14"/>
          <w:szCs w:val="14"/>
          <w:i w:val="1"/>
          <w:iCs w:val="1"/>
          <w:color w:val="auto"/>
        </w:rPr>
        <w:t>IVF</w:t>
      </w:r>
      <w:r>
        <w:rPr>
          <w:rFonts w:ascii="Arial" w:cs="Arial" w:eastAsia="Arial" w:hAnsi="Arial"/>
          <w:sz w:val="14"/>
          <w:szCs w:val="14"/>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42"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Human ESCs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8" w:name="page79"/>
    <w:bookmarkEnd w:id="7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Induced Pluripotent Stem Cells</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It is also possible to obtain hPSC lines from individuals without the use of embryos. Induced 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135" w:lineRule="exact"/>
        <w:rPr>
          <w:sz w:val="20"/>
          <w:szCs w:val="20"/>
          <w:color w:val="auto"/>
        </w:rPr>
      </w:pPr>
    </w:p>
    <w:p>
      <w:pPr>
        <w:ind w:right="20"/>
        <w:spacing w:after="0" w:line="323" w:lineRule="auto"/>
        <w:rPr>
          <w:sz w:val="20"/>
          <w:szCs w:val="20"/>
          <w:color w:val="auto"/>
        </w:rPr>
      </w:pPr>
      <w:r>
        <w:rPr>
          <w:rFonts w:ascii="Arial" w:cs="Arial" w:eastAsia="Arial" w:hAnsi="Arial"/>
          <w:sz w:val="13"/>
          <w:szCs w:val="13"/>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59" w:lineRule="exact"/>
        <w:rPr>
          <w:sz w:val="20"/>
          <w:szCs w:val="20"/>
          <w:color w:val="auto"/>
        </w:rPr>
      </w:pPr>
    </w:p>
    <w:p>
      <w:pPr>
        <w:ind w:left="520" w:hanging="515"/>
        <w:spacing w:after="0"/>
        <w:tabs>
          <w:tab w:leader="none" w:pos="520" w:val="left"/>
        </w:tabs>
        <w:numPr>
          <w:ilvl w:val="0"/>
          <w:numId w:val="40"/>
        </w:numPr>
        <w:rPr>
          <w:rFonts w:ascii="Arial" w:cs="Arial" w:eastAsia="Arial" w:hAnsi="Arial"/>
          <w:sz w:val="20"/>
          <w:szCs w:val="20"/>
          <w:color w:val="auto"/>
          <w:vertAlign w:val="superscript"/>
        </w:rPr>
      </w:pPr>
      <w:r>
        <w:rPr>
          <w:rFonts w:ascii="Arial" w:cs="Arial" w:eastAsia="Arial" w:hAnsi="Arial"/>
          <w:sz w:val="14"/>
          <w:szCs w:val="14"/>
          <w:color w:val="auto"/>
        </w:rPr>
        <w:t>individuals with specific inheritable diseases and conditions that predispose the individual to respond differently to drugs; or</w:t>
      </w:r>
    </w:p>
    <w:p>
      <w:pPr>
        <w:spacing w:after="0" w:line="12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0"/>
        </w:numPr>
        <w:rPr>
          <w:rFonts w:ascii="Arial" w:cs="Arial" w:eastAsia="Arial" w:hAnsi="Arial"/>
          <w:sz w:val="19"/>
          <w:szCs w:val="19"/>
          <w:color w:val="auto"/>
          <w:vertAlign w:val="superscript"/>
        </w:rPr>
      </w:pPr>
      <w:r>
        <w:rPr>
          <w:rFonts w:ascii="Arial" w:cs="Arial" w:eastAsia="Arial" w:hAnsi="Arial"/>
          <w:sz w:val="13"/>
          <w:szCs w:val="13"/>
          <w:color w:val="auto"/>
        </w:rPr>
        <w:t>individuals with specific variations in genes that directly affect drug levels in the body or alter the manner or efficiency of their metabolism, breakdown and/or elimination of drugs.</w:t>
      </w:r>
    </w:p>
    <w:p>
      <w:pPr>
        <w:spacing w:after="0" w:line="160"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Medicinal Chemistry</w:t>
      </w:r>
    </w:p>
    <w:p>
      <w:pPr>
        <w:spacing w:after="0" w:line="205"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color w:val="auto"/>
        </w:rPr>
        <w:t>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stem cell technology platform are core components of our drug rescue business model.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p>
    <w:p>
      <w:pPr>
        <w:spacing w:after="0" w:line="205" w:lineRule="exact"/>
        <w:rPr>
          <w:sz w:val="20"/>
          <w:szCs w:val="20"/>
          <w:color w:val="auto"/>
        </w:rPr>
      </w:pPr>
    </w:p>
    <w:p>
      <w:pPr>
        <w:jc w:val="both"/>
        <w:ind w:right="280"/>
        <w:spacing w:after="0" w:line="268" w:lineRule="auto"/>
        <w:rPr>
          <w:sz w:val="20"/>
          <w:szCs w:val="20"/>
          <w:color w:val="auto"/>
        </w:rPr>
      </w:pPr>
      <w:r>
        <w:rPr>
          <w:rFonts w:ascii="Arial" w:cs="Arial" w:eastAsia="Arial" w:hAnsi="Arial"/>
          <w:sz w:val="14"/>
          <w:szCs w:val="14"/>
          <w:color w:val="auto"/>
        </w:rPr>
        <w:t xml:space="preserve">The limitations of current preclinical drug testing systems used by pharmaceutical companies and others contribute to the high failure rate of NCEs. Incorporating novel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using hPSC-derived cardiomyocytes (</w:t>
      </w:r>
      <w:r>
        <w:rPr>
          <w:rFonts w:ascii="Arial" w:cs="Arial" w:eastAsia="Arial" w:hAnsi="Arial"/>
          <w:sz w:val="14"/>
          <w:szCs w:val="14"/>
          <w:i w:val="1"/>
          <w:iCs w:val="1"/>
          <w:color w:val="auto"/>
        </w:rPr>
        <w:t>hPSC-CMs</w:t>
      </w:r>
      <w:r>
        <w:rPr>
          <w:rFonts w:ascii="Arial" w:cs="Arial" w:eastAsia="Arial" w:hAnsi="Arial"/>
          <w:sz w:val="14"/>
          <w:szCs w:val="14"/>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 xml:space="preserve">We produce fully functional, non-transformed hPSC-CMs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cardiac toxicity assays screening for both direct cardiomyocyte cytotoxicity and arrhythmogenesis (or development of irregular beating patterns). We believe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sensitive, stable, reproducible and capable of generating data enabling a more accurate prediction of the </w:t>
      </w:r>
      <w:r>
        <w:rPr>
          <w:rFonts w:ascii="Arial" w:cs="Arial" w:eastAsia="Arial" w:hAnsi="Arial"/>
          <w:sz w:val="13"/>
          <w:szCs w:val="13"/>
          <w:i w:val="1"/>
          <w:iCs w:val="1"/>
          <w:color w:val="auto"/>
        </w:rPr>
        <w:t>in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vivo </w:t>
      </w:r>
      <w:r>
        <w:rPr>
          <w:rFonts w:ascii="Arial" w:cs="Arial" w:eastAsia="Arial" w:hAnsi="Arial"/>
          <w:sz w:val="13"/>
          <w:szCs w:val="13"/>
          <w:color w:val="auto"/>
        </w:rPr>
        <w:t>cardiac effects of NCEs than is possible with existing preclinical testing systems, particularly the hERG assay.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9" w:name="page80"/>
    <w:bookmarkEnd w:id="7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Limited Clinical Predictivity of the FDA-Required hERG Assay</w:t>
      </w:r>
    </w:p>
    <w:p>
      <w:pPr>
        <w:spacing w:after="0" w:line="180" w:lineRule="exact"/>
        <w:rPr>
          <w:sz w:val="20"/>
          <w:szCs w:val="20"/>
          <w:color w:val="auto"/>
        </w:rPr>
      </w:pPr>
    </w:p>
    <w:p>
      <w:pPr>
        <w:ind w:right="100"/>
        <w:spacing w:after="0" w:line="314" w:lineRule="auto"/>
        <w:rPr>
          <w:sz w:val="20"/>
          <w:szCs w:val="20"/>
          <w:color w:val="auto"/>
        </w:rPr>
      </w:pPr>
      <w:r>
        <w:rPr>
          <w:rFonts w:ascii="Arial" w:cs="Arial" w:eastAsia="Arial" w:hAnsi="Arial"/>
          <w:sz w:val="12"/>
          <w:szCs w:val="12"/>
          <w:color w:val="auto"/>
        </w:rPr>
        <w:t xml:space="preserve">The hERG assay, which uses either transformed hamster ovary cells or human kidney cells,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w:t>
      </w:r>
      <w:r>
        <w:rPr>
          <w:rFonts w:ascii="Arial" w:cs="Arial" w:eastAsia="Arial" w:hAnsi="Arial"/>
          <w:sz w:val="12"/>
          <w:szCs w:val="12"/>
          <w:i w:val="1"/>
          <w:iCs w:val="1"/>
          <w:color w:val="auto"/>
        </w:rPr>
        <w:t>ICH57B</w:t>
      </w:r>
      <w:r>
        <w:rPr>
          <w:rFonts w:ascii="Arial" w:cs="Arial" w:eastAsia="Arial" w:hAnsi="Arial"/>
          <w:sz w:val="12"/>
          <w:szCs w:val="12"/>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 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Broad Clinical Predictivity of CardioSafe </w:t>
      </w:r>
      <w:r>
        <w:rPr>
          <w:rFonts w:ascii="Arial" w:cs="Arial" w:eastAsia="Arial" w:hAnsi="Arial"/>
          <w:sz w:val="14"/>
          <w:szCs w:val="14"/>
          <w:b w:val="1"/>
          <w:bCs w:val="1"/>
          <w:color w:val="auto"/>
        </w:rPr>
        <w:t>3D</w:t>
      </w:r>
    </w:p>
    <w:p>
      <w:pPr>
        <w:spacing w:after="0" w:line="184"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 xml:space="preserve">As noted above, we have developed and validated two clinically relevant functional components of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consists of a suite of five fluorescence or luminescence based high-throughput hPSC-CM assays. These five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assays measure the following important drug-induced cardiac biological effects:</w:t>
      </w:r>
    </w:p>
    <w:p>
      <w:pPr>
        <w:spacing w:after="0" w:line="125" w:lineRule="exact"/>
        <w:rPr>
          <w:sz w:val="20"/>
          <w:szCs w:val="20"/>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cell viability;</w:t>
      </w:r>
    </w:p>
    <w:p>
      <w:pPr>
        <w:spacing w:after="0" w:line="1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apoptosis;</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mitochondrial membrane depolarization;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oxidative stress; and</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energy metabolism disruption.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These five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biological assays were correlated to reported clinical results using reference compounds known to be cardiotoxic in humans versus compounds known to be safe in humans.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These reference compounds were representative of eight different drug classes, including:</w:t>
      </w:r>
    </w:p>
    <w:p>
      <w:pPr>
        <w:spacing w:after="0" w:line="191" w:lineRule="exact"/>
        <w:rPr>
          <w:sz w:val="20"/>
          <w:szCs w:val="20"/>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ion channel blockers: amiodarone, nifedipine;</w:t>
      </w:r>
    </w:p>
    <w:p>
      <w:pPr>
        <w:spacing w:after="0" w:line="1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hERG trafficking blockers: pentamidine, amoxapine;</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α-1 adrenoreceptors: doxazosin;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protein and DNA synthesis inhibitors: emetine;</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DNA intercalating agents: doxorubicin;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antibiotics: ampicillin, cefazolin;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NSAID: aspirin; and</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kinase inhibitors: staurosporine.</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 xml:space="preserve">This suite of five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provides valuable and far more comprehensive bioanalytical tools for both assessing the effects of pharmaceutical compounds on cardiac cytotoxicity than the hERG assay and can elucidate for us and our medicinal chemistry partner specific mechanisms of cardiac toxicity, thereby laying what we believe is a novel and advantageous foundation for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drug rescue programs.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0" w:name="page81"/>
    <w:bookmarkEnd w:id="8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 xml:space="preserve">The other component of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assay system is a sensitive and reliable medium throughput multi-electrode array (</w:t>
      </w:r>
      <w:r>
        <w:rPr>
          <w:rFonts w:ascii="Arial" w:cs="Arial" w:eastAsia="Arial" w:hAnsi="Arial"/>
          <w:sz w:val="14"/>
          <w:szCs w:val="14"/>
          <w:i w:val="1"/>
          <w:iCs w:val="1"/>
          <w:color w:val="auto"/>
        </w:rPr>
        <w:t>MEA</w:t>
      </w:r>
      <w:r>
        <w:rPr>
          <w:rFonts w:ascii="Arial" w:cs="Arial" w:eastAsia="Arial" w:hAnsi="Arial"/>
          <w:sz w:val="14"/>
          <w:szCs w:val="14"/>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and has been validated with reported clinical results involving twelve drugs, each with known toxic or non-toxic cardiac effects in humans. The twelve clinical correlation study</w:t>
      </w:r>
      <w:r>
        <w:rPr>
          <w:rFonts w:ascii="Arial" w:cs="Arial" w:eastAsia="Arial" w:hAnsi="Arial"/>
          <w:sz w:val="14"/>
          <w:szCs w:val="14"/>
          <w:i w:val="1"/>
          <w:iCs w:val="1"/>
          <w:color w:val="auto"/>
        </w:rPr>
        <w:t xml:space="preserve"> </w:t>
      </w:r>
      <w:r>
        <w:rPr>
          <w:rFonts w:ascii="Arial" w:cs="Arial" w:eastAsia="Arial" w:hAnsi="Arial"/>
          <w:sz w:val="14"/>
          <w:szCs w:val="14"/>
          <w:color w:val="auto"/>
        </w:rPr>
        <w:t>compounds are as follows:</w:t>
      </w:r>
    </w:p>
    <w:p>
      <w:pPr>
        <w:spacing w:after="0" w:line="168" w:lineRule="exact"/>
        <w:rPr>
          <w:sz w:val="20"/>
          <w:szCs w:val="20"/>
          <w:color w:val="auto"/>
        </w:rPr>
      </w:pPr>
    </w:p>
    <w:p>
      <w:pPr>
        <w:ind w:left="580" w:hanging="575"/>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One FDA-approved drug (aspirin) without cardiac liability to serve as a negative control;</w:t>
      </w:r>
    </w:p>
    <w:p>
      <w:pPr>
        <w:spacing w:after="0" w:line="19" w:lineRule="exact"/>
        <w:rPr>
          <w:rFonts w:ascii="Arial" w:cs="Arial" w:eastAsia="Arial" w:hAnsi="Arial"/>
          <w:sz w:val="14"/>
          <w:szCs w:val="14"/>
          <w:color w:val="auto"/>
        </w:rPr>
      </w:pPr>
    </w:p>
    <w:p>
      <w:pPr>
        <w:ind w:left="580" w:hanging="575"/>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Five FDA-approved drugs (astemizole, sotalol, cisapride, terfenadine and sertindole) that were withdrawn from the market due to heart toxicity concerns;</w:t>
      </w:r>
    </w:p>
    <w:p>
      <w:pPr>
        <w:spacing w:after="0" w:line="9" w:lineRule="exact"/>
        <w:rPr>
          <w:rFonts w:ascii="Arial" w:cs="Arial" w:eastAsia="Arial" w:hAnsi="Arial"/>
          <w:sz w:val="14"/>
          <w:szCs w:val="14"/>
          <w:color w:val="auto"/>
        </w:rPr>
      </w:pPr>
    </w:p>
    <w:p>
      <w:pPr>
        <w:ind w:left="580" w:right="20" w:hanging="575"/>
        <w:spacing w:after="0" w:line="253" w:lineRule="auto"/>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spacing w:after="0" w:line="1" w:lineRule="exact"/>
        <w:rPr>
          <w:rFonts w:ascii="Arial" w:cs="Arial" w:eastAsia="Arial" w:hAnsi="Arial"/>
          <w:sz w:val="14"/>
          <w:szCs w:val="14"/>
          <w:color w:val="auto"/>
        </w:rPr>
      </w:pPr>
    </w:p>
    <w:p>
      <w:pPr>
        <w:ind w:left="580" w:hanging="575"/>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One research compound (E-4031) failed in Phase 1 human clinical study before being discontinued due to inducing heart arrhythmias.</w:t>
      </w:r>
    </w:p>
    <w:p>
      <w:pPr>
        <w:spacing w:after="0" w:line="170"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color w:val="auto"/>
        </w:rPr>
        <w:t xml:space="preserve">We have validated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MEA assay, which we refer to as </w:t>
      </w:r>
      <w:r>
        <w:rPr>
          <w:rFonts w:ascii="Arial" w:cs="Arial" w:eastAsia="Arial" w:hAnsi="Arial"/>
          <w:sz w:val="13"/>
          <w:szCs w:val="13"/>
          <w:i w:val="1"/>
          <w:iCs w:val="1"/>
          <w:color w:val="auto"/>
        </w:rPr>
        <w:t>ECG in a test tube</w:t>
      </w:r>
      <w:r>
        <w:rPr>
          <w:rFonts w:ascii="Arial" w:cs="Arial" w:eastAsia="Arial" w:hAnsi="Arial"/>
          <w:sz w:val="13"/>
          <w:szCs w:val="13"/>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3Dprovides valuable and more comprehensive bioanalytical tools for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cardiac safety screening than the hERG assay. We believe </w:t>
      </w:r>
      <w:r>
        <w:rPr>
          <w:rFonts w:ascii="Arial" w:cs="Arial" w:eastAsia="Arial" w:hAnsi="Arial"/>
          <w:sz w:val="13"/>
          <w:szCs w:val="13"/>
          <w:i w:val="1"/>
          <w:iCs w:val="1"/>
          <w:color w:val="auto"/>
        </w:rPr>
        <w:t xml:space="preserve">CardioSafe </w:t>
      </w:r>
      <w:r>
        <w:rPr>
          <w:rFonts w:ascii="Arial" w:cs="Arial" w:eastAsia="Arial" w:hAnsi="Arial"/>
          <w:sz w:val="13"/>
          <w:szCs w:val="13"/>
          <w:color w:val="auto"/>
        </w:rPr>
        <w:t>3D will contribute to our efficient and rapid identification of novel, potentially safer proprietary NCEs in our drug rescue programs.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Going Far Beyond the hERG Assay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table below reflects the broad cardiotoxicity screening capabilities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which we believe go far beyond what is possible to assess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using the FDA-required hERG assay: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Detects cardiac effects mediated by:</w:t>
            </w:r>
          </w:p>
        </w:tc>
        <w:tc>
          <w:tcPr>
            <w:tcW w:w="2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hERG assay</w:t>
            </w:r>
          </w:p>
        </w:tc>
        <w:tc>
          <w:tcPr>
            <w:tcW w:w="46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hERG potassium ion channels</w:t>
            </w:r>
          </w:p>
        </w:tc>
        <w:tc>
          <w:tcPr>
            <w:tcW w:w="2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ü</w:t>
            </w: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Other potassium ion channels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Calcium ion channels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Sodium ion channels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Interactions between ion channels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Channel regulatory proteins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Cell viability</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Apoptosis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Mitochondria</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Energy</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Oxidative Stress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340"/>
        </w:trPr>
        <w:tc>
          <w:tcPr>
            <w:tcW w:w="4720" w:type="dxa"/>
            <w:vAlign w:val="bottom"/>
          </w:tcPr>
          <w:p>
            <w:pPr>
              <w:spacing w:after="0"/>
              <w:rPr>
                <w:sz w:val="20"/>
                <w:szCs w:val="20"/>
                <w:color w:val="auto"/>
              </w:rPr>
            </w:pPr>
            <w:r>
              <w:rPr>
                <w:rFonts w:ascii="Arial" w:cs="Arial" w:eastAsia="Arial" w:hAnsi="Arial"/>
                <w:sz w:val="14"/>
                <w:szCs w:val="14"/>
                <w:b w:val="1"/>
                <w:bCs w:val="1"/>
                <w:color w:val="auto"/>
                <w:w w:val="96"/>
              </w:rPr>
              <w:t>Using Stem Cell Technology to Produce and Develop Drug Rescue NCEs</w:t>
            </w:r>
          </w:p>
        </w:tc>
        <w:tc>
          <w:tcPr>
            <w:tcW w:w="212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current drug rescue strategy involves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1" w:name="page82"/>
    <w:bookmarkEnd w:id="8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 xml:space="preserve">By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enhance our understanding of the cardiac liability profile of NCEs, biological insight not previously available when the NCEs were originally discovered, optimized for efficacy and developed, we believe we can demonstrate preclinical proof-of-concept (</w:t>
      </w:r>
      <w:r>
        <w:rPr>
          <w:rFonts w:ascii="Arial" w:cs="Arial" w:eastAsia="Arial" w:hAnsi="Arial"/>
          <w:sz w:val="14"/>
          <w:szCs w:val="14"/>
          <w:i w:val="1"/>
          <w:iCs w:val="1"/>
          <w:color w:val="auto"/>
        </w:rPr>
        <w:t>POC</w:t>
      </w:r>
      <w:r>
        <w:rPr>
          <w:rFonts w:ascii="Arial" w:cs="Arial" w:eastAsia="Arial" w:hAnsi="Arial"/>
          <w:sz w:val="14"/>
          <w:szCs w:val="14"/>
          <w:color w:val="auto"/>
        </w:rPr>
        <w:t xml:space="preserve">) as to the efficacy and safety of new, safer drug rescue NCEs in standard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models, as well as in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 xml:space="preserve">Our goal in each drug rescue program will be to produce a proprietary drug rescue NCE and establish its preclinical POC, using standard preclinical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efficacy and safety models, as well as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In this context, POC means that the lead drug rescue NCE, as compared to the original, previously-terminated NCE</w:t>
      </w:r>
      <w:r>
        <w:rPr>
          <w:rFonts w:ascii="Arial" w:cs="Arial" w:eastAsia="Arial" w:hAnsi="Arial"/>
          <w:sz w:val="14"/>
          <w:szCs w:val="14"/>
          <w:i w:val="1"/>
          <w:iCs w:val="1"/>
          <w:color w:val="auto"/>
        </w:rPr>
        <w:t>,</w:t>
      </w:r>
      <w:r>
        <w:rPr>
          <w:rFonts w:ascii="Arial" w:cs="Arial" w:eastAsia="Arial" w:hAnsi="Arial"/>
          <w:sz w:val="14"/>
          <w:szCs w:val="14"/>
          <w:color w:val="auto"/>
        </w:rPr>
        <w:t xml:space="preserve"> demonstrates both (i) equal or superior efficacy in the same, or a similar,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Development and Commercialization of Drug Rescue NCEs</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 xml:space="preserve">Once we optimize a patentable drug rescue NCE, we intend to develop it internally to establish preclinical POC in established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efficacy and safety models, as well as in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After we establish preclinical POC of a patentable drug rescue NCE, we will decide between continuing to develop it internally and out-licensing it to a pharmaceutical company. If we license it to the pharmaceutical company, it will be responsible for all subsequent development, manufacturing, regulatory approval, marketing and sale of the drug rescue NCE and we will generate revenue through payments to us from the license upon signing the license agreement, achievement of development and regulatory milestones, and, if approved and marketed, upon commercial sales, although no assurances can be given that we will seek and complete a partnership, or that the terms of such a beneficial arrangement will be available or offered to us.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Regenerative Medicine</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Although we believe the best and most valuable near term commercial application of our stem cell technology platform is for small molecule drug rescue, we also believe stem cell technology-based RM has the potential to transform healthcare in the U.S. over the next decade by providing new approaches for treating the fundamental mechanisms of disease. We currently intend to establish strategic collaborations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regenerative medicine purposes, including developing novel human disease models for discovery of small molecule drugs with regenerative and therapeutic potential. Among our key objectives will be to establish one or more strategic collaborations designed to assess our RM opportunities through exploratory nonclinical POC studies.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2" w:name="page83"/>
    <w:bookmarkEnd w:id="8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Transactions and Relationships</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Strategic collaborations are an important cornerstone of our corporate development strategy. We believe that our strategic outsourcing and sponsorship of application-focused research gives us flexible access to medicinal chemistry, research and development capabilities, and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42" w:lineRule="exact"/>
        <w:rPr>
          <w:sz w:val="20"/>
          <w:szCs w:val="20"/>
          <w:color w:val="auto"/>
        </w:rPr>
      </w:pPr>
    </w:p>
    <w:p>
      <w:pPr>
        <w:ind w:left="640" w:right="640" w:hanging="635"/>
        <w:spacing w:after="0" w:line="215" w:lineRule="auto"/>
        <w:tabs>
          <w:tab w:leader="none" w:pos="64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academic and non-profit research institutions, such as the University Health Network, the McEwen Centre for Regenerative Medicine and the Centre for the Commercialization of Regenerative Medicine for stem cell technology research, development and cell production;</w:t>
      </w:r>
    </w:p>
    <w:p>
      <w:pPr>
        <w:spacing w:after="0" w:line="111" w:lineRule="exact"/>
        <w:rPr>
          <w:rFonts w:ascii="Arial" w:cs="Arial" w:eastAsia="Arial" w:hAnsi="Arial"/>
          <w:sz w:val="20"/>
          <w:szCs w:val="20"/>
          <w:color w:val="auto"/>
          <w:vertAlign w:val="superscript"/>
        </w:rPr>
      </w:pPr>
    </w:p>
    <w:p>
      <w:pPr>
        <w:ind w:left="640" w:hanging="635"/>
        <w:spacing w:after="0"/>
        <w:tabs>
          <w:tab w:leader="none" w:pos="64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contract medicinal chemistry companies, such as Synterys, Inc., to design, produce and analyze potential drug rescue NCEs; and</w:t>
      </w:r>
    </w:p>
    <w:p>
      <w:pPr>
        <w:spacing w:after="0" w:line="110" w:lineRule="exact"/>
        <w:rPr>
          <w:rFonts w:ascii="Arial" w:cs="Arial" w:eastAsia="Arial" w:hAnsi="Arial"/>
          <w:sz w:val="20"/>
          <w:szCs w:val="20"/>
          <w:color w:val="auto"/>
          <w:vertAlign w:val="superscript"/>
        </w:rPr>
      </w:pPr>
    </w:p>
    <w:p>
      <w:pPr>
        <w:ind w:left="640" w:hanging="635"/>
        <w:spacing w:after="0"/>
        <w:tabs>
          <w:tab w:leader="none" w:pos="64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contract clinical development and regulatory organizations (</w:t>
      </w:r>
      <w:r>
        <w:rPr>
          <w:rFonts w:ascii="Arial" w:cs="Arial" w:eastAsia="Arial" w:hAnsi="Arial"/>
          <w:sz w:val="14"/>
          <w:szCs w:val="14"/>
          <w:i w:val="1"/>
          <w:iCs w:val="1"/>
          <w:color w:val="auto"/>
        </w:rPr>
        <w:t>CROs</w:t>
      </w:r>
      <w:r>
        <w:rPr>
          <w:rFonts w:ascii="Arial" w:cs="Arial" w:eastAsia="Arial" w:hAnsi="Arial"/>
          <w:sz w:val="14"/>
          <w:szCs w:val="14"/>
          <w:color w:val="auto"/>
        </w:rPr>
        <w:t>), such as Cato Research, Ltd. and PPD, for regulatory expertise and clinical development support.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Research</w:t>
      </w:r>
    </w:p>
    <w:p>
      <w:pPr>
        <w:spacing w:after="0" w:line="180" w:lineRule="exact"/>
        <w:rPr>
          <w:sz w:val="20"/>
          <w:szCs w:val="20"/>
          <w:color w:val="auto"/>
        </w:rPr>
      </w:pPr>
    </w:p>
    <w:p>
      <w:pPr>
        <w:jc w:val="both"/>
        <w:ind w:right="120"/>
        <w:spacing w:after="0" w:line="263" w:lineRule="auto"/>
        <w:rPr>
          <w:sz w:val="20"/>
          <w:szCs w:val="20"/>
          <w:color w:val="auto"/>
        </w:rPr>
      </w:pPr>
      <w:r>
        <w:rPr>
          <w:rFonts w:ascii="Arial" w:cs="Arial" w:eastAsia="Arial" w:hAnsi="Arial"/>
          <w:sz w:val="14"/>
          <w:szCs w:val="14"/>
          <w:color w:val="auto"/>
        </w:rPr>
        <w:t>Cato Research is a CRO with international resources dedicated to helping biotechnology and pharmaceutical companies navigate the regulatory approval process in order to bring new biologics, drugs and medical devices to markets throughout the world. Cato Research is one of our CROs for development of AV-101, currently focused on all chemistry, manufacturing and controls (</w:t>
      </w:r>
      <w:r>
        <w:rPr>
          <w:rFonts w:ascii="Arial" w:cs="Arial" w:eastAsia="Arial" w:hAnsi="Arial"/>
          <w:sz w:val="14"/>
          <w:szCs w:val="14"/>
          <w:i w:val="1"/>
          <w:iCs w:val="1"/>
          <w:color w:val="auto"/>
        </w:rPr>
        <w:t>CMC</w:t>
      </w:r>
      <w:r>
        <w:rPr>
          <w:rFonts w:ascii="Arial" w:cs="Arial" w:eastAsia="Arial" w:hAnsi="Arial"/>
          <w:sz w:val="14"/>
          <w:szCs w:val="14"/>
          <w:color w:val="auto"/>
        </w:rPr>
        <w:t>) aspects of our Phase 2 development program in MDD. Cato Research’s senior management team, including co-founders Allen Cato, M.D., Ph.D. and Lynda Sutton, have over 25 years of experience interacting with the FDA and international regulatory agencies and a successful track record of product approvals.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BioVentures</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Cato Holding Company, doing business as Cato BioVentures, is the venture capital affiliate of Cato Research. Through strategic CRO service agreements with Cato Research, Cato BioVentures invests in therapeutics and medical devices, as well as platform technologies such as our stem cell technology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125"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As a result of the access Cato Research has to potential drug rescue NCEs from its biotechnology and pharmaceutical industry network, as well as Cato BioVentures’ strategic long term equity interest in the Company,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drug rescue NCEs internally rather than out-license them to strategic partners.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3" w:name="page84"/>
    <w:bookmarkEnd w:id="8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Cardiac Safety Research Consortium</w:t>
      </w:r>
    </w:p>
    <w:p>
      <w:pPr>
        <w:spacing w:after="0" w:line="20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We have joined the Cardiac Safety Research Consortium (</w:t>
      </w:r>
      <w:r>
        <w:rPr>
          <w:rFonts w:ascii="Arial" w:cs="Arial" w:eastAsia="Arial" w:hAnsi="Arial"/>
          <w:sz w:val="14"/>
          <w:szCs w:val="14"/>
          <w:i w:val="1"/>
          <w:iCs w:val="1"/>
          <w:color w:val="auto"/>
        </w:rPr>
        <w:t>CSRC</w:t>
      </w:r>
      <w:r>
        <w:rPr>
          <w:rFonts w:ascii="Arial" w:cs="Arial" w:eastAsia="Arial" w:hAnsi="Arial"/>
          <w:sz w:val="14"/>
          <w:szCs w:val="14"/>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Cardiac Safety Technical Committee of the Health and Environmental Sciences Institute – FDA’s CIPA Initiative</w:t>
      </w:r>
    </w:p>
    <w:p>
      <w:pPr>
        <w:spacing w:after="0" w:line="180" w:lineRule="exact"/>
        <w:rPr>
          <w:sz w:val="20"/>
          <w:szCs w:val="20"/>
          <w:color w:val="auto"/>
        </w:rPr>
      </w:pPr>
    </w:p>
    <w:p>
      <w:pPr>
        <w:ind w:right="60"/>
        <w:spacing w:after="0" w:line="33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w:t>
      </w:r>
      <w:r>
        <w:rPr>
          <w:rFonts w:ascii="Arial" w:cs="Arial" w:eastAsia="Arial" w:hAnsi="Arial"/>
          <w:sz w:val="12"/>
          <w:szCs w:val="12"/>
          <w:i w:val="1"/>
          <w:iCs w:val="1"/>
          <w:color w:val="auto"/>
        </w:rPr>
        <w:t>HESI</w:t>
      </w:r>
      <w:r>
        <w:rPr>
          <w:rFonts w:ascii="Arial" w:cs="Arial" w:eastAsia="Arial" w:hAnsi="Arial"/>
          <w:sz w:val="12"/>
          <w:szCs w:val="12"/>
          <w:color w:val="auto"/>
        </w:rPr>
        <w:t>) to help advance, among other goals, the FDA’s Comprehensive In Vitro Proarrhythmia Assay (</w:t>
      </w:r>
      <w:r>
        <w:rPr>
          <w:rFonts w:ascii="Arial" w:cs="Arial" w:eastAsia="Arial" w:hAnsi="Arial"/>
          <w:sz w:val="12"/>
          <w:szCs w:val="12"/>
          <w:i w:val="1"/>
          <w:iCs w:val="1"/>
          <w:color w:val="auto"/>
        </w:rPr>
        <w:t>CIPA</w:t>
      </w:r>
      <w:r>
        <w:rPr>
          <w:rFonts w:ascii="Arial" w:cs="Arial" w:eastAsia="Arial" w:hAnsi="Arial"/>
          <w:sz w:val="12"/>
          <w:szCs w:val="12"/>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28"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Centre for Commercialization of Regenerative Medicine</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Toronto-based Centre for Commercialization of Regenerative Medicine (</w:t>
      </w:r>
      <w:r>
        <w:rPr>
          <w:rFonts w:ascii="Arial" w:cs="Arial" w:eastAsia="Arial" w:hAnsi="Arial"/>
          <w:sz w:val="14"/>
          <w:szCs w:val="14"/>
          <w:i w:val="1"/>
          <w:iCs w:val="1"/>
          <w:color w:val="auto"/>
        </w:rPr>
        <w:t>CCRM</w:t>
      </w:r>
      <w:r>
        <w:rPr>
          <w:rFonts w:ascii="Arial" w:cs="Arial" w:eastAsia="Arial" w:hAnsi="Arial"/>
          <w:sz w:val="14"/>
          <w:szCs w:val="14"/>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4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Massachusetts General Hospital (MGH) Clinical Trials Network and Institute (CTNI)</w:t>
      </w:r>
    </w:p>
    <w:p>
      <w:pPr>
        <w:spacing w:after="0" w:line="180"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b w:val="1"/>
          <w:bCs w:val="1"/>
          <w:i w:val="1"/>
          <w:iCs w:val="1"/>
          <w:color w:val="auto"/>
        </w:rPr>
        <w:t xml:space="preserve">Massachusetts General Hospital (MGH) </w:t>
      </w:r>
      <w:r>
        <w:rPr>
          <w:rFonts w:ascii="Arial" w:cs="Arial" w:eastAsia="Arial" w:hAnsi="Arial"/>
          <w:sz w:val="13"/>
          <w:szCs w:val="13"/>
          <w:color w:val="auto"/>
        </w:rPr>
        <w:t>Clinical Trials Network and Institute (</w:t>
      </w:r>
      <w:r>
        <w:rPr>
          <w:rFonts w:ascii="Arial" w:cs="Arial" w:eastAsia="Arial" w:hAnsi="Arial"/>
          <w:sz w:val="13"/>
          <w:szCs w:val="13"/>
          <w:i w:val="1"/>
          <w:iCs w:val="1"/>
          <w:color w:val="auto"/>
        </w:rPr>
        <w:t>CTNI</w:t>
      </w:r>
      <w:r>
        <w:rPr>
          <w:rFonts w:ascii="Arial" w:cs="Arial" w:eastAsia="Arial" w:hAnsi="Arial"/>
          <w:sz w:val="13"/>
          <w:szCs w:val="13"/>
          <w:color w:val="auto"/>
        </w:rPr>
        <w:t>) is an academic CRO, part of the Department of Psychiatry of the Massachusetts General Hospital (</w:t>
      </w:r>
      <w:r>
        <w:rPr>
          <w:rFonts w:ascii="Arial" w:cs="Arial" w:eastAsia="Arial" w:hAnsi="Arial"/>
          <w:sz w:val="13"/>
          <w:szCs w:val="13"/>
          <w:i w:val="1"/>
          <w:iCs w:val="1"/>
          <w:color w:val="auto"/>
        </w:rPr>
        <w:t>MGH</w:t>
      </w:r>
      <w:r>
        <w:rPr>
          <w:rFonts w:ascii="Arial" w:cs="Arial" w:eastAsia="Arial" w:hAnsi="Arial"/>
          <w:sz w:val="13"/>
          <w:szCs w:val="13"/>
          <w:color w:val="auto"/>
        </w:rPr>
        <w:t>),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leader in academic scientific and clinical research in psychiatry. By exploring the brain science, genetics, and neurobiology of psychiatric disorders, the MGH CTNI has been instrumental in the development of novel treatments and surrogate markers of illness and therapeutic response. Its scientific and clinical research has been instrumental in defining the standards for the state-of-the-art practice of psychiatry. We are working with MGH CTNI, including its principals, Dr. Maurizio Fava and Dr. Thomas Laughren, in connection with the planning and execution of our potentially pivotal Phase 2b clinical study of AV-101 for treatment of MDD. Dr. Fava is acknowledged as a world renowned expert in depressive disorders and psychopharmacology. He is Director of the Division of Clinical Research of the MGH Research Institute, Executive Vice Chair, Department of Psychiatry, at MGH, and Executive Director of MGH CTNI. He will serve as Principal Investigator of Phase 2b study of AV-101 in MDD. Dr. Laughren is the former FDA Division Director, Division of Psychiatry Products, Center for Drug Evaluation and Research (</w:t>
      </w:r>
      <w:r>
        <w:rPr>
          <w:rFonts w:ascii="Arial" w:cs="Arial" w:eastAsia="Arial" w:hAnsi="Arial"/>
          <w:sz w:val="13"/>
          <w:szCs w:val="13"/>
          <w:i w:val="1"/>
          <w:iCs w:val="1"/>
          <w:color w:val="auto"/>
        </w:rPr>
        <w:t>CDER</w:t>
      </w:r>
      <w:r>
        <w:rPr>
          <w:rFonts w:ascii="Arial" w:cs="Arial" w:eastAsia="Arial" w:hAnsi="Arial"/>
          <w:sz w:val="13"/>
          <w:szCs w:val="13"/>
          <w:color w:val="auto"/>
        </w:rPr>
        <w: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4" w:name="page85"/>
    <w:bookmarkEnd w:id="8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PPD</w:t>
      </w:r>
    </w:p>
    <w:p>
      <w:pPr>
        <w:spacing w:after="0" w:line="201"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PPD is a leading global CRO providing comprehensive, integrated drug development, laboratory and lifecycle management services. With offices in 46 countries and more than 15,000 professionals worldwide, PPD applies innovative technologies, therapeutic expertise and a firm commitment to quality to help its clients and partners bend the cost and time curve of drug development to deliver life-changing therapies that improve health. We are currently working with PPD as our full-service CRO in connection with the planning and execution of our potentially pivotal Phase 2b clinical study of AV-101 for treatment of MDD.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Synterys, Inc.</w:t>
      </w:r>
    </w:p>
    <w:p>
      <w:pPr>
        <w:spacing w:after="0" w:line="201"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We have entered into a strategic medicinal chemistry collaboration agreement with Synterys, Inc., a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drug rescue NCEs.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States National Institutes of Health</w:t>
      </w:r>
    </w:p>
    <w:p>
      <w:pPr>
        <w:spacing w:after="0" w:line="201" w:lineRule="exact"/>
        <w:rPr>
          <w:sz w:val="20"/>
          <w:szCs w:val="20"/>
          <w:color w:val="auto"/>
        </w:rPr>
      </w:pPr>
    </w:p>
    <w:p>
      <w:pPr>
        <w:ind w:right="480"/>
        <w:spacing w:after="0" w:line="283" w:lineRule="auto"/>
        <w:rPr>
          <w:sz w:val="20"/>
          <w:szCs w:val="20"/>
          <w:color w:val="auto"/>
        </w:rPr>
      </w:pPr>
      <w:r>
        <w:rPr>
          <w:rFonts w:ascii="Arial" w:cs="Arial" w:eastAsia="Arial" w:hAnsi="Arial"/>
          <w:sz w:val="14"/>
          <w:szCs w:val="14"/>
          <w:color w:val="auto"/>
        </w:rPr>
        <w:t>Since our inception in 1998, the NIH has awarded us $11.3 million in non-dilutive research and development grants, including $2.3 million to support research and development of our stem cell technology and $8.8 million for nonclinical and Phase 1 clinical development of AV-101.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States National Institute of Mental Health</w:t>
      </w:r>
    </w:p>
    <w:p>
      <w:pPr>
        <w:spacing w:after="0" w:line="180" w:lineRule="exact"/>
        <w:rPr>
          <w:sz w:val="20"/>
          <w:szCs w:val="20"/>
          <w:color w:val="auto"/>
        </w:rPr>
      </w:pPr>
    </w:p>
    <w:p>
      <w:pPr>
        <w:jc w:val="both"/>
        <w:ind w:right="40"/>
        <w:spacing w:after="0" w:line="261" w:lineRule="auto"/>
        <w:rPr>
          <w:sz w:val="20"/>
          <w:szCs w:val="20"/>
          <w:color w:val="auto"/>
        </w:rPr>
      </w:pPr>
      <w:r>
        <w:rPr>
          <w:rFonts w:ascii="Arial" w:cs="Arial" w:eastAsia="Arial" w:hAnsi="Arial"/>
          <w:sz w:val="14"/>
          <w:szCs w:val="14"/>
          <w:color w:val="auto"/>
        </w:rPr>
        <w:t>The U.S. National Institute of Mental Health (</w:t>
      </w:r>
      <w:r>
        <w:rPr>
          <w:rFonts w:ascii="Arial" w:cs="Arial" w:eastAsia="Arial" w:hAnsi="Arial"/>
          <w:sz w:val="14"/>
          <w:szCs w:val="14"/>
          <w:i w:val="1"/>
          <w:iCs w:val="1"/>
          <w:color w:val="auto"/>
        </w:rPr>
        <w:t>NIMH</w:t>
      </w:r>
      <w:r>
        <w:rPr>
          <w:rFonts w:ascii="Arial" w:cs="Arial" w:eastAsia="Arial" w:hAnsi="Arial"/>
          <w:sz w:val="14"/>
          <w:szCs w:val="14"/>
          <w:color w:val="auto"/>
        </w:rPr>
        <w:t>),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In February 2015, we entered into CRADA with the NIH providing for our ongoing AV-101 Phase 2a efficacy and safety study in MDD. This Phase 2a study is being fully funded by the NIH and is being conducted at the NIMH by Dr. Carlos Zarate, the NIMH’s Chief of Experimental Therapeutics &amp; Pathophysiology Branch and Section on Neurobiology and Treatment of Mood and Anxiety Disorders.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University Health Network, McEwen Centre for Regenerative Medicine</w:t>
      </w:r>
    </w:p>
    <w:p>
      <w:pPr>
        <w:spacing w:after="0" w:line="18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University Health Network (</w:t>
      </w:r>
      <w:r>
        <w:rPr>
          <w:rFonts w:ascii="Arial" w:cs="Arial" w:eastAsia="Arial" w:hAnsi="Arial"/>
          <w:sz w:val="14"/>
          <w:szCs w:val="14"/>
          <w:i w:val="1"/>
          <w:iCs w:val="1"/>
          <w:color w:val="auto"/>
        </w:rPr>
        <w:t>UHN</w:t>
      </w:r>
      <w:r>
        <w:rPr>
          <w:rFonts w:ascii="Arial" w:cs="Arial" w:eastAsia="Arial" w:hAnsi="Arial"/>
          <w:sz w:val="14"/>
          <w:szCs w:val="14"/>
          <w:color w:val="auto"/>
        </w:rPr>
        <w:t>)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31"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McEwen Centre for Regenerative Medicine (</w:t>
      </w:r>
      <w:r>
        <w:rPr>
          <w:rFonts w:ascii="Arial" w:cs="Arial" w:eastAsia="Arial" w:hAnsi="Arial"/>
          <w:sz w:val="14"/>
          <w:szCs w:val="14"/>
          <w:i w:val="1"/>
          <w:iCs w:val="1"/>
          <w:color w:val="auto"/>
        </w:rPr>
        <w:t>McEwen Centre</w:t>
      </w:r>
      <w:r>
        <w:rPr>
          <w:rFonts w:ascii="Arial" w:cs="Arial" w:eastAsia="Arial" w:hAnsi="Arial"/>
          <w:sz w:val="14"/>
          <w:szCs w:val="14"/>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46"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We rely upon patents as a major component of our intellectual property portfolio, as is typical for development-stage, biopharmaceutical companies. In addition, from time to time, we enter into patent license agreements to acquire rights to intellectual property. We also rely, in part, on trade secrets for protection of some of our discoveries. We attempt to protect our trade secrets by entering into confidentiality agreements with employees, consultants, collaborators and third parties. We also own several registered and common-law trademarks.</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To help protect our intellectual property rights, our employees and consultants also sign agreements in which they assign to us, for example, their interests in patents, trade secrets and copyrights arising from their work for us.</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From time to time, we sponsor research with key scientists in academic institutions to advance or supplement our internal research and development activities and objectives. These sponsored research agreements generally provide us with an opportunity to negotiate a new license, or acquire a substantially prescribed license, to acquire intellectual property rights in the results of the sponsored research.</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5" w:name="page86"/>
    <w:bookmarkEnd w:id="8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w:t>
      </w:r>
    </w:p>
    <w:p>
      <w:pPr>
        <w:spacing w:after="0" w:line="201"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As discussed elsewhere in this prospectus, AV-101 (</w:t>
      </w:r>
      <w:r>
        <w:rPr>
          <w:rFonts w:ascii="Arial" w:cs="Arial" w:eastAsia="Arial" w:hAnsi="Arial"/>
          <w:sz w:val="14"/>
          <w:szCs w:val="14"/>
          <w:i w:val="1"/>
          <w:iCs w:val="1"/>
          <w:color w:val="auto"/>
        </w:rPr>
        <w:t>4-Cl-KYN</w:t>
      </w:r>
      <w:r>
        <w:rPr>
          <w:rFonts w:ascii="Arial" w:cs="Arial" w:eastAsia="Arial" w:hAnsi="Arial"/>
          <w:sz w:val="14"/>
          <w:szCs w:val="14"/>
          <w:color w:val="auto"/>
        </w:rPr>
        <w:t>) is a development-stage prodrug candidate presently being studied in an NIH-sponsored Phase 2a clinical trial for the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We have developed a portfolio of intellectual property assets around AV-101, which involves both patent applications and trade secrets. In addition, we will seek regulatory exclusivity to supplement our intellectual property rights.</w:t>
      </w:r>
    </w:p>
    <w:p>
      <w:pPr>
        <w:spacing w:after="0" w:line="16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AV-101 itself is not patented. We obtained a patent license from the University of Maryland to certain pharmaceutical formulations and associated methods of using AV-101 when we acquired the original licensee, Artemis Neuroscience, Inc. Patent rights included in that license that were relevant to AV-101, however, have expired. Although the license agreement contains royalty obligations that nominally remain in force until 10 years after the first commercial sale of the first product even after relevant patent rights have expired, the U.S. Supreme Court’s decision in </w:t>
      </w:r>
      <w:r>
        <w:rPr>
          <w:rFonts w:ascii="Arial" w:cs="Arial" w:eastAsia="Arial" w:hAnsi="Arial"/>
          <w:sz w:val="14"/>
          <w:szCs w:val="14"/>
          <w:i w:val="1"/>
          <w:iCs w:val="1"/>
          <w:color w:val="auto"/>
        </w:rPr>
        <w:t>Kimble v. Marvel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Entertainment, LLC </w:t>
      </w:r>
      <w:r>
        <w:rPr>
          <w:rFonts w:ascii="Arial" w:cs="Arial" w:eastAsia="Arial" w:hAnsi="Arial"/>
          <w:sz w:val="14"/>
          <w:szCs w:val="14"/>
          <w:color w:val="auto"/>
        </w:rPr>
        <w:t>(2015) determined that patent license royalties that extend beyond a patent’s expiration are not enforceable.</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Even though the compound 4-Cl-KYN per se and certain of its formulations are in the public domain and thus are no longer protectable, we have filed several of our own patent applications on certain other formulations and novel therapeutic methods of use of AV-101 as part of our strategy to seek and secure market exclusivity.</w:t>
      </w:r>
    </w:p>
    <w:p>
      <w:pPr>
        <w:spacing w:after="0" w:line="153" w:lineRule="exact"/>
        <w:rPr>
          <w:sz w:val="20"/>
          <w:szCs w:val="20"/>
          <w:color w:val="auto"/>
        </w:rPr>
      </w:pPr>
    </w:p>
    <w:p>
      <w:pPr>
        <w:ind w:right="320"/>
        <w:spacing w:after="0" w:line="290" w:lineRule="auto"/>
        <w:rPr>
          <w:sz w:val="20"/>
          <w:szCs w:val="20"/>
          <w:color w:val="auto"/>
        </w:rPr>
      </w:pPr>
      <w:r>
        <w:rPr>
          <w:rFonts w:ascii="Arial" w:cs="Arial" w:eastAsia="Arial" w:hAnsi="Arial"/>
          <w:sz w:val="13"/>
          <w:szCs w:val="13"/>
          <w:color w:val="auto"/>
        </w:rPr>
        <w:t>Presently, we are prosecuting one family of patent applications in the USPTO, European Patent Office and selected major markets related to specific dosage formulations of AV-101, as well as to methods of treating depression, hyperalgesia pain and several other neurological conditions. For reference, these are based on PCT patent application WO2014/116739. We have recently filed a continuation application in this family in the U.S., focused on the treatment of depression, and are seeking accelerated examination for this application. It is likely that we will receive a substantive response from the USPTO by the end of 2016. There is no guarantee, however, that the USPTO will allow any of the pending claims.</w:t>
      </w:r>
    </w:p>
    <w:p>
      <w:pPr>
        <w:spacing w:after="0" w:line="129"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We are also prosecuting a second patent family related to novel methods of synthesizing AV-101, based on extensive research involving a range of synthetic routes that was conducted on our behalf by a separate contract research organization. For reference, this is based on PCT patent application WO2014/152835, which is presently being pursued at the national phase in the U.S. and selected other countries. This patent application also includes pharmaceutical composition claims to certain precursors and variants of AV-101, which may be useful and patentable as synthesis intermediates.</w:t>
      </w:r>
    </w:p>
    <w:p>
      <w:pPr>
        <w:spacing w:after="0" w:line="125" w:lineRule="exact"/>
        <w:rPr>
          <w:sz w:val="20"/>
          <w:szCs w:val="20"/>
          <w:color w:val="auto"/>
        </w:rPr>
      </w:pPr>
    </w:p>
    <w:p>
      <w:pPr>
        <w:ind w:right="40"/>
        <w:spacing w:after="0" w:line="323" w:lineRule="auto"/>
        <w:rPr>
          <w:sz w:val="20"/>
          <w:szCs w:val="20"/>
          <w:color w:val="auto"/>
        </w:rPr>
      </w:pPr>
      <w:r>
        <w:rPr>
          <w:rFonts w:ascii="Arial" w:cs="Arial" w:eastAsia="Arial" w:hAnsi="Arial"/>
          <w:sz w:val="13"/>
          <w:szCs w:val="13"/>
          <w:color w:val="auto"/>
        </w:rPr>
        <w:t>Another patent application related to additional and expanded clinical uses of AV-101 to treat depression and other medical conditions was filed in the U.S. as a provisional application in 2015. We plan to pursue a PCT patent application corresponding to the provisional in due course, and then to seek patent protection at the national phase in appropriate global markets.</w:t>
      </w:r>
    </w:p>
    <w:p>
      <w:pPr>
        <w:spacing w:after="0" w:line="109"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Additionally, we are presently developing potentially improved synthesis routes through another contract research organization. If we determine that these routes may be patentable, then we intend to file patent applications relating to this R&amp;D activity in the second half of 2016.</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As noted, we are involved with an ongoing Phase 2a study of AV-101 in MDD being conducted by the NIMH. As part of our analysis of the study results, we will be evaluating the possibility of seeking additional patent protection based on the clinical data and on clinical observations.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6" w:name="page87"/>
    <w:bookmarkEnd w:id="8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another major component of our plans to obtain market exclusivity for approved therapeutic indications for AV-101, we intend to utilize New Drug Product Exclusivity provided by the FDA under section 505(c)(3)(E) and 505(j)(5)(F) of the Federal Food, Drug, and Cosmetic Act (</w:t>
      </w:r>
      <w:r>
        <w:rPr>
          <w:rFonts w:ascii="Arial" w:cs="Arial" w:eastAsia="Arial" w:hAnsi="Arial"/>
          <w:sz w:val="14"/>
          <w:szCs w:val="14"/>
          <w:i w:val="1"/>
          <w:iCs w:val="1"/>
          <w:color w:val="auto"/>
        </w:rPr>
        <w:t>FDCA</w:t>
      </w:r>
      <w:r>
        <w:rPr>
          <w:rFonts w:ascii="Arial" w:cs="Arial" w:eastAsia="Arial" w:hAnsi="Arial"/>
          <w:sz w:val="14"/>
          <w:szCs w:val="14"/>
          <w:color w:val="auto"/>
        </w:rPr>
        <w:t>). The FDA’s New Drug Product Exclusivity is available for NCEs such as AV-101, which are innovative and have not been previously approved by the FDA, either alone or in combination with other drugs. The FDA’s New Drug Product Exclusivity protection provides the holder of an FDA-approved NDA with up to five years of protection from competition in the U.S. marketplace for the innovation represented by its approved new drug product. This protection precludes FDA approval of certain generic drug applications under section 505(b)(2) of the FDCA, as well as certain abbreviated new drug applications (</w:t>
      </w:r>
      <w:r>
        <w:rPr>
          <w:rFonts w:ascii="Arial" w:cs="Arial" w:eastAsia="Arial" w:hAnsi="Arial"/>
          <w:sz w:val="14"/>
          <w:szCs w:val="14"/>
          <w:i w:val="1"/>
          <w:iCs w:val="1"/>
          <w:color w:val="auto"/>
        </w:rPr>
        <w:t>ANDAs</w:t>
      </w:r>
      <w:r>
        <w:rPr>
          <w:rFonts w:ascii="Arial" w:cs="Arial" w:eastAsia="Arial" w:hAnsi="Arial"/>
          <w:sz w:val="14"/>
          <w:szCs w:val="14"/>
          <w:color w:val="auto"/>
        </w:rPr>
        <w:t>), during the up to five-year exclusivity period, except that such applications may be submitted after four years if they contain a certification of patent invalidity or non-infringement. We will pursue similar types of regulatory exclusivity in other regions, such as Europe, and in certain other countries.</w:t>
      </w:r>
    </w:p>
    <w:p>
      <w:pPr>
        <w:spacing w:after="0" w:line="173"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There is no guarantee that we will be successful in obtaining patents in the U.S. or other countries related to AV-101, or that if we are successful in obtaining such patents that we would also be successful in protecting those patents against challengers or in enforcing them to stop infringement. We are pursuing patent rights in a limited number of countries that we believe are the few major markets where having patent rights will substantially facilitate commercialization of AV-101. There are many other countries in which we are not pursuing such patent rights. And there is no guarantee that we will successfully obtain patents in the countries in which we are pursuing patent rights.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w:t>
      </w:r>
    </w:p>
    <w:p>
      <w:pPr>
        <w:spacing w:after="0" w:line="180" w:lineRule="exact"/>
        <w:rPr>
          <w:sz w:val="20"/>
          <w:szCs w:val="20"/>
          <w:color w:val="auto"/>
        </w:rPr>
      </w:pPr>
    </w:p>
    <w:p>
      <w:pPr>
        <w:ind w:right="100"/>
        <w:spacing w:after="0" w:line="320" w:lineRule="auto"/>
        <w:rPr>
          <w:sz w:val="20"/>
          <w:szCs w:val="20"/>
          <w:color w:val="auto"/>
        </w:rPr>
      </w:pPr>
      <w:r>
        <w:rPr>
          <w:rFonts w:ascii="Arial" w:cs="Arial" w:eastAsia="Arial" w:hAnsi="Arial"/>
          <w:sz w:val="12"/>
          <w:szCs w:val="12"/>
          <w:color w:val="auto"/>
        </w:rPr>
        <w:t>We have obtained and are pursuing intellectual property rights to several stem cell technologies through a combination of our own patent properties, exclusive and non-exclusive patent and technology licenses, and participation in sponsored research relationships. Generally, our stem cell IP portfolio relates to drug rescue, toxicity testing and drug discovery. It also relates to novel production systems and the use of various cell types that have been differentiated from pluripotent stem cells for those and other purposes. Additionally, the IP includes enriched populations of certain cell types, such as cardiomyocytes and hepatocytes, and some related aspects of cell-based therapy. We also maintain certain trade secrets regarding stem cell technology, several of which are discussed below.</w:t>
      </w: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Overall, our stem cell patent portfolio includes nine patent families, which collectively include 14 issued U.S. patents that remain in force as well as several foreign counterpart patents in countries of commercial interest to VistaGen. The portfolio also includes several patent applications pending in the U.S. and in various foreign countries. For reference, our stem cell patent portfolio is based on PCT patent applications WO 1997/021802, WO2000/034525, WO2004/098490, WO2001/096866, WO2012/024782, WO2013/075222, WO2014/124527, WO2014/161075 and WO2015035506, several of which are discussed below.</w:t>
      </w:r>
    </w:p>
    <w:p>
      <w:pPr>
        <w:spacing w:after="0" w:line="167" w:lineRule="exact"/>
        <w:rPr>
          <w:sz w:val="20"/>
          <w:szCs w:val="20"/>
          <w:color w:val="auto"/>
        </w:rPr>
      </w:pPr>
    </w:p>
    <w:p>
      <w:pPr>
        <w:ind w:right="280"/>
        <w:spacing w:after="0" w:line="323" w:lineRule="auto"/>
        <w:rPr>
          <w:sz w:val="20"/>
          <w:szCs w:val="20"/>
          <w:color w:val="auto"/>
        </w:rPr>
      </w:pPr>
      <w:r>
        <w:rPr>
          <w:rFonts w:ascii="Arial" w:cs="Arial" w:eastAsia="Arial" w:hAnsi="Arial"/>
          <w:sz w:val="13"/>
          <w:szCs w:val="13"/>
          <w:color w:val="auto"/>
        </w:rPr>
        <w:t>The patent properties in these families are based on discoveries from our internal research and development activities, research that it has sponsored at various academic institutions, as well as from patent license agreements signed with the National Jewish Medical and Research Center, University Health Network (Toronto) and the Mount Sinai School of Medicine.</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These license agreements generally require us to pay annual license fees, patent prosecution and maintenance fees, and royalty payments that vary based on product sales and services that are covered by the licensed patent rights, as well fees for sublicensing. As noted above in the context of AV-101 intellectual property, there is no guarantee that we will successfully obtain patents in the countries in which we are pursuing patent rights or that we would be successful in enforcing granted patent rights against infringers.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Trademarks</w:t>
      </w:r>
    </w:p>
    <w:p>
      <w:pPr>
        <w:spacing w:after="0" w:line="201" w:lineRule="exact"/>
        <w:rPr>
          <w:sz w:val="20"/>
          <w:szCs w:val="20"/>
          <w:color w:val="auto"/>
        </w:rPr>
      </w:pPr>
    </w:p>
    <w:p>
      <w:pPr>
        <w:ind w:right="560"/>
        <w:spacing w:after="0" w:line="323" w:lineRule="auto"/>
        <w:rPr>
          <w:sz w:val="20"/>
          <w:szCs w:val="20"/>
          <w:color w:val="auto"/>
        </w:rPr>
      </w:pPr>
      <w:r>
        <w:rPr>
          <w:rFonts w:ascii="Arial" w:cs="Arial" w:eastAsia="Arial" w:hAnsi="Arial"/>
          <w:sz w:val="13"/>
          <w:szCs w:val="13"/>
          <w:color w:val="auto"/>
        </w:rPr>
        <w:t>We have a federal trademark registration for the trademark “VISTAGEN”. Corresponding trademarks have been registered in the European Union and in Switzerland. We also use certain other trademarks in connection with our customized in vitro bioassay systems, such as CardioSafe 3D™, LiverSafe 3D™ and “Better Cells Lead to Better Medicine™.”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7" w:name="page88"/>
    <w:bookmarkEnd w:id="8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Sponsored Research Collaborations and Intellectual Property Rights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University Health Network, McEwen Centre for Regenerative Medicine, Toronto, Ontario</w:t>
      </w:r>
    </w:p>
    <w:p>
      <w:pPr>
        <w:spacing w:after="0" w:line="201"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Our strategic relationship with our co-founder, Dr. Gordon Keller, Director of the UHN’s McEwen Centre, is focused on, among other things, developing improved methods for differentiation of cardiomyocytes (heart cells) from hPSCs, and their uses in bioassay systems for drug discovery and drug development, including drug rescue. Pursuant to our sponsored research collaboration agreement with UHN, we have acquired exclusive worldwide rights to patent applications in the U.S. and foreign countries on multiple inventions arising from studies we have sponsored, under pre-negotiated license terms. Such pre-negotiated terms provide for royalty payments based on product sales that incorporate the licensed technology and milestone payments based on the achievement of certain events. Any drug rescue NCEs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The sponsored research collaboration agreement (</w:t>
      </w:r>
      <w:r>
        <w:rPr>
          <w:rFonts w:ascii="Arial" w:cs="Arial" w:eastAsia="Arial" w:hAnsi="Arial"/>
          <w:sz w:val="13"/>
          <w:szCs w:val="13"/>
          <w:i w:val="1"/>
          <w:iCs w:val="1"/>
          <w:color w:val="auto"/>
        </w:rPr>
        <w:t>SRCA</w:t>
      </w:r>
      <w:r>
        <w:rPr>
          <w:rFonts w:ascii="Arial" w:cs="Arial" w:eastAsia="Arial" w:hAnsi="Arial"/>
          <w:sz w:val="13"/>
          <w:szCs w:val="13"/>
          <w:color w:val="auto"/>
        </w:rPr>
        <w:t>) with UHN, as amended, has a term of ten years, ending on September 18, 2017. We are currently in discussions with Dr. Keller and UHN regarding the scope of potential new sponsored research projects under the SRCA.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UHN Licenses for Stem Cell Culture Technology</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 xml:space="preserve">In October 2011, we licensed stem cell culture technology from UHN’s McEwen Centre pursuant to the SCRA. This exclusive license conveyed rights to a patent application entitled “Methods for enriching pluripotent stem cell derived cardiomyocyte progenitor cells and cardiomyocyte (heart) cells based on SIRPA expression” covered by PCT patent application WO/2012/024782, and any related patent application claiming priority from these. This technology involves a heretofore unknown cell surface protein, SIRPA (signal-regulatory protein alpha) that is expressed by early immature precursors for cardiomyocytes. Antibodies specific to SIRPA allow the identification and enrichment of these early cardiomyocyte precursors, which we believe will provide benefits in terms of purity, functionality and reproducibility for not only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safety assays for drug screening and development, but also potentially for production of cardiomyocytes for cell therapy and regenerative medicine applications.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In April 2012, we licensed stem cell culture technology from UHN’s McEwen Centre pursuant to the SCRA. The licensed technology may be used to develop hematopoietic precursor stem cells from human pluripotent stem cells, with the goal of developing drug discovery screening and regenerative medicine applications for human blood system disorders. This technology is covered by PCT patent application WO/2013/075222, and any related patent application claiming priority from these. We believe this stem cell technology dramatically advances our ability to produce and purify this important blood stem cell precursor for both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we are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8" w:name="page89"/>
    <w:bookmarkEnd w:id="8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 xml:space="preserve">In December 2014, we licensed stem cell culture technology from UHN’s McEwen Centre pursuant to the SCRA. This exclusive license conveyed rights to a patent application entitled “Methods for generating hepatocytes and cholangiocytes from pluripotent stem cells” covered by PCT patent application WO/2014/124527, and any future patent application claiming priority from it. The licensed technology describes advanced methods for the production of mature hepatocytes and cholangiocytes, the primary cell types of the liver. The liver plays an important role in many bodily functions including protein production, blood clotting, as well as glucose, iron and lipid metabolism. Hepatocytes are the major cells responsible for metabolizing drugs, drug-drug interactions, and are the target for a variety of liver diseases including drug-induced liver failure, Cirrhosis, and viral infections. Cholangiocytes are the precursors for the biliary system found in the liver, i.e. bile ducts and gallbladder. The biliary system is a significant target for many conditions, including drug toxicities, cholecystitis, and liver-related abnormal function associated with the cystic fibrosis mutation. The licensed technology now enables us to more efficiently produce, human hepatocytes and cholangiocytes with more adult-like functions for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and </w:t>
      </w:r>
      <w:r>
        <w:rPr>
          <w:rFonts w:ascii="Arial" w:cs="Arial" w:eastAsia="Arial" w:hAnsi="Arial"/>
          <w:sz w:val="13"/>
          <w:szCs w:val="13"/>
          <w:i w:val="1"/>
          <w:iCs w:val="1"/>
          <w:color w:val="auto"/>
        </w:rPr>
        <w:t>LiverSafe</w:t>
      </w:r>
      <w:r>
        <w:rPr>
          <w:rFonts w:ascii="Arial" w:cs="Arial" w:eastAsia="Arial" w:hAnsi="Arial"/>
          <w:sz w:val="13"/>
          <w:szCs w:val="13"/>
          <w:color w:val="auto"/>
        </w:rPr>
        <w:t xml:space="preserve"> 3D toxicity assays to support our drug rescue programs, as well as the therapeutic potential for cell-based therapies.</w:t>
      </w:r>
    </w:p>
    <w:p>
      <w:pPr>
        <w:spacing w:after="0" w:line="159"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In December 2014, we licensed stem cell culture technology from UHN’s McEwen Centre pursuant to the SCRA. This exclusive license conveyed rights to patent application entitled “Methods and Compositions for Generating Epicardium Cells” covered by PCT patent application WO/2015/035506 application, and any future patent application claiming priority from it. The epicardium is the outer cell layer on top of the heart muscle (cardiomyocytes), and is essential for proper development of the heart and plays an important role in cardiac recovery during disease. The epicardium plays a critical role in the differentiation, expansion, and maturation of cardiomyocytes during development, or during cardiac repair responses. This technology will be important to developing the next generation of engineered cardiac tissue, or their function in cell therapy approaches.</w:t>
      </w:r>
    </w:p>
    <w:p>
      <w:pPr>
        <w:spacing w:after="0" w:line="168"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In December 2014, we licensed stem cell culture technology from UHN’s McEwen Centre pursuant to the SCRA. This exclusive license conveyed rights to patent application entitled “Methods and compositions for generating chondrocyte lineage cells and/or cartilage like tissue” covered by PCT patent application WO/2014/161075 application, and any future patent application claiming priority from it. There are two types of chondrocytes, “articular” and “growth plate”. Articular chondrocytes are responsible for cartilage that lines our joints, whereas growth plate chondrocytes are involved with new bone formation. Osteoarthritis is debilitating joint diseases resulting from the degeneration of articular cartilage leading to inappropriate bone development (spurs) in the joint. These technologies will allow us to develop in vitro assays to study the process of the degeneration of articular cartilage, and provides novel tools for testing drugs that have the potential to reduce this degeneration. These cells also provide the necessary cells for developing cell therapy approaches for treating osteoarthritis.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Government Rights</w:t>
      </w:r>
    </w:p>
    <w:p>
      <w:pPr>
        <w:spacing w:after="0" w:line="180"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have received federal funding from both the NIH and the NIMH to support research and development of inventions disclosed in our patent applications relating to AV-101 and certain of our stem cell technology. Under the Bayh-Dole Act of 1980, if we do not take adequate steps to commercialize certain intellectual property rights, or certain other exigent circumstances relating to public health and safety prescribed under federal law become applicable, the U.S. government may acquire certain rights with respect to inventions made during programs funded by NIH, NIMH or other federal grants.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5"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are sometimes used instead of and before antidepressant medications to treat patients with MDD.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89" w:name="page90"/>
    <w:bookmarkEnd w:id="8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In the field of new generation antidepressants focused on modulation of the NMDAR, our principal competitor is Naurex, Inc., which is developing rapastinel (formerly GLYX-13) and NRX-1074 for treatment-resistant MDD. In August, 2015, Allergan plc., a global pharmaceutical company, acquired rapastinel and NRX-1074 from Naurex, Inc. for a $560 million up front payment in cash, as well as substantial potential research and development success-based and sales threshold milestone payments. Although each of these drug candidates is a peptide and may not be orally active (rapastinel is only administered intravenously and, we believe, NRX-1074 has not yet been administered orally to patients), both are new generation NMDAR modulators focused on the GlyB site of the NMDAR.</w:t>
      </w:r>
    </w:p>
    <w:p>
      <w:pPr>
        <w:spacing w:after="0" w:line="129"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companies have programs to develop small molecule drug candidates for the treatment of depression, including MDD, epilepsy, neuropathic pain, Parkinson’s disease and other neurological conditions and diseases, including, but not limited to, Abbott Laboratories, Allergan, AstraZeneca, Eli Lilly, GlaxoSmithKline, Johnson &amp; Johnson, Lundbeck, Merck, Novartis, Otsuka, Pfizer, Roche, Sanofi, Shire,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pacing w:after="0" w:line="161"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We believe that our human pluripotent stem cell (</w:t>
      </w:r>
      <w:r>
        <w:rPr>
          <w:rFonts w:ascii="Arial" w:cs="Arial" w:eastAsia="Arial" w:hAnsi="Arial"/>
          <w:sz w:val="13"/>
          <w:szCs w:val="13"/>
          <w:i w:val="1"/>
          <w:iCs w:val="1"/>
          <w:color w:val="auto"/>
        </w:rPr>
        <w:t>hPSC</w:t>
      </w:r>
      <w:r>
        <w:rPr>
          <w:rFonts w:ascii="Arial" w:cs="Arial" w:eastAsia="Arial" w:hAnsi="Arial"/>
          <w:sz w:val="13"/>
          <w:szCs w:val="13"/>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and safety testing, contract predictive toxicology drug screening services for third parties, internal drug discovery, drug development and drug rescue of new , and regenerative medicine, including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cell therapy research and development. A representative list of such biopharmaceutical companies pursuing one or more of these potential applications of adult and/or hPSCl technology includes the following: Acea Biosciences, Astellas, Athersys, BioCardia, BioTime, Cellectis Bioresearch, Cellerant Therapeutics, Cytori Therapeutics, Fujifilm Holdings,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205"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0" w:name="page91"/>
    <w:bookmarkEnd w:id="9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Drug Development</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the United States, the FDA regulates drugs under the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7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Our product candidates must be approved by the FDA through the NDA process before they may be legally marketed in the United States. The process required by the FDA before a drug may be marketed in the United States generally involves the following:</w:t>
      </w:r>
    </w:p>
    <w:p>
      <w:pPr>
        <w:spacing w:after="0" w:line="131" w:lineRule="exact"/>
        <w:rPr>
          <w:sz w:val="20"/>
          <w:szCs w:val="20"/>
          <w:color w:val="auto"/>
        </w:rPr>
      </w:pPr>
    </w:p>
    <w:p>
      <w:pPr>
        <w:ind w:left="520" w:right="340" w:hanging="515"/>
        <w:spacing w:after="0" w:line="215" w:lineRule="auto"/>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Completion of extensive non-clinical, sometimes referred to as non-clinical laboratory tests, non-clinical animal studies and formulation studies in accordance with applicable regulations, including the FDA’s current Good Laboratory Practice (</w:t>
      </w:r>
      <w:r>
        <w:rPr>
          <w:rFonts w:ascii="Arial" w:cs="Arial" w:eastAsia="Arial" w:hAnsi="Arial"/>
          <w:sz w:val="14"/>
          <w:szCs w:val="14"/>
          <w:i w:val="1"/>
          <w:iCs w:val="1"/>
          <w:color w:val="auto"/>
        </w:rPr>
        <w:t>cGLP</w:t>
      </w:r>
      <w:r>
        <w:rPr>
          <w:rFonts w:ascii="Arial" w:cs="Arial" w:eastAsia="Arial" w:hAnsi="Arial"/>
          <w:sz w:val="14"/>
          <w:szCs w:val="14"/>
          <w:color w:val="auto"/>
        </w:rPr>
        <w:t>), regulations;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Submission to the FDA of an IND application, which must become effective before human clinical trials may begin;</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Approval by an independent institutional review board (</w:t>
      </w:r>
      <w:r>
        <w:rPr>
          <w:rFonts w:ascii="Arial" w:cs="Arial" w:eastAsia="Arial" w:hAnsi="Arial"/>
          <w:sz w:val="14"/>
          <w:szCs w:val="14"/>
          <w:i w:val="1"/>
          <w:iCs w:val="1"/>
          <w:color w:val="auto"/>
        </w:rPr>
        <w:t>IRB</w:t>
      </w:r>
      <w:r>
        <w:rPr>
          <w:rFonts w:ascii="Arial" w:cs="Arial" w:eastAsia="Arial" w:hAnsi="Arial"/>
          <w:sz w:val="14"/>
          <w:szCs w:val="14"/>
          <w:color w:val="auto"/>
        </w:rPr>
        <w:t>) or ethics committee at each clinical trial site before each trial may be initiated;</w:t>
      </w:r>
    </w:p>
    <w:p>
      <w:pPr>
        <w:spacing w:after="0" w:line="181" w:lineRule="exact"/>
        <w:rPr>
          <w:rFonts w:ascii="Arial" w:cs="Arial" w:eastAsia="Arial" w:hAnsi="Arial"/>
          <w:sz w:val="20"/>
          <w:szCs w:val="20"/>
          <w:color w:val="auto"/>
          <w:vertAlign w:val="superscript"/>
        </w:rPr>
      </w:pPr>
    </w:p>
    <w:p>
      <w:pPr>
        <w:ind w:left="520" w:hanging="515"/>
        <w:spacing w:after="0" w:line="215" w:lineRule="auto"/>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Performance of adequate and well-controlled human clinical trials in accordance with applicable IND and other clinical trial-related regulations, sometimes referred to as good clinical practices (</w:t>
      </w:r>
      <w:r>
        <w:rPr>
          <w:rFonts w:ascii="Arial" w:cs="Arial" w:eastAsia="Arial" w:hAnsi="Arial"/>
          <w:sz w:val="14"/>
          <w:szCs w:val="14"/>
          <w:i w:val="1"/>
          <w:iCs w:val="1"/>
          <w:color w:val="auto"/>
        </w:rPr>
        <w:t>GCPs</w:t>
      </w:r>
      <w:r>
        <w:rPr>
          <w:rFonts w:ascii="Arial" w:cs="Arial" w:eastAsia="Arial" w:hAnsi="Arial"/>
          <w:sz w:val="14"/>
          <w:szCs w:val="14"/>
          <w:color w:val="auto"/>
        </w:rPr>
        <w:t>) to establish the safety and efficacy of the proposed drug for each proposed indication;</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Submission to the FDA of an NDA, for a new drug;</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A determination by the FDA within 60 days of its receipt of an NDA to file the NDA for review;</w:t>
      </w:r>
    </w:p>
    <w:p>
      <w:pPr>
        <w:spacing w:after="0" w:line="181" w:lineRule="exact"/>
        <w:rPr>
          <w:rFonts w:ascii="Arial" w:cs="Arial" w:eastAsia="Arial" w:hAnsi="Arial"/>
          <w:sz w:val="20"/>
          <w:szCs w:val="20"/>
          <w:color w:val="auto"/>
          <w:vertAlign w:val="superscript"/>
        </w:rPr>
      </w:pPr>
    </w:p>
    <w:p>
      <w:pPr>
        <w:ind w:left="520" w:right="160" w:hanging="515"/>
        <w:spacing w:after="0" w:line="215" w:lineRule="auto"/>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Satisfactory completion of an FDA pre-approval inspection of the manufacturing facility or facilities where the drug is produced to assess compliance with cGMP requirements to assure that the facilities, methods and controls are adequate to preserve the drug’s identity, strength, quality and purity;</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Potential FDA audit of the non-clinical and/or clinical trial sites that generated the data in support of the NDA; and</w:t>
      </w:r>
    </w:p>
    <w:p>
      <w:pPr>
        <w:spacing w:after="0" w:line="143"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5"/>
        </w:numPr>
        <w:rPr>
          <w:rFonts w:ascii="Arial" w:cs="Arial" w:eastAsia="Arial" w:hAnsi="Arial"/>
          <w:sz w:val="19"/>
          <w:szCs w:val="19"/>
          <w:color w:val="auto"/>
          <w:vertAlign w:val="superscript"/>
        </w:rPr>
      </w:pPr>
      <w:r>
        <w:rPr>
          <w:rFonts w:ascii="Arial" w:cs="Arial" w:eastAsia="Arial" w:hAnsi="Arial"/>
          <w:sz w:val="13"/>
          <w:szCs w:val="13"/>
          <w:color w:val="auto"/>
        </w:rPr>
        <w:t>FDA review and approval of the NDA, including consideration of the views of any FDA advisory committee, prior to any commercial marketing or sale of the drug in the United States.</w:t>
      </w:r>
    </w:p>
    <w:p>
      <w:pPr>
        <w:spacing w:after="0" w:line="160"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The non-clinical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1" w:name="page92"/>
    <w:bookmarkEnd w:id="9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Some non-clinical testing may continue even after the IND is submitted, but an IND must become effective before human clinical trials may begin. The central focus of an IND submission is on the general investigational plan and the protocol(s) for human trials. The IND automatically becomes effective 30 days after receipt by the FDA, unless the FDA raises concerns or questions regarding the proposed clinical trials, including subjects will be exposed to unreasonable health risks,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158"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59"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Trials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Clinical trials are generally conducted in three sequential phases that may overlap, known as Phase 1, Phase 2 and Phase 3 clinical trials.</w:t>
      </w:r>
    </w:p>
    <w:p>
      <w:pPr>
        <w:spacing w:after="0" w:line="180" w:lineRule="exact"/>
        <w:rPr>
          <w:sz w:val="20"/>
          <w:szCs w:val="20"/>
          <w:color w:val="auto"/>
        </w:rPr>
      </w:pPr>
    </w:p>
    <w:p>
      <w:pPr>
        <w:ind w:left="520" w:right="120" w:hanging="515"/>
        <w:spacing w:after="0" w:line="215" w:lineRule="auto"/>
        <w:tabs>
          <w:tab w:leader="none" w:pos="5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w:t>
      </w:r>
    </w:p>
    <w:p>
      <w:pPr>
        <w:spacing w:after="0" w:line="182" w:lineRule="exact"/>
        <w:rPr>
          <w:rFonts w:ascii="Arial" w:cs="Arial" w:eastAsia="Arial" w:hAnsi="Arial"/>
          <w:sz w:val="20"/>
          <w:szCs w:val="20"/>
          <w:color w:val="auto"/>
          <w:vertAlign w:val="superscript"/>
        </w:rPr>
      </w:pPr>
    </w:p>
    <w:p>
      <w:pPr>
        <w:ind w:left="520" w:right="100" w:hanging="515"/>
        <w:spacing w:after="0" w:line="215" w:lineRule="auto"/>
        <w:tabs>
          <w:tab w:leader="none" w:pos="5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w:t>
      </w:r>
    </w:p>
    <w:p>
      <w:pPr>
        <w:spacing w:after="0" w:line="182" w:lineRule="exact"/>
        <w:rPr>
          <w:rFonts w:ascii="Arial" w:cs="Arial" w:eastAsia="Arial" w:hAnsi="Arial"/>
          <w:sz w:val="20"/>
          <w:szCs w:val="20"/>
          <w:color w:val="auto"/>
          <w:vertAlign w:val="superscript"/>
        </w:rPr>
      </w:pPr>
    </w:p>
    <w:p>
      <w:pPr>
        <w:ind w:left="520" w:right="140" w:hanging="515"/>
        <w:spacing w:after="0" w:line="232" w:lineRule="auto"/>
        <w:tabs>
          <w:tab w:leader="none" w:pos="5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Phase 3 clinical trials generally involve large numbers of patients at multiple sites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2" w:name="page93"/>
    <w:bookmarkEnd w:id="9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spacing w:after="0" w:line="153"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Progress reports detailing the results of the clinical trials must be submitted at least annually to the FDA and written IND safety reports must be submitted to the FDA and the investigators for serious and unexpected suspected adverse events, finding from other studies, or any finding from animal or in vitro testing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we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NDA and FDA Review Process</w:t>
      </w:r>
    </w:p>
    <w:p>
      <w:pPr>
        <w:spacing w:after="0" w:line="201" w:lineRule="exact"/>
        <w:rPr>
          <w:sz w:val="20"/>
          <w:szCs w:val="20"/>
          <w:color w:val="auto"/>
        </w:rPr>
      </w:pPr>
    </w:p>
    <w:p>
      <w:pPr>
        <w:jc w:val="both"/>
        <w:ind w:right="60"/>
        <w:spacing w:after="0" w:line="263" w:lineRule="auto"/>
        <w:rPr>
          <w:sz w:val="20"/>
          <w:szCs w:val="20"/>
          <w:color w:val="auto"/>
        </w:rPr>
      </w:pPr>
      <w:r>
        <w:rPr>
          <w:rFonts w:ascii="Arial" w:cs="Arial" w:eastAsia="Arial" w:hAnsi="Arial"/>
          <w:sz w:val="14"/>
          <w:szCs w:val="14"/>
          <w:color w:val="auto"/>
        </w:rPr>
        <w:t>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The FDA reviews an NDA to determine, among other things, whether a drug is safe and effective for its intended use and whether the product is being manufactured in accordance with cGMP to assure and preserve the product’s identity, strength, quality and purity. FDA approval of an NDA must be obtained before a drug may be offered for sale in the United States.</w:t>
      </w:r>
    </w:p>
    <w:p>
      <w:pPr>
        <w:spacing w:after="0" w:line="146"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In addition, under the Pediatric Research Equity Act (</w:t>
      </w:r>
      <w:r>
        <w:rPr>
          <w:rFonts w:ascii="Arial" w:cs="Arial" w:eastAsia="Arial" w:hAnsi="Arial"/>
          <w:sz w:val="14"/>
          <w:szCs w:val="14"/>
          <w:i w:val="1"/>
          <w:iCs w:val="1"/>
          <w:color w:val="auto"/>
        </w:rPr>
        <w:t>PREA</w:t>
      </w:r>
      <w:r>
        <w:rPr>
          <w:rFonts w:ascii="Arial" w:cs="Arial" w:eastAsia="Arial" w:hAnsi="Arial"/>
          <w:sz w:val="14"/>
          <w:szCs w:val="14"/>
          <w:color w:val="auto"/>
        </w:rPr>
        <w:t>)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Under the Prescription Drug User Fee Act (</w:t>
      </w:r>
      <w:r>
        <w:rPr>
          <w:rFonts w:ascii="Arial" w:cs="Arial" w:eastAsia="Arial" w:hAnsi="Arial"/>
          <w:sz w:val="14"/>
          <w:szCs w:val="14"/>
          <w:i w:val="1"/>
          <w:iCs w:val="1"/>
          <w:color w:val="auto"/>
        </w:rPr>
        <w:t>PDUFA</w:t>
      </w:r>
      <w:r>
        <w:rPr>
          <w:rFonts w:ascii="Arial" w:cs="Arial" w:eastAsia="Arial" w:hAnsi="Arial"/>
          <w:sz w:val="14"/>
          <w:szCs w:val="14"/>
          <w:color w:val="auto"/>
        </w:rPr>
        <w:t>) as amended, each NDA must be accompanied by a user fee. The FDA adjusts the PDUFA user fees on an annual basis. According to the FDA’s fee schedule, effective through December 31, 2014, the user fee for an application requiring clinical data, such as an NDA, is $2.2 million. PDUFA also imposes an annual product fee for human drugs of $0.1 million and an annual establishment fee of $0.6 million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93" w:name="page94"/>
    <w:bookmarkEnd w:id="9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16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56"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post-marketing testing or clinical trials and surveillance to monitor the effects of approved products. For example, the FDA may require Phase 4 testing which involves clinical trials designed to further assess a drug’s safety and efficacy and may require testing and surveillance programs to monitor the safety of approved products that have been commercialized. The FDA may also place other conditions on approvals including the requirement for a risk evaluation and mitigation strategy (</w:t>
      </w:r>
      <w:r>
        <w:rPr>
          <w:rFonts w:ascii="Arial" w:cs="Arial" w:eastAsia="Arial" w:hAnsi="Arial"/>
          <w:sz w:val="13"/>
          <w:szCs w:val="13"/>
          <w:i w:val="1"/>
          <w:iCs w:val="1"/>
          <w:color w:val="auto"/>
        </w:rPr>
        <w:t>REMS</w:t>
      </w:r>
      <w:r>
        <w:rPr>
          <w:rFonts w:ascii="Arial" w:cs="Arial" w:eastAsia="Arial" w:hAnsi="Arial"/>
          <w:sz w:val="13"/>
          <w:szCs w:val="13"/>
          <w:color w:val="auto"/>
        </w:rPr>
        <w:t>)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requirements or if problems occur following initial marketing.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4" w:name="page95"/>
    <w:bookmarkEnd w:id="9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Orphan Drug Designation</w:t>
      </w:r>
    </w:p>
    <w:p>
      <w:pPr>
        <w:spacing w:after="0" w:line="20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4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than that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Expedited Development and Review Programs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as a Fast Track product at any time during the clinical development of the product. Unique to a Fast Track product, the FDA may review sections of the marketing application on a rolling basis before the complete NDA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offers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 product may also be eligible for accelerated approval. Drugs studied for their safety and efficacy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124" w:lineRule="exact"/>
        <w:rPr>
          <w:sz w:val="20"/>
          <w:szCs w:val="20"/>
          <w:color w:val="auto"/>
        </w:rPr>
      </w:pPr>
    </w:p>
    <w:p>
      <w:pPr>
        <w:ind w:left="520" w:hanging="515"/>
        <w:spacing w:after="0"/>
        <w:tabs>
          <w:tab w:leader="none" w:pos="520" w:val="left"/>
        </w:tabs>
        <w:numPr>
          <w:ilvl w:val="0"/>
          <w:numId w:val="47"/>
        </w:numPr>
        <w:rPr>
          <w:rFonts w:ascii="Arial" w:cs="Arial" w:eastAsia="Arial" w:hAnsi="Arial"/>
          <w:sz w:val="20"/>
          <w:szCs w:val="20"/>
          <w:color w:val="auto"/>
          <w:vertAlign w:val="superscript"/>
        </w:rPr>
      </w:pPr>
      <w:r>
        <w:rPr>
          <w:rFonts w:ascii="Arial" w:cs="Arial" w:eastAsia="Arial" w:hAnsi="Arial"/>
          <w:sz w:val="14"/>
          <w:szCs w:val="14"/>
          <w:color w:val="auto"/>
        </w:rPr>
        <w:t>distribution restricted to certain facilities or physicians with special training or experience; or</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7"/>
        </w:numPr>
        <w:rPr>
          <w:rFonts w:ascii="Arial" w:cs="Arial" w:eastAsia="Arial" w:hAnsi="Arial"/>
          <w:sz w:val="20"/>
          <w:szCs w:val="20"/>
          <w:color w:val="auto"/>
          <w:vertAlign w:val="superscript"/>
        </w:rPr>
      </w:pPr>
      <w:r>
        <w:rPr>
          <w:rFonts w:ascii="Arial" w:cs="Arial" w:eastAsia="Arial" w:hAnsi="Arial"/>
          <w:sz w:val="14"/>
          <w:szCs w:val="14"/>
          <w:color w:val="auto"/>
        </w:rPr>
        <w:t>distribution conditioned on the performance of specified medical procedures.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5" w:name="page96"/>
    <w:bookmarkEnd w:id="9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 Additionally, a drug may be eligible for designation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indications. The benefits of breakthrough therapy designation include the same benefits as fast track designation, plus intensive guidance from FDA to ensure an efficient drug development program. Fast Track designation, priority review, accelerated approval and breakthrough designation do not change the standards for approval, but may expedite the development or approval process.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Pediatric Trials</w:t>
      </w:r>
    </w:p>
    <w:p>
      <w:pPr>
        <w:spacing w:after="0" w:line="20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Food and Drug Administration Safety and Innovation Act (</w:t>
      </w:r>
      <w:r>
        <w:rPr>
          <w:rFonts w:ascii="Arial" w:cs="Arial" w:eastAsia="Arial" w:hAnsi="Arial"/>
          <w:sz w:val="14"/>
          <w:szCs w:val="14"/>
          <w:i w:val="1"/>
          <w:iCs w:val="1"/>
          <w:color w:val="auto"/>
        </w:rPr>
        <w:t>FDASIA</w:t>
      </w:r>
      <w:r>
        <w:rPr>
          <w:rFonts w:ascii="Arial" w:cs="Arial" w:eastAsia="Arial" w:hAnsi="Arial"/>
          <w:sz w:val="14"/>
          <w:szCs w:val="14"/>
          <w:color w:val="auto"/>
        </w:rPr>
        <w: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w:t>
      </w:r>
      <w:r>
        <w:rPr>
          <w:rFonts w:ascii="Arial" w:cs="Arial" w:eastAsia="Arial" w:hAnsi="Arial"/>
          <w:sz w:val="14"/>
          <w:szCs w:val="14"/>
          <w:i w:val="1"/>
          <w:iCs w:val="1"/>
          <w:color w:val="auto"/>
        </w:rPr>
        <w:t>PSP</w:t>
      </w:r>
      <w:r>
        <w:rPr>
          <w:rFonts w:ascii="Arial" w:cs="Arial" w:eastAsia="Arial" w:hAnsi="Arial"/>
          <w:sz w:val="14"/>
          <w:szCs w:val="14"/>
          <w:color w:val="auto"/>
        </w:rPr>
        <w:t>)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Post-Marketing Requirements</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non-clinical studies and clinical trials. As with new NDAs, the review process is often significantly extended by FDA requests for additional information or clarification. Any distribution of prescription drug products and pharmaceutical samples must comply with the U.S. Prescription Drug Marketing Act (</w:t>
      </w:r>
      <w:r>
        <w:rPr>
          <w:rFonts w:ascii="Arial" w:cs="Arial" w:eastAsia="Arial" w:hAnsi="Arial"/>
          <w:sz w:val="13"/>
          <w:szCs w:val="13"/>
          <w:i w:val="1"/>
          <w:iCs w:val="1"/>
          <w:color w:val="auto"/>
        </w:rPr>
        <w:t>PDMA</w:t>
      </w:r>
      <w:r>
        <w:rPr>
          <w:rFonts w:ascii="Arial" w:cs="Arial" w:eastAsia="Arial" w:hAnsi="Arial"/>
          <w:sz w:val="13"/>
          <w:szCs w:val="13"/>
          <w:color w:val="auto"/>
        </w:rPr>
        <w:t>) a part of the FDCA.</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6" w:name="page97"/>
    <w:bookmarkEnd w:id="9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In the United States, once a product is approved, its manufacture is subject to comprehensive and continuing regulation by the FDA. The FDA regulations require that products be manufactured in specific approved facilities and in accordance with cGMP. We rely, and expect to continue to rely, on third parties for the production of clinical and commercial quantities of our products in accordance with cGMP regulations.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Regulatory Matters</w:t>
      </w:r>
    </w:p>
    <w:p>
      <w:pPr>
        <w:spacing w:after="0" w:line="20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United States Department of Justice,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the Patient Protection and Affordable Health Care Act, as amended by the Health Care and Education Reconciliation Act of 2010, or collectively the ACA, among other things, amends the intent requirement of the federal Anti-Kickback Statute and criminal healthcare fraud statutes created by the federal Health Insurance Portability and Accountability Act of 1996 (</w:t>
      </w:r>
      <w:r>
        <w:rPr>
          <w:rFonts w:ascii="Arial" w:cs="Arial" w:eastAsia="Arial" w:hAnsi="Arial"/>
          <w:sz w:val="13"/>
          <w:szCs w:val="13"/>
          <w:i w:val="1"/>
          <w:iCs w:val="1"/>
          <w:color w:val="auto"/>
        </w:rPr>
        <w:t>HIPAA</w:t>
      </w:r>
      <w:r>
        <w:rPr>
          <w:rFonts w:ascii="Arial" w:cs="Arial" w:eastAsia="Arial" w:hAnsi="Arial"/>
          <w:sz w:val="13"/>
          <w:szCs w:val="13"/>
          <w:color w:val="auto"/>
        </w:rPr>
        <w:t>). A person or entity no longer needs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97" w:name="page98"/>
    <w:bookmarkEnd w:id="9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Although we would not submit claims directly to payors, drug manufacturers can be held liable under the federal False Claims Act, which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The government may deem manufacturers to have “caused”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58"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Pricing and rebate programs must comply with the Medicaid rebate requirements of the U.S. Omnibus Budget Reconciliation Act of 1990 and more recent requirements in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29"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3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Changes in regulations, statutes or the interpretation of existing regulations could impact our business in the future by requiring, for example: (i) changes to our manufacturing arrangements;</w:t>
      </w:r>
    </w:p>
    <w:p>
      <w:pPr>
        <w:spacing w:after="0" w:line="31" w:lineRule="exact"/>
        <w:rPr>
          <w:sz w:val="20"/>
          <w:szCs w:val="20"/>
          <w:color w:val="auto"/>
        </w:rPr>
      </w:pPr>
    </w:p>
    <w:p>
      <w:pPr>
        <w:ind w:right="120" w:firstLine="5"/>
        <w:spacing w:after="0" w:line="267" w:lineRule="auto"/>
        <w:tabs>
          <w:tab w:leader="none" w:pos="209" w:val="left"/>
        </w:tabs>
        <w:numPr>
          <w:ilvl w:val="0"/>
          <w:numId w:val="48"/>
        </w:numPr>
        <w:rPr>
          <w:rFonts w:ascii="Arial" w:cs="Arial" w:eastAsia="Arial" w:hAnsi="Arial"/>
          <w:sz w:val="14"/>
          <w:szCs w:val="14"/>
          <w:color w:val="auto"/>
        </w:rPr>
      </w:pPr>
      <w:r>
        <w:rPr>
          <w:rFonts w:ascii="Arial" w:cs="Arial" w:eastAsia="Arial" w:hAnsi="Arial"/>
          <w:sz w:val="14"/>
          <w:szCs w:val="14"/>
          <w:color w:val="auto"/>
        </w:rPr>
        <w:t>additions or modifications to product labeling; (iii) the recall or discontinuation of our products; or (iv) additional record-keeping requirements. If any such changes were to be imposed, they could adversely affect the operation of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Patent Term Restoration and Marketing Exclusivity</w:t>
      </w:r>
    </w:p>
    <w:p>
      <w:pPr>
        <w:spacing w:after="0" w:line="20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8" w:name="page99"/>
    <w:bookmarkEnd w:id="9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w:t>
      </w:r>
      <w:r>
        <w:rPr>
          <w:rFonts w:ascii="Arial" w:cs="Arial" w:eastAsia="Arial" w:hAnsi="Arial"/>
          <w:sz w:val="13"/>
          <w:szCs w:val="13"/>
          <w:i w:val="1"/>
          <w:iCs w:val="1"/>
          <w:color w:val="auto"/>
        </w:rPr>
        <w:t>ANDA</w:t>
      </w:r>
      <w:r>
        <w:rPr>
          <w:rFonts w:ascii="Arial" w:cs="Arial" w:eastAsia="Arial" w:hAnsi="Arial"/>
          <w:sz w:val="13"/>
          <w:szCs w:val="13"/>
          <w:color w:val="auto"/>
        </w:rPr>
        <w:t>)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Drug Development</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 the European Union, our future products may also be subject to extensive regulatory requirements. As in the United States, medicinal products can only be marketed if a marketing authorization from the competent regulatory agencies has been obtained.</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Similar to the United States, the various phases of non-clinical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w:t>
      </w:r>
      <w:r>
        <w:rPr>
          <w:rFonts w:ascii="Arial" w:cs="Arial" w:eastAsia="Arial" w:hAnsi="Arial"/>
          <w:sz w:val="14"/>
          <w:szCs w:val="14"/>
          <w:i w:val="1"/>
          <w:iCs w:val="1"/>
          <w:color w:val="auto"/>
        </w:rPr>
        <w:t>NCA</w:t>
      </w:r>
      <w:r>
        <w:rPr>
          <w:rFonts w:ascii="Arial" w:cs="Arial" w:eastAsia="Arial" w:hAnsi="Arial"/>
          <w:sz w:val="14"/>
          <w:szCs w:val="14"/>
          <w:color w:val="auto"/>
        </w:rPr>
        <w:t>) and one or more Ethics Committees (</w:t>
      </w:r>
      <w:r>
        <w:rPr>
          <w:rFonts w:ascii="Arial" w:cs="Arial" w:eastAsia="Arial" w:hAnsi="Arial"/>
          <w:sz w:val="14"/>
          <w:szCs w:val="14"/>
          <w:i w:val="1"/>
          <w:iCs w:val="1"/>
          <w:color w:val="auto"/>
        </w:rPr>
        <w:t>ECs</w:t>
      </w:r>
      <w:r>
        <w:rPr>
          <w:rFonts w:ascii="Arial" w:cs="Arial" w:eastAsia="Arial" w:hAnsi="Arial"/>
          <w:sz w:val="14"/>
          <w:szCs w:val="14"/>
          <w:color w:val="auto"/>
        </w:rPr>
        <w:t>). Under the current regime all suspected unexpected serious adverse reactions to the investigated drug that occur during the clinical trial have to be reported to the NCA and ECs of the Member State where they occurred.</w:t>
      </w:r>
    </w:p>
    <w:p>
      <w:pPr>
        <w:spacing w:after="0" w:line="171"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The EU clinical trials legislation is currently undergoing a revision process mainly aimed at harmonizing and streamlining the clinical trials authorization process, simplifying adverse event reporting procedures, improving the supervision of clinical trials, and increasing their transparency.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Drug Review and Approval</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the European Economic Area (</w:t>
      </w:r>
      <w:r>
        <w:rPr>
          <w:rFonts w:ascii="Arial" w:cs="Arial" w:eastAsia="Arial" w:hAnsi="Arial"/>
          <w:sz w:val="14"/>
          <w:szCs w:val="14"/>
          <w:i w:val="1"/>
          <w:iCs w:val="1"/>
          <w:color w:val="auto"/>
        </w:rPr>
        <w:t>EEA</w:t>
      </w:r>
      <w:r>
        <w:rPr>
          <w:rFonts w:ascii="Arial" w:cs="Arial" w:eastAsia="Arial" w:hAnsi="Arial"/>
          <w:sz w:val="14"/>
          <w:szCs w:val="14"/>
          <w:color w:val="auto"/>
        </w:rPr>
        <w:t>) (which is comprised of the 27 Member States of the European Union (excluding Croatia) plus Norway, Iceland and Liechtenstein), medicinal products can only be commercialized after obtaining a Marketing Authorization, (</w:t>
      </w:r>
      <w:r>
        <w:rPr>
          <w:rFonts w:ascii="Arial" w:cs="Arial" w:eastAsia="Arial" w:hAnsi="Arial"/>
          <w:sz w:val="14"/>
          <w:szCs w:val="14"/>
          <w:i w:val="1"/>
          <w:iCs w:val="1"/>
          <w:color w:val="auto"/>
        </w:rPr>
        <w:t>MA</w:t>
      </w:r>
      <w:r>
        <w:rPr>
          <w:rFonts w:ascii="Arial" w:cs="Arial" w:eastAsia="Arial" w:hAnsi="Arial"/>
          <w:sz w:val="14"/>
          <w:szCs w:val="14"/>
          <w:color w:val="auto"/>
        </w:rPr>
        <w:t>). There are two types of marketing authorizations: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9" w:name="page100"/>
    <w:bookmarkEnd w:id="9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The Community MA is issued by the European Commission through the Centralized Procedure, based on the opinion of the Committee for Medicinal Products for Human Use (</w:t>
      </w:r>
      <w:r>
        <w:rPr>
          <w:rFonts w:ascii="Arial" w:cs="Arial" w:eastAsia="Arial" w:hAnsi="Arial"/>
          <w:sz w:val="14"/>
          <w:szCs w:val="14"/>
          <w:i w:val="1"/>
          <w:iCs w:val="1"/>
          <w:color w:val="auto"/>
        </w:rPr>
        <w:t>CHMP</w:t>
      </w:r>
      <w:r>
        <w:rPr>
          <w:rFonts w:ascii="Arial" w:cs="Arial" w:eastAsia="Arial" w:hAnsi="Arial"/>
          <w:sz w:val="14"/>
          <w:szCs w:val="14"/>
          <w:color w:val="auto"/>
        </w:rPr>
        <w:t>) of the European Medicines Agency (</w:t>
      </w:r>
      <w:r>
        <w:rPr>
          <w:rFonts w:ascii="Arial" w:cs="Arial" w:eastAsia="Arial" w:hAnsi="Arial"/>
          <w:sz w:val="14"/>
          <w:szCs w:val="14"/>
          <w:i w:val="1"/>
          <w:iCs w:val="1"/>
          <w:color w:val="auto"/>
        </w:rPr>
        <w:t>EMA</w:t>
      </w:r>
      <w:r>
        <w:rPr>
          <w:rFonts w:ascii="Arial" w:cs="Arial" w:eastAsia="Arial" w:hAnsi="Arial"/>
          <w:sz w:val="14"/>
          <w:szCs w:val="14"/>
          <w:color w:val="auto"/>
        </w:rPr>
        <w:t>) and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6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r>
        <w:rPr>
          <w:rFonts w:ascii="Arial" w:cs="Arial" w:eastAsia="Arial" w:hAnsi="Arial"/>
          <w:sz w:val="14"/>
          <w:szCs w:val="14"/>
          <w:i w:val="1"/>
          <w:iCs w:val="1"/>
          <w:color w:val="auto"/>
        </w:rPr>
        <w:t>RMS</w:t>
      </w:r>
      <w:r>
        <w:rPr>
          <w:rFonts w:ascii="Arial" w:cs="Arial" w:eastAsia="Arial" w:hAnsi="Arial"/>
          <w:sz w:val="14"/>
          <w:szCs w:val="14"/>
          <w:color w:val="auto"/>
        </w:rPr>
        <w:t>). The competent authority of the RMS prepares a draft assessment report, a draft summary of the product characteristics (</w:t>
      </w:r>
      <w:r>
        <w:rPr>
          <w:rFonts w:ascii="Arial" w:cs="Arial" w:eastAsia="Arial" w:hAnsi="Arial"/>
          <w:sz w:val="14"/>
          <w:szCs w:val="14"/>
          <w:i w:val="1"/>
          <w:iCs w:val="1"/>
          <w:color w:val="auto"/>
        </w:rPr>
        <w:t>SPC</w:t>
      </w:r>
      <w:r>
        <w:rPr>
          <w:rFonts w:ascii="Arial" w:cs="Arial" w:eastAsia="Arial" w:hAnsi="Arial"/>
          <w:sz w:val="14"/>
          <w:szCs w:val="14"/>
          <w:color w:val="auto"/>
        </w:rPr>
        <w:t>)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7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New Chemical Entity Exclusivity</w:t>
      </w:r>
    </w:p>
    <w:p>
      <w:pPr>
        <w:spacing w:after="0" w:line="201"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Orphan Designation and Exclusivity</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Community and for which no satisfactory method of diagnosis, prevention, or treatment has been authorized (or the product would be a significant benefit to those affected).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0" w:name="page101"/>
    <w:bookmarkEnd w:id="10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 of the World Regulation</w:t>
      </w:r>
    </w:p>
    <w:p>
      <w:pPr>
        <w:spacing w:after="0" w:line="20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In all cases, the clinical trials must be conducted in accordance with cGCP requirements and the applicable regulatory requirements and the ethical principles that have their origin in the Declaration of Helsinki.</w:t>
      </w:r>
    </w:p>
    <w:p>
      <w:pPr>
        <w:spacing w:after="0" w:line="163"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Reimbursement</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51"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Third-party payors are increasingly reducing reimbursements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 xml:space="preserve">The Medicare Prescription Drug, Improvement, and Modernization Act of 2003 (the </w:t>
      </w:r>
      <w:r>
        <w:rPr>
          <w:rFonts w:ascii="Arial" w:cs="Arial" w:eastAsia="Arial" w:hAnsi="Arial"/>
          <w:sz w:val="14"/>
          <w:szCs w:val="14"/>
          <w:i w:val="1"/>
          <w:iCs w:val="1"/>
          <w:color w:val="auto"/>
        </w:rPr>
        <w:t>MMA</w:t>
      </w:r>
      <w:r>
        <w:rPr>
          <w:rFonts w:ascii="Arial" w:cs="Arial" w:eastAsia="Arial" w:hAnsi="Arial"/>
          <w:sz w:val="14"/>
          <w:szCs w:val="14"/>
          <w:color w:val="auto"/>
        </w:rPr>
        <w:t>)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1" w:name="page102"/>
    <w:bookmarkEnd w:id="10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product candidate, if any such product or the condition that it is intended to treat is the subject of a trial. It is also possible that comparative effectiveness research demonstrating benefits in a competitor’s product could adversely affect the sales of our product candidate.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 xml:space="preserve">The ACA is expected to have a significant impact on the health care industry. The ACA is expected to expand coverage for the uninsured while at the same time containing overall healthcare costs. With regard to pharmaceutical products, among other things, the ACA is expected to expand and increase industry rebates for drugs covered under Medicaid programs and make changes to the coverage requirements under the Medicare Part D program. We cannot predict the full impact of the ACA on our business as many of the ACA reforms require the promulgation of detailed regulations implementing the statutory provisions that has not yet occurred. For example, the ACA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were required to submit reports to CMS by March 31, 2014 (and by the 90th day of each subsequent calendar year). In addition, many states have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federal and state regulation of payments made to physicians. Certain states mandate implementation of compliance programs, impose restrictions on drug manufacturers’ marketing practices and/or require the tracking and reporting of gifts, compensation and other remuneration to physicians. 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President Obama signed into law the American Taxpayer Relief Act of 2012 (the </w:t>
      </w:r>
      <w:r>
        <w:rPr>
          <w:rFonts w:ascii="Arial" w:cs="Arial" w:eastAsia="Arial" w:hAnsi="Arial"/>
          <w:sz w:val="13"/>
          <w:szCs w:val="13"/>
          <w:i w:val="1"/>
          <w:iCs w:val="1"/>
          <w:color w:val="auto"/>
        </w:rPr>
        <w:t>ATRA</w:t>
      </w:r>
      <w:r>
        <w:rPr>
          <w:rFonts w:ascii="Arial" w:cs="Arial" w:eastAsia="Arial" w:hAnsi="Arial"/>
          <w:sz w:val="13"/>
          <w:szCs w:val="13"/>
          <w:color w:val="auto"/>
        </w:rPr>
        <w:t>),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2" w:name="page103"/>
    <w:bookmarkEnd w:id="10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 - United States</w:t>
      </w:r>
    </w:p>
    <w:p>
      <w:pPr>
        <w:spacing w:after="0" w:line="201"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25"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All procedures we use to obtain clinical samples, and the procedures we use to isolate hESCs, are consistent with the informed consent and ethical guidelines promulgated by the U.S. National Academy of Science, the International Society of Stem Cell Research (</w:t>
      </w:r>
      <w:r>
        <w:rPr>
          <w:rFonts w:ascii="Arial" w:cs="Arial" w:eastAsia="Arial" w:hAnsi="Arial"/>
          <w:sz w:val="14"/>
          <w:szCs w:val="14"/>
          <w:i w:val="1"/>
          <w:iCs w:val="1"/>
          <w:color w:val="auto"/>
        </w:rPr>
        <w:t>ISSCR</w:t>
      </w:r>
      <w:r>
        <w:rPr>
          <w:rFonts w:ascii="Arial" w:cs="Arial" w:eastAsia="Arial" w:hAnsi="Arial"/>
          <w:sz w:val="14"/>
          <w:szCs w:val="14"/>
          <w:color w:val="auto"/>
        </w:rPr>
        <w:t>), or the NIH. These procedures and documentation have been reviewed by an external Stem Cell Research Oversight Committee, and all cell lines we use have been approved under one or more of these guidelines.</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 - Canada</w:t>
      </w:r>
    </w:p>
    <w:p>
      <w:pPr>
        <w:spacing w:after="0" w:line="201"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3"/>
          <w:szCs w:val="13"/>
          <w:i w:val="1"/>
          <w:iCs w:val="1"/>
          <w:color w:val="auto"/>
        </w:rPr>
        <w:t>Guidelines</w:t>
      </w:r>
      <w:r>
        <w:rPr>
          <w:rFonts w:ascii="Arial" w:cs="Arial" w:eastAsia="Arial" w:hAnsi="Arial"/>
          <w:sz w:val="13"/>
          <w:szCs w:val="13"/>
          <w:color w:val="auto"/>
        </w:rPr>
        <w:t>) issued by the Canadian Institutes of Health Research; the Tri-Council Statement: Ethical Conduct for Research Involving Humans (</w:t>
      </w:r>
      <w:r>
        <w:rPr>
          <w:rFonts w:ascii="Arial" w:cs="Arial" w:eastAsia="Arial" w:hAnsi="Arial"/>
          <w:sz w:val="13"/>
          <w:szCs w:val="13"/>
          <w:i w:val="1"/>
          <w:iCs w:val="1"/>
          <w:color w:val="auto"/>
        </w:rPr>
        <w:t>TCPS</w:t>
      </w:r>
      <w:r>
        <w:rPr>
          <w:rFonts w:ascii="Arial" w:cs="Arial" w:eastAsia="Arial" w:hAnsi="Arial"/>
          <w:sz w:val="13"/>
          <w:szCs w:val="13"/>
          <w:color w:val="auto"/>
        </w:rPr>
        <w:t>); and the Assisted Human Reproduction Act (</w:t>
      </w:r>
      <w:r>
        <w:rPr>
          <w:rFonts w:ascii="Arial" w:cs="Arial" w:eastAsia="Arial" w:hAnsi="Arial"/>
          <w:sz w:val="13"/>
          <w:szCs w:val="13"/>
          <w:i w:val="1"/>
          <w:iCs w:val="1"/>
          <w:color w:val="auto"/>
        </w:rPr>
        <w:t>Act</w:t>
      </w:r>
      <w:r>
        <w:rPr>
          <w:rFonts w:ascii="Arial" w:cs="Arial" w:eastAsia="Arial" w:hAnsi="Arial"/>
          <w:sz w:val="13"/>
          <w:szCs w:val="13"/>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51"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The Act subjects all research conducted in Canada involving the human embryo, including hESC derivation (but not the stem cells once derived), to a licensing process overseen by a federal licensing agency. However, as of the date of this prospectus, the provisions of the Act regarding the licensing of hESC derivation were not in force.</w:t>
      </w:r>
    </w:p>
    <w:p>
      <w:pPr>
        <w:spacing w:after="0" w:line="153" w:lineRule="exact"/>
        <w:rPr>
          <w:sz w:val="20"/>
          <w:szCs w:val="20"/>
          <w:color w:val="auto"/>
        </w:rPr>
      </w:pPr>
    </w:p>
    <w:p>
      <w:pPr>
        <w:ind w:right="120"/>
        <w:spacing w:after="0" w:line="333" w:lineRule="auto"/>
        <w:rPr>
          <w:sz w:val="20"/>
          <w:szCs w:val="20"/>
          <w:color w:val="auto"/>
        </w:rPr>
      </w:pPr>
      <w:r>
        <w:rPr>
          <w:rFonts w:ascii="Arial" w:cs="Arial" w:eastAsia="Arial" w:hAnsi="Arial"/>
          <w:sz w:val="12"/>
          <w:szCs w:val="12"/>
          <w:color w:val="auto"/>
        </w:rPr>
        <w:t>We are not currently conducting stem cell research in Canada. We have, however, sponsored pluripotent stem cell research in Canada by Dr. Gordon Keller at UHN’s McEwen Centre. We anticipate conducting additional hPSC research (with both hESCs and hiPSCs), in collaboration with Dr. Keller and his research team, at UHN’s McEwen Centre during 2015 and beyond. Should the provisions of the Act come into force, we may have to apply for a license for all hESC research we may sponsor or conduct in Canada and ensure compliance of such research with the provisions of the Act.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and Inter-Corporate Relationships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Canada should we elect to expand our U.S. operations into Canada; and Artemis Neuroscience, Inc., a corporation incorporated pursuant to the laws of the State of Maryland. The operations of VistaGen Therapeutics, Inc., a California corporation, and each of its two wholly owned subsidiaries are managed by our senior management team based in South San Francisco, California.</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3" w:name="page104"/>
    <w:bookmarkEnd w:id="10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As of May 6, 2016, we employed eight full-time employees, three of whom have doctorate degrees. Five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 real-time, as-needed basis, including human resources and payroll, information technology, facilities, legal, stock plan administration, investor relations and website maintenance, regulatory affairs, and FDA program management.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We have never had a work stoppage, and none of our employees is represented by a labor organization or under any collective bargaining agreement. We consider our employee relations to be good.</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lease our office and laboratory space, which consists of approximately 10,000 square feet located in South San Francisco, California. Our lease expires on July 31, 2017.</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84"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color w:val="auto"/>
        </w:rPr>
        <w:t>As of the date of this prospectus, we were not party to any legal matters or claims. In the future, we may become party to legal matters and claims arising in the ordinary course of business, the resolution of which we do not anticipate would have a material adverse impact on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Our business does not require us to comply with any particular unique environmental regulations.</w:t>
      </w:r>
    </w:p>
    <w:p>
      <w:pPr>
        <w:spacing w:after="0" w:line="31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200"/>
          </w:cols>
          <w:pgMar w:left="220" w:top="133" w:right="479" w:bottom="1440" w:gutter="0" w:footer="0" w:header="0"/>
        </w:sectPr>
      </w:pPr>
    </w:p>
    <w:bookmarkStart w:id="104" w:name="page105"/>
    <w:bookmarkEnd w:id="10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DIRECTORS AND EXECUTIVE OFFICERS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Our senior management is composed of individuals with significant management experience. Our directors and executive officers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62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2"/>
        </w:trPr>
        <w:tc>
          <w:tcPr>
            <w:tcW w:w="4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r>
      <w:tr>
        <w:trPr>
          <w:trHeight w:val="170"/>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Shawn K. Singh</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w:t>
            </w: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Chief Executive Officer and Director</w:t>
            </w:r>
          </w:p>
        </w:tc>
      </w:tr>
      <w:tr>
        <w:trPr>
          <w:trHeight w:val="170"/>
        </w:trPr>
        <w:tc>
          <w:tcPr>
            <w:tcW w:w="4060" w:type="dxa"/>
            <w:vAlign w:val="bottom"/>
          </w:tcPr>
          <w:p>
            <w:pPr>
              <w:spacing w:after="0"/>
              <w:rPr>
                <w:sz w:val="20"/>
                <w:szCs w:val="20"/>
                <w:color w:val="auto"/>
              </w:rPr>
            </w:pPr>
            <w:r>
              <w:rPr>
                <w:rFonts w:ascii="Arial" w:cs="Arial" w:eastAsia="Arial" w:hAnsi="Arial"/>
                <w:sz w:val="14"/>
                <w:szCs w:val="14"/>
                <w:color w:val="auto"/>
              </w:rPr>
              <w:t>H. Ralph Snodgrass, Ph.D.</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66</w:t>
            </w:r>
          </w:p>
        </w:tc>
        <w:tc>
          <w:tcPr>
            <w:tcW w:w="6260" w:type="dxa"/>
            <w:vAlign w:val="bottom"/>
            <w:gridSpan w:val="2"/>
          </w:tcPr>
          <w:p>
            <w:pPr>
              <w:ind w:left="100"/>
              <w:spacing w:after="0"/>
              <w:rPr>
                <w:sz w:val="20"/>
                <w:szCs w:val="20"/>
                <w:color w:val="auto"/>
              </w:rPr>
            </w:pPr>
            <w:r>
              <w:rPr>
                <w:rFonts w:ascii="Arial" w:cs="Arial" w:eastAsia="Arial" w:hAnsi="Arial"/>
                <w:sz w:val="14"/>
                <w:szCs w:val="14"/>
                <w:color w:val="auto"/>
              </w:rPr>
              <w:t>Founder, President, Chief Scientific Officer and Director</w:t>
            </w:r>
          </w:p>
        </w:tc>
      </w:tr>
      <w:tr>
        <w:trPr>
          <w:trHeight w:val="170"/>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Jerrold D. Dotson</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9"/>
              </w:rPr>
              <w:t>62</w:t>
            </w: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Vice President, Chief Financial Officer and Secretary</w:t>
            </w:r>
          </w:p>
        </w:tc>
      </w:tr>
      <w:tr>
        <w:trPr>
          <w:trHeight w:val="170"/>
        </w:trPr>
        <w:tc>
          <w:tcPr>
            <w:tcW w:w="4060" w:type="dxa"/>
            <w:vAlign w:val="bottom"/>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(1)</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79</w:t>
            </w:r>
          </w:p>
        </w:tc>
        <w:tc>
          <w:tcPr>
            <w:tcW w:w="6260" w:type="dxa"/>
            <w:vAlign w:val="bottom"/>
            <w:gridSpan w:val="2"/>
          </w:tcPr>
          <w:p>
            <w:pPr>
              <w:ind w:left="100"/>
              <w:spacing w:after="0"/>
              <w:rPr>
                <w:sz w:val="20"/>
                <w:szCs w:val="20"/>
                <w:color w:val="auto"/>
              </w:rPr>
            </w:pPr>
            <w:r>
              <w:rPr>
                <w:rFonts w:ascii="Arial" w:cs="Arial" w:eastAsia="Arial" w:hAnsi="Arial"/>
                <w:sz w:val="14"/>
                <w:szCs w:val="14"/>
                <w:color w:val="auto"/>
              </w:rPr>
              <w:t>Director</w:t>
            </w:r>
          </w:p>
        </w:tc>
      </w:tr>
      <w:tr>
        <w:trPr>
          <w:trHeight w:val="170"/>
        </w:trPr>
        <w:tc>
          <w:tcPr>
            <w:tcW w:w="406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(2)</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9"/>
              </w:rPr>
              <w:t>75</w:t>
            </w: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Director</w:t>
            </w:r>
          </w:p>
        </w:tc>
      </w:tr>
      <w:tr>
        <w:trPr>
          <w:trHeight w:val="259"/>
        </w:trPr>
        <w:tc>
          <w:tcPr>
            <w:tcW w:w="4060" w:type="dxa"/>
            <w:vAlign w:val="bottom"/>
          </w:tcPr>
          <w:p>
            <w:pPr>
              <w:spacing w:after="0"/>
              <w:rPr>
                <w:sz w:val="20"/>
                <w:szCs w:val="20"/>
                <w:color w:val="auto"/>
              </w:rPr>
            </w:pPr>
            <w:r>
              <w:rPr>
                <w:rFonts w:ascii="Arial" w:cs="Arial" w:eastAsia="Arial" w:hAnsi="Arial"/>
                <w:sz w:val="14"/>
                <w:szCs w:val="14"/>
                <w:color w:val="auto"/>
              </w:rPr>
              <w:t xml:space="preserve">Jerry B. Gin, Ph.D, MBA </w:t>
            </w:r>
            <w:r>
              <w:rPr>
                <w:rFonts w:ascii="Arial" w:cs="Arial" w:eastAsia="Arial" w:hAnsi="Arial"/>
                <w:sz w:val="19"/>
                <w:szCs w:val="19"/>
                <w:color w:val="auto"/>
                <w:vertAlign w:val="superscript"/>
              </w:rPr>
              <w:t>(3)</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72</w:t>
            </w:r>
          </w:p>
        </w:tc>
        <w:tc>
          <w:tcPr>
            <w:tcW w:w="6260" w:type="dxa"/>
            <w:vAlign w:val="bottom"/>
            <w:gridSpan w:val="2"/>
          </w:tcPr>
          <w:p>
            <w:pPr>
              <w:ind w:left="100"/>
              <w:spacing w:after="0"/>
              <w:rPr>
                <w:sz w:val="20"/>
                <w:szCs w:val="20"/>
                <w:color w:val="auto"/>
              </w:rPr>
            </w:pPr>
            <w:r>
              <w:rPr>
                <w:rFonts w:ascii="Arial" w:cs="Arial" w:eastAsia="Arial" w:hAnsi="Arial"/>
                <w:sz w:val="14"/>
                <w:szCs w:val="14"/>
                <w:color w:val="auto"/>
              </w:rPr>
              <w:t>Director</w:t>
            </w:r>
          </w:p>
        </w:tc>
      </w:tr>
    </w:tbl>
    <w:p>
      <w:pPr>
        <w:spacing w:after="0" w:line="71" w:lineRule="exact"/>
        <w:rPr>
          <w:sz w:val="20"/>
          <w:szCs w:val="20"/>
          <w:color w:val="auto"/>
        </w:rPr>
      </w:pPr>
    </w:p>
    <w:p>
      <w:pPr>
        <w:ind w:left="520" w:hanging="515"/>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Chairman of the audit committee and member of the compensation committee and corporate governance and nominating committee.</w:t>
      </w:r>
    </w:p>
    <w:p>
      <w:pPr>
        <w:spacing w:after="0" w:line="19" w:lineRule="exact"/>
        <w:rPr>
          <w:rFonts w:ascii="Arial" w:cs="Arial" w:eastAsia="Arial" w:hAnsi="Arial"/>
          <w:sz w:val="14"/>
          <w:szCs w:val="14"/>
          <w:color w:val="auto"/>
        </w:rPr>
      </w:pPr>
    </w:p>
    <w:p>
      <w:pPr>
        <w:ind w:left="520" w:hanging="515"/>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Member of the audit committee and chairman of the compensation committee and corporate governance and nominating committee.</w:t>
      </w:r>
    </w:p>
    <w:p>
      <w:pPr>
        <w:spacing w:after="0" w:line="9" w:lineRule="exact"/>
        <w:rPr>
          <w:rFonts w:ascii="Arial" w:cs="Arial" w:eastAsia="Arial" w:hAnsi="Arial"/>
          <w:sz w:val="14"/>
          <w:szCs w:val="14"/>
          <w:color w:val="auto"/>
        </w:rPr>
      </w:pPr>
    </w:p>
    <w:p>
      <w:pPr>
        <w:ind w:left="520" w:hanging="515"/>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3"/>
          <w:szCs w:val="13"/>
          <w:b w:val="1"/>
          <w:bCs w:val="1"/>
          <w:i w:val="1"/>
          <w:iCs w:val="1"/>
          <w:color w:val="auto"/>
        </w:rPr>
        <w:t xml:space="preserve">Shawn K. Singh </w:t>
      </w:r>
      <w:r>
        <w:rPr>
          <w:rFonts w:ascii="Arial" w:cs="Arial" w:eastAsia="Arial" w:hAnsi="Arial"/>
          <w:sz w:val="13"/>
          <w:szCs w:val="13"/>
          <w:color w:val="auto"/>
        </w:rPr>
        <w:t>has served as our Chief Executive Officer since August 2009; he joined our Board of Directors in 2000 and served on our management team (part-time) from late-2003, following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acquisition of Artemis Neuroscience, of which he was President, to August 2009.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3"/>
          <w:szCs w:val="13"/>
          <w:i w:val="1"/>
          <w:iCs w:val="1"/>
          <w:color w:val="auto"/>
        </w:rPr>
        <w:t>CRO</w:t>
      </w:r>
      <w:r>
        <w:rPr>
          <w:rFonts w:ascii="Arial" w:cs="Arial" w:eastAsia="Arial" w:hAnsi="Arial"/>
          <w:sz w:val="13"/>
          <w:szCs w:val="13"/>
          <w:color w:val="auto"/>
        </w:rPr>
        <w:t>) affiliated with Cato BioVentures. Mr. Singh served as President (part-time) of Echo Therapeutics (NASDAQ: ECTE), a medical device company developing a non-invasive, wireless continuous glucose monitoring (CGM) system,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revenue-generating, specialty pharmaceutical company with a substantial commercial business in China and a product portfolio spanning major therapeutics markets, including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Juris Doctor degree from the University of Maryland School of Law. Mr. Singh is a member of the State Bar of California.</w:t>
      </w:r>
    </w:p>
    <w:p>
      <w:pPr>
        <w:spacing w:after="0" w:line="137" w:lineRule="exact"/>
        <w:rPr>
          <w:sz w:val="20"/>
          <w:szCs w:val="20"/>
          <w:color w:val="auto"/>
        </w:rPr>
      </w:pPr>
    </w:p>
    <w:p>
      <w:pPr>
        <w:ind w:right="820"/>
        <w:spacing w:after="0" w:line="323" w:lineRule="auto"/>
        <w:rPr>
          <w:sz w:val="20"/>
          <w:szCs w:val="20"/>
          <w:color w:val="auto"/>
        </w:rPr>
      </w:pPr>
      <w:r>
        <w:rPr>
          <w:rFonts w:ascii="Arial" w:cs="Arial" w:eastAsia="Arial" w:hAnsi="Arial"/>
          <w:sz w:val="13"/>
          <w:szCs w:val="13"/>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5" w:name="page106"/>
    <w:bookmarkEnd w:id="10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3"/>
          <w:szCs w:val="13"/>
          <w:b w:val="1"/>
          <w:bCs w:val="1"/>
          <w:i w:val="1"/>
          <w:iCs w:val="1"/>
          <w:color w:val="auto"/>
        </w:rPr>
        <w:t xml:space="preserve">H. Ralph Snodgrass, Ph.D. </w:t>
      </w:r>
      <w:r>
        <w:rPr>
          <w:rFonts w:ascii="Arial" w:cs="Arial" w:eastAsia="Arial" w:hAnsi="Arial"/>
          <w:sz w:val="13"/>
          <w:szCs w:val="13"/>
          <w:color w:val="auto"/>
        </w:rPr>
        <w:t>co-founded VistaGen with Dr. Gordon Keller in 1998 and served as our Chief Executive Officer until August 2009. Dr. Snodgrass has served as our President and Chief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Scientific Officer since August 2009. He has served as a member of our Board of Directors since 1998. Prior to founding VistaGen,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23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3"/>
          <w:szCs w:val="13"/>
          <w:i w:val="1"/>
          <w:iCs w:val="1"/>
          <w:color w:val="auto"/>
        </w:rPr>
        <w:t>BIO</w:t>
      </w:r>
      <w:r>
        <w:rPr>
          <w:rFonts w:ascii="Arial" w:cs="Arial" w:eastAsia="Arial" w:hAnsi="Arial"/>
          <w:sz w:val="13"/>
          <w:szCs w:val="13"/>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31 years’ experience in the uses of stem cells as biological tools for research, drug discovery and development.</w:t>
      </w:r>
    </w:p>
    <w:p>
      <w:pPr>
        <w:spacing w:after="0" w:line="161" w:lineRule="exact"/>
        <w:rPr>
          <w:sz w:val="20"/>
          <w:szCs w:val="20"/>
          <w:color w:val="auto"/>
        </w:rPr>
      </w:pPr>
    </w:p>
    <w:p>
      <w:pPr>
        <w:ind w:right="180"/>
        <w:spacing w:after="0" w:line="33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07" w:lineRule="exact"/>
        <w:rPr>
          <w:sz w:val="20"/>
          <w:szCs w:val="20"/>
          <w:color w:val="auto"/>
        </w:rPr>
      </w:pPr>
    </w:p>
    <w:p>
      <w:pPr>
        <w:jc w:val="both"/>
        <w:spacing w:after="0" w:line="302"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w:t>
      </w:r>
    </w:p>
    <w:p>
      <w:pPr>
        <w:ind w:right="140"/>
        <w:spacing w:after="0" w:line="258" w:lineRule="auto"/>
        <w:rPr>
          <w:sz w:val="20"/>
          <w:szCs w:val="20"/>
          <w:color w:val="auto"/>
        </w:rPr>
      </w:pPr>
      <w:r>
        <w:rPr>
          <w:rFonts w:ascii="Arial" w:cs="Arial" w:eastAsia="Arial" w:hAnsi="Arial"/>
          <w:sz w:val="14"/>
          <w:szCs w:val="14"/>
          <w:color w:val="auto"/>
        </w:rPr>
        <w:t>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Jon S. Saxe, J.D., LL.M. </w:t>
      </w:r>
      <w:r>
        <w:rPr>
          <w:rFonts w:ascii="Arial" w:cs="Arial" w:eastAsia="Arial" w:hAnsi="Arial"/>
          <w:sz w:val="12"/>
          <w:szCs w:val="12"/>
          <w:color w:val="auto"/>
        </w:rPr>
        <w:t>has served as Chairman of our Board of Directors since 2000. He also serves as the Chairman of our Audit Committee. Mr. Saxe is the retired President and was a director of</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PDL BioPharma from 1989 to 2008. From 1989 to 1993, he was President, Chief Executive Officer and a director of Synergen, Inc. (acquired by Amgen). Mr. Saxe served as Vice President,</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Licensing &amp; Corporate Development for Hoffmann-Roche from 1984 through 1989, and Head of Patent Law for Hoffmann-Roche from 1978 through 1989. Mr. Saxe currently is a director of SciClone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Pharmaceuticals, Inc. (NASDAQ: SCLN) and Durect Corporation (NASDAQ: DRRX), and six private life science companies, Arbor Vita Corporation, Arcuo Medical, LLC, Armetheon, Inc., Cancer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Prevention Pharmaceuticals, Inc., Lumos Pharma, Inc. and Trellis Bioscience, Inc. Mr. Saxe also has served as a director of other biotechnology and pharmaceutical companies, including ID Biomedical</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(acquired by GlaxoSmithKline), Sciele Pharmaceuticals, Inc. (acquired by Shionogi), Amalyte (acquired by Kemin Industries), Cell Pathways (acquired by OSI Pharmaceuticals), and other companies,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both public and private. Mr. Saxe has a B.S.Ch.E. from Carnegie-Mellon University, a J.D. degree from George Washington University and an LL.M. degree from New York University.</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06" w:name="page107"/>
    <w:bookmarkEnd w:id="10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00"/>
        <w:spacing w:after="0" w:line="290" w:lineRule="auto"/>
        <w:rPr>
          <w:sz w:val="20"/>
          <w:szCs w:val="20"/>
          <w:color w:val="auto"/>
        </w:rPr>
      </w:pPr>
      <w:r>
        <w:rPr>
          <w:rFonts w:ascii="Arial" w:cs="Arial" w:eastAsia="Arial" w:hAnsi="Arial"/>
          <w:sz w:val="13"/>
          <w:szCs w:val="13"/>
          <w:color w:val="auto"/>
        </w:rPr>
        <w:t>We selected Mr. Saxe to serve as Chairman of our Board of Directors due to his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29" w:lineRule="exact"/>
        <w:rPr>
          <w:sz w:val="20"/>
          <w:szCs w:val="20"/>
          <w:color w:val="auto"/>
        </w:rPr>
      </w:pPr>
    </w:p>
    <w:p>
      <w:pPr>
        <w:ind w:right="280"/>
        <w:spacing w:after="0" w:line="302"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is currently a Venture Partner with Lumira Capital Corp. having served as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Managing Director with Lumira from September 1997-December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w:t>
      </w:r>
    </w:p>
    <w:p>
      <w:pPr>
        <w:ind w:right="380"/>
        <w:spacing w:after="0" w:line="284" w:lineRule="auto"/>
        <w:rPr>
          <w:sz w:val="20"/>
          <w:szCs w:val="20"/>
          <w:color w:val="auto"/>
        </w:rPr>
      </w:pPr>
      <w:r>
        <w:rPr>
          <w:rFonts w:ascii="Arial" w:cs="Arial" w:eastAsia="Arial" w:hAnsi="Arial"/>
          <w:sz w:val="13"/>
          <w:szCs w:val="13"/>
          <w:color w:val="auto"/>
        </w:rPr>
        <w:t>Dr. Underdown’s current board positions include the following private companies: enGene Inc. Formation Biologics and Osteo QC. Some of Dr. Underdown’s previous board roles include: Argos Therapeutics (ARGS-Q), ID Biomedical (acquired by GSK), Ception Therapeutics (acquired by Cephalon). He has served on a number of Boards and advisory bodies of government-sponsored research organizations including CANVAC, the Canadian National Centre of Excellence in Vaccines, Ontario Genomics Institute (Chair), Allergen, the Canadian National Centre of Excellence in Allergy and Asthma. Dr. Underdown obtained his Ph.D. in immunology from McGill University and undertook post-doctoral studies at Washington University School of Medicine.</w:t>
      </w:r>
    </w:p>
    <w:p>
      <w:pPr>
        <w:spacing w:after="0" w:line="13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131"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b w:val="1"/>
          <w:bCs w:val="1"/>
          <w:i w:val="1"/>
          <w:iCs w:val="1"/>
          <w:color w:val="auto"/>
        </w:rPr>
        <w:t xml:space="preserve">Jerry B. Gin, Ph.D, M.B.A </w:t>
      </w:r>
      <w:r>
        <w:rPr>
          <w:rFonts w:ascii="Arial" w:cs="Arial" w:eastAsia="Arial" w:hAnsi="Arial"/>
          <w:sz w:val="13"/>
          <w:szCs w:val="13"/>
          <w:color w:val="auto"/>
        </w:rPr>
        <w:t>was appointed to serve on our Board of Directors on March 29, 2016. Dr. Gin is currently the co-founder and CEO of Nuvora, Inc., a private company founded in 2006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38"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We selected Dr. Gin to serve on our Board of Directors due to his extensive experience in the healthcare industry, focusing on founding and developing pharmaceutical, diagnostic and biotechnology companies and his expertise in propelling healthcare companies to their next platforms of growth.</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of Executive Officers</w:t>
      </w:r>
    </w:p>
    <w:p>
      <w:pPr>
        <w:spacing w:after="0" w:line="205"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w:t>
      </w:r>
    </w:p>
    <w:p>
      <w:pPr>
        <w:spacing w:after="0" w:line="184" w:lineRule="exact"/>
        <w:rPr>
          <w:sz w:val="20"/>
          <w:szCs w:val="20"/>
          <w:color w:val="auto"/>
        </w:rPr>
      </w:pPr>
    </w:p>
    <w:p>
      <w:pPr>
        <w:ind w:right="180"/>
        <w:spacing w:after="0" w:line="281" w:lineRule="auto"/>
        <w:rPr>
          <w:sz w:val="20"/>
          <w:szCs w:val="20"/>
          <w:color w:val="auto"/>
        </w:rPr>
      </w:pPr>
      <w:r>
        <w:rPr>
          <w:rFonts w:ascii="Arial" w:cs="Arial" w:eastAsia="Arial" w:hAnsi="Arial"/>
          <w:sz w:val="13"/>
          <w:szCs w:val="13"/>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five</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members. Accordingly, there are currently two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Dr. Underdown and Dr. Gin, are each members of the Audit Committee. Mr. Saxe and Dr. Underdown also currently serve as members of the Compensation Committee and the Corporate Governance and Nominating Committee.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7" w:name="page108"/>
    <w:bookmarkEnd w:id="10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Audit Committee</w:t>
      </w:r>
    </w:p>
    <w:p>
      <w:pPr>
        <w:spacing w:after="0" w:line="201" w:lineRule="exact"/>
        <w:rPr>
          <w:sz w:val="20"/>
          <w:szCs w:val="20"/>
          <w:color w:val="auto"/>
        </w:rPr>
      </w:pPr>
    </w:p>
    <w:p>
      <w:pPr>
        <w:jc w:val="both"/>
        <w:ind w:right="280"/>
        <w:spacing w:after="0" w:line="298" w:lineRule="auto"/>
        <w:rPr>
          <w:sz w:val="20"/>
          <w:szCs w:val="20"/>
          <w:color w:val="auto"/>
        </w:rPr>
      </w:pPr>
      <w:r>
        <w:rPr>
          <w:rFonts w:ascii="Arial" w:cs="Arial" w:eastAsia="Arial" w:hAnsi="Arial"/>
          <w:sz w:val="13"/>
          <w:szCs w:val="13"/>
          <w:color w:val="auto"/>
        </w:rPr>
        <w:t>Our Audit Committee is comprised of Mr. Saxe, Dr. Underdown and Dr. Gin.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96" w:lineRule="exact"/>
        <w:rPr>
          <w:sz w:val="20"/>
          <w:szCs w:val="20"/>
          <w:color w:val="auto"/>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overseeing our accounting and financial reporting process;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selecting, retaining and replacing our independent auditors and evaluating their qualifications, independence and performance;</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scope of the annual audit and audit fees;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monitoring rotation of partners of independent auditors on engagement team as required by law;</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discussing with management and independent auditors the results of annual audit and review of quarterly financial statements;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reviewing adequacy and effectiveness of internal control policies and procedures;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approving retention of independent auditors to perform any proposed permissible non-audit services;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overseeing internal audit functions and annually reviewing audit committee charter and committee performance; and</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preparing the audit committee report that the SEC requires in our annual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Compensation Committee</w:t>
      </w:r>
    </w:p>
    <w:p>
      <w:pPr>
        <w:spacing w:after="0" w:line="18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Our Compensation Committee is comprised of Mr. Saxe and Dr. Underdown, who serve as the committee chairman. Our Compensation Committee charter is available on our website. Under its charter, the Compensation Committee is primarily responsible for, among other things:</w:t>
      </w:r>
    </w:p>
    <w:p>
      <w:pPr>
        <w:spacing w:after="0" w:line="153" w:lineRule="exact"/>
        <w:rPr>
          <w:sz w:val="20"/>
          <w:szCs w:val="20"/>
          <w:color w:val="auto"/>
        </w:rPr>
      </w:pPr>
    </w:p>
    <w:p>
      <w:pPr>
        <w:ind w:left="500" w:hanging="495"/>
        <w:spacing w:after="0" w:line="226" w:lineRule="auto"/>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33"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determining the objectives of our executive officer compensation programs;</w:t>
      </w:r>
    </w:p>
    <w:p>
      <w:pPr>
        <w:spacing w:after="0" w:line="181" w:lineRule="exact"/>
        <w:rPr>
          <w:rFonts w:ascii="Arial" w:cs="Arial" w:eastAsia="Arial" w:hAnsi="Arial"/>
          <w:sz w:val="20"/>
          <w:szCs w:val="20"/>
          <w:color w:val="auto"/>
          <w:vertAlign w:val="superscript"/>
        </w:rPr>
      </w:pPr>
    </w:p>
    <w:p>
      <w:pPr>
        <w:ind w:left="500" w:right="380" w:hanging="495"/>
        <w:spacing w:after="0" w:line="215" w:lineRule="auto"/>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ensuring corporate performance measures and goals regarding executive officer compensation are set and determining the extent to which they are achieved and any related compensation earned;</w:t>
      </w:r>
    </w:p>
    <w:p>
      <w:pPr>
        <w:spacing w:after="0" w:line="182" w:lineRule="exact"/>
        <w:rPr>
          <w:rFonts w:ascii="Arial" w:cs="Arial" w:eastAsia="Arial" w:hAnsi="Arial"/>
          <w:sz w:val="20"/>
          <w:szCs w:val="20"/>
          <w:color w:val="auto"/>
          <w:vertAlign w:val="superscript"/>
        </w:rPr>
      </w:pPr>
    </w:p>
    <w:p>
      <w:pPr>
        <w:ind w:left="500" w:right="620" w:hanging="495"/>
        <w:spacing w:after="0" w:line="215" w:lineRule="auto"/>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establishing goals and objectives relevant to CEO compensation, evaluating CEO performance in light of such goals and objectives, and determining CEO compensation based on the evaluation;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8" w:name="page109"/>
    <w:bookmarkEnd w:id="10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500" w:hanging="495"/>
        <w:spacing w:after="0" w:line="228" w:lineRule="auto"/>
        <w:tabs>
          <w:tab w:leader="none" w:pos="500" w:val="left"/>
        </w:tabs>
        <w:numPr>
          <w:ilvl w:val="0"/>
          <w:numId w:val="52"/>
        </w:numPr>
        <w:rPr>
          <w:rFonts w:ascii="Arial" w:cs="Arial" w:eastAsia="Arial" w:hAnsi="Arial"/>
          <w:sz w:val="19"/>
          <w:szCs w:val="19"/>
          <w:color w:val="auto"/>
          <w:vertAlign w:val="superscript"/>
        </w:rPr>
      </w:pPr>
      <w:r>
        <w:rPr>
          <w:rFonts w:ascii="Arial" w:cs="Arial" w:eastAsia="Arial" w:hAnsi="Arial"/>
          <w:sz w:val="13"/>
          <w:szCs w:val="13"/>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33" w:lineRule="exact"/>
        <w:rPr>
          <w:rFonts w:ascii="Arial" w:cs="Arial" w:eastAsia="Arial" w:hAnsi="Arial"/>
          <w:sz w:val="19"/>
          <w:szCs w:val="19"/>
          <w:color w:val="auto"/>
          <w:vertAlign w:val="superscript"/>
        </w:rPr>
      </w:pPr>
    </w:p>
    <w:p>
      <w:pPr>
        <w:ind w:left="500" w:hanging="495"/>
        <w:spacing w:after="0"/>
        <w:tabs>
          <w:tab w:leader="none" w:pos="500" w:val="left"/>
        </w:tabs>
        <w:numPr>
          <w:ilvl w:val="0"/>
          <w:numId w:val="52"/>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any new equity compensation plan or any material change to an existing plan; and</w:t>
      </w:r>
    </w:p>
    <w:p>
      <w:pPr>
        <w:spacing w:after="0" w:line="181" w:lineRule="exact"/>
        <w:rPr>
          <w:rFonts w:ascii="Arial" w:cs="Arial" w:eastAsia="Arial" w:hAnsi="Arial"/>
          <w:sz w:val="20"/>
          <w:szCs w:val="20"/>
          <w:color w:val="auto"/>
          <w:vertAlign w:val="superscript"/>
        </w:rPr>
      </w:pPr>
    </w:p>
    <w:p>
      <w:pPr>
        <w:ind w:left="500" w:hanging="495"/>
        <w:spacing w:after="0" w:line="215" w:lineRule="auto"/>
        <w:tabs>
          <w:tab w:leader="none" w:pos="500" w:val="left"/>
        </w:tabs>
        <w:numPr>
          <w:ilvl w:val="0"/>
          <w:numId w:val="52"/>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Governance and Nominating Committee</w:t>
      </w:r>
    </w:p>
    <w:p>
      <w:pPr>
        <w:spacing w:after="0" w:line="18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82" w:lineRule="exact"/>
        <w:rPr>
          <w:sz w:val="20"/>
          <w:szCs w:val="20"/>
          <w:color w:val="auto"/>
        </w:rPr>
      </w:pPr>
    </w:p>
    <w:p>
      <w:pPr>
        <w:ind w:left="500" w:hanging="495"/>
        <w:spacing w:after="0"/>
        <w:tabs>
          <w:tab w:leader="none" w:pos="500" w:val="left"/>
        </w:tabs>
        <w:numPr>
          <w:ilvl w:val="0"/>
          <w:numId w:val="53"/>
        </w:numPr>
        <w:rPr>
          <w:rFonts w:ascii="Arial" w:cs="Arial" w:eastAsia="Arial" w:hAnsi="Arial"/>
          <w:sz w:val="20"/>
          <w:szCs w:val="20"/>
          <w:color w:val="auto"/>
          <w:vertAlign w:val="superscript"/>
        </w:rPr>
      </w:pPr>
      <w:r>
        <w:rPr>
          <w:rFonts w:ascii="Arial" w:cs="Arial" w:eastAsia="Arial" w:hAnsi="Arial"/>
          <w:sz w:val="14"/>
          <w:szCs w:val="14"/>
          <w:color w:val="auto"/>
        </w:rPr>
        <w:t>monitoring the size and composition of the board;</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3"/>
        </w:numPr>
        <w:rPr>
          <w:rFonts w:ascii="Arial" w:cs="Arial" w:eastAsia="Arial" w:hAnsi="Arial"/>
          <w:sz w:val="20"/>
          <w:szCs w:val="20"/>
          <w:color w:val="auto"/>
          <w:vertAlign w:val="superscript"/>
        </w:rPr>
      </w:pPr>
      <w:r>
        <w:rPr>
          <w:rFonts w:ascii="Arial" w:cs="Arial" w:eastAsia="Arial" w:hAnsi="Arial"/>
          <w:sz w:val="14"/>
          <w:szCs w:val="14"/>
          <w:color w:val="auto"/>
        </w:rPr>
        <w:t>making recommendations to the board with respect to the nominations or elections of our directors;</w:t>
      </w:r>
    </w:p>
    <w:p>
      <w:pPr>
        <w:spacing w:after="0" w:line="181" w:lineRule="exact"/>
        <w:rPr>
          <w:rFonts w:ascii="Arial" w:cs="Arial" w:eastAsia="Arial" w:hAnsi="Arial"/>
          <w:sz w:val="20"/>
          <w:szCs w:val="20"/>
          <w:color w:val="auto"/>
          <w:vertAlign w:val="superscript"/>
        </w:rPr>
      </w:pPr>
    </w:p>
    <w:p>
      <w:pPr>
        <w:ind w:left="500" w:hanging="495"/>
        <w:spacing w:after="0" w:line="215" w:lineRule="auto"/>
        <w:tabs>
          <w:tab w:leader="none" w:pos="500" w:val="left"/>
        </w:tabs>
        <w:numPr>
          <w:ilvl w:val="0"/>
          <w:numId w:val="53"/>
        </w:numPr>
        <w:rPr>
          <w:rFonts w:ascii="Arial" w:cs="Arial" w:eastAsia="Arial" w:hAnsi="Arial"/>
          <w:sz w:val="20"/>
          <w:szCs w:val="20"/>
          <w:color w:val="auto"/>
          <w:vertAlign w:val="superscript"/>
        </w:rPr>
      </w:pPr>
      <w:r>
        <w:rPr>
          <w:rFonts w:ascii="Arial" w:cs="Arial" w:eastAsia="Arial" w:hAnsi="Arial"/>
          <w:sz w:val="14"/>
          <w:szCs w:val="14"/>
          <w:color w:val="auto"/>
        </w:rPr>
        <w:t>reviewing the adequacy of our corporate governance policies and procedures and our Code of Business Conduct and Ethics, and recommending any proposed changes to the board for approval; and</w:t>
      </w:r>
    </w:p>
    <w:p>
      <w:pPr>
        <w:spacing w:after="0" w:line="182" w:lineRule="exact"/>
        <w:rPr>
          <w:rFonts w:ascii="Arial" w:cs="Arial" w:eastAsia="Arial" w:hAnsi="Arial"/>
          <w:sz w:val="20"/>
          <w:szCs w:val="20"/>
          <w:color w:val="auto"/>
          <w:vertAlign w:val="superscript"/>
        </w:rPr>
      </w:pPr>
    </w:p>
    <w:p>
      <w:pPr>
        <w:ind w:left="500" w:hanging="495"/>
        <w:spacing w:after="0" w:line="215" w:lineRule="auto"/>
        <w:tabs>
          <w:tab w:leader="none" w:pos="500" w:val="left"/>
        </w:tabs>
        <w:numPr>
          <w:ilvl w:val="0"/>
          <w:numId w:val="53"/>
        </w:numPr>
        <w:rPr>
          <w:rFonts w:ascii="Arial" w:cs="Arial" w:eastAsia="Arial" w:hAnsi="Arial"/>
          <w:sz w:val="20"/>
          <w:szCs w:val="20"/>
          <w:color w:val="auto"/>
          <w:vertAlign w:val="superscript"/>
        </w:rPr>
      </w:pPr>
      <w:r>
        <w:rPr>
          <w:rFonts w:ascii="Arial" w:cs="Arial" w:eastAsia="Arial" w:hAnsi="Arial"/>
          <w:sz w:val="14"/>
          <w:szCs w:val="14"/>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4"/>
          <w:szCs w:val="14"/>
          <w:u w:val="single" w:color="auto"/>
          <w:color w:val="auto"/>
        </w:rPr>
        <w:t>www.vistagen.com</w:t>
      </w:r>
      <w:r>
        <w:rPr>
          <w:rFonts w:ascii="Arial" w:cs="Arial" w:eastAsia="Arial" w:hAnsi="Arial"/>
          <w:sz w:val="14"/>
          <w:szCs w:val="14"/>
          <w:color w:val="auto"/>
        </w:rPr>
        <w:t>. We intend to disclose any future amendments to certain provisions of our Code of Business Conduct and Ethics, or waivers of these provisions, on our website or in filings with the SEC under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Attendance at Board of Directors, Committee and Stockholder Meetings</w:t>
      </w:r>
    </w:p>
    <w:p>
      <w:pPr>
        <w:spacing w:after="0" w:line="180" w:lineRule="exact"/>
        <w:rPr>
          <w:sz w:val="20"/>
          <w:szCs w:val="20"/>
          <w:color w:val="auto"/>
        </w:rPr>
      </w:pPr>
    </w:p>
    <w:p>
      <w:pPr>
        <w:ind w:right="300"/>
        <w:spacing w:after="0" w:line="290" w:lineRule="auto"/>
        <w:rPr>
          <w:sz w:val="20"/>
          <w:szCs w:val="20"/>
          <w:color w:val="auto"/>
        </w:rPr>
      </w:pPr>
      <w:r>
        <w:rPr>
          <w:rFonts w:ascii="Arial" w:cs="Arial" w:eastAsia="Arial" w:hAnsi="Arial"/>
          <w:sz w:val="13"/>
          <w:szCs w:val="13"/>
          <w:color w:val="auto"/>
        </w:rPr>
        <w:t>Our Board of Directors met one time and acted by unanimous written consent eight times during the fiscal year ended March 31, 2016. Our Audit Committee met four times and our Compensation Committee requested action by the entire Board of Directors for grants of warrants and the modification of certain warrants during the same period. Our Nominating and Corporate Governance Committee requested action by the entire Board of Directors with respect to the March 2016 appointment of Dr. Gin to the Board and Audit Committee. Each director serving during fiscal 2016 attended all of the meetings of the Board and the committees of the Board upon which such director served that were held during the term of his service.</w:t>
      </w:r>
    </w:p>
    <w:p>
      <w:pPr>
        <w:spacing w:after="0" w:line="129"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We do not have a formal policy regarding attendance by members of the Board at our annual meeting of stockholders, but directors are encouraged to attend. We did not hold an annual meeting of stockholders during our fiscal year ended March 31, 2016.</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 Interlocks and Insider Participation</w:t>
      </w:r>
    </w:p>
    <w:p>
      <w:pPr>
        <w:spacing w:after="0" w:line="20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Section 16 Beneficial Ownership Reporting Compliance</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 xml:space="preserve">Section 16(a) of the Exchange Act requires our officers, directors and persons who beneficially own more than ten percent of our common stock (collectively, </w:t>
      </w:r>
      <w:r>
        <w:rPr>
          <w:rFonts w:ascii="Arial" w:cs="Arial" w:eastAsia="Arial" w:hAnsi="Arial"/>
          <w:sz w:val="14"/>
          <w:szCs w:val="14"/>
          <w:i w:val="1"/>
          <w:iCs w:val="1"/>
          <w:color w:val="auto"/>
        </w:rPr>
        <w:t>Reporting Persons</w:t>
      </w:r>
      <w:r>
        <w:rPr>
          <w:rFonts w:ascii="Arial" w:cs="Arial" w:eastAsia="Arial" w:hAnsi="Arial"/>
          <w:sz w:val="14"/>
          <w:szCs w:val="14"/>
          <w:color w:val="auto"/>
        </w:rPr>
        <w:t>) to file reports of ownership on Form 3 and changes in ownership on Form 4 or Form 5 with the SEC. The Reporting Persons are also required by SEC rules to furnish us with copies of all reports that they file pursuant to Section 16(a). We believe that during our fiscal year ended March 31, 2016, all of the Reporting Persons, other than Platinum Long Term Growth VII and/or its affiliate, Montsant Partners LLC, Michael Goldberg, Cato BioVentures, and Morrison &amp; Foerster LLP, complied with all applicable reporting requirements.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8154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4"/>
          <w:szCs w:val="14"/>
          <w:b w:val="1"/>
          <w:bCs w:val="1"/>
          <w:color w:val="auto"/>
        </w:rPr>
        <w:t>EXECUTIVE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Compensation Objectives</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63"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Components</w:t>
      </w:r>
    </w:p>
    <w:p>
      <w:pPr>
        <w:spacing w:after="0" w:line="180"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Base Salary</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434" w:right="239" w:bottom="1440" w:gutter="0" w:footer="0" w:header="0"/>
        </w:sectPr>
      </w:pPr>
    </w:p>
    <w:bookmarkStart w:id="110" w:name="page111"/>
    <w:bookmarkEnd w:id="11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333" w:lineRule="auto"/>
        <w:rPr>
          <w:sz w:val="20"/>
          <w:szCs w:val="20"/>
          <w:color w:val="auto"/>
        </w:rPr>
      </w:pPr>
      <w:r>
        <w:rPr>
          <w:rFonts w:ascii="Arial" w:cs="Arial" w:eastAsia="Arial" w:hAnsi="Arial"/>
          <w:sz w:val="12"/>
          <w:szCs w:val="12"/>
          <w:color w:val="auto"/>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 As indicated in the following Summary Compensation Table, to conserve our cash resources during fiscal 2015 and fiscal 2014 the cash amounts of annual base salary that we paid to our executives was significantly less than their stated annual base salary rates.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Annual Bonus</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election, our Compensation Committee did not award cash bonuses in any fiscal year from 2012 through 2015.</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Long-Term Equity Incentives</w:t>
      </w:r>
    </w:p>
    <w:p>
      <w:pPr>
        <w:spacing w:after="0" w:line="180"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Compensation Table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information regarding the compensation of our Named Executive Officers (</w:t>
      </w:r>
      <w:r>
        <w:rPr>
          <w:rFonts w:ascii="Arial" w:cs="Arial" w:eastAsia="Arial" w:hAnsi="Arial"/>
          <w:sz w:val="14"/>
          <w:szCs w:val="14"/>
          <w:i w:val="1"/>
          <w:iCs w:val="1"/>
          <w:color w:val="auto"/>
        </w:rPr>
        <w:t>NEO’s</w:t>
      </w:r>
      <w:r>
        <w:rPr>
          <w:rFonts w:ascii="Arial" w:cs="Arial" w:eastAsia="Arial" w:hAnsi="Arial"/>
          <w:sz w:val="14"/>
          <w:szCs w:val="14"/>
          <w:color w:val="auto"/>
        </w:rPr>
        <w:t>) for services performed in the fiscal years ended March 31,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center"/>
              <w:ind w:right="149"/>
              <w:spacing w:after="0"/>
              <w:rPr>
                <w:sz w:val="20"/>
                <w:szCs w:val="20"/>
                <w:color w:val="auto"/>
              </w:rPr>
            </w:pPr>
            <w:r>
              <w:rPr>
                <w:rFonts w:ascii="Arial" w:cs="Arial" w:eastAsia="Arial" w:hAnsi="Arial"/>
                <w:sz w:val="14"/>
                <w:szCs w:val="14"/>
                <w:b w:val="1"/>
                <w:bCs w:val="1"/>
                <w:color w:val="auto"/>
                <w:w w:val="94"/>
              </w:rPr>
              <w:t>Option and</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center"/>
              <w:ind w:right="149"/>
              <w:spacing w:after="0"/>
              <w:rPr>
                <w:sz w:val="20"/>
                <w:szCs w:val="20"/>
                <w:color w:val="auto"/>
              </w:rPr>
            </w:pPr>
            <w:r>
              <w:rPr>
                <w:rFonts w:ascii="Arial" w:cs="Arial" w:eastAsia="Arial" w:hAnsi="Arial"/>
                <w:sz w:val="14"/>
                <w:szCs w:val="14"/>
                <w:b w:val="1"/>
                <w:bCs w:val="1"/>
                <w:color w:val="auto"/>
              </w:rPr>
              <w:t>Warrant</w:t>
            </w:r>
          </w:p>
        </w:tc>
        <w:tc>
          <w:tcPr>
            <w:tcW w:w="1440" w:type="dxa"/>
            <w:vAlign w:val="bottom"/>
          </w:tcPr>
          <w:p>
            <w:pPr>
              <w:jc w:val="center"/>
              <w:ind w:right="229"/>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Pr>
          <w:p>
            <w:pPr>
              <w:spacing w:after="0"/>
              <w:rPr>
                <w:sz w:val="14"/>
                <w:szCs w:val="14"/>
                <w:color w:val="auto"/>
              </w:rPr>
            </w:pPr>
          </w:p>
        </w:tc>
      </w:tr>
      <w:tr>
        <w:trPr>
          <w:trHeight w:val="170"/>
        </w:trPr>
        <w:tc>
          <w:tcPr>
            <w:tcW w:w="28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800" w:type="dxa"/>
            <w:vAlign w:val="bottom"/>
          </w:tcPr>
          <w:p>
            <w:pPr>
              <w:ind w:left="640"/>
              <w:spacing w:after="0"/>
              <w:rPr>
                <w:sz w:val="20"/>
                <w:szCs w:val="20"/>
                <w:color w:val="auto"/>
              </w:rPr>
            </w:pPr>
            <w:r>
              <w:rPr>
                <w:rFonts w:ascii="Arial" w:cs="Arial" w:eastAsia="Arial" w:hAnsi="Arial"/>
                <w:sz w:val="14"/>
                <w:szCs w:val="14"/>
                <w:b w:val="1"/>
                <w:bCs w:val="1"/>
                <w:color w:val="auto"/>
              </w:rPr>
              <w:t>Salary</w:t>
            </w:r>
          </w:p>
        </w:tc>
        <w:tc>
          <w:tcPr>
            <w:tcW w:w="1240" w:type="dxa"/>
            <w:vAlign w:val="bottom"/>
          </w:tcPr>
          <w:p>
            <w:pPr>
              <w:jc w:val="right"/>
              <w:ind w:right="529"/>
              <w:spacing w:after="0"/>
              <w:rPr>
                <w:sz w:val="20"/>
                <w:szCs w:val="20"/>
                <w:color w:val="auto"/>
              </w:rPr>
            </w:pPr>
            <w:r>
              <w:rPr>
                <w:rFonts w:ascii="Arial" w:cs="Arial" w:eastAsia="Arial" w:hAnsi="Arial"/>
                <w:sz w:val="14"/>
                <w:szCs w:val="14"/>
                <w:b w:val="1"/>
                <w:bCs w:val="1"/>
                <w:color w:val="auto"/>
              </w:rPr>
              <w:t>Bonus</w:t>
            </w:r>
          </w:p>
        </w:tc>
        <w:tc>
          <w:tcPr>
            <w:tcW w:w="1400" w:type="dxa"/>
            <w:vAlign w:val="bottom"/>
          </w:tcPr>
          <w:p>
            <w:pPr>
              <w:jc w:val="center"/>
              <w:ind w:right="149"/>
              <w:spacing w:after="0" w:line="171" w:lineRule="exact"/>
              <w:rPr>
                <w:sz w:val="20"/>
                <w:szCs w:val="20"/>
                <w:color w:val="auto"/>
              </w:rPr>
            </w:pPr>
            <w:r>
              <w:rPr>
                <w:rFonts w:ascii="Arial" w:cs="Arial" w:eastAsia="Arial" w:hAnsi="Arial"/>
                <w:sz w:val="14"/>
                <w:szCs w:val="14"/>
                <w:b w:val="1"/>
                <w:bCs w:val="1"/>
                <w:color w:val="auto"/>
                <w:w w:val="88"/>
              </w:rPr>
              <w:t xml:space="preserve">Awards </w:t>
            </w:r>
            <w:r>
              <w:rPr>
                <w:rFonts w:ascii="Arial" w:cs="Arial" w:eastAsia="Arial" w:hAnsi="Arial"/>
                <w:sz w:val="19"/>
                <w:szCs w:val="19"/>
                <w:b w:val="1"/>
                <w:bCs w:val="1"/>
                <w:color w:val="auto"/>
                <w:w w:val="88"/>
                <w:vertAlign w:val="superscript"/>
              </w:rPr>
              <w:t>(7)</w:t>
            </w:r>
          </w:p>
        </w:tc>
        <w:tc>
          <w:tcPr>
            <w:tcW w:w="1440" w:type="dxa"/>
            <w:vAlign w:val="bottom"/>
          </w:tcPr>
          <w:p>
            <w:pPr>
              <w:jc w:val="center"/>
              <w:ind w:right="229"/>
              <w:spacing w:after="0"/>
              <w:rPr>
                <w:sz w:val="20"/>
                <w:szCs w:val="20"/>
                <w:color w:val="auto"/>
              </w:rPr>
            </w:pPr>
            <w:r>
              <w:rPr>
                <w:rFonts w:ascii="Arial" w:cs="Arial" w:eastAsia="Arial" w:hAnsi="Arial"/>
                <w:sz w:val="14"/>
                <w:szCs w:val="14"/>
                <w:b w:val="1"/>
                <w:bCs w:val="1"/>
                <w:color w:val="auto"/>
                <w:w w:val="88"/>
              </w:rPr>
              <w:t>Compensation</w:t>
            </w:r>
          </w:p>
        </w:tc>
        <w:tc>
          <w:tcPr>
            <w:tcW w:w="114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84"/>
        </w:trPr>
        <w:tc>
          <w:tcPr>
            <w:tcW w:w="2840" w:type="dxa"/>
            <w:vAlign w:val="bottom"/>
          </w:tcPr>
          <w:p>
            <w:pPr>
              <w:ind w:left="460"/>
              <w:spacing w:after="0"/>
              <w:rPr>
                <w:sz w:val="20"/>
                <w:szCs w:val="20"/>
                <w:color w:val="auto"/>
              </w:rPr>
            </w:pPr>
            <w:r>
              <w:rPr>
                <w:rFonts w:ascii="Arial" w:cs="Arial" w:eastAsia="Arial" w:hAnsi="Arial"/>
                <w:sz w:val="14"/>
                <w:szCs w:val="14"/>
                <w:b w:val="1"/>
                <w:bCs w:val="1"/>
                <w:color w:val="auto"/>
              </w:rPr>
              <w:t>Name and Principal Position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800" w:type="dxa"/>
            <w:vAlign w:val="bottom"/>
          </w:tcPr>
          <w:p>
            <w:pPr>
              <w:ind w:left="76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649"/>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center"/>
              <w:ind w:right="169"/>
              <w:spacing w:after="0"/>
              <w:rPr>
                <w:sz w:val="20"/>
                <w:szCs w:val="20"/>
                <w:color w:val="auto"/>
              </w:rPr>
            </w:pPr>
            <w:r>
              <w:rPr>
                <w:rFonts w:ascii="Arial" w:cs="Arial" w:eastAsia="Arial" w:hAnsi="Arial"/>
                <w:sz w:val="14"/>
                <w:szCs w:val="14"/>
                <w:b w:val="1"/>
                <w:bCs w:val="1"/>
                <w:color w:val="auto"/>
                <w:w w:val="93"/>
              </w:rPr>
              <w:t>($)</w:t>
            </w:r>
          </w:p>
        </w:tc>
        <w:tc>
          <w:tcPr>
            <w:tcW w:w="1440" w:type="dxa"/>
            <w:vAlign w:val="bottom"/>
          </w:tcPr>
          <w:p>
            <w:pPr>
              <w:jc w:val="center"/>
              <w:ind w:right="2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509"/>
              <w:spacing w:after="0"/>
              <w:rPr>
                <w:sz w:val="20"/>
                <w:szCs w:val="20"/>
                <w:color w:val="auto"/>
              </w:rPr>
            </w:pPr>
            <w:r>
              <w:rPr>
                <w:rFonts w:ascii="Arial" w:cs="Arial" w:eastAsia="Arial" w:hAnsi="Arial"/>
                <w:sz w:val="14"/>
                <w:szCs w:val="14"/>
                <w:b w:val="1"/>
                <w:bCs w:val="1"/>
                <w:color w:val="auto"/>
              </w:rPr>
              <w:t>($)</w:t>
            </w:r>
          </w:p>
        </w:tc>
      </w:tr>
      <w:tr>
        <w:trPr>
          <w:trHeight w:val="171"/>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Shawn K. Singh </w:t>
            </w:r>
            <w:r>
              <w:rPr>
                <w:rFonts w:ascii="Arial" w:cs="Arial" w:eastAsia="Arial" w:hAnsi="Arial"/>
                <w:sz w:val="19"/>
                <w:szCs w:val="19"/>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8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347,500</w:t>
            </w:r>
          </w:p>
        </w:tc>
        <w:tc>
          <w:tcPr>
            <w:tcW w:w="12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line="171" w:lineRule="exact"/>
              <w:rPr>
                <w:sz w:val="20"/>
                <w:szCs w:val="20"/>
                <w:color w:val="auto"/>
              </w:rPr>
            </w:pPr>
            <w:r>
              <w:rPr>
                <w:rFonts w:ascii="Arial" w:cs="Arial" w:eastAsia="Arial" w:hAnsi="Arial"/>
                <w:sz w:val="14"/>
                <w:szCs w:val="14"/>
                <w:color w:val="auto"/>
              </w:rPr>
              <w:t>1,629,574</w:t>
            </w:r>
            <w:r>
              <w:rPr>
                <w:rFonts w:ascii="Arial" w:cs="Arial" w:eastAsia="Arial" w:hAnsi="Arial"/>
                <w:sz w:val="19"/>
                <w:szCs w:val="19"/>
                <w:color w:val="auto"/>
                <w:vertAlign w:val="superscript"/>
              </w:rPr>
              <w:t>(8)</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1,977,074</w:t>
            </w:r>
          </w:p>
        </w:tc>
      </w:tr>
      <w:tr>
        <w:trPr>
          <w:trHeight w:val="170"/>
        </w:trPr>
        <w:tc>
          <w:tcPr>
            <w:tcW w:w="2840" w:type="dxa"/>
            <w:vAlign w:val="bottom"/>
          </w:tcPr>
          <w:p>
            <w:pPr>
              <w:spacing w:after="0"/>
              <w:rPr>
                <w:sz w:val="20"/>
                <w:szCs w:val="20"/>
                <w:color w:val="auto"/>
              </w:rPr>
            </w:pPr>
            <w:r>
              <w:rPr>
                <w:rFonts w:ascii="Arial" w:cs="Arial" w:eastAsia="Arial" w:hAnsi="Arial"/>
                <w:sz w:val="14"/>
                <w:szCs w:val="14"/>
                <w:i w:val="1"/>
                <w:iCs w:val="1"/>
                <w:color w:val="auto"/>
              </w:rPr>
              <w:t>Chief Executive Officer</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800" w:type="dxa"/>
            <w:vAlign w:val="bottom"/>
          </w:tcPr>
          <w:p>
            <w:pPr>
              <w:ind w:left="960"/>
              <w:spacing w:after="0" w:line="171" w:lineRule="exact"/>
              <w:rPr>
                <w:sz w:val="20"/>
                <w:szCs w:val="20"/>
                <w:color w:val="auto"/>
              </w:rPr>
            </w:pPr>
            <w:r>
              <w:rPr>
                <w:rFonts w:ascii="Arial" w:cs="Arial" w:eastAsia="Arial" w:hAnsi="Arial"/>
                <w:sz w:val="14"/>
                <w:szCs w:val="14"/>
                <w:color w:val="auto"/>
              </w:rPr>
              <w:t>347,500</w:t>
            </w:r>
            <w:r>
              <w:rPr>
                <w:rFonts w:ascii="Arial" w:cs="Arial" w:eastAsia="Arial" w:hAnsi="Arial"/>
                <w:sz w:val="19"/>
                <w:szCs w:val="19"/>
                <w:color w:val="auto"/>
                <w:vertAlign w:val="superscript"/>
              </w:rPr>
              <w:t>(4)</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9"/>
              <w:spacing w:after="0" w:line="171" w:lineRule="exact"/>
              <w:rPr>
                <w:sz w:val="20"/>
                <w:szCs w:val="20"/>
                <w:color w:val="auto"/>
              </w:rPr>
            </w:pPr>
            <w:r>
              <w:rPr>
                <w:rFonts w:ascii="Arial" w:cs="Arial" w:eastAsia="Arial" w:hAnsi="Arial"/>
                <w:sz w:val="14"/>
                <w:szCs w:val="14"/>
                <w:color w:val="auto"/>
              </w:rPr>
              <w:t>688,050</w:t>
            </w:r>
            <w:r>
              <w:rPr>
                <w:rFonts w:ascii="Arial" w:cs="Arial" w:eastAsia="Arial" w:hAnsi="Arial"/>
                <w:sz w:val="19"/>
                <w:szCs w:val="19"/>
                <w:color w:val="auto"/>
                <w:vertAlign w:val="superscript"/>
              </w:rPr>
              <w:t>(9)</w:t>
            </w:r>
          </w:p>
        </w:tc>
        <w:tc>
          <w:tcPr>
            <w:tcW w:w="14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1,035,550</w:t>
            </w:r>
          </w:p>
        </w:tc>
      </w:tr>
      <w:tr>
        <w:trPr>
          <w:trHeight w:val="170"/>
        </w:trPr>
        <w:tc>
          <w:tcPr>
            <w:tcW w:w="28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2840" w:type="dxa"/>
            <w:vAlign w:val="bottom"/>
          </w:tcPr>
          <w:p>
            <w:pPr>
              <w:spacing w:after="0" w:line="171" w:lineRule="exact"/>
              <w:rPr>
                <w:sz w:val="20"/>
                <w:szCs w:val="20"/>
                <w:color w:val="auto"/>
              </w:rPr>
            </w:pPr>
            <w:r>
              <w:rPr>
                <w:rFonts w:ascii="Arial" w:cs="Arial" w:eastAsia="Arial" w:hAnsi="Arial"/>
                <w:sz w:val="14"/>
                <w:szCs w:val="14"/>
                <w:color w:val="auto"/>
              </w:rPr>
              <w:t xml:space="preserve">H. Ralph Snodgrass, Ph.D. </w:t>
            </w:r>
            <w:r>
              <w:rPr>
                <w:rFonts w:ascii="Arial" w:cs="Arial" w:eastAsia="Arial" w:hAnsi="Arial"/>
                <w:sz w:val="19"/>
                <w:szCs w:val="19"/>
                <w:color w:val="auto"/>
                <w:vertAlign w:val="superscript"/>
              </w:rPr>
              <w:t>(2)</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1800" w:type="dxa"/>
            <w:vAlign w:val="bottom"/>
          </w:tcPr>
          <w:p>
            <w:pPr>
              <w:ind w:left="960"/>
              <w:spacing w:after="0"/>
              <w:rPr>
                <w:sz w:val="20"/>
                <w:szCs w:val="20"/>
                <w:color w:val="auto"/>
              </w:rPr>
            </w:pPr>
            <w:r>
              <w:rPr>
                <w:rFonts w:ascii="Arial" w:cs="Arial" w:eastAsia="Arial" w:hAnsi="Arial"/>
                <w:sz w:val="14"/>
                <w:szCs w:val="14"/>
                <w:color w:val="auto"/>
              </w:rPr>
              <w:t>305,000</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9"/>
              <w:spacing w:after="0" w:line="171" w:lineRule="exact"/>
              <w:rPr>
                <w:sz w:val="20"/>
                <w:szCs w:val="20"/>
                <w:color w:val="auto"/>
              </w:rPr>
            </w:pPr>
            <w:r>
              <w:rPr>
                <w:rFonts w:ascii="Arial" w:cs="Arial" w:eastAsia="Arial" w:hAnsi="Arial"/>
                <w:sz w:val="14"/>
                <w:szCs w:val="14"/>
                <w:color w:val="auto"/>
              </w:rPr>
              <w:t>985,025</w:t>
            </w:r>
            <w:r>
              <w:rPr>
                <w:rFonts w:ascii="Arial" w:cs="Arial" w:eastAsia="Arial" w:hAnsi="Arial"/>
                <w:sz w:val="19"/>
                <w:szCs w:val="19"/>
                <w:color w:val="auto"/>
                <w:vertAlign w:val="superscript"/>
              </w:rPr>
              <w:t>(8)</w:t>
            </w:r>
          </w:p>
        </w:tc>
        <w:tc>
          <w:tcPr>
            <w:tcW w:w="14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1,290,025</w:t>
            </w:r>
          </w:p>
        </w:tc>
      </w:tr>
      <w:tr>
        <w:trPr>
          <w:trHeight w:val="170"/>
        </w:trPr>
        <w:tc>
          <w:tcPr>
            <w:tcW w:w="28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President, Chief Scientific Officer</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1800" w:type="dxa"/>
            <w:vAlign w:val="bottom"/>
            <w:shd w:val="clear" w:color="auto" w:fill="CCEEFF"/>
          </w:tcPr>
          <w:p>
            <w:pPr>
              <w:ind w:left="960"/>
              <w:spacing w:after="0" w:line="171" w:lineRule="exact"/>
              <w:rPr>
                <w:sz w:val="20"/>
                <w:szCs w:val="20"/>
                <w:color w:val="auto"/>
              </w:rPr>
            </w:pPr>
            <w:r>
              <w:rPr>
                <w:rFonts w:ascii="Arial" w:cs="Arial" w:eastAsia="Arial" w:hAnsi="Arial"/>
                <w:sz w:val="14"/>
                <w:szCs w:val="14"/>
                <w:color w:val="auto"/>
              </w:rPr>
              <w:t>305,000</w:t>
            </w:r>
            <w:r>
              <w:rPr>
                <w:rFonts w:ascii="Arial" w:cs="Arial" w:eastAsia="Arial" w:hAnsi="Arial"/>
                <w:sz w:val="19"/>
                <w:szCs w:val="19"/>
                <w:color w:val="auto"/>
                <w:vertAlign w:val="superscript"/>
              </w:rPr>
              <w:t>(5)</w:t>
            </w:r>
          </w:p>
        </w:tc>
        <w:tc>
          <w:tcPr>
            <w:tcW w:w="12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line="171" w:lineRule="exact"/>
              <w:rPr>
                <w:sz w:val="20"/>
                <w:szCs w:val="20"/>
                <w:color w:val="auto"/>
              </w:rPr>
            </w:pPr>
            <w:r>
              <w:rPr>
                <w:rFonts w:ascii="Arial" w:cs="Arial" w:eastAsia="Arial" w:hAnsi="Arial"/>
                <w:sz w:val="14"/>
                <w:szCs w:val="14"/>
                <w:color w:val="auto"/>
              </w:rPr>
              <w:t>458,700</w:t>
            </w:r>
            <w:r>
              <w:rPr>
                <w:rFonts w:ascii="Arial" w:cs="Arial" w:eastAsia="Arial" w:hAnsi="Arial"/>
                <w:sz w:val="19"/>
                <w:szCs w:val="19"/>
                <w:color w:val="auto"/>
                <w:vertAlign w:val="superscript"/>
              </w:rPr>
              <w:t>(9)</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763,700</w:t>
            </w:r>
          </w:p>
        </w:tc>
      </w:t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Jerrold D. Dotson </w:t>
            </w:r>
            <w:r>
              <w:rPr>
                <w:rFonts w:ascii="Arial" w:cs="Arial" w:eastAsia="Arial" w:hAnsi="Arial"/>
                <w:sz w:val="19"/>
                <w:szCs w:val="19"/>
                <w:color w:val="auto"/>
                <w:vertAlign w:val="superscript"/>
              </w:rPr>
              <w:t>(3)</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8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250,000</w:t>
            </w:r>
          </w:p>
        </w:tc>
        <w:tc>
          <w:tcPr>
            <w:tcW w:w="12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line="171" w:lineRule="exact"/>
              <w:rPr>
                <w:sz w:val="20"/>
                <w:szCs w:val="20"/>
                <w:color w:val="auto"/>
              </w:rPr>
            </w:pPr>
            <w:r>
              <w:rPr>
                <w:rFonts w:ascii="Arial" w:cs="Arial" w:eastAsia="Arial" w:hAnsi="Arial"/>
                <w:sz w:val="14"/>
                <w:szCs w:val="14"/>
                <w:color w:val="auto"/>
              </w:rPr>
              <w:t>635,297</w:t>
            </w:r>
            <w:r>
              <w:rPr>
                <w:rFonts w:ascii="Arial" w:cs="Arial" w:eastAsia="Arial" w:hAnsi="Arial"/>
                <w:sz w:val="19"/>
                <w:szCs w:val="19"/>
                <w:color w:val="auto"/>
                <w:vertAlign w:val="superscript"/>
              </w:rPr>
              <w:t>(8)</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885,297</w:t>
            </w:r>
          </w:p>
        </w:tc>
      </w:tr>
      <w:tr>
        <w:trPr>
          <w:trHeight w:val="160"/>
        </w:trPr>
        <w:tc>
          <w:tcPr>
            <w:tcW w:w="2840" w:type="dxa"/>
            <w:vAlign w:val="bottom"/>
          </w:tcPr>
          <w:p>
            <w:pPr>
              <w:spacing w:after="0" w:line="160" w:lineRule="exact"/>
              <w:rPr>
                <w:sz w:val="20"/>
                <w:szCs w:val="20"/>
                <w:color w:val="auto"/>
              </w:rPr>
            </w:pPr>
            <w:r>
              <w:rPr>
                <w:rFonts w:ascii="Arial" w:cs="Arial" w:eastAsia="Arial" w:hAnsi="Arial"/>
                <w:sz w:val="14"/>
                <w:szCs w:val="14"/>
                <w:i w:val="1"/>
                <w:iCs w:val="1"/>
                <w:color w:val="auto"/>
              </w:rPr>
              <w:t>Vice President, Chief Financial Officer,</w:t>
            </w:r>
          </w:p>
        </w:tc>
        <w:tc>
          <w:tcPr>
            <w:tcW w:w="1600" w:type="dxa"/>
            <w:vAlign w:val="bottom"/>
          </w:tcPr>
          <w:p>
            <w:pPr>
              <w:spacing w:after="0"/>
              <w:rPr>
                <w:sz w:val="13"/>
                <w:szCs w:val="13"/>
                <w:color w:val="auto"/>
              </w:rPr>
            </w:pPr>
          </w:p>
        </w:tc>
        <w:tc>
          <w:tcPr>
            <w:tcW w:w="1800" w:type="dxa"/>
            <w:vAlign w:val="bottom"/>
          </w:tcPr>
          <w:p>
            <w:pPr>
              <w:ind w:left="960"/>
              <w:spacing w:after="0" w:line="160" w:lineRule="exact"/>
              <w:rPr>
                <w:sz w:val="20"/>
                <w:szCs w:val="20"/>
                <w:color w:val="auto"/>
              </w:rPr>
            </w:pPr>
            <w:r>
              <w:rPr>
                <w:rFonts w:ascii="Arial" w:cs="Arial" w:eastAsia="Arial" w:hAnsi="Arial"/>
                <w:sz w:val="13"/>
                <w:szCs w:val="13"/>
                <w:color w:val="auto"/>
              </w:rPr>
              <w:t>250,000</w:t>
            </w:r>
            <w:r>
              <w:rPr>
                <w:rFonts w:ascii="Arial" w:cs="Arial" w:eastAsia="Arial" w:hAnsi="Arial"/>
                <w:sz w:val="18"/>
                <w:szCs w:val="18"/>
                <w:color w:val="auto"/>
                <w:vertAlign w:val="superscript"/>
              </w:rPr>
              <w:t>(6)</w:t>
            </w:r>
          </w:p>
        </w:tc>
        <w:tc>
          <w:tcPr>
            <w:tcW w:w="124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1400" w:type="dxa"/>
            <w:vAlign w:val="bottom"/>
          </w:tcPr>
          <w:p>
            <w:pPr>
              <w:jc w:val="right"/>
              <w:ind w:right="49"/>
              <w:spacing w:after="0" w:line="160" w:lineRule="exact"/>
              <w:rPr>
                <w:sz w:val="20"/>
                <w:szCs w:val="20"/>
                <w:color w:val="auto"/>
              </w:rPr>
            </w:pPr>
            <w:r>
              <w:rPr>
                <w:rFonts w:ascii="Arial" w:cs="Arial" w:eastAsia="Arial" w:hAnsi="Arial"/>
                <w:sz w:val="13"/>
                <w:szCs w:val="13"/>
                <w:color w:val="auto"/>
              </w:rPr>
              <w:t>229,350</w:t>
            </w:r>
            <w:r>
              <w:rPr>
                <w:rFonts w:ascii="Arial" w:cs="Arial" w:eastAsia="Arial" w:hAnsi="Arial"/>
                <w:sz w:val="18"/>
                <w:szCs w:val="18"/>
                <w:color w:val="auto"/>
                <w:vertAlign w:val="superscript"/>
              </w:rPr>
              <w:t>(9)</w:t>
            </w:r>
          </w:p>
        </w:tc>
        <w:tc>
          <w:tcPr>
            <w:tcW w:w="144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line="160" w:lineRule="exact"/>
              <w:rPr>
                <w:sz w:val="20"/>
                <w:szCs w:val="20"/>
                <w:color w:val="auto"/>
              </w:rPr>
            </w:pPr>
            <w:r>
              <w:rPr>
                <w:rFonts w:ascii="Arial" w:cs="Arial" w:eastAsia="Arial" w:hAnsi="Arial"/>
                <w:sz w:val="14"/>
                <w:szCs w:val="14"/>
                <w:color w:val="auto"/>
              </w:rPr>
              <w:t>479,350</w:t>
            </w:r>
          </w:p>
        </w:tc>
      </w:tr>
      <w:tr>
        <w:trPr>
          <w:trHeight w:val="180"/>
        </w:trPr>
        <w:tc>
          <w:tcPr>
            <w:tcW w:w="2840" w:type="dxa"/>
            <w:vAlign w:val="bottom"/>
          </w:tcPr>
          <w:p>
            <w:pPr>
              <w:spacing w:after="0"/>
              <w:rPr>
                <w:sz w:val="20"/>
                <w:szCs w:val="20"/>
                <w:color w:val="auto"/>
              </w:rPr>
            </w:pPr>
            <w:r>
              <w:rPr>
                <w:rFonts w:ascii="Arial" w:cs="Arial" w:eastAsia="Arial" w:hAnsi="Arial"/>
                <w:sz w:val="14"/>
                <w:szCs w:val="14"/>
                <w:i w:val="1"/>
                <w:iCs w:val="1"/>
                <w:color w:val="auto"/>
              </w:rPr>
              <w:t>Secretary</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58"/>
        </w:trPr>
        <w:tc>
          <w:tcPr>
            <w:tcW w:w="2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ind w:left="1140"/>
              <w:spacing w:after="0"/>
              <w:rPr>
                <w:sz w:val="20"/>
                <w:szCs w:val="20"/>
                <w:color w:val="auto"/>
              </w:rPr>
            </w:pPr>
            <w:r>
              <w:rPr>
                <w:rFonts w:ascii="Arial" w:cs="Arial" w:eastAsia="Arial" w:hAnsi="Arial"/>
                <w:sz w:val="14"/>
                <w:szCs w:val="14"/>
                <w:color w:val="auto"/>
              </w:rPr>
              <w:t>-106-</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2"/>
        </w:trPr>
        <w:tc>
          <w:tcPr>
            <w:tcW w:w="2840" w:type="dxa"/>
            <w:vAlign w:val="bottom"/>
            <w:tcBorders>
              <w:bottom w:val="single" w:sz="8" w:color="808080"/>
            </w:tcBorders>
          </w:tcPr>
          <w:p>
            <w:pPr>
              <w:spacing w:after="0"/>
              <w:rPr>
                <w:sz w:val="7"/>
                <w:szCs w:val="7"/>
                <w:color w:val="auto"/>
              </w:rPr>
            </w:pPr>
          </w:p>
        </w:tc>
        <w:tc>
          <w:tcPr>
            <w:tcW w:w="160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1" w:name="page112"/>
    <w:bookmarkEnd w:id="11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hanging="595"/>
        <w:spacing w:after="0" w:line="279" w:lineRule="auto"/>
        <w:tabs>
          <w:tab w:leader="none" w:pos="6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Mr. Singh became VistaGen California’s Chief Executive Officer on August 20, 2009 and our Chief Executive Officer in May 2011, in connection with the Merger. In our fiscal years ended March 31, 2016 and 2015, Mr. Singh’s annual base cash salary, pursuant to his January 2010 employment agreement, was contractually set at $347,500. To conserve cash for our operations during fiscal 2015 and 2014, Mr. Singh voluntarily agreed to receive cash payments of less than his contractual base cash salary. The figures reported above reflect the amount of Mr. Singh’s salary that we expensed for accounting purposes in our financial statements for the respective fiscal years. As discussed in note (4) below, only $82,813 was actually paid in cash to Mr. Singh in our fiscal year ended March 31, 2015. The difference between the amounts expensed in fiscal 2015 and 2014 for accounting purposes and the amounts actually paid to Mr. Singh was accrued in fiscal 2015 and 2014 for payment in the future, $153,064 of which was paid during fiscal 2016. Mr. Singh also received cash payments during fiscal 2016 of $25,242 in payment of amounts previously accrued for vacation pay and $101,936 representing a tax gross up related to the forgiveness of a loan made prior to the date the Company became public. Additionally, pursuant to his employment agreement, Mr. Singh is eligible to receive an annual cash incentive bonus of up to fifty percent (50%) of his base cash salary. To conserve cash for our operations during our fiscal years ended March 31, 2016 and 2015, Mr. Singh voluntarily refrained from receiving any cash bonus.</w:t>
      </w:r>
    </w:p>
    <w:p>
      <w:pPr>
        <w:spacing w:after="0" w:line="139" w:lineRule="exact"/>
        <w:rPr>
          <w:rFonts w:ascii="Arial" w:cs="Arial" w:eastAsia="Arial" w:hAnsi="Arial"/>
          <w:sz w:val="13"/>
          <w:szCs w:val="13"/>
          <w:color w:val="auto"/>
        </w:rPr>
      </w:pPr>
    </w:p>
    <w:p>
      <w:pPr>
        <w:ind w:left="600" w:right="60" w:hanging="595"/>
        <w:spacing w:after="0" w:line="279" w:lineRule="auto"/>
        <w:tabs>
          <w:tab w:leader="none" w:pos="6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2016 and 2015, Dr. Snodgrass’ annual base cash salary, pursuant to his January 2010 employment agreement, was contractually set at $305,000. To conserve cash for our operations during fiscal 2015 and 2014, Dr. Snodgrass voluntarily agreed to receive cash payments of less than his contractual base cash salary. The figures reported above reflect the amount of Dr. Snodgrass’ salary that we expensed for accounting purposes in our financial statements for the respective fiscal years. As discussed in note (5) below, only $157,292 was actually paid in cash to Dr. Snodgrass in our fiscal year ended March 31, 2015. The difference between the amounts expensed in fiscal 2015 and 2014 for accounting purposes and the amounts actually paid to Dr. Snodgrass was accrued in fiscal 2015 and 2014 for payment in the future, $160,000 of which was paid during fiscal 2016. Dr. Snodgrass also received cash payments during fiscal 2016 of $18,088 in payment of amounts previously accrued for vacation pay. Additionally, pursuant to his employment agreement, Dr. Snodgrass is eligible to receive an annual cash incentive bonus of up to fifty percent (50%) of his base cash salary. To conserve cash for our operations during our fiscal years ended March 31, 2016 and 2015, Dr. Snodgrass voluntarily refrained from receiving any cash bonus.</w:t>
      </w:r>
    </w:p>
    <w:p>
      <w:pPr>
        <w:spacing w:after="0" w:line="139" w:lineRule="exact"/>
        <w:rPr>
          <w:rFonts w:ascii="Arial" w:cs="Arial" w:eastAsia="Arial" w:hAnsi="Arial"/>
          <w:sz w:val="13"/>
          <w:szCs w:val="13"/>
          <w:color w:val="auto"/>
        </w:rPr>
      </w:pPr>
    </w:p>
    <w:p>
      <w:pPr>
        <w:ind w:left="600" w:hanging="595"/>
        <w:spacing w:after="0" w:line="311" w:lineRule="auto"/>
        <w:tabs>
          <w:tab w:leader="none" w:pos="6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Mr. Dotson served as Chief Financial Officer on a part-time contract basis from September 19, 2011 through August 2012, at which time he became our full-time employee. In our fiscal years ended March 31, 2016 and 2015, Mr. Dotson’s annual base cash salary was $250,000. To conserve cash for our operations during fiscal 2015 and 2014, Mr. Dotson voluntarily agreed to receive cash payments of less than his base cash salary. The figures reported above reflect the amount of Mr. Dotson’s salary that we expensed for accounting purposes in our financial statements for the respective fiscal years. As discussed in note (6) below, only $153,917 was actually paid in cash to Mr. Dotson in our fiscal year ended March 31, 2015. The difference between the amounts expensed in fiscal 2015 and 2014 for accounting purposes and the amounts actually paid to Mr. Dotson was accrued in fiscal 2015 and 2014 for payment in the future, $144,417 of which was paid during fiscal 2016. To conserve cash for our operations, Mr. Dotson did not receive a cash bonus in either of our fiscal years ended March 31, 2016 or 2015.</w:t>
      </w:r>
    </w:p>
    <w:p>
      <w:pPr>
        <w:spacing w:after="0" w:line="141" w:lineRule="exact"/>
        <w:rPr>
          <w:rFonts w:ascii="Arial" w:cs="Arial" w:eastAsia="Arial" w:hAnsi="Arial"/>
          <w:sz w:val="12"/>
          <w:szCs w:val="12"/>
          <w:color w:val="auto"/>
        </w:rPr>
      </w:pPr>
    </w:p>
    <w:p>
      <w:pPr>
        <w:ind w:left="600" w:right="160" w:hanging="595"/>
        <w:spacing w:after="0" w:line="28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Singh received only $82,813 in cash compensation in our fiscal year ended March 31, 2015. The remaining balance of $264,687 was accrued at March 31, 2015 for future payment and $206,207 remains unpaid at the date of this prospectus.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2" w:name="page113"/>
    <w:bookmarkEnd w:id="11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right="100" w:hanging="595"/>
        <w:spacing w:after="0" w:line="283"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Dr. Snodgrass received only $157,292 in cash compensation in our fiscal year ended March 31, 2015. The remaining balance of $147,708 was accrued at March 31, 2015 for future payment and $65,359 remains unpaid at the date of this prospectus.</w:t>
      </w:r>
    </w:p>
    <w:p>
      <w:pPr>
        <w:spacing w:after="0" w:line="131" w:lineRule="exact"/>
        <w:rPr>
          <w:rFonts w:ascii="Arial" w:cs="Arial" w:eastAsia="Arial" w:hAnsi="Arial"/>
          <w:sz w:val="14"/>
          <w:szCs w:val="14"/>
          <w:color w:val="auto"/>
        </w:rPr>
      </w:pPr>
    </w:p>
    <w:p>
      <w:pPr>
        <w:ind w:left="600" w:right="240" w:hanging="595"/>
        <w:spacing w:after="0" w:line="283"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Dotson received only $153,917 in cash compensation in our fiscal year ended March 31, 2015. The remaining balance of $96,083 was accrued at March 31, 2015 and was paid during fiscal 2016..</w:t>
      </w:r>
    </w:p>
    <w:p>
      <w:pPr>
        <w:spacing w:after="0" w:line="131" w:lineRule="exact"/>
        <w:rPr>
          <w:rFonts w:ascii="Arial" w:cs="Arial" w:eastAsia="Arial" w:hAnsi="Arial"/>
          <w:sz w:val="14"/>
          <w:szCs w:val="14"/>
          <w:color w:val="auto"/>
        </w:rPr>
      </w:pPr>
    </w:p>
    <w:p>
      <w:pPr>
        <w:ind w:left="600" w:right="40" w:hanging="595"/>
        <w:spacing w:after="0" w:line="283" w:lineRule="auto"/>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amounts in the Option and Warrant Awards column represent the aggregate grant date fair value of warrants to purchase restricted shares of our common stock awarded to Mr. Singh, Dr. Snodgrass and Mr. Dotson, and the effect of modifications to prior grants of warrants occurring during the fiscal year presented, computed in accordance with the Financial Accounting Standards Board’s Accounting Standards Codification Topic 718, Compensation – Stock Compensation (</w:t>
      </w:r>
      <w:r>
        <w:rPr>
          <w:rFonts w:ascii="Arial" w:cs="Arial" w:eastAsia="Arial" w:hAnsi="Arial"/>
          <w:sz w:val="13"/>
          <w:szCs w:val="13"/>
          <w:i w:val="1"/>
          <w:iCs w:val="1"/>
          <w:color w:val="auto"/>
        </w:rPr>
        <w:t>ASC 718</w:t>
      </w:r>
      <w:r>
        <w:rPr>
          <w:rFonts w:ascii="Arial" w:cs="Arial" w:eastAsia="Arial" w:hAnsi="Arial"/>
          <w:sz w:val="13"/>
          <w:szCs w:val="13"/>
          <w:color w:val="auto"/>
        </w:rPr>
        <w:t>). The amounts in this column do not represent any cash payments actually received by Mr. Singh, Dr. Snodgrass or Mr. Dotson with respect to any of such options or warrants to purchase restricted shares of our common stock awarded to them or modified during the periods presented. To date, Mr. Singh, Dr. Snodgrass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56" w:lineRule="exact"/>
        <w:rPr>
          <w:rFonts w:ascii="Arial" w:cs="Arial" w:eastAsia="Arial" w:hAnsi="Arial"/>
          <w:sz w:val="13"/>
          <w:szCs w:val="13"/>
          <w:color w:val="auto"/>
        </w:rPr>
      </w:pPr>
    </w:p>
    <w:p>
      <w:pPr>
        <w:ind w:left="600" w:right="80" w:hanging="595"/>
        <w:spacing w:after="0" w:line="283"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warrant awards and modifications we granted to Mr. Singh, Dr. Snodgrass and Mr. Dotson during fiscal 2016 and the assumptions used in the Black Scholes Option Pricing Model to determine the grant date fair values of the respective awards and modifications</w:t>
      </w: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09"/>
              <w:spacing w:after="0"/>
              <w:rPr>
                <w:sz w:val="20"/>
                <w:szCs w:val="20"/>
                <w:color w:val="auto"/>
              </w:rPr>
            </w:pPr>
            <w:r>
              <w:rPr>
                <w:rFonts w:ascii="Arial" w:cs="Arial" w:eastAsia="Arial" w:hAnsi="Arial"/>
                <w:sz w:val="14"/>
                <w:szCs w:val="14"/>
                <w:color w:val="auto"/>
                <w:w w:val="88"/>
              </w:rPr>
              <w:t>Warrant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Warrant</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09"/>
              <w:spacing w:after="0"/>
              <w:rPr>
                <w:sz w:val="20"/>
                <w:szCs w:val="20"/>
                <w:color w:val="auto"/>
              </w:rPr>
            </w:pPr>
            <w:r>
              <w:rPr>
                <w:rFonts w:ascii="Arial" w:cs="Arial" w:eastAsia="Arial" w:hAnsi="Arial"/>
                <w:sz w:val="14"/>
                <w:szCs w:val="14"/>
                <w:color w:val="auto"/>
                <w:w w:val="91"/>
              </w:rPr>
              <w:t>Grant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Modification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89"/>
              <w:spacing w:after="0"/>
              <w:rPr>
                <w:sz w:val="20"/>
                <w:szCs w:val="20"/>
                <w:color w:val="auto"/>
              </w:rPr>
            </w:pPr>
            <w:r>
              <w:rPr>
                <w:rFonts w:ascii="Arial" w:cs="Arial" w:eastAsia="Arial" w:hAnsi="Arial"/>
                <w:sz w:val="14"/>
                <w:szCs w:val="14"/>
                <w:color w:val="auto"/>
                <w:w w:val="91"/>
              </w:rPr>
              <w:t>9/2/2015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69"/>
              <w:spacing w:after="0"/>
              <w:rPr>
                <w:sz w:val="20"/>
                <w:szCs w:val="20"/>
                <w:color w:val="auto"/>
              </w:rPr>
            </w:pPr>
            <w:r>
              <w:rPr>
                <w:rFonts w:ascii="Arial" w:cs="Arial" w:eastAsia="Arial" w:hAnsi="Arial"/>
                <w:sz w:val="14"/>
                <w:szCs w:val="14"/>
                <w:color w:val="auto"/>
                <w:w w:val="91"/>
              </w:rPr>
              <w:t>11/11/2015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rPr>
              <w:t>Total</w:t>
            </w: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Singh</w:t>
            </w:r>
          </w:p>
        </w:tc>
        <w:tc>
          <w:tcPr>
            <w:tcW w:w="31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1,420,332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17"/>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1,629,574</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Snodgrass</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852,199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132,826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985,025</w:t>
            </w:r>
          </w:p>
        </w:tc>
      </w:tr>
      <w:tr>
        <w:trPr>
          <w:trHeight w:val="17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Dotson</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568,133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635,297</w:t>
            </w:r>
          </w:p>
        </w:tc>
      </w:tr>
      <w:tr>
        <w:trPr>
          <w:trHeight w:val="170"/>
        </w:trPr>
        <w:tc>
          <w:tcPr>
            <w:tcW w:w="4240" w:type="dxa"/>
            <w:vAlign w:val="bottom"/>
            <w:tcBorders>
              <w:top w:val="single" w:sz="8" w:color="CCEEFF"/>
            </w:tcBorders>
          </w:tcPr>
          <w:p>
            <w:pPr>
              <w:spacing w:after="0"/>
              <w:rPr>
                <w:sz w:val="14"/>
                <w:szCs w:val="14"/>
                <w:color w:val="auto"/>
              </w:rPr>
            </w:pPr>
          </w:p>
        </w:tc>
        <w:tc>
          <w:tcPr>
            <w:tcW w:w="296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2,840,664</w:t>
            </w: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409,232</w:t>
            </w: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3,249,896</w:t>
            </w:r>
          </w:p>
        </w:tc>
        <w:tc>
          <w:tcPr>
            <w:tcW w:w="120" w:type="dxa"/>
            <w:vAlign w:val="bottom"/>
            <w:tcBorders>
              <w:top w:val="single" w:sz="8" w:color="CCEEFF"/>
            </w:tcBorders>
          </w:tcPr>
          <w:p>
            <w:pPr>
              <w:spacing w:after="0"/>
              <w:rPr>
                <w:sz w:val="14"/>
                <w:szCs w:val="14"/>
                <w:color w:val="auto"/>
              </w:rPr>
            </w:pPr>
          </w:p>
        </w:tc>
      </w:tr>
      <w:tr>
        <w:trPr>
          <w:trHeight w:val="20"/>
        </w:trPr>
        <w:tc>
          <w:tcPr>
            <w:tcW w:w="4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6"/>
        </w:trPr>
        <w:tc>
          <w:tcPr>
            <w:tcW w:w="4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w w:val="91"/>
              </w:rPr>
              <w:t>Weighted Average (except shares)</w:t>
            </w:r>
          </w:p>
        </w:tc>
      </w:tr>
      <w:tr>
        <w:trPr>
          <w:trHeight w:val="172"/>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Before</w:t>
            </w:r>
          </w:p>
        </w:tc>
        <w:tc>
          <w:tcPr>
            <w:tcW w:w="2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rPr>
              <w:t>After</w:t>
            </w: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9.11</w:t>
            </w: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top w:val="single" w:sz="8" w:color="auto"/>
            </w:tcBorders>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9.25</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w:t>
            </w: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Volatility</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78.75%</w:t>
            </w: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Dividend rate</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r>
      <w:tr>
        <w:trPr>
          <w:trHeight w:val="170"/>
        </w:trPr>
        <w:tc>
          <w:tcPr>
            <w:tcW w:w="424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Fair value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5.68</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Aggregate shares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500,000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952,803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952,803</w:t>
            </w: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600" w:right="340"/>
        <w:spacing w:after="0" w:line="283" w:lineRule="auto"/>
        <w:rPr>
          <w:sz w:val="20"/>
          <w:szCs w:val="20"/>
          <w:color w:val="auto"/>
        </w:rPr>
      </w:pPr>
      <w:r>
        <w:rPr>
          <w:rFonts w:ascii="Arial" w:cs="Arial" w:eastAsia="Arial" w:hAnsi="Arial"/>
          <w:sz w:val="14"/>
          <w:szCs w:val="14"/>
          <w:color w:val="auto"/>
        </w:rPr>
        <w:t>Mr. Singh, Dr. Snodgrass and Mr. Dotson were granted warrants to purchase 250,000, 150,000 and 100,000 restricted shares of our common stock, respectively. We modified warrants to purchase an aggregate of 477,803 shares, 310,000 shares and 165,000 shares held by Mr. Singh, Dr. Snodgrass and Mr. Dotson, respectively.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3" w:name="page114"/>
    <w:bookmarkEnd w:id="11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left="600" w:right="160" w:hanging="595"/>
        <w:spacing w:after="0" w:line="283"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used the Black Scholes Option Pricing Model and the following assumptions for determining the grant date fair value of the warrants to purchase shares of our common stock granted in January 2015.</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934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7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934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10.00</w:t>
            </w:r>
          </w:p>
        </w:tc>
      </w:tr>
      <w:tr>
        <w:trPr>
          <w:trHeight w:val="170"/>
        </w:trPr>
        <w:tc>
          <w:tcPr>
            <w:tcW w:w="93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70"/>
        </w:trPr>
        <w:tc>
          <w:tcPr>
            <w:tcW w:w="9340" w:type="dxa"/>
            <w:vAlign w:val="bottom"/>
          </w:tcPr>
          <w:p>
            <w:pPr>
              <w:spacing w:after="0"/>
              <w:rPr>
                <w:sz w:val="20"/>
                <w:szCs w:val="20"/>
                <w:color w:val="auto"/>
              </w:rPr>
            </w:pPr>
            <w:r>
              <w:rPr>
                <w:rFonts w:ascii="Arial" w:cs="Arial" w:eastAsia="Arial" w:hAnsi="Arial"/>
                <w:sz w:val="14"/>
                <w:szCs w:val="14"/>
                <w:color w:val="auto"/>
              </w:rPr>
              <w:t>Expected Term (years)</w:t>
            </w:r>
          </w:p>
        </w:tc>
        <w:tc>
          <w:tcPr>
            <w:tcW w:w="76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5.0</w:t>
            </w:r>
          </w:p>
        </w:tc>
      </w:tr>
      <w:tr>
        <w:trPr>
          <w:trHeight w:val="170"/>
        </w:trPr>
        <w:tc>
          <w:tcPr>
            <w:tcW w:w="934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75.86%</w:t>
            </w:r>
          </w:p>
        </w:tc>
      </w:tr>
      <w:tr>
        <w:trPr>
          <w:trHeight w:val="170"/>
        </w:trPr>
        <w:tc>
          <w:tcPr>
            <w:tcW w:w="9340" w:type="dxa"/>
            <w:vAlign w:val="bottom"/>
          </w:tcPr>
          <w:p>
            <w:pPr>
              <w:spacing w:after="0"/>
              <w:rPr>
                <w:sz w:val="20"/>
                <w:szCs w:val="20"/>
                <w:color w:val="auto"/>
              </w:rPr>
            </w:pPr>
            <w:r>
              <w:rPr>
                <w:rFonts w:ascii="Arial" w:cs="Arial" w:eastAsia="Arial" w:hAnsi="Arial"/>
                <w:sz w:val="14"/>
                <w:szCs w:val="14"/>
                <w:color w:val="auto"/>
              </w:rPr>
              <w:t>Dividend rate</w:t>
            </w: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9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0"/>
        </w:trPr>
        <w:tc>
          <w:tcPr>
            <w:tcW w:w="9340" w:type="dxa"/>
            <w:vAlign w:val="bottom"/>
          </w:tcPr>
          <w:p>
            <w:pPr>
              <w:spacing w:after="0"/>
              <w:rPr>
                <w:sz w:val="20"/>
                <w:szCs w:val="20"/>
                <w:color w:val="auto"/>
              </w:rPr>
            </w:pPr>
            <w:r>
              <w:rPr>
                <w:rFonts w:ascii="Arial" w:cs="Arial" w:eastAsia="Arial" w:hAnsi="Arial"/>
                <w:sz w:val="14"/>
                <w:szCs w:val="14"/>
                <w:color w:val="auto"/>
              </w:rPr>
              <w:t>Grant date fair value per share</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4.59</w:t>
            </w:r>
          </w:p>
        </w:tc>
      </w:tr>
      <w:tr>
        <w:trPr>
          <w:trHeight w:val="330"/>
        </w:trPr>
        <w:tc>
          <w:tcPr>
            <w:tcW w:w="9340" w:type="dxa"/>
            <w:vAlign w:val="bottom"/>
          </w:tcPr>
          <w:p>
            <w:pPr>
              <w:spacing w:after="0"/>
              <w:rPr>
                <w:sz w:val="20"/>
                <w:szCs w:val="20"/>
                <w:color w:val="auto"/>
              </w:rPr>
            </w:pPr>
            <w:r>
              <w:rPr>
                <w:rFonts w:ascii="Arial" w:cs="Arial" w:eastAsia="Arial" w:hAnsi="Arial"/>
                <w:sz w:val="14"/>
                <w:szCs w:val="14"/>
                <w:color w:val="auto"/>
                <w:w w:val="94"/>
              </w:rPr>
              <w:t>Mr. Singh, Dr. Snodgrass and Mr. Dotson were granted warrants to purchase 150,000, 100,000 and 50,000 restricted shares of our common stock, respectively.</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None of the NEOs is entitled to perquisites or other personal benefits that, in the aggregate, are worth over $50,000 or over 10% of their base salary.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4" w:name="page115"/>
    <w:bookmarkEnd w:id="11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 and Warrants Granted to NEOs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regarding each unexercised stock option and warrant to purchase restricted shares of our common stock held by each of the named executive officers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March 31,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5"/>
          </w:tcPr>
          <w:p>
            <w:pPr>
              <w:jc w:val="center"/>
              <w:ind w:left="889"/>
              <w:spacing w:after="0"/>
              <w:rPr>
                <w:sz w:val="20"/>
                <w:szCs w:val="20"/>
                <w:color w:val="auto"/>
              </w:rPr>
            </w:pPr>
            <w:r>
              <w:rPr>
                <w:rFonts w:ascii="Arial" w:cs="Arial" w:eastAsia="Arial" w:hAnsi="Arial"/>
                <w:sz w:val="14"/>
                <w:szCs w:val="14"/>
                <w:b w:val="1"/>
                <w:bCs w:val="1"/>
                <w:color w:val="auto"/>
                <w:w w:val="92"/>
              </w:rPr>
              <w:t>Stock Options and Warrants</w:t>
            </w:r>
          </w:p>
        </w:tc>
        <w:tc>
          <w:tcPr>
            <w:tcW w:w="96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56"/>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3"/>
          </w:tcPr>
          <w:p>
            <w:pPr>
              <w:jc w:val="center"/>
              <w:ind w:right="380"/>
              <w:spacing w:after="0" w:line="156" w:lineRule="exact"/>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Securities</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Securities</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Underlying</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Underlying</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Option</w:t>
            </w:r>
          </w:p>
        </w:tc>
        <w:tc>
          <w:tcPr>
            <w:tcW w:w="2020" w:type="dxa"/>
            <w:vAlign w:val="bottom"/>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Unexercised</w:t>
            </w:r>
          </w:p>
        </w:tc>
        <w:tc>
          <w:tcPr>
            <w:tcW w:w="15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Unexercised</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Exercise</w:t>
            </w:r>
          </w:p>
        </w:tc>
        <w:tc>
          <w:tcPr>
            <w:tcW w:w="2020" w:type="dxa"/>
            <w:vAlign w:val="bottom"/>
          </w:tcPr>
          <w:p>
            <w:pPr>
              <w:jc w:val="center"/>
              <w:ind w:right="289"/>
              <w:spacing w:after="0"/>
              <w:rPr>
                <w:sz w:val="20"/>
                <w:szCs w:val="20"/>
                <w:color w:val="auto"/>
              </w:rPr>
            </w:pPr>
            <w:r>
              <w:rPr>
                <w:rFonts w:ascii="Arial" w:cs="Arial" w:eastAsia="Arial" w:hAnsi="Arial"/>
                <w:sz w:val="14"/>
                <w:szCs w:val="14"/>
                <w:b w:val="1"/>
                <w:bCs w:val="1"/>
                <w:color w:val="auto"/>
                <w:w w:val="93"/>
              </w:rPr>
              <w:t>Option</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Options</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Price</w:t>
            </w:r>
          </w:p>
        </w:tc>
        <w:tc>
          <w:tcPr>
            <w:tcW w:w="2020" w:type="dxa"/>
            <w:vAlign w:val="bottom"/>
          </w:tcPr>
          <w:p>
            <w:pPr>
              <w:jc w:val="center"/>
              <w:ind w:right="289"/>
              <w:spacing w:after="0"/>
              <w:rPr>
                <w:sz w:val="20"/>
                <w:szCs w:val="20"/>
                <w:color w:val="auto"/>
              </w:rPr>
            </w:pPr>
            <w:r>
              <w:rPr>
                <w:rFonts w:ascii="Arial" w:cs="Arial" w:eastAsia="Arial" w:hAnsi="Arial"/>
                <w:sz w:val="14"/>
                <w:szCs w:val="14"/>
                <w:b w:val="1"/>
                <w:bCs w:val="1"/>
                <w:color w:val="auto"/>
                <w:w w:val="96"/>
              </w:rPr>
              <w:t>Expiration</w:t>
            </w:r>
          </w:p>
        </w:tc>
      </w:tr>
      <w:tr>
        <w:trPr>
          <w:trHeight w:val="186"/>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 Exercisable</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 Unexercisable</w:t>
            </w:r>
          </w:p>
        </w:tc>
        <w:tc>
          <w:tcPr>
            <w:tcW w:w="960" w:type="dxa"/>
            <w:vAlign w:val="bottom"/>
          </w:tcPr>
          <w:p>
            <w:pPr>
              <w:jc w:val="center"/>
              <w:ind w:right="89"/>
              <w:spacing w:after="0"/>
              <w:rPr>
                <w:sz w:val="20"/>
                <w:szCs w:val="20"/>
                <w:color w:val="auto"/>
              </w:rPr>
            </w:pPr>
            <w:r>
              <w:rPr>
                <w:rFonts w:ascii="Arial" w:cs="Arial" w:eastAsia="Arial" w:hAnsi="Arial"/>
                <w:sz w:val="14"/>
                <w:szCs w:val="14"/>
                <w:color w:val="auto"/>
                <w:w w:val="93"/>
              </w:rPr>
              <w:t>($)</w:t>
            </w:r>
          </w:p>
        </w:tc>
        <w:tc>
          <w:tcPr>
            <w:tcW w:w="480" w:type="dxa"/>
            <w:vAlign w:val="bottom"/>
          </w:tcPr>
          <w:p>
            <w:pPr>
              <w:spacing w:after="0"/>
              <w:rPr>
                <w:sz w:val="16"/>
                <w:szCs w:val="16"/>
                <w:color w:val="auto"/>
              </w:rPr>
            </w:pPr>
          </w:p>
        </w:tc>
        <w:tc>
          <w:tcPr>
            <w:tcW w:w="2020" w:type="dxa"/>
            <w:vAlign w:val="bottom"/>
          </w:tcPr>
          <w:p>
            <w:pPr>
              <w:jc w:val="center"/>
              <w:ind w:right="309"/>
              <w:spacing w:after="0"/>
              <w:rPr>
                <w:sz w:val="20"/>
                <w:szCs w:val="20"/>
                <w:color w:val="auto"/>
              </w:rPr>
            </w:pPr>
            <w:r>
              <w:rPr>
                <w:rFonts w:ascii="Arial" w:cs="Arial" w:eastAsia="Arial" w:hAnsi="Arial"/>
                <w:sz w:val="14"/>
                <w:szCs w:val="14"/>
                <w:b w:val="1"/>
                <w:bCs w:val="1"/>
                <w:color w:val="auto"/>
                <w:w w:val="92"/>
              </w:rPr>
              <w:t>Date</w:t>
            </w:r>
          </w:p>
        </w:tc>
      </w:tr>
      <w:tr>
        <w:trPr>
          <w:trHeight w:val="170"/>
        </w:trPr>
        <w:tc>
          <w:tcPr>
            <w:tcW w:w="4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Shawn K. Singh</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16.00</w:t>
            </w:r>
          </w:p>
        </w:tc>
        <w:tc>
          <w:tcPr>
            <w:tcW w:w="2020" w:type="dxa"/>
            <w:vAlign w:val="bottom"/>
            <w:shd w:val="clear" w:color="auto" w:fill="CCEEFF"/>
          </w:tcPr>
          <w:p>
            <w:pPr>
              <w:jc w:val="center"/>
              <w:ind w:right="309"/>
              <w:spacing w:after="0"/>
              <w:rPr>
                <w:sz w:val="20"/>
                <w:szCs w:val="20"/>
                <w:color w:val="auto"/>
              </w:rPr>
            </w:pPr>
            <w:r>
              <w:rPr>
                <w:rFonts w:ascii="Arial" w:cs="Arial" w:eastAsia="Arial" w:hAnsi="Arial"/>
                <w:sz w:val="14"/>
                <w:szCs w:val="14"/>
                <w:color w:val="auto"/>
                <w:w w:val="91"/>
              </w:rPr>
              <w:t>12/21/2016</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14.40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5/17/2017</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1/17/2018</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1/17/2018</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3/24/2019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1,125</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6/17/2019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11/4/2019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21,250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309"/>
              <w:spacing w:after="0"/>
              <w:rPr>
                <w:sz w:val="20"/>
                <w:szCs w:val="20"/>
                <w:color w:val="auto"/>
              </w:rPr>
            </w:pPr>
            <w:r>
              <w:rPr>
                <w:rFonts w:ascii="Arial" w:cs="Arial" w:eastAsia="Arial" w:hAnsi="Arial"/>
                <w:sz w:val="14"/>
                <w:szCs w:val="14"/>
                <w:color w:val="auto"/>
                <w:w w:val="91"/>
              </w:rPr>
              <w:t>12/30/2019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4/26/2021</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4,017</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1,786</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72,000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1"/>
              </w:rPr>
              <w:t>3/3/2023</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4"/>
                <w:szCs w:val="14"/>
                <w:color w:val="auto"/>
              </w:rPr>
              <w:t>150,000</w:t>
            </w:r>
            <w:r>
              <w:rPr>
                <w:rFonts w:ascii="Arial" w:cs="Arial" w:eastAsia="Arial" w:hAnsi="Arial"/>
                <w:sz w:val="19"/>
                <w:szCs w:val="19"/>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1/11/2020</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250,000</w:t>
            </w:r>
            <w:r>
              <w:rPr>
                <w:rFonts w:ascii="Arial" w:cs="Arial" w:eastAsia="Arial" w:hAnsi="Arial"/>
                <w:sz w:val="9"/>
                <w:szCs w:val="9"/>
                <w:color w:val="auto"/>
              </w:rPr>
              <w:t>(3)</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1"/>
              </w:rPr>
              <w:t>9/2/2020</w:t>
            </w:r>
          </w:p>
        </w:tc>
      </w:tr>
      <w:tr>
        <w:trPr>
          <w:trHeight w:val="21"/>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0"/>
        </w:trPr>
        <w:tc>
          <w:tcPr>
            <w:tcW w:w="50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563,178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0"/>
        </w:trPr>
        <w:tc>
          <w:tcPr>
            <w:tcW w:w="5060" w:type="dxa"/>
            <w:vAlign w:val="bottom"/>
            <w:gridSpan w:val="2"/>
          </w:tcPr>
          <w:p>
            <w:pPr>
              <w:spacing w:after="0"/>
              <w:rPr>
                <w:sz w:val="20"/>
                <w:szCs w:val="20"/>
                <w:color w:val="auto"/>
              </w:rPr>
            </w:pPr>
            <w:r>
              <w:rPr>
                <w:rFonts w:ascii="Arial" w:cs="Arial" w:eastAsia="Arial" w:hAnsi="Arial"/>
                <w:sz w:val="14"/>
                <w:szCs w:val="14"/>
                <w:color w:val="auto"/>
              </w:rPr>
              <w:t>H. Ralph Snodgrass, Ph.D.</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319</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17.60</w:t>
            </w:r>
          </w:p>
        </w:tc>
        <w:tc>
          <w:tcPr>
            <w:tcW w:w="2020" w:type="dxa"/>
            <w:vAlign w:val="bottom"/>
          </w:tcPr>
          <w:p>
            <w:pPr>
              <w:jc w:val="center"/>
              <w:ind w:right="309"/>
              <w:spacing w:after="0"/>
              <w:rPr>
                <w:sz w:val="20"/>
                <w:szCs w:val="20"/>
                <w:color w:val="auto"/>
              </w:rPr>
            </w:pPr>
            <w:r>
              <w:rPr>
                <w:rFonts w:ascii="Arial" w:cs="Arial" w:eastAsia="Arial" w:hAnsi="Arial"/>
                <w:sz w:val="14"/>
                <w:szCs w:val="14"/>
                <w:color w:val="auto"/>
                <w:w w:val="91"/>
              </w:rPr>
              <w:t>12/20/2016</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3/24/2019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1,250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6/17/2019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12,500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309"/>
              <w:spacing w:after="0"/>
              <w:rPr>
                <w:sz w:val="20"/>
                <w:szCs w:val="20"/>
                <w:color w:val="auto"/>
              </w:rPr>
            </w:pPr>
            <w:r>
              <w:rPr>
                <w:rFonts w:ascii="Arial" w:cs="Arial" w:eastAsia="Arial" w:hAnsi="Arial"/>
                <w:sz w:val="14"/>
                <w:szCs w:val="14"/>
                <w:color w:val="auto"/>
                <w:w w:val="91"/>
              </w:rPr>
              <w:t>12/30/2019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5,000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4/26/2016</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1"/>
              </w:rPr>
              <w:t>3/3/2023</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1,875</w:t>
            </w:r>
          </w:p>
        </w:tc>
        <w:tc>
          <w:tcPr>
            <w:tcW w:w="1400" w:type="dxa"/>
            <w:vAlign w:val="bottom"/>
            <w:gridSpan w:val="2"/>
          </w:tcPr>
          <w:p>
            <w:pPr>
              <w:jc w:val="right"/>
              <w:ind w:right="120"/>
              <w:spacing w:after="0" w:line="171" w:lineRule="exact"/>
              <w:rPr>
                <w:sz w:val="20"/>
                <w:szCs w:val="20"/>
                <w:color w:val="auto"/>
              </w:rPr>
            </w:pPr>
            <w:r>
              <w:rPr>
                <w:rFonts w:ascii="Arial" w:cs="Arial" w:eastAsia="Arial" w:hAnsi="Arial"/>
                <w:sz w:val="14"/>
                <w:szCs w:val="14"/>
                <w:color w:val="auto"/>
              </w:rPr>
              <w:t>625</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5,625</w:t>
            </w:r>
          </w:p>
        </w:tc>
        <w:tc>
          <w:tcPr>
            <w:tcW w:w="140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4"/>
                <w:szCs w:val="14"/>
                <w:color w:val="auto"/>
              </w:rPr>
              <w:t>1,875</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20"/>
              <w:spacing w:after="0" w:line="171" w:lineRule="exact"/>
              <w:rPr>
                <w:sz w:val="20"/>
                <w:szCs w:val="20"/>
                <w:color w:val="auto"/>
              </w:rPr>
            </w:pPr>
            <w:r>
              <w:rPr>
                <w:rFonts w:ascii="Arial" w:cs="Arial" w:eastAsia="Arial" w:hAnsi="Arial"/>
                <w:sz w:val="14"/>
                <w:szCs w:val="14"/>
                <w:color w:val="auto"/>
              </w:rPr>
              <w:t>100,000</w:t>
            </w:r>
            <w:r>
              <w:rPr>
                <w:rFonts w:ascii="Arial" w:cs="Arial" w:eastAsia="Arial" w:hAnsi="Arial"/>
                <w:sz w:val="19"/>
                <w:szCs w:val="19"/>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1/11/2020</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150,000</w:t>
            </w:r>
            <w:r>
              <w:rPr>
                <w:rFonts w:ascii="Arial" w:cs="Arial" w:eastAsia="Arial" w:hAnsi="Arial"/>
                <w:sz w:val="9"/>
                <w:szCs w:val="9"/>
                <w:color w:val="auto"/>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9/20/2020</w:t>
            </w:r>
          </w:p>
        </w:tc>
      </w:tr>
      <w:tr>
        <w:trPr>
          <w:trHeight w:val="21"/>
        </w:trPr>
        <w:tc>
          <w:tcPr>
            <w:tcW w:w="4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r>
      <w:tr>
        <w:trPr>
          <w:trHeight w:val="170"/>
        </w:trPr>
        <w:tc>
          <w:tcPr>
            <w:tcW w:w="50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329,069</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2,500</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0"/>
        </w:trPr>
        <w:tc>
          <w:tcPr>
            <w:tcW w:w="5060" w:type="dxa"/>
            <w:vAlign w:val="bottom"/>
            <w:gridSpan w:val="2"/>
          </w:tcPr>
          <w:p>
            <w:pPr>
              <w:spacing w:after="0"/>
              <w:rPr>
                <w:sz w:val="20"/>
                <w:szCs w:val="20"/>
                <w:color w:val="auto"/>
              </w:rPr>
            </w:pPr>
            <w:r>
              <w:rPr>
                <w:rFonts w:ascii="Arial" w:cs="Arial" w:eastAsia="Arial" w:hAnsi="Arial"/>
                <w:sz w:val="14"/>
                <w:szCs w:val="14"/>
                <w:color w:val="auto"/>
              </w:rPr>
              <w:t>Jerrold D. Dotson</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5,001</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309"/>
              <w:spacing w:after="0"/>
              <w:rPr>
                <w:sz w:val="20"/>
                <w:szCs w:val="20"/>
                <w:color w:val="auto"/>
              </w:rPr>
            </w:pPr>
            <w:r>
              <w:rPr>
                <w:rFonts w:ascii="Arial" w:cs="Arial" w:eastAsia="Arial" w:hAnsi="Arial"/>
                <w:sz w:val="14"/>
                <w:szCs w:val="14"/>
                <w:color w:val="auto"/>
                <w:w w:val="91"/>
              </w:rPr>
              <w:t>10/30/2022</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8.00</w:t>
            </w:r>
          </w:p>
        </w:tc>
        <w:tc>
          <w:tcPr>
            <w:tcW w:w="2020" w:type="dxa"/>
            <w:vAlign w:val="bottom"/>
            <w:shd w:val="clear" w:color="auto" w:fill="CCEEFF"/>
          </w:tcPr>
          <w:p>
            <w:pPr>
              <w:jc w:val="center"/>
              <w:ind w:right="309"/>
              <w:spacing w:after="0"/>
              <w:rPr>
                <w:sz w:val="20"/>
                <w:szCs w:val="20"/>
                <w:color w:val="auto"/>
              </w:rPr>
            </w:pPr>
            <w:r>
              <w:rPr>
                <w:rFonts w:ascii="Arial" w:cs="Arial" w:eastAsia="Arial" w:hAnsi="Arial"/>
                <w:sz w:val="14"/>
                <w:szCs w:val="14"/>
                <w:color w:val="auto"/>
                <w:w w:val="91"/>
              </w:rPr>
              <w:t>10/27/2023</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10,000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1"/>
              </w:rPr>
              <w:t>3/3/2023</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3,750</w:t>
            </w:r>
          </w:p>
        </w:tc>
        <w:tc>
          <w:tcPr>
            <w:tcW w:w="140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4"/>
                <w:szCs w:val="14"/>
                <w:color w:val="auto"/>
              </w:rPr>
              <w:t>1,250</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20"/>
              <w:spacing w:after="0" w:line="171" w:lineRule="exact"/>
              <w:rPr>
                <w:sz w:val="20"/>
                <w:szCs w:val="20"/>
                <w:color w:val="auto"/>
              </w:rPr>
            </w:pPr>
            <w:r>
              <w:rPr>
                <w:rFonts w:ascii="Arial" w:cs="Arial" w:eastAsia="Arial" w:hAnsi="Arial"/>
                <w:sz w:val="14"/>
                <w:szCs w:val="14"/>
                <w:color w:val="auto"/>
              </w:rPr>
              <w:t>50,000</w:t>
            </w:r>
            <w:r>
              <w:rPr>
                <w:rFonts w:ascii="Arial" w:cs="Arial" w:eastAsia="Arial" w:hAnsi="Arial"/>
                <w:sz w:val="19"/>
                <w:szCs w:val="19"/>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1/11/2020</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100,000</w:t>
            </w:r>
            <w:r>
              <w:rPr>
                <w:rFonts w:ascii="Arial" w:cs="Arial" w:eastAsia="Arial" w:hAnsi="Arial"/>
                <w:sz w:val="9"/>
                <w:szCs w:val="9"/>
                <w:color w:val="auto"/>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1"/>
              </w:rPr>
              <w:t>9/2/2020</w:t>
            </w:r>
          </w:p>
        </w:tc>
      </w:tr>
      <w:tr>
        <w:trPr>
          <w:trHeight w:val="21"/>
        </w:trPr>
        <w:tc>
          <w:tcPr>
            <w:tcW w:w="4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r>
      <w:tr>
        <w:trPr>
          <w:trHeight w:val="184"/>
        </w:trPr>
        <w:tc>
          <w:tcPr>
            <w:tcW w:w="50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169,751</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1,250</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64"/>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color w:val="auto"/>
              </w:rPr>
              <w:t>-110-</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92"/>
        </w:trPr>
        <w:tc>
          <w:tcPr>
            <w:tcW w:w="49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5" w:name="page116"/>
    <w:bookmarkEnd w:id="11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80" w:right="180" w:hanging="375"/>
        <w:spacing w:after="0" w:line="268" w:lineRule="auto"/>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warrant to purchase restricted shares of our common stock granted on March 19, 2014 when the market price of our common stock was $9.20 per share. The warrant became exercisable for 50% of the shares on April 1, 2014, and became exercisable for an additional 25% of the shares on April 1, 2015. The warrant became exercisable for the remaining 25% of the shares on April 1, 2016.</w:t>
      </w:r>
    </w:p>
    <w:p>
      <w:pPr>
        <w:spacing w:after="0" w:line="142" w:lineRule="exact"/>
        <w:rPr>
          <w:rFonts w:ascii="Arial" w:cs="Arial" w:eastAsia="Arial" w:hAnsi="Arial"/>
          <w:sz w:val="14"/>
          <w:szCs w:val="14"/>
          <w:color w:val="auto"/>
        </w:rPr>
      </w:pPr>
    </w:p>
    <w:p>
      <w:pPr>
        <w:ind w:left="380" w:right="840" w:hanging="375"/>
        <w:spacing w:after="0" w:line="283" w:lineRule="auto"/>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a warrant to purchase restricted shares of our common stock granted as fully exercisable on January 11, 2015 when the market price of our common stock was $8.00 per share. Warrant was modified on November 11, 2015 to reduce the exercise price to $7.00 per share.</w:t>
      </w:r>
    </w:p>
    <w:p>
      <w:pPr>
        <w:spacing w:after="0" w:line="131" w:lineRule="exact"/>
        <w:rPr>
          <w:rFonts w:ascii="Arial" w:cs="Arial" w:eastAsia="Arial" w:hAnsi="Arial"/>
          <w:sz w:val="14"/>
          <w:szCs w:val="14"/>
          <w:color w:val="auto"/>
        </w:rPr>
      </w:pPr>
    </w:p>
    <w:p>
      <w:pPr>
        <w:ind w:left="380" w:right="760" w:hanging="375"/>
        <w:spacing w:after="0" w:line="283" w:lineRule="auto"/>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a warrant to purchase restricted shares of our common stock granted as fully exercisable on September 2, 2015 when the market price of our common stock was $9.11 per share. Warrant was modified on November 11, 2015 to reduce the exercise price to $7.00 per share.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or Severance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have employment agreements with Mr. Singh and Dr. Snodgrass.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Singh Agreement</w:t>
      </w:r>
    </w:p>
    <w:p>
      <w:pPr>
        <w:spacing w:after="0" w:line="180" w:lineRule="exact"/>
        <w:rPr>
          <w:sz w:val="20"/>
          <w:szCs w:val="20"/>
          <w:color w:val="auto"/>
        </w:rPr>
      </w:pPr>
    </w:p>
    <w:p>
      <w:pPr>
        <w:ind w:right="100"/>
        <w:spacing w:after="0" w:line="290" w:lineRule="auto"/>
        <w:rPr>
          <w:sz w:val="20"/>
          <w:szCs w:val="20"/>
          <w:color w:val="auto"/>
        </w:rPr>
      </w:pPr>
      <w:r>
        <w:rPr>
          <w:rFonts w:ascii="Arial" w:cs="Arial" w:eastAsia="Arial" w:hAnsi="Arial"/>
          <w:sz w:val="13"/>
          <w:szCs w:val="13"/>
          <w:color w:val="auto"/>
        </w:rPr>
        <w:t>We entered into an employment agreement with Mr. Singh on April 28, 2010. Under the agreement, as amended on May 9, 2011, Mr. Singh’s base salary is $347,500 per year. However, to conserve cash for our operations, during our fiscal year ended March 31, 2015, Mr. Singh received only $82,813 in cash. Although, under his agreement, Mr. Singh is eligible to receive an annual incentive cash bonus of up to 50% of his base salary, he has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01" w:lineRule="exact"/>
        <w:rPr>
          <w:sz w:val="20"/>
          <w:szCs w:val="20"/>
          <w:color w:val="auto"/>
        </w:rPr>
      </w:pPr>
    </w:p>
    <w:p>
      <w:pPr>
        <w:ind w:left="500" w:hanging="495"/>
        <w:spacing w:after="0"/>
        <w:tabs>
          <w:tab w:leader="none" w:pos="500" w:val="left"/>
        </w:tabs>
        <w:numPr>
          <w:ilvl w:val="0"/>
          <w:numId w:val="58"/>
        </w:numPr>
        <w:rPr>
          <w:rFonts w:ascii="Arial" w:cs="Arial" w:eastAsia="Arial" w:hAnsi="Arial"/>
          <w:sz w:val="20"/>
          <w:szCs w:val="20"/>
          <w:color w:val="auto"/>
          <w:vertAlign w:val="superscript"/>
        </w:rPr>
      </w:pPr>
      <w:r>
        <w:rPr>
          <w:rFonts w:ascii="Arial" w:cs="Arial" w:eastAsia="Arial" w:hAnsi="Arial"/>
          <w:sz w:val="14"/>
          <w:szCs w:val="14"/>
          <w:color w:val="auto"/>
        </w:rPr>
        <w:t>twelve months of his then-current base salary payable in the form of salary continuation;</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8"/>
        </w:numPr>
        <w:rPr>
          <w:rFonts w:ascii="Arial" w:cs="Arial" w:eastAsia="Arial" w:hAnsi="Arial"/>
          <w:sz w:val="20"/>
          <w:szCs w:val="20"/>
          <w:color w:val="auto"/>
          <w:vertAlign w:val="superscript"/>
        </w:rPr>
      </w:pPr>
      <w:r>
        <w:rPr>
          <w:rFonts w:ascii="Arial" w:cs="Arial" w:eastAsia="Arial" w:hAnsi="Arial"/>
          <w:sz w:val="14"/>
          <w:szCs w:val="14"/>
          <w:color w:val="auto"/>
        </w:rPr>
        <w:t>a pro-rated portion of the incentive cash bonus that the Board of Directors determines in good faith that Mr. Singh earned prior to his termination; and</w:t>
      </w:r>
    </w:p>
    <w:p>
      <w:pPr>
        <w:spacing w:after="0" w:line="143"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such amounts required to reimburse him for Consolidated Omnibus Budget Reconciliation Act (</w:t>
      </w:r>
      <w:r>
        <w:rPr>
          <w:rFonts w:ascii="Arial" w:cs="Arial" w:eastAsia="Arial" w:hAnsi="Arial"/>
          <w:sz w:val="13"/>
          <w:szCs w:val="13"/>
          <w:i w:val="1"/>
          <w:iCs w:val="1"/>
          <w:color w:val="auto"/>
        </w:rPr>
        <w:t>COBRA</w:t>
      </w:r>
      <w:r>
        <w:rPr>
          <w:rFonts w:ascii="Arial" w:cs="Arial" w:eastAsia="Arial" w:hAnsi="Arial"/>
          <w:sz w:val="13"/>
          <w:szCs w:val="13"/>
          <w:color w:val="auto"/>
        </w:rPr>
        <w:t>) payments for continuation of his medical health benefits for such twelve-month period.</w:t>
      </w:r>
    </w:p>
    <w:p>
      <w:pPr>
        <w:spacing w:after="0" w:line="160"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In addition, in the event Mr. Singh terminates his employment with good reason following a change of control, he is entitled to twelve months of his then-current base salary payable in the form of salary continuation.</w:t>
      </w:r>
    </w:p>
    <w:p>
      <w:pPr>
        <w:spacing w:after="0" w:line="131"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In December 2006, we accepted a full-recourse promissory note in the amount of $103,411 from Mr. Singh in payment of the exercise price for options and warrants to purchase an aggregate of 6,320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2015 and 2014, we had accrued $101,936 as an estimate of the gross-up amount, which amount was subsequently paid. See Note 14 to our audited Consolidated Financial Statements for the fiscal years ended March 31, 2015 and 2014, which are included in this prospectus.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6" w:name="page117"/>
    <w:bookmarkEnd w:id="11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Snodgrass Agreement</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entered into an employment agreement with Dr. Snodgrass on April 28, 2010. Under the agreement, as amended on May 9, 2011, Dr. Snodgrass’s base salary is $305,000 per year. However, to conserve cash for our operations, during our fiscal year ended March 31, 2015, Dr. Snodgrass received only $157,292 in cash. Dr. Snodgrass is eligible to receive an annual incentive cash bonus of up to 50% of his base salary, but he has foregone any such cash bonus payment to conserve cash for our operations. Payment of his annual incentive bonus is at the discretion of the Board of Directors. In the event we terminate Dr. Snodgrass’s employment without cause, he is entitled to receive severance in an amount equal to:</w:t>
      </w:r>
    </w:p>
    <w:p>
      <w:pPr>
        <w:spacing w:after="0" w:line="97" w:lineRule="exact"/>
        <w:rPr>
          <w:sz w:val="20"/>
          <w:szCs w:val="20"/>
          <w:color w:val="auto"/>
        </w:rPr>
      </w:pPr>
    </w:p>
    <w:p>
      <w:pPr>
        <w:ind w:left="500" w:hanging="495"/>
        <w:spacing w:after="0"/>
        <w:tabs>
          <w:tab w:leader="none" w:pos="50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twelve months of his then-current base salary payable in the form of salary continuation;</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a pro-rated portion of the incentive bonus that the Board of Directors determines in good faith that Dr. Snodgrass earned prior to his termination; and</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such amounts required to reimburse him for COBRA payments for continuation of his medical health benefits for such twelve-month period.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In addition, in the event Dr. Snodgrass terminates his employment with good reason, he is entitled to twelve months of his then-current base salary payable in the form of salary continuation.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of Control Provisions</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affected by us without the executive’s consent (subject to our right to cure):</w:t>
      </w:r>
    </w:p>
    <w:p>
      <w:pPr>
        <w:spacing w:after="0" w:line="114" w:lineRule="exact"/>
        <w:rPr>
          <w:sz w:val="20"/>
          <w:szCs w:val="20"/>
          <w:color w:val="auto"/>
        </w:rPr>
      </w:pPr>
    </w:p>
    <w:p>
      <w:pPr>
        <w:ind w:left="500" w:hanging="495"/>
        <w:spacing w:after="0"/>
        <w:tabs>
          <w:tab w:leader="none" w:pos="500" w:val="left"/>
        </w:tabs>
        <w:numPr>
          <w:ilvl w:val="0"/>
          <w:numId w:val="60"/>
        </w:numPr>
        <w:rPr>
          <w:rFonts w:ascii="Arial" w:cs="Arial" w:eastAsia="Arial" w:hAnsi="Arial"/>
          <w:sz w:val="20"/>
          <w:szCs w:val="20"/>
          <w:color w:val="auto"/>
          <w:vertAlign w:val="superscript"/>
        </w:rPr>
      </w:pPr>
      <w:r>
        <w:rPr>
          <w:rFonts w:ascii="Arial" w:cs="Arial" w:eastAsia="Arial" w:hAnsi="Arial"/>
          <w:sz w:val="14"/>
          <w:szCs w:val="14"/>
          <w:color w:val="auto"/>
        </w:rPr>
        <w:t>a material reduction in the executive’s responsibility; or</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60"/>
        </w:numPr>
        <w:rPr>
          <w:rFonts w:ascii="Arial" w:cs="Arial" w:eastAsia="Arial" w:hAnsi="Arial"/>
          <w:sz w:val="20"/>
          <w:szCs w:val="20"/>
          <w:color w:val="auto"/>
          <w:vertAlign w:val="superscript"/>
        </w:rPr>
      </w:pPr>
      <w:r>
        <w:rPr>
          <w:rFonts w:ascii="Arial" w:cs="Arial" w:eastAsia="Arial" w:hAnsi="Arial"/>
          <w:sz w:val="14"/>
          <w:szCs w:val="14"/>
          <w:color w:val="auto"/>
        </w:rPr>
        <w:t>a material reduction in the executive’s base salary except for reductions that are comparable to reductions generally applicable to similarly situated executives of VistaGen.</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63" w:lineRule="exact"/>
        <w:rPr>
          <w:sz w:val="20"/>
          <w:szCs w:val="20"/>
          <w:color w:val="auto"/>
        </w:rPr>
      </w:pPr>
    </w:p>
    <w:p>
      <w:pPr>
        <w:ind w:right="140"/>
        <w:spacing w:after="0" w:line="302" w:lineRule="auto"/>
        <w:rPr>
          <w:sz w:val="20"/>
          <w:szCs w:val="20"/>
          <w:color w:val="auto"/>
        </w:rPr>
      </w:pPr>
      <w:r>
        <w:rPr>
          <w:rFonts w:ascii="Arial" w:cs="Arial" w:eastAsia="Arial" w:hAnsi="Arial"/>
          <w:sz w:val="12"/>
          <w:szCs w:val="12"/>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w:t>
      </w:r>
    </w:p>
    <w:p>
      <w:pPr>
        <w:ind w:firstLine="5"/>
        <w:spacing w:after="0" w:line="267" w:lineRule="auto"/>
        <w:tabs>
          <w:tab w:leader="none" w:pos="248"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64"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53"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7" w:name="page118"/>
    <w:bookmarkEnd w:id="11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 COMPENSATION</w:t>
      </w:r>
    </w:p>
    <w:p>
      <w:pPr>
        <w:spacing w:after="0" w:line="184"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retainer, payable in cash or shares of common stock.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did not pay our independent directors any cash compensation during our fiscal years ended March 31, 2016 or 2015.</w:t>
      </w:r>
    </w:p>
    <w:p>
      <w:pPr>
        <w:spacing w:after="0" w:line="135"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Under our director compensation policy, as updated in March 2016, each independent director will also receive an annual grant of an option or warrant to purchase a minimum of 12,000 shares of our common stock, which will vest monthly over a one-year period from the date of grant. In September 2015, we granted fully vested warrants to purchase 50,000 shares of our restricted common stock at an exercise price of $9.25 per share to each of Mr. Saxe and Dr. Underdown. In November 2015, we modified those warrants, and others granted to them previously, to reduce the exercise price to $7.00 per share. On March 30, 2016, we granted an option to purchase 25,000 shares of our common stock to Dr. Gin upon his appointment to the Board, in accordance with the director compensation policy described above. We expect to make future grants on the same date as our annual meeting, or as soon thereafter as reasonably practicable. Prorated grants will be made for partial years of service.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a summary of the compensation earned by our non-employee directors in our fiscal year ended March 31,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Fees Earned or</w:t>
            </w:r>
          </w:p>
        </w:tc>
        <w:tc>
          <w:tcPr>
            <w:tcW w:w="15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Option and Warrant</w:t>
            </w:r>
          </w:p>
        </w:tc>
        <w:tc>
          <w:tcPr>
            <w:tcW w:w="160" w:type="dxa"/>
            <w:vAlign w:val="bottom"/>
          </w:tcPr>
          <w:p>
            <w:pPr>
              <w:spacing w:after="0"/>
              <w:rPr>
                <w:sz w:val="14"/>
                <w:szCs w:val="14"/>
                <w:color w:val="auto"/>
              </w:rPr>
            </w:pPr>
          </w:p>
        </w:tc>
        <w:tc>
          <w:tcPr>
            <w:tcW w:w="1160" w:type="dxa"/>
            <w:vAlign w:val="bottom"/>
          </w:tcPr>
          <w:p>
            <w:pPr>
              <w:jc w:val="center"/>
              <w:ind w:right="89"/>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line="171" w:lineRule="exact"/>
              <w:rPr>
                <w:sz w:val="20"/>
                <w:szCs w:val="20"/>
                <w:color w:val="auto"/>
              </w:rPr>
            </w:pPr>
            <w:r>
              <w:rPr>
                <w:rFonts w:ascii="Arial" w:cs="Arial" w:eastAsia="Arial" w:hAnsi="Arial"/>
                <w:sz w:val="14"/>
                <w:szCs w:val="14"/>
                <w:b w:val="1"/>
                <w:bCs w:val="1"/>
                <w:color w:val="auto"/>
                <w:w w:val="88"/>
              </w:rPr>
              <w:t xml:space="preserve">Paid in Cash </w:t>
            </w:r>
            <w:r>
              <w:rPr>
                <w:rFonts w:ascii="Arial" w:cs="Arial" w:eastAsia="Arial" w:hAnsi="Arial"/>
                <w:sz w:val="19"/>
                <w:szCs w:val="19"/>
                <w:b w:val="1"/>
                <w:bCs w:val="1"/>
                <w:color w:val="auto"/>
                <w:w w:val="88"/>
                <w:vertAlign w:val="superscript"/>
              </w:rPr>
              <w:t>(1)</w:t>
            </w:r>
          </w:p>
        </w:tc>
        <w:tc>
          <w:tcPr>
            <w:tcW w:w="220" w:type="dxa"/>
            <w:vAlign w:val="bottom"/>
          </w:tcPr>
          <w:p>
            <w:pPr>
              <w:spacing w:after="0"/>
              <w:rPr>
                <w:sz w:val="14"/>
                <w:szCs w:val="14"/>
                <w:color w:val="auto"/>
              </w:rPr>
            </w:pPr>
          </w:p>
        </w:tc>
        <w:tc>
          <w:tcPr>
            <w:tcW w:w="1320" w:type="dxa"/>
            <w:vAlign w:val="bottom"/>
            <w:gridSpan w:val="2"/>
          </w:tcPr>
          <w:p>
            <w:pPr>
              <w:jc w:val="center"/>
              <w:ind w:right="460"/>
              <w:spacing w:after="0" w:line="171" w:lineRule="exact"/>
              <w:rPr>
                <w:sz w:val="20"/>
                <w:szCs w:val="20"/>
                <w:color w:val="auto"/>
              </w:rPr>
            </w:pPr>
            <w:r>
              <w:rPr>
                <w:rFonts w:ascii="Arial" w:cs="Arial" w:eastAsia="Arial" w:hAnsi="Arial"/>
                <w:sz w:val="14"/>
                <w:szCs w:val="14"/>
                <w:b w:val="1"/>
                <w:bCs w:val="1"/>
                <w:color w:val="auto"/>
                <w:w w:val="88"/>
              </w:rPr>
              <w:t xml:space="preserve">Awards </w:t>
            </w:r>
            <w:r>
              <w:rPr>
                <w:rFonts w:ascii="Arial" w:cs="Arial" w:eastAsia="Arial" w:hAnsi="Arial"/>
                <w:sz w:val="19"/>
                <w:szCs w:val="19"/>
                <w:b w:val="1"/>
                <w:bCs w:val="1"/>
                <w:color w:val="auto"/>
                <w:w w:val="88"/>
                <w:vertAlign w:val="superscript"/>
              </w:rPr>
              <w:t>(2)</w:t>
            </w:r>
          </w:p>
        </w:tc>
        <w:tc>
          <w:tcPr>
            <w:tcW w:w="160" w:type="dxa"/>
            <w:vAlign w:val="bottom"/>
          </w:tcPr>
          <w:p>
            <w:pPr>
              <w:spacing w:after="0"/>
              <w:rPr>
                <w:sz w:val="14"/>
                <w:szCs w:val="14"/>
                <w:color w:val="auto"/>
              </w:rPr>
            </w:pPr>
          </w:p>
        </w:tc>
        <w:tc>
          <w:tcPr>
            <w:tcW w:w="116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86"/>
        </w:trPr>
        <w:tc>
          <w:tcPr>
            <w:tcW w:w="3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r>
      <w:tr>
        <w:trPr>
          <w:trHeight w:val="170"/>
        </w:trPr>
        <w:tc>
          <w:tcPr>
            <w:tcW w:w="3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5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(3)</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52,500</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324,816</w:t>
            </w:r>
            <w:r>
              <w:rPr>
                <w:rFonts w:ascii="Arial" w:cs="Arial" w:eastAsia="Arial" w:hAnsi="Arial"/>
                <w:sz w:val="9"/>
                <w:szCs w:val="9"/>
                <w:color w:val="auto"/>
              </w:rPr>
              <w:t>(6)</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377,316</w:t>
            </w:r>
          </w:p>
        </w:tc>
        <w:tc>
          <w:tcPr>
            <w:tcW w:w="120" w:type="dxa"/>
            <w:vAlign w:val="bottom"/>
            <w:shd w:val="clear" w:color="auto" w:fill="CCEEFF"/>
          </w:tcPr>
          <w:p>
            <w:pPr>
              <w:spacing w:after="0"/>
              <w:rPr>
                <w:sz w:val="14"/>
                <w:szCs w:val="14"/>
                <w:color w:val="auto"/>
              </w:rPr>
            </w:pPr>
          </w:p>
        </w:tc>
      </w:tr>
      <w:tr>
        <w:trPr>
          <w:trHeight w:val="170"/>
        </w:trPr>
        <w:tc>
          <w:tcPr>
            <w:tcW w:w="3540" w:type="dxa"/>
            <w:vAlign w:val="bottom"/>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(4)</w:t>
            </w:r>
          </w:p>
        </w:tc>
        <w:tc>
          <w:tcPr>
            <w:tcW w:w="19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57,500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324,400</w:t>
            </w:r>
            <w:r>
              <w:rPr>
                <w:rFonts w:ascii="Arial" w:cs="Arial" w:eastAsia="Arial" w:hAnsi="Arial"/>
                <w:sz w:val="9"/>
                <w:szCs w:val="9"/>
                <w:color w:val="auto"/>
              </w:rPr>
              <w:t>(6)</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381,900</w:t>
            </w:r>
          </w:p>
        </w:tc>
        <w:tc>
          <w:tcPr>
            <w:tcW w:w="120" w:type="dxa"/>
            <w:vAlign w:val="bottom"/>
          </w:tcPr>
          <w:p>
            <w:pPr>
              <w:spacing w:after="0"/>
              <w:rPr>
                <w:sz w:val="14"/>
                <w:szCs w:val="14"/>
                <w:color w:val="auto"/>
              </w:rPr>
            </w:pPr>
          </w:p>
        </w:tc>
      </w:tr>
      <w:tr>
        <w:trPr>
          <w:trHeight w:val="170"/>
        </w:trPr>
        <w:tc>
          <w:tcPr>
            <w:tcW w:w="35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Jerry B. Gin, Ph.D., M.B.A </w:t>
            </w:r>
            <w:r>
              <w:rPr>
                <w:rFonts w:ascii="Arial" w:cs="Arial" w:eastAsia="Arial" w:hAnsi="Arial"/>
                <w:sz w:val="19"/>
                <w:szCs w:val="19"/>
                <w:color w:val="auto"/>
                <w:vertAlign w:val="superscript"/>
              </w:rPr>
              <w:t>(5)</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181,103</w:t>
            </w:r>
            <w:r>
              <w:rPr>
                <w:rFonts w:ascii="Arial" w:cs="Arial" w:eastAsia="Arial" w:hAnsi="Arial"/>
                <w:sz w:val="9"/>
                <w:szCs w:val="9"/>
                <w:color w:val="auto"/>
              </w:rPr>
              <w:t>(7)</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181,103</w:t>
            </w: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500" w:right="400" w:hanging="495"/>
        <w:spacing w:after="0" w:line="323" w:lineRule="auto"/>
        <w:tabs>
          <w:tab w:leader="none" w:pos="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shown represent fees earned for service on our Board of Directors, and Audit Committee, Compensation Committee and Corporate Governance and Nominating Committee during the fiscal year ended March 31, 2016 which we have accrued but did not pay to the director during that period or through the date of this prospectus.</w:t>
      </w:r>
    </w:p>
    <w:p>
      <w:pPr>
        <w:spacing w:after="0" w:line="108" w:lineRule="exact"/>
        <w:rPr>
          <w:rFonts w:ascii="Arial" w:cs="Arial" w:eastAsia="Arial" w:hAnsi="Arial"/>
          <w:sz w:val="13"/>
          <w:szCs w:val="13"/>
          <w:color w:val="auto"/>
        </w:rPr>
      </w:pPr>
    </w:p>
    <w:p>
      <w:pPr>
        <w:ind w:left="500" w:right="120" w:hanging="495"/>
        <w:spacing w:after="0" w:line="283" w:lineRule="auto"/>
        <w:tabs>
          <w:tab w:leader="none" w:pos="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in the Option and Warrant Awards column represent the aggregate grant date fair value of warrants or options to purchase shares of our common stock awarded to Mr. Saxe, Dr. Underdown and Dr. Gin, and the effect of modifications to prior grants of warrants to Mr. Saxe and Dr. Underdown occurring during our fiscal year ended March 31, 2016, computed in accordance with the Financial Accounting Standards Board’s Accounting Standards Codification Topic 718, Compensation – Stock Compensation (</w:t>
      </w:r>
      <w:r>
        <w:rPr>
          <w:rFonts w:ascii="Arial" w:cs="Arial" w:eastAsia="Arial" w:hAnsi="Arial"/>
          <w:sz w:val="13"/>
          <w:szCs w:val="13"/>
          <w:i w:val="1"/>
          <w:iCs w:val="1"/>
          <w:color w:val="auto"/>
        </w:rPr>
        <w:t>ASC 718</w:t>
      </w:r>
      <w:r>
        <w:rPr>
          <w:rFonts w:ascii="Arial" w:cs="Arial" w:eastAsia="Arial" w:hAnsi="Arial"/>
          <w:sz w:val="13"/>
          <w:szCs w:val="13"/>
          <w:color w:val="auto"/>
        </w:rPr>
        <w:t>). The amounts in this column do not represent any cash payments actually received by Mr. Saxe, Dr. Underdown or Dr. Gin with respect to any of such warrants or options to purchase shares of our common stock awarded to them during the fiscal year ended March 31, 2016. To date, Mr. Saxe, Dr. Underdown and Dr. Gin have not exercised such warrants or options to purchase common stock, and there can be no assurance that any of them will ever realize any of the ASC 718 grant date fair value amounts presented in the Option and Warrant Awards column.</w:t>
      </w:r>
    </w:p>
    <w:p>
      <w:pPr>
        <w:spacing w:after="0" w:line="156" w:lineRule="exact"/>
        <w:rPr>
          <w:rFonts w:ascii="Arial" w:cs="Arial" w:eastAsia="Arial" w:hAnsi="Arial"/>
          <w:sz w:val="13"/>
          <w:szCs w:val="13"/>
          <w:color w:val="auto"/>
        </w:rPr>
      </w:pPr>
    </w:p>
    <w:p>
      <w:pPr>
        <w:ind w:left="500" w:right="180" w:hanging="495"/>
        <w:spacing w:after="0" w:line="263"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Saxe has served as the Chairman of our Board of Directors, the Chairman of our Audit Committee and a member of our Compensation Committee and Corporate Governance and Nominating Committee throughout our fiscal year ended March 31, 2016. At March 31, 2016, Mr. Saxe holds: (i) 1,875 restricted shares of our common stock; (ii) fully-vested options to purchase 12,250 registered shares of our common stock; and (iii) warrants to purchase 83,250 restricted shares of our common stock, of which 82,438 shares are exercisable and of which the remaining 812 shares became exercisable on April 1, 2016.</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8" w:name="page119"/>
    <w:bookmarkEnd w:id="11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580" w:right="20" w:hanging="575"/>
        <w:spacing w:after="0" w:line="263" w:lineRule="auto"/>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Dr. Underdown has served as a member of our Board of Directors, as the Chairman of our Compensation Committee and Corporate Governance and Nominating Committee and as a member of our Audit Committee throughout our fiscal year ended March 31, 2016. At March 31, 2016, Dr. Underdown holds: (i) fully-vested options to purchase 9,250 registered shares of our common stock and (ii) warrants to purchase 82,500 restricted shares of our common stock, of which 81,875 shares are exercisable as of March 31, 2016 and of which the remaining 625 shares became exercisable on April 1, 2016</w:t>
      </w:r>
    </w:p>
    <w:p>
      <w:pPr>
        <w:spacing w:after="0" w:line="167" w:lineRule="exact"/>
        <w:rPr>
          <w:rFonts w:ascii="Arial" w:cs="Arial" w:eastAsia="Arial" w:hAnsi="Arial"/>
          <w:sz w:val="14"/>
          <w:szCs w:val="14"/>
          <w:color w:val="auto"/>
        </w:rPr>
      </w:pPr>
    </w:p>
    <w:p>
      <w:pPr>
        <w:ind w:left="580" w:right="320" w:hanging="575"/>
        <w:spacing w:after="0" w:line="323" w:lineRule="auto"/>
        <w:tabs>
          <w:tab w:leader="none" w:pos="5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Dr. Gin was appointed to our Board of Directors and as a member of our Audit Committee on March 29, 2016. At March 31, 2016, Dr. Gin holds an option to purchase 25,000 registered shares of our common stock granted in connection with his appointment to the Board, in accordance with the director compensation policy described above.</w:t>
      </w:r>
    </w:p>
    <w:p>
      <w:pPr>
        <w:spacing w:after="0" w:line="130" w:lineRule="exact"/>
        <w:rPr>
          <w:rFonts w:ascii="Arial" w:cs="Arial" w:eastAsia="Arial" w:hAnsi="Arial"/>
          <w:sz w:val="13"/>
          <w:szCs w:val="13"/>
          <w:color w:val="auto"/>
        </w:rPr>
      </w:pPr>
    </w:p>
    <w:p>
      <w:pPr>
        <w:ind w:left="580" w:right="200" w:hanging="575"/>
        <w:spacing w:after="0" w:line="283" w:lineRule="auto"/>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warrant awards and modifications we granted to Mr. Saxe and Dr. Underdown during fiscal 2016 and the assumptions used in the Black Scholes Option Pricing Model to determine the grant date fair values of the respective awards and modifications.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Arial" w:cs="Arial" w:eastAsia="Arial" w:hAnsi="Arial"/>
                <w:sz w:val="14"/>
                <w:szCs w:val="14"/>
                <w:color w:val="auto"/>
              </w:rPr>
              <w:t>Warrant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color w:val="auto"/>
                <w:w w:val="88"/>
              </w:rPr>
              <w:t>Warrant</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Arial" w:cs="Arial" w:eastAsia="Arial" w:hAnsi="Arial"/>
                <w:sz w:val="14"/>
                <w:szCs w:val="14"/>
                <w:color w:val="auto"/>
              </w:rPr>
              <w:t>Grant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9"/>
              </w:rPr>
              <w:t>Modification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9/2/2015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ind w:left="160"/>
              <w:spacing w:after="0"/>
              <w:rPr>
                <w:sz w:val="20"/>
                <w:szCs w:val="20"/>
                <w:color w:val="auto"/>
              </w:rPr>
            </w:pPr>
            <w:r>
              <w:rPr>
                <w:rFonts w:ascii="Arial" w:cs="Arial" w:eastAsia="Arial" w:hAnsi="Arial"/>
                <w:sz w:val="14"/>
                <w:szCs w:val="14"/>
                <w:color w:val="auto"/>
              </w:rPr>
              <w:t>11/11/2015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rPr>
              <w:t>Total</w:t>
            </w: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Saxe</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284,066</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40,750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324,816</w:t>
            </w: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Underdown</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284,066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40,334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324,400</w:t>
            </w:r>
          </w:p>
        </w:tc>
      </w:tr>
      <w:tr>
        <w:trPr>
          <w:trHeight w:val="21"/>
        </w:trPr>
        <w:tc>
          <w:tcPr>
            <w:tcW w:w="4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568,132</w:t>
            </w: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81,084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649,216</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346"/>
        </w:trPr>
        <w:tc>
          <w:tcPr>
            <w:tcW w:w="4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6"/>
          </w:tcPr>
          <w:p>
            <w:pPr>
              <w:jc w:val="right"/>
              <w:ind w:right="380"/>
              <w:spacing w:after="0"/>
              <w:rPr>
                <w:sz w:val="20"/>
                <w:szCs w:val="20"/>
                <w:color w:val="auto"/>
              </w:rPr>
            </w:pPr>
            <w:r>
              <w:rPr>
                <w:rFonts w:ascii="Arial" w:cs="Arial" w:eastAsia="Arial" w:hAnsi="Arial"/>
                <w:sz w:val="14"/>
                <w:szCs w:val="14"/>
                <w:color w:val="auto"/>
                <w:w w:val="90"/>
              </w:rPr>
              <w:t>Weighted Average (except shares)</w:t>
            </w:r>
          </w:p>
        </w:tc>
      </w:tr>
      <w:tr>
        <w:trPr>
          <w:trHeight w:val="172"/>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Before</w:t>
            </w:r>
          </w:p>
        </w:tc>
        <w:tc>
          <w:tcPr>
            <w:tcW w:w="220" w:type="dxa"/>
            <w:vAlign w:val="bottom"/>
            <w:tcBorders>
              <w:top w:val="single" w:sz="8" w:color="auto"/>
            </w:tcBorders>
            <w:gridSpan w:val="2"/>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After</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9.11</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9.25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1.15%</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1.72%</w:t>
            </w: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Volatility</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77.19%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76.21%</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78.56%</w:t>
            </w: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5.00</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Dividend rate</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r>
      <w:tr>
        <w:trPr>
          <w:trHeight w:val="170"/>
        </w:trPr>
        <w:tc>
          <w:tcPr>
            <w:tcW w:w="424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Fair value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5.68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Aggregate shares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100,000</w:t>
            </w:r>
          </w:p>
        </w:tc>
        <w:tc>
          <w:tcPr>
            <w:tcW w:w="1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165,750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165,750</w:t>
            </w: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580" w:right="320"/>
        <w:spacing w:after="0" w:line="283" w:lineRule="auto"/>
        <w:rPr>
          <w:sz w:val="20"/>
          <w:szCs w:val="20"/>
          <w:color w:val="auto"/>
        </w:rPr>
      </w:pPr>
      <w:r>
        <w:rPr>
          <w:rFonts w:ascii="Arial" w:cs="Arial" w:eastAsia="Arial" w:hAnsi="Arial"/>
          <w:sz w:val="14"/>
          <w:szCs w:val="14"/>
          <w:color w:val="auto"/>
        </w:rPr>
        <w:t>Mr. Saxe and Dr. Underdown were each granted warrants to purchase 50,000 restricted shares of our common stock. We modified warrants to purchase an aggregate of 83,250 shares and 82,500 shares held by Mr. Saxe and Dr. Underdown, respectively.</w:t>
      </w:r>
    </w:p>
    <w:p>
      <w:pPr>
        <w:spacing w:after="0" w:line="153" w:lineRule="exact"/>
        <w:rPr>
          <w:sz w:val="20"/>
          <w:szCs w:val="20"/>
          <w:color w:val="auto"/>
        </w:rPr>
      </w:pPr>
    </w:p>
    <w:p>
      <w:pPr>
        <w:ind w:left="580" w:right="720" w:hanging="575"/>
        <w:spacing w:after="0" w:line="283" w:lineRule="auto"/>
        <w:tabs>
          <w:tab w:leader="none" w:pos="5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option award we granted to Dr. Gin during fiscal 2016 and the assumptions used in the Black Scholes Option Pricing Model to determine the grant date fair value of the award as reported in the table above:</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45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45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Volatility</w:t>
            </w:r>
          </w:p>
        </w:tc>
        <w:tc>
          <w:tcPr>
            <w:tcW w:w="4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102.94%</w:t>
            </w:r>
          </w:p>
        </w:tc>
      </w:t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10.00</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Dividend rate</w:t>
            </w:r>
          </w:p>
        </w:tc>
        <w:tc>
          <w:tcPr>
            <w:tcW w:w="4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70"/>
        </w:trPr>
        <w:tc>
          <w:tcPr>
            <w:tcW w:w="55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Fair value per share</w:t>
            </w:r>
          </w:p>
        </w:tc>
        <w:tc>
          <w:tcPr>
            <w:tcW w:w="45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7.24</w:t>
            </w:r>
          </w:p>
        </w:tc>
      </w:tr>
      <w:tr>
        <w:trPr>
          <w:trHeight w:val="170"/>
        </w:trPr>
        <w:tc>
          <w:tcPr>
            <w:tcW w:w="55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5520" w:type="dxa"/>
            <w:vAlign w:val="bottom"/>
          </w:tcPr>
          <w:p>
            <w:pPr>
              <w:spacing w:after="0"/>
              <w:rPr>
                <w:sz w:val="20"/>
                <w:szCs w:val="20"/>
                <w:color w:val="auto"/>
              </w:rPr>
            </w:pPr>
            <w:r>
              <w:rPr>
                <w:rFonts w:ascii="Arial" w:cs="Arial" w:eastAsia="Arial" w:hAnsi="Arial"/>
                <w:sz w:val="14"/>
                <w:szCs w:val="14"/>
                <w:color w:val="auto"/>
              </w:rPr>
              <w:t>Option shares granted</w:t>
            </w:r>
          </w:p>
        </w:tc>
        <w:tc>
          <w:tcPr>
            <w:tcW w:w="454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25,000</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184"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142"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38"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Dr. Underdown and Dr. Gin are “independent” as that term is defined under the applicable rules and regulations of the SEC. Our Board of Directors has also determined that Mr. Saxe and Dr. Underdown, who comprise our audit committee, compensation committee, corporate governance and nominating committee, and Dr. Gin, who serves as a member of our audit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9" w:name="page120"/>
    <w:bookmarkEnd w:id="11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ind w:left="2940"/>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certain information with respect to the beneficial ownership of our common stock as of May 6, 2016 for:</w:t>
      </w:r>
    </w:p>
    <w:p>
      <w:pPr>
        <w:spacing w:after="0" w:line="201" w:lineRule="exact"/>
        <w:rPr>
          <w:sz w:val="20"/>
          <w:szCs w:val="20"/>
          <w:color w:val="auto"/>
        </w:rPr>
      </w:pPr>
    </w:p>
    <w:p>
      <w:pPr>
        <w:ind w:left="500" w:hanging="495"/>
        <w:spacing w:after="0"/>
        <w:tabs>
          <w:tab w:leader="none" w:pos="500" w:val="left"/>
        </w:tabs>
        <w:numPr>
          <w:ilvl w:val="0"/>
          <w:numId w:val="65"/>
        </w:numPr>
        <w:rPr>
          <w:rFonts w:ascii="Arial" w:cs="Arial" w:eastAsia="Arial" w:hAnsi="Arial"/>
          <w:sz w:val="10"/>
          <w:szCs w:val="10"/>
          <w:color w:val="auto"/>
        </w:rPr>
      </w:pPr>
      <w:r>
        <w:rPr>
          <w:rFonts w:ascii="Arial" w:cs="Arial" w:eastAsia="Arial" w:hAnsi="Arial"/>
          <w:sz w:val="14"/>
          <w:szCs w:val="14"/>
          <w:color w:val="auto"/>
        </w:rPr>
        <w:t>each stockholder known by us to be the beneficial owner of more than 5% of our common stock;</w:t>
      </w:r>
    </w:p>
    <w:p>
      <w:pPr>
        <w:spacing w:after="0" w:line="19" w:lineRule="exact"/>
        <w:rPr>
          <w:rFonts w:ascii="Arial" w:cs="Arial" w:eastAsia="Arial" w:hAnsi="Arial"/>
          <w:sz w:val="10"/>
          <w:szCs w:val="10"/>
          <w:color w:val="auto"/>
        </w:rPr>
      </w:pPr>
    </w:p>
    <w:p>
      <w:pPr>
        <w:ind w:left="500" w:hanging="495"/>
        <w:spacing w:after="0"/>
        <w:tabs>
          <w:tab w:leader="none" w:pos="500" w:val="left"/>
        </w:tabs>
        <w:numPr>
          <w:ilvl w:val="0"/>
          <w:numId w:val="65"/>
        </w:numPr>
        <w:rPr>
          <w:rFonts w:ascii="Arial" w:cs="Arial" w:eastAsia="Arial" w:hAnsi="Arial"/>
          <w:sz w:val="10"/>
          <w:szCs w:val="10"/>
          <w:color w:val="auto"/>
        </w:rPr>
      </w:pPr>
      <w:r>
        <w:rPr>
          <w:rFonts w:ascii="Arial" w:cs="Arial" w:eastAsia="Arial" w:hAnsi="Arial"/>
          <w:sz w:val="14"/>
          <w:szCs w:val="14"/>
          <w:color w:val="auto"/>
        </w:rPr>
        <w:t>each of our directors;</w:t>
      </w:r>
    </w:p>
    <w:p>
      <w:pPr>
        <w:spacing w:after="0" w:line="9" w:lineRule="exact"/>
        <w:rPr>
          <w:rFonts w:ascii="Arial" w:cs="Arial" w:eastAsia="Arial" w:hAnsi="Arial"/>
          <w:sz w:val="10"/>
          <w:szCs w:val="10"/>
          <w:color w:val="auto"/>
        </w:rPr>
      </w:pPr>
    </w:p>
    <w:p>
      <w:pPr>
        <w:ind w:left="500" w:hanging="495"/>
        <w:spacing w:after="0"/>
        <w:tabs>
          <w:tab w:leader="none" w:pos="500" w:val="left"/>
        </w:tabs>
        <w:numPr>
          <w:ilvl w:val="0"/>
          <w:numId w:val="65"/>
        </w:numPr>
        <w:rPr>
          <w:rFonts w:ascii="Arial" w:cs="Arial" w:eastAsia="Arial" w:hAnsi="Arial"/>
          <w:sz w:val="10"/>
          <w:szCs w:val="10"/>
          <w:color w:val="auto"/>
        </w:rPr>
      </w:pPr>
      <w:r>
        <w:rPr>
          <w:rFonts w:ascii="Arial" w:cs="Arial" w:eastAsia="Arial" w:hAnsi="Arial"/>
          <w:sz w:val="14"/>
          <w:szCs w:val="14"/>
          <w:color w:val="auto"/>
        </w:rPr>
        <w:t>each of our named executive officers; and</w:t>
      </w:r>
    </w:p>
    <w:p>
      <w:pPr>
        <w:spacing w:after="0" w:line="9" w:lineRule="exact"/>
        <w:rPr>
          <w:rFonts w:ascii="Arial" w:cs="Arial" w:eastAsia="Arial" w:hAnsi="Arial"/>
          <w:sz w:val="10"/>
          <w:szCs w:val="10"/>
          <w:color w:val="auto"/>
        </w:rPr>
      </w:pPr>
    </w:p>
    <w:p>
      <w:pPr>
        <w:ind w:left="500" w:hanging="495"/>
        <w:spacing w:after="0"/>
        <w:tabs>
          <w:tab w:leader="none" w:pos="500" w:val="left"/>
        </w:tabs>
        <w:numPr>
          <w:ilvl w:val="0"/>
          <w:numId w:val="65"/>
        </w:numPr>
        <w:rPr>
          <w:rFonts w:ascii="Arial" w:cs="Arial" w:eastAsia="Arial" w:hAnsi="Arial"/>
          <w:sz w:val="10"/>
          <w:szCs w:val="10"/>
          <w:color w:val="auto"/>
        </w:rPr>
      </w:pPr>
      <w:r>
        <w:rPr>
          <w:rFonts w:ascii="Arial" w:cs="Arial" w:eastAsia="Arial" w:hAnsi="Arial"/>
          <w:sz w:val="14"/>
          <w:szCs w:val="14"/>
          <w:color w:val="auto"/>
        </w:rPr>
        <w:t>all of our directors and executive officers as a group.</w:t>
      </w:r>
    </w:p>
    <w:p>
      <w:pPr>
        <w:spacing w:after="0" w:line="191"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Applicable percentage ownership is based on 2,525,276 shares of capital stock outstanding at May 6, 2016.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May 6, 2016.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May 6, 2016. Unless otherwise noted below, the address of each beneficial owner listed in the table is c/o VistaGen Therapeutics, Inc., 343 Allerton Avenue, South San Francisco, California 94080.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Percent</w:t>
            </w:r>
          </w:p>
        </w:tc>
      </w:tr>
      <w:tr>
        <w:trPr>
          <w:trHeight w:val="170"/>
        </w:trPr>
        <w:tc>
          <w:tcPr>
            <w:tcW w:w="8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of shares</w:t>
            </w:r>
          </w:p>
        </w:tc>
      </w:tr>
      <w:tr>
        <w:trPr>
          <w:trHeight w:val="170"/>
        </w:trPr>
        <w:tc>
          <w:tcPr>
            <w:tcW w:w="8180" w:type="dxa"/>
            <w:vAlign w:val="bottom"/>
          </w:tcPr>
          <w:p>
            <w:pPr>
              <w:spacing w:after="0"/>
              <w:rPr>
                <w:sz w:val="14"/>
                <w:szCs w:val="14"/>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Number of shares</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beneficially</w:t>
            </w:r>
          </w:p>
        </w:tc>
      </w:tr>
      <w:tr>
        <w:trPr>
          <w:trHeight w:val="186"/>
        </w:trPr>
        <w:tc>
          <w:tcPr>
            <w:tcW w:w="818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beneficially owned</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owned (1)</w:t>
            </w:r>
          </w:p>
        </w:tc>
      </w:tr>
      <w:tr>
        <w:trPr>
          <w:trHeight w:val="170"/>
        </w:trPr>
        <w:tc>
          <w:tcPr>
            <w:tcW w:w="81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Executive officers and directors:</w:t>
            </w:r>
          </w:p>
        </w:tc>
        <w:tc>
          <w:tcPr>
            <w:tcW w:w="15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Shawn K. Singh </w:t>
            </w:r>
            <w:r>
              <w:rPr>
                <w:rFonts w:ascii="Arial" w:cs="Arial" w:eastAsia="Arial" w:hAnsi="Arial"/>
                <w:sz w:val="19"/>
                <w:szCs w:val="19"/>
                <w:color w:val="auto"/>
                <w:vertAlign w:val="superscript"/>
              </w:rPr>
              <w:t>(2)</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589,412</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19.08%</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H. Ralph Snodgrass, Ph.D </w:t>
            </w:r>
            <w:r>
              <w:rPr>
                <w:rFonts w:ascii="Arial" w:cs="Arial" w:eastAsia="Arial" w:hAnsi="Arial"/>
                <w:sz w:val="19"/>
                <w:szCs w:val="19"/>
                <w:color w:val="auto"/>
                <w:vertAlign w:val="superscript"/>
              </w:rPr>
              <w:t>(3)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386,793</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13.56%</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Jerrold D. Dotson </w:t>
            </w:r>
            <w:r>
              <w:rPr>
                <w:rFonts w:ascii="Arial" w:cs="Arial" w:eastAsia="Arial" w:hAnsi="Arial"/>
                <w:sz w:val="19"/>
                <w:szCs w:val="19"/>
                <w:color w:val="auto"/>
                <w:vertAlign w:val="superscript"/>
              </w:rPr>
              <w:t>(4)</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171,677</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6.37%</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(5)</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97,376</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3.72%</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(6)</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91,750</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3.51%</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Jerry B. Gin, Ph.D, MBA </w:t>
            </w:r>
            <w:r>
              <w:rPr>
                <w:rFonts w:ascii="Arial" w:cs="Arial" w:eastAsia="Arial" w:hAnsi="Arial"/>
                <w:sz w:val="19"/>
                <w:szCs w:val="19"/>
                <w:color w:val="auto"/>
                <w:vertAlign w:val="superscript"/>
              </w:rPr>
              <w:t>(7)</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6,250</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r>
      <w:tr>
        <w:trPr>
          <w:trHeight w:val="170"/>
        </w:trPr>
        <w:tc>
          <w:tcPr>
            <w:tcW w:w="8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0"/>
        </w:trPr>
        <w:tc>
          <w:tcPr>
            <w:tcW w:w="81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5% Stockholders:</w:t>
            </w: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Platinum Long Term Growth Fund VII/Montsant Partners, LLC </w:t>
            </w:r>
            <w:r>
              <w:rPr>
                <w:rFonts w:ascii="Arial" w:cs="Arial" w:eastAsia="Arial" w:hAnsi="Arial"/>
                <w:sz w:val="19"/>
                <w:szCs w:val="19"/>
                <w:color w:val="auto"/>
                <w:vertAlign w:val="superscript"/>
              </w:rPr>
              <w:t>(8)</w:t>
            </w:r>
          </w:p>
        </w:tc>
        <w:tc>
          <w:tcPr>
            <w:tcW w:w="1580" w:type="dxa"/>
            <w:vAlign w:val="bottom"/>
          </w:tcPr>
          <w:p>
            <w:pPr>
              <w:jc w:val="right"/>
              <w:spacing w:after="0"/>
              <w:rPr>
                <w:sz w:val="20"/>
                <w:szCs w:val="20"/>
                <w:color w:val="auto"/>
              </w:rPr>
            </w:pPr>
            <w:r>
              <w:rPr>
                <w:rFonts w:ascii="Arial" w:cs="Arial" w:eastAsia="Arial" w:hAnsi="Arial"/>
                <w:sz w:val="14"/>
                <w:szCs w:val="14"/>
                <w:color w:val="auto"/>
              </w:rPr>
              <w:t>4,864,931</w:t>
            </w:r>
          </w:p>
        </w:tc>
        <w:tc>
          <w:tcPr>
            <w:tcW w:w="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66.60%</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Michael Goldberg </w:t>
            </w:r>
            <w:r>
              <w:rPr>
                <w:rFonts w:ascii="Arial" w:cs="Arial" w:eastAsia="Arial" w:hAnsi="Arial"/>
                <w:sz w:val="19"/>
                <w:szCs w:val="19"/>
                <w:color w:val="auto"/>
                <w:vertAlign w:val="superscript"/>
              </w:rPr>
              <w:t>(9)</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437,488</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15.74%</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Cato BioVentures </w:t>
            </w:r>
            <w:r>
              <w:rPr>
                <w:rFonts w:ascii="Arial" w:cs="Arial" w:eastAsia="Arial" w:hAnsi="Arial"/>
                <w:sz w:val="19"/>
                <w:szCs w:val="19"/>
                <w:color w:val="auto"/>
                <w:vertAlign w:val="superscript"/>
              </w:rPr>
              <w:t>(10)</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549,008</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19.24%</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Morrison &amp; Foerster LLP </w:t>
            </w:r>
            <w:r>
              <w:rPr>
                <w:rFonts w:ascii="Arial" w:cs="Arial" w:eastAsia="Arial" w:hAnsi="Arial"/>
                <w:sz w:val="19"/>
                <w:szCs w:val="19"/>
                <w:color w:val="auto"/>
                <w:vertAlign w:val="superscript"/>
              </w:rPr>
              <w:t>(11)</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377,591</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13.05%</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Calm Seas Capital, LLC </w:t>
            </w:r>
            <w:r>
              <w:rPr>
                <w:rFonts w:ascii="Arial" w:cs="Arial" w:eastAsia="Arial" w:hAnsi="Arial"/>
                <w:sz w:val="19"/>
                <w:szCs w:val="19"/>
                <w:color w:val="auto"/>
                <w:vertAlign w:val="superscript"/>
              </w:rPr>
              <w:t>(12)</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161,691</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6.13%</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University Health Network </w:t>
            </w:r>
            <w:r>
              <w:rPr>
                <w:rFonts w:ascii="Arial" w:cs="Arial" w:eastAsia="Arial" w:hAnsi="Arial"/>
                <w:sz w:val="19"/>
                <w:szCs w:val="19"/>
                <w:color w:val="auto"/>
                <w:vertAlign w:val="superscript"/>
              </w:rPr>
              <w:t>(13)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150,678</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5.75%</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Nexthera Capital Master Fund LP </w:t>
            </w:r>
            <w:r>
              <w:rPr>
                <w:rFonts w:ascii="Arial" w:cs="Arial" w:eastAsia="Arial" w:hAnsi="Arial"/>
                <w:sz w:val="19"/>
                <w:szCs w:val="19"/>
                <w:color w:val="auto"/>
                <w:vertAlign w:val="superscript"/>
              </w:rPr>
              <w:t>(14)</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131,250</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5.05%</w:t>
            </w:r>
          </w:p>
        </w:tc>
      </w:tr>
      <w:tr>
        <w:trPr>
          <w:trHeight w:val="170"/>
        </w:trPr>
        <w:tc>
          <w:tcPr>
            <w:tcW w:w="8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259"/>
        </w:trPr>
        <w:tc>
          <w:tcPr>
            <w:tcW w:w="8180" w:type="dxa"/>
            <w:vAlign w:val="bottom"/>
          </w:tcPr>
          <w:p>
            <w:pPr>
              <w:spacing w:after="0"/>
              <w:rPr>
                <w:sz w:val="20"/>
                <w:szCs w:val="20"/>
                <w:color w:val="auto"/>
              </w:rPr>
            </w:pPr>
            <w:r>
              <w:rPr>
                <w:rFonts w:ascii="Arial" w:cs="Arial" w:eastAsia="Arial" w:hAnsi="Arial"/>
                <w:sz w:val="14"/>
                <w:szCs w:val="14"/>
                <w:color w:val="auto"/>
              </w:rPr>
              <w:t xml:space="preserve">All executive officers and directors as a group (6 persons) </w:t>
            </w:r>
            <w:r>
              <w:rPr>
                <w:rFonts w:ascii="Arial" w:cs="Arial" w:eastAsia="Arial" w:hAnsi="Arial"/>
                <w:sz w:val="19"/>
                <w:szCs w:val="19"/>
                <w:color w:val="auto"/>
                <w:vertAlign w:val="superscript"/>
              </w:rPr>
              <w:t>(15)</w:t>
            </w:r>
          </w:p>
        </w:tc>
        <w:tc>
          <w:tcPr>
            <w:tcW w:w="1580" w:type="dxa"/>
            <w:vAlign w:val="bottom"/>
          </w:tcPr>
          <w:p>
            <w:pPr>
              <w:jc w:val="right"/>
              <w:spacing w:after="0"/>
              <w:rPr>
                <w:sz w:val="20"/>
                <w:szCs w:val="20"/>
                <w:color w:val="auto"/>
              </w:rPr>
            </w:pPr>
            <w:r>
              <w:rPr>
                <w:rFonts w:ascii="Arial" w:cs="Arial" w:eastAsia="Arial" w:hAnsi="Arial"/>
                <w:sz w:val="14"/>
                <w:szCs w:val="14"/>
                <w:color w:val="auto"/>
              </w:rPr>
              <w:t>1,343,258</w:t>
            </w:r>
          </w:p>
        </w:tc>
        <w:tc>
          <w:tcPr>
            <w:tcW w:w="60" w:type="dxa"/>
            <w:vAlign w:val="bottom"/>
          </w:tcPr>
          <w:p>
            <w:pPr>
              <w:spacing w:after="0"/>
              <w:rPr>
                <w:sz w:val="22"/>
                <w:szCs w:val="22"/>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35.53%</w:t>
            </w:r>
          </w:p>
        </w:tc>
      </w:tr>
      <w:tr>
        <w:trPr>
          <w:trHeight w:val="262"/>
        </w:trPr>
        <w:tc>
          <w:tcPr>
            <w:tcW w:w="8180" w:type="dxa"/>
            <w:vAlign w:val="bottom"/>
          </w:tcPr>
          <w:p>
            <w:pPr>
              <w:spacing w:after="0"/>
              <w:rPr>
                <w:sz w:val="20"/>
                <w:szCs w:val="20"/>
                <w:color w:val="auto"/>
              </w:rPr>
            </w:pPr>
            <w:r>
              <w:rPr>
                <w:rFonts w:ascii="Arial" w:cs="Arial" w:eastAsia="Arial" w:hAnsi="Arial"/>
                <w:sz w:val="14"/>
                <w:szCs w:val="14"/>
                <w:color w:val="auto"/>
              </w:rPr>
              <w:t>____________</w:t>
            </w:r>
          </w:p>
        </w:tc>
        <w:tc>
          <w:tcPr>
            <w:tcW w:w="1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180"/>
        </w:trPr>
        <w:tc>
          <w:tcPr>
            <w:tcW w:w="8180" w:type="dxa"/>
            <w:vAlign w:val="bottom"/>
          </w:tcPr>
          <w:p>
            <w:pPr>
              <w:spacing w:after="0"/>
              <w:rPr>
                <w:sz w:val="20"/>
                <w:szCs w:val="20"/>
                <w:color w:val="auto"/>
              </w:rPr>
            </w:pPr>
            <w:r>
              <w:rPr>
                <w:rFonts w:ascii="Arial" w:cs="Arial" w:eastAsia="Arial" w:hAnsi="Arial"/>
                <w:sz w:val="14"/>
                <w:szCs w:val="14"/>
                <w:color w:val="auto"/>
              </w:rPr>
              <w:t>*  less than 1%</w:t>
            </w: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r>
    </w:tbl>
    <w:p>
      <w:pPr>
        <w:spacing w:after="0" w:line="182" w:lineRule="exact"/>
        <w:rPr>
          <w:sz w:val="20"/>
          <w:szCs w:val="20"/>
          <w:color w:val="auto"/>
        </w:rPr>
      </w:pPr>
    </w:p>
    <w:p>
      <w:pPr>
        <w:ind w:left="380" w:hanging="375"/>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2,525,276 shares of common stock issued and outstanding as of May 6, 2016.</w:t>
      </w:r>
    </w:p>
    <w:p>
      <w:pPr>
        <w:spacing w:after="0" w:line="179" w:lineRule="exact"/>
        <w:rPr>
          <w:rFonts w:ascii="Arial" w:cs="Arial" w:eastAsia="Arial" w:hAnsi="Arial"/>
          <w:sz w:val="14"/>
          <w:szCs w:val="14"/>
          <w:color w:val="auto"/>
        </w:rPr>
      </w:pPr>
    </w:p>
    <w:p>
      <w:pPr>
        <w:ind w:left="380" w:right="640" w:hanging="375"/>
        <w:spacing w:after="0" w:line="283"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85,375 registered shares of common stock exercisable within 60 days of May 6, 2016 and warrants to purchase 477,803 restricted shares of common stock exercisable within 60 days of May 6, 2016.</w:t>
      </w:r>
    </w:p>
    <w:p>
      <w:pPr>
        <w:spacing w:after="0" w:line="131" w:lineRule="exact"/>
        <w:rPr>
          <w:rFonts w:ascii="Arial" w:cs="Arial" w:eastAsia="Arial" w:hAnsi="Arial"/>
          <w:sz w:val="14"/>
          <w:szCs w:val="14"/>
          <w:color w:val="auto"/>
        </w:rPr>
      </w:pPr>
    </w:p>
    <w:p>
      <w:pPr>
        <w:ind w:left="380" w:right="640" w:hanging="375"/>
        <w:spacing w:after="0" w:line="283"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16,569 registered shares of common stock exercisable within 60 days of May 6, 2016 and warrants to purchase 310,000 restricted shares of common stock exercisable within 60 days of May 6, 2016.</w:t>
      </w:r>
    </w:p>
    <w:p>
      <w:pPr>
        <w:spacing w:after="0" w:line="131" w:lineRule="exact"/>
        <w:rPr>
          <w:rFonts w:ascii="Arial" w:cs="Arial" w:eastAsia="Arial" w:hAnsi="Arial"/>
          <w:sz w:val="14"/>
          <w:szCs w:val="14"/>
          <w:color w:val="auto"/>
        </w:rPr>
      </w:pPr>
    </w:p>
    <w:p>
      <w:pPr>
        <w:ind w:left="380" w:right="540" w:hanging="375"/>
        <w:spacing w:after="0" w:line="283"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6,677 registered shares of common stock exercisable within 60 days of May 6, 2016, including options to purchase 676 shares of common stock held by Mr. Dotson’s wife, and warrants to purchase 165,000 restricted shares of common stock exercisable within 60 days of May 6, 2016.</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0" w:name="page121"/>
    <w:bookmarkEnd w:id="12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80" w:right="40" w:hanging="375"/>
        <w:spacing w:after="0" w:line="283" w:lineRule="auto"/>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options to purchase 12,250 registered shares of common stock exercisable within 60 days of May 6, 2016 and warrants to purchase 83,250 restricted shares of common stock exercisable within 60 days of May 6, 2016.</w:t>
      </w:r>
    </w:p>
    <w:p>
      <w:pPr>
        <w:spacing w:after="0" w:line="131" w:lineRule="exact"/>
        <w:rPr>
          <w:rFonts w:ascii="Arial" w:cs="Arial" w:eastAsia="Arial" w:hAnsi="Arial"/>
          <w:sz w:val="14"/>
          <w:szCs w:val="14"/>
          <w:color w:val="auto"/>
        </w:rPr>
      </w:pPr>
    </w:p>
    <w:p>
      <w:pPr>
        <w:ind w:left="380" w:right="120" w:hanging="375"/>
        <w:spacing w:after="0" w:line="283" w:lineRule="auto"/>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options to purchase 9,250 registered shares of common stock exercisable within 60 days of May 6, 2016 and warrants to purchase 82,500 restricted shares of common stock exercisable within 60 days of May 6, 2016.</w:t>
      </w:r>
    </w:p>
    <w:p>
      <w:pPr>
        <w:spacing w:after="0" w:line="131" w:lineRule="exact"/>
        <w:rPr>
          <w:rFonts w:ascii="Arial" w:cs="Arial" w:eastAsia="Arial" w:hAnsi="Arial"/>
          <w:sz w:val="14"/>
          <w:szCs w:val="14"/>
          <w:color w:val="auto"/>
        </w:rPr>
      </w:pPr>
    </w:p>
    <w:p>
      <w:pPr>
        <w:ind w:left="380" w:hanging="375"/>
        <w:spacing w:after="0"/>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options to purchase 6,250 registered shares of common stock exercisable within 60 days of May 6, 2016.</w:t>
      </w:r>
    </w:p>
    <w:p>
      <w:pPr>
        <w:spacing w:after="0" w:line="201" w:lineRule="exact"/>
        <w:rPr>
          <w:rFonts w:ascii="Arial" w:cs="Arial" w:eastAsia="Arial" w:hAnsi="Arial"/>
          <w:sz w:val="14"/>
          <w:szCs w:val="14"/>
          <w:color w:val="auto"/>
        </w:rPr>
      </w:pPr>
    </w:p>
    <w:p>
      <w:pPr>
        <w:ind w:left="380" w:right="180" w:hanging="375"/>
        <w:spacing w:after="0" w:line="268" w:lineRule="auto"/>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upon information contained in Schedule 13G/A filed on February 18, 2015 by Platinum Long Term Growth Fund VII (</w:t>
      </w:r>
      <w:r>
        <w:rPr>
          <w:rFonts w:ascii="Arial" w:cs="Arial" w:eastAsia="Arial" w:hAnsi="Arial"/>
          <w:sz w:val="14"/>
          <w:szCs w:val="14"/>
          <w:i w:val="1"/>
          <w:iCs w:val="1"/>
          <w:color w:val="auto"/>
        </w:rPr>
        <w:t>Platinum</w:t>
      </w:r>
      <w:r>
        <w:rPr>
          <w:rFonts w:ascii="Arial" w:cs="Arial" w:eastAsia="Arial" w:hAnsi="Arial"/>
          <w:sz w:val="14"/>
          <w:szCs w:val="14"/>
          <w:color w:val="auto"/>
        </w:rPr>
        <w:t>) and adjusted to give effect to the transactions consummated between Platinum, Montsant Partners, LLC (</w:t>
      </w:r>
      <w:r>
        <w:rPr>
          <w:rFonts w:ascii="Arial" w:cs="Arial" w:eastAsia="Arial" w:hAnsi="Arial"/>
          <w:sz w:val="14"/>
          <w:szCs w:val="14"/>
          <w:i w:val="1"/>
          <w:iCs w:val="1"/>
          <w:color w:val="auto"/>
        </w:rPr>
        <w:t>Montsant</w:t>
      </w:r>
      <w:r>
        <w:rPr>
          <w:rFonts w:ascii="Arial" w:cs="Arial" w:eastAsia="Arial" w:hAnsi="Arial"/>
          <w:sz w:val="14"/>
          <w:szCs w:val="14"/>
          <w:color w:val="auto"/>
        </w:rPr>
        <w:t>), a Platinum affiliate, and Platinum Partners Value Arbitrage Fund, L.P. (</w:t>
      </w:r>
      <w:r>
        <w:rPr>
          <w:rFonts w:ascii="Arial" w:cs="Arial" w:eastAsia="Arial" w:hAnsi="Arial"/>
          <w:sz w:val="14"/>
          <w:szCs w:val="14"/>
          <w:i w:val="1"/>
          <w:iCs w:val="1"/>
          <w:color w:val="auto"/>
        </w:rPr>
        <w:t>PPVA</w:t>
      </w:r>
      <w:r>
        <w:rPr>
          <w:rFonts w:ascii="Arial" w:cs="Arial" w:eastAsia="Arial" w:hAnsi="Arial"/>
          <w:sz w:val="14"/>
          <w:szCs w:val="14"/>
          <w:color w:val="auto"/>
        </w:rPr>
        <w:t>), another Platinum affiliate, and us through May 6, 2016.</w:t>
      </w:r>
    </w:p>
    <w:p>
      <w:pPr>
        <w:spacing w:after="0" w:line="142" w:lineRule="exact"/>
        <w:rPr>
          <w:rFonts w:ascii="Arial" w:cs="Arial" w:eastAsia="Arial" w:hAnsi="Arial"/>
          <w:sz w:val="14"/>
          <w:szCs w:val="14"/>
          <w:color w:val="auto"/>
        </w:rPr>
      </w:pPr>
    </w:p>
    <w:p>
      <w:pPr>
        <w:ind w:left="380" w:right="60"/>
        <w:spacing w:after="0" w:line="285" w:lineRule="auto"/>
        <w:rPr>
          <w:rFonts w:ascii="Arial" w:cs="Arial" w:eastAsia="Arial" w:hAnsi="Arial"/>
          <w:sz w:val="14"/>
          <w:szCs w:val="14"/>
          <w:color w:val="auto"/>
        </w:rPr>
      </w:pPr>
      <w:r>
        <w:rPr>
          <w:rFonts w:ascii="Arial" w:cs="Arial" w:eastAsia="Arial" w:hAnsi="Arial"/>
          <w:sz w:val="13"/>
          <w:szCs w:val="13"/>
          <w:color w:val="auto"/>
        </w:rPr>
        <w:t>The number of beneficially owned shares reported includes 637,500 restricted shares of common stock that may currently be acquired by Montsant upon exchange of 425,000 restricted shares of our Series A Preferred Stock (</w:t>
      </w:r>
      <w:r>
        <w:rPr>
          <w:rFonts w:ascii="Arial" w:cs="Arial" w:eastAsia="Arial" w:hAnsi="Arial"/>
          <w:sz w:val="13"/>
          <w:szCs w:val="13"/>
          <w:i w:val="1"/>
          <w:iCs w:val="1"/>
          <w:color w:val="auto"/>
        </w:rPr>
        <w:t>Series A Preferred</w:t>
      </w:r>
      <w:r>
        <w:rPr>
          <w:rFonts w:ascii="Arial" w:cs="Arial" w:eastAsia="Arial" w:hAnsi="Arial"/>
          <w:sz w:val="13"/>
          <w:szCs w:val="13"/>
          <w:color w:val="auto"/>
        </w:rPr>
        <w:t>). Pursuant to the October 11, 2012 Note Exchange and Purchase Agreement by and between us and Platinum, there is, however,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34" w:lineRule="exact"/>
        <w:rPr>
          <w:rFonts w:ascii="Arial" w:cs="Arial" w:eastAsia="Arial" w:hAnsi="Arial"/>
          <w:sz w:val="14"/>
          <w:szCs w:val="14"/>
          <w:color w:val="auto"/>
        </w:rPr>
      </w:pPr>
    </w:p>
    <w:p>
      <w:pPr>
        <w:ind w:left="380" w:right="40"/>
        <w:spacing w:after="0" w:line="259" w:lineRule="auto"/>
        <w:rPr>
          <w:rFonts w:ascii="Arial" w:cs="Arial" w:eastAsia="Arial" w:hAnsi="Arial"/>
          <w:sz w:val="14"/>
          <w:szCs w:val="14"/>
          <w:color w:val="auto"/>
        </w:rPr>
      </w:pPr>
      <w:r>
        <w:rPr>
          <w:rFonts w:ascii="Arial" w:cs="Arial" w:eastAsia="Arial" w:hAnsi="Arial"/>
          <w:sz w:val="14"/>
          <w:szCs w:val="14"/>
          <w:color w:val="auto"/>
        </w:rPr>
        <w:t>Further, the reported number of shares beneficially owned by Montsant also includes 1,823,669 shares of common stock pursuant to its ownership of 1,823,669 shares of our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50" w:lineRule="exact"/>
        <w:rPr>
          <w:rFonts w:ascii="Arial" w:cs="Arial" w:eastAsia="Arial" w:hAnsi="Arial"/>
          <w:sz w:val="14"/>
          <w:szCs w:val="14"/>
          <w:color w:val="auto"/>
        </w:rPr>
      </w:pPr>
    </w:p>
    <w:p>
      <w:pPr>
        <w:ind w:left="380"/>
        <w:spacing w:after="0" w:line="314" w:lineRule="auto"/>
        <w:rPr>
          <w:rFonts w:ascii="Arial" w:cs="Arial" w:eastAsia="Arial" w:hAnsi="Arial"/>
          <w:sz w:val="14"/>
          <w:szCs w:val="14"/>
          <w:color w:val="auto"/>
        </w:rPr>
      </w:pPr>
      <w:r>
        <w:rPr>
          <w:rFonts w:ascii="Arial" w:cs="Arial" w:eastAsia="Arial" w:hAnsi="Arial"/>
          <w:sz w:val="12"/>
          <w:szCs w:val="12"/>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2"/>
          <w:szCs w:val="12"/>
          <w:i w:val="1"/>
          <w:iCs w:val="1"/>
          <w:color w:val="auto"/>
        </w:rPr>
        <w:t>Series C Preferred</w:t>
      </w:r>
      <w:r>
        <w:rPr>
          <w:rFonts w:ascii="Arial" w:cs="Arial" w:eastAsia="Arial" w:hAnsi="Arial"/>
          <w:sz w:val="12"/>
          <w:szCs w:val="12"/>
          <w:color w:val="auto"/>
        </w:rPr>
        <w:t>), immediately convertible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19" w:lineRule="exact"/>
        <w:rPr>
          <w:rFonts w:ascii="Arial" w:cs="Arial" w:eastAsia="Arial" w:hAnsi="Arial"/>
          <w:sz w:val="14"/>
          <w:szCs w:val="14"/>
          <w:color w:val="auto"/>
        </w:rPr>
      </w:pPr>
    </w:p>
    <w:p>
      <w:pPr>
        <w:ind w:left="380" w:right="120"/>
        <w:spacing w:after="0" w:line="268" w:lineRule="auto"/>
        <w:rPr>
          <w:rFonts w:ascii="Arial" w:cs="Arial" w:eastAsia="Arial" w:hAnsi="Arial"/>
          <w:sz w:val="14"/>
          <w:szCs w:val="14"/>
          <w:color w:val="auto"/>
        </w:rPr>
      </w:pPr>
      <w:r>
        <w:rPr>
          <w:rFonts w:ascii="Arial" w:cs="Arial" w:eastAsia="Arial" w:hAnsi="Arial"/>
          <w:sz w:val="14"/>
          <w:szCs w:val="14"/>
          <w:color w:val="auto"/>
        </w:rPr>
        <w:t>Excluding the shares otherwise subject to the beneficial ownership restrictions noted above, Platinum, Montsant and PPVA beneficially own 85,750 shares or 3.40% of our common stock. The primary business address of Platinum Long Term Growth Fund VII and Montsant Partners, LLC is c/o Platinum Partners, 250 West 55th Street, 14th Floor, New York, New York 10019. Mark Nordlicht has voting and investment control over the shares held by Platinum, Montsant and PPVA.</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1" w:name="page122"/>
    <w:bookmarkEnd w:id="12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00" w:right="300" w:hanging="395"/>
        <w:spacing w:after="0" w:line="283" w:lineRule="auto"/>
        <w:tabs>
          <w:tab w:leader="none" w:pos="4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Platinum has transferred to Michael Goldberg (</w:t>
      </w:r>
      <w:r>
        <w:rPr>
          <w:rFonts w:ascii="Arial" w:cs="Arial" w:eastAsia="Arial" w:hAnsi="Arial"/>
          <w:sz w:val="14"/>
          <w:szCs w:val="14"/>
          <w:i w:val="1"/>
          <w:iCs w:val="1"/>
          <w:color w:val="auto"/>
        </w:rPr>
        <w:t>Goldberg</w:t>
      </w:r>
      <w:r>
        <w:rPr>
          <w:rFonts w:ascii="Arial" w:cs="Arial" w:eastAsia="Arial" w:hAnsi="Arial"/>
          <w:sz w:val="14"/>
          <w:szCs w:val="14"/>
          <w:color w:val="auto"/>
        </w:rPr>
        <w:t>) certain of the equity securities initially issued by us to Platinum. The conversion or exercise restrictions in those securities initially applicable to Platinum remain applicable to Goldberg.</w:t>
      </w:r>
    </w:p>
    <w:p>
      <w:pPr>
        <w:spacing w:after="0" w:line="131" w:lineRule="exact"/>
        <w:rPr>
          <w:rFonts w:ascii="Arial" w:cs="Arial" w:eastAsia="Arial" w:hAnsi="Arial"/>
          <w:sz w:val="14"/>
          <w:szCs w:val="14"/>
          <w:color w:val="auto"/>
        </w:rPr>
      </w:pPr>
    </w:p>
    <w:p>
      <w:pPr>
        <w:ind w:left="400" w:right="220"/>
        <w:spacing w:after="0" w:line="261" w:lineRule="auto"/>
        <w:rPr>
          <w:rFonts w:ascii="Arial" w:cs="Arial" w:eastAsia="Arial" w:hAnsi="Arial"/>
          <w:sz w:val="14"/>
          <w:szCs w:val="14"/>
          <w:color w:val="auto"/>
        </w:rPr>
      </w:pPr>
      <w:r>
        <w:rPr>
          <w:rFonts w:ascii="Arial" w:cs="Arial" w:eastAsia="Arial" w:hAnsi="Arial"/>
          <w:sz w:val="14"/>
          <w:szCs w:val="14"/>
          <w:color w:val="auto"/>
        </w:rPr>
        <w:t>The number of shares reported as beneficially owned by Goldberg includes 112,500 restricted shares of common stock that may currently be acquired by Goldberg upon exchange of 75,000 restricted shares of our Series A Preferred. Pursuant to the October 11, 2012 Note Exchange and Purchase Agreement by and between us and Platinum, there is, however,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146" w:lineRule="exact"/>
        <w:rPr>
          <w:rFonts w:ascii="Arial" w:cs="Arial" w:eastAsia="Arial" w:hAnsi="Arial"/>
          <w:sz w:val="14"/>
          <w:szCs w:val="14"/>
          <w:color w:val="auto"/>
        </w:rPr>
      </w:pPr>
    </w:p>
    <w:p>
      <w:pPr>
        <w:ind w:left="400" w:right="40"/>
        <w:spacing w:after="0" w:line="285" w:lineRule="auto"/>
        <w:rPr>
          <w:rFonts w:ascii="Arial" w:cs="Arial" w:eastAsia="Arial" w:hAnsi="Arial"/>
          <w:sz w:val="14"/>
          <w:szCs w:val="14"/>
          <w:color w:val="auto"/>
        </w:rPr>
      </w:pPr>
      <w:r>
        <w:rPr>
          <w:rFonts w:ascii="Arial" w:cs="Arial" w:eastAsia="Arial" w:hAnsi="Arial"/>
          <w:sz w:val="13"/>
          <w:szCs w:val="13"/>
          <w:color w:val="auto"/>
        </w:rPr>
        <w:t>Further, the reported number of shares beneficially owned by Goldberg also includes 142,527 shares of common stock pursuant to his ownership of 142,527 shares of our Series B Preferred, immediately convertible into a like number of shares of our registered common stock. Pursuant to the terms of the Certificate of Designation of the Relative Rights and Preferences of the Series B 10% Convertible Preferred Stock, there is, however, a limitation on conversion of the Series B Preferred such that the number of shares of common stock that Goldberg may beneficially acquire upon such conversion is limited to the extent necessary to ensure that, following such conversion, the total number of shares of common stock then beneficially owned by Goldberg does not exceed 9.99% of the total number of then issued and outstanding shares of our common stock without providing us with 61 days’ prior notice thereof.</w:t>
      </w:r>
    </w:p>
    <w:p>
      <w:pPr>
        <w:spacing w:after="0" w:line="134" w:lineRule="exact"/>
        <w:rPr>
          <w:rFonts w:ascii="Arial" w:cs="Arial" w:eastAsia="Arial" w:hAnsi="Arial"/>
          <w:sz w:val="14"/>
          <w:szCs w:val="14"/>
          <w:color w:val="auto"/>
        </w:rPr>
      </w:pPr>
    </w:p>
    <w:p>
      <w:pPr>
        <w:ind w:left="400"/>
        <w:spacing w:after="0"/>
        <w:rPr>
          <w:rFonts w:ascii="Arial" w:cs="Arial" w:eastAsia="Arial" w:hAnsi="Arial"/>
          <w:sz w:val="14"/>
          <w:szCs w:val="14"/>
          <w:color w:val="auto"/>
        </w:rPr>
      </w:pPr>
      <w:r>
        <w:rPr>
          <w:rFonts w:ascii="Arial" w:cs="Arial" w:eastAsia="Arial" w:hAnsi="Arial"/>
          <w:sz w:val="14"/>
          <w:szCs w:val="14"/>
          <w:color w:val="auto"/>
        </w:rPr>
        <w:t>Excluding the shares otherwise subject to the beneficial ownership restrictions noted above, Goldberg beneficially owns 182,461 shares or 7.23% of our common stock.</w:t>
      </w:r>
    </w:p>
    <w:p>
      <w:pPr>
        <w:spacing w:after="0" w:line="179" w:lineRule="exact"/>
        <w:rPr>
          <w:rFonts w:ascii="Arial" w:cs="Arial" w:eastAsia="Arial" w:hAnsi="Arial"/>
          <w:sz w:val="14"/>
          <w:szCs w:val="14"/>
          <w:color w:val="auto"/>
        </w:rPr>
      </w:pPr>
    </w:p>
    <w:p>
      <w:pPr>
        <w:ind w:left="400" w:hanging="395"/>
        <w:spacing w:after="0" w:line="280" w:lineRule="auto"/>
        <w:tabs>
          <w:tab w:leader="none" w:pos="4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Based upon information contained in Form 4 filed on January 9, 2012, as updated to give effect to transactions through May 6, 2016 as recorded on our books. The reported number of shares beneficially owned by Cato Holding Company, dba Cato BioVentures, includes 328,571 restricted shares of our Series B Preferred stock currently exchangeable for 328,571 registered shares of our common stock. Pursuant to the terms of the Certificate of Designation of the Relative Rights and Preferences of the Series B 10% Convertible Preferred Stock, however,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Excluding the shares subject to the beneficial ownership restrictions noted above, Cato beneficially owns 220,437 shares or 8.73% of our common stock. Lynda Sutton has voting and investment authority over the shares held by Cato Holding Company. The primary business address of Cato BioVentures is 4364 South Alston Avenue, Durham, North Carolina 27713.</w:t>
      </w:r>
    </w:p>
    <w:p>
      <w:pPr>
        <w:spacing w:after="0" w:line="138" w:lineRule="exact"/>
        <w:rPr>
          <w:rFonts w:ascii="Arial" w:cs="Arial" w:eastAsia="Arial" w:hAnsi="Arial"/>
          <w:sz w:val="13"/>
          <w:szCs w:val="13"/>
          <w:color w:val="auto"/>
        </w:rPr>
      </w:pPr>
    </w:p>
    <w:p>
      <w:pPr>
        <w:ind w:left="400" w:right="20" w:hanging="395"/>
        <w:spacing w:after="0" w:line="258" w:lineRule="auto"/>
        <w:tabs>
          <w:tab w:leader="none" w:pos="4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currently exercisable warrants to purchase 110,448 restricted shares of common stock and 257,143 restricted shares of our Series B Preferred stock currently exchangeable for 257,143 registered shares of our common stock. Pursuant to the terms of the Certificate of Designation of Rights and Preferences of the Series B Preferred, however, there is a limitation on conversion of the Series B Preferred such that the number of shares of common stock that Morrison &amp; Foerster may beneficially acquire upon such conversion is limited to the extent necessary to ensure that, following such conversion, the total number of shares of common stock then beneficially owned by Morrison &amp; Foerster does not exceed 9.99% of the total number of issued and outstanding shares of our common stock without providing us with 61 days’ prior notice thereof. Effective on June 12, 2015, Morrison &amp; Foerster provided us with such 61-day advance notice, which notice period has now elapsed. The primary business address of Morrison &amp; Foerster is 555 Market Street, San Francisco, California 94105. Mark Blumenthal has voting and investment control over the shares held by Morrison &amp; Foerster.</w:t>
      </w:r>
    </w:p>
    <w:p>
      <w:pPr>
        <w:spacing w:after="0" w:line="151" w:lineRule="exact"/>
        <w:rPr>
          <w:rFonts w:ascii="Arial" w:cs="Arial" w:eastAsia="Arial" w:hAnsi="Arial"/>
          <w:sz w:val="14"/>
          <w:szCs w:val="14"/>
          <w:color w:val="auto"/>
        </w:rPr>
      </w:pPr>
    </w:p>
    <w:p>
      <w:pPr>
        <w:ind w:left="400" w:hanging="395"/>
        <w:spacing w:after="0" w:line="323" w:lineRule="auto"/>
        <w:tabs>
          <w:tab w:leader="none" w:pos="4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114,286 restricted shares of our Series B Preferred currently exchangeable for 114,286 registered shares of our common stock. The primary business address of Calm Seas Capital, LLC is 4650 Wedekind Road, Suite 2, Sparks, Nevada 89431. Michael McCarthy has voting and investment authority over the shares held by Calm Seas Capital, LLC.</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22" w:name="page123"/>
    <w:bookmarkEnd w:id="12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left="380" w:right="20" w:hanging="375"/>
        <w:spacing w:after="0" w:line="323" w:lineRule="auto"/>
        <w:tabs>
          <w:tab w:leader="none" w:pos="3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Includes 93,775 restricted shares of our Series B Preferred currently exchangeable for 93,775 registered shares of our common stock. The primary business address of University Health Network is 101 College Street, Suite 150, Toronto, Ontario Canada M5G 1L7. Christopher Paige, Ph.D. has voting and investment authority over the shares held by University Health Network.</w:t>
      </w:r>
    </w:p>
    <w:p>
      <w:pPr>
        <w:spacing w:after="0" w:line="108" w:lineRule="exact"/>
        <w:rPr>
          <w:rFonts w:ascii="Arial" w:cs="Arial" w:eastAsia="Arial" w:hAnsi="Arial"/>
          <w:sz w:val="13"/>
          <w:szCs w:val="13"/>
          <w:color w:val="auto"/>
        </w:rPr>
      </w:pPr>
    </w:p>
    <w:p>
      <w:pPr>
        <w:ind w:left="380" w:right="100" w:hanging="375"/>
        <w:spacing w:after="0" w:line="311" w:lineRule="auto"/>
        <w:tabs>
          <w:tab w:leader="none" w:pos="3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Includes 75,000 restricted shares of our Series B Preferred stock currently exchangeable for 75,000 restricted shares of our common stock. Pursuant to the terms of the Certificate of Designation of Rights and Preferences of the Series B Preferred there is, however, a limitation on conversion of the Series B Preferred such that the number of shares of common stock that Nexthera Capital may beneficially acquire upon such conversion is limited to the extent necessary to ensure that, following such conversion, the total number of shares of common stock then beneficially owned by Nexthera Capital does not exceed 9.99% of the total number of issued and outstanding shares of our common stock without providing us with 61 days’ prior notice thereof. Excluding the shares subject to the beneficial ownership restrictions noted above, Nexthera Capital beneficially owns 56,250 shares or 2.23% of our common stock. The primary business address of Nexthera Capital Master Fund LP is 900 Third Avenue, Suite 201.1, New York, NY 10022. Daniel Malek has voting and investment authority over the shares held by Nexthera Capital.</w:t>
      </w:r>
    </w:p>
    <w:p>
      <w:pPr>
        <w:spacing w:after="0" w:line="119" w:lineRule="exact"/>
        <w:rPr>
          <w:rFonts w:ascii="Arial" w:cs="Arial" w:eastAsia="Arial" w:hAnsi="Arial"/>
          <w:sz w:val="12"/>
          <w:szCs w:val="12"/>
          <w:color w:val="auto"/>
        </w:rPr>
      </w:pPr>
    </w:p>
    <w:p>
      <w:pPr>
        <w:ind w:left="380" w:right="60" w:hanging="375"/>
        <w:spacing w:after="0" w:line="283" w:lineRule="auto"/>
        <w:tabs>
          <w:tab w:leader="none" w:pos="3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options to purchase an aggregate of 136,371 registered shares of common stock exercisable within 60 days of May 6, 2016 and warrants to purchase an aggregate of 1,118,553 restricted shares of common stock exercisable within 60 days of May 6, 2016.</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Grants</w:t>
      </w:r>
    </w:p>
    <w:p>
      <w:pPr>
        <w:spacing w:after="0" w:line="180" w:lineRule="exact"/>
        <w:rPr>
          <w:sz w:val="20"/>
          <w:szCs w:val="20"/>
          <w:color w:val="auto"/>
        </w:rPr>
      </w:pPr>
    </w:p>
    <w:p>
      <w:pPr>
        <w:ind w:right="100"/>
        <w:spacing w:after="0" w:line="333" w:lineRule="auto"/>
        <w:rPr>
          <w:sz w:val="20"/>
          <w:szCs w:val="20"/>
          <w:color w:val="auto"/>
        </w:rPr>
      </w:pPr>
      <w:r>
        <w:rPr>
          <w:rFonts w:ascii="Arial" w:cs="Arial" w:eastAsia="Arial" w:hAnsi="Arial"/>
          <w:sz w:val="12"/>
          <w:szCs w:val="12"/>
          <w:color w:val="auto"/>
        </w:rPr>
        <w:t>As of March 31, 2016, options to purchase a total of 336,987 restricted shares of our common stock were outstanding at a weighted average exercise price of $9.56 per share, of which 201,779 options were vested and exercisable at a weighted average exercise price of $10.11 per share and 135,208 were unvested and not exercisable at a weighted average exercise price of $8.74 per share. These options were issued under our 2008 Plan and our 1999 Plan, each as described below. At March 31, 2016, an additional 660,242 shares remained available for future equity grants under our 2008 Plan.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available for</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future issuance</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securities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under equity</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to be issued upon</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compensation</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of</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Weighted-average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plans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exercise price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(excluding</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options,</w:t>
            </w:r>
          </w:p>
        </w:tc>
        <w:tc>
          <w:tcPr>
            <w:tcW w:w="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warrants and</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options, warrants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reflected in</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rights</w:t>
            </w:r>
          </w:p>
        </w:tc>
        <w:tc>
          <w:tcPr>
            <w:tcW w:w="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and rights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column (a))</w:t>
            </w:r>
          </w:p>
        </w:tc>
      </w:tr>
      <w:tr>
        <w:trPr>
          <w:trHeight w:val="186"/>
        </w:trPr>
        <w:tc>
          <w:tcPr>
            <w:tcW w:w="452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9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6"/>
                <w:szCs w:val="16"/>
                <w:color w:val="auto"/>
              </w:rPr>
            </w:pPr>
          </w:p>
        </w:tc>
      </w:tr>
      <w:tr>
        <w:trPr>
          <w:trHeight w:val="170"/>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43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324,758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660,242</w:t>
            </w:r>
          </w:p>
        </w:tc>
      </w:tr>
      <w:tr>
        <w:trPr>
          <w:trHeight w:val="170"/>
        </w:trPr>
        <w:tc>
          <w:tcPr>
            <w:tcW w:w="4520" w:type="dxa"/>
            <w:vAlign w:val="bottom"/>
          </w:tcPr>
          <w:p>
            <w:pPr>
              <w:spacing w:after="0"/>
              <w:rPr>
                <w:sz w:val="20"/>
                <w:szCs w:val="20"/>
                <w:color w:val="auto"/>
              </w:rPr>
            </w:pPr>
            <w:r>
              <w:rPr>
                <w:rFonts w:ascii="Arial" w:cs="Arial" w:eastAsia="Arial" w:hAnsi="Arial"/>
                <w:sz w:val="14"/>
                <w:szCs w:val="14"/>
                <w:color w:val="auto"/>
              </w:rPr>
              <w:t>Equity compensation plans not approved by security holders</w:t>
            </w:r>
          </w:p>
        </w:tc>
        <w:tc>
          <w:tcPr>
            <w:tcW w:w="29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12,229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11.64</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4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Total</w:t>
            </w:r>
          </w:p>
        </w:tc>
        <w:tc>
          <w:tcPr>
            <w:tcW w:w="29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336,987</w:t>
            </w: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line="151" w:lineRule="exact"/>
              <w:rPr>
                <w:sz w:val="20"/>
                <w:szCs w:val="20"/>
                <w:color w:val="auto"/>
              </w:rPr>
            </w:pPr>
            <w:r>
              <w:rPr>
                <w:rFonts w:ascii="Arial" w:cs="Arial" w:eastAsia="Arial" w:hAnsi="Arial"/>
                <w:sz w:val="14"/>
                <w:szCs w:val="14"/>
                <w:color w:val="auto"/>
              </w:rPr>
              <w:t>9.56</w:t>
            </w:r>
          </w:p>
        </w:tc>
        <w:tc>
          <w:tcPr>
            <w:tcW w:w="124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660,242</w:t>
            </w:r>
          </w:p>
        </w:tc>
      </w:tr>
      <w:tr>
        <w:trPr>
          <w:trHeight w:val="440"/>
        </w:trPr>
        <w:tc>
          <w:tcPr>
            <w:tcW w:w="4520" w:type="dxa"/>
            <w:vAlign w:val="bottom"/>
            <w:tcBorders>
              <w:top w:val="single" w:sz="8" w:color="CCEEFF"/>
            </w:tcBorders>
          </w:tcPr>
          <w:p>
            <w:pPr>
              <w:spacing w:after="0"/>
              <w:rPr>
                <w:sz w:val="24"/>
                <w:szCs w:val="24"/>
                <w:color w:val="auto"/>
              </w:rPr>
            </w:pPr>
          </w:p>
        </w:tc>
        <w:tc>
          <w:tcPr>
            <w:tcW w:w="2940" w:type="dxa"/>
            <w:vAlign w:val="bottom"/>
            <w:tcBorders>
              <w:top w:val="single" w:sz="8" w:color="CCEEFF"/>
            </w:tcBorders>
          </w:tcPr>
          <w:p>
            <w:pPr>
              <w:jc w:val="right"/>
              <w:ind w:right="1509"/>
              <w:spacing w:after="0"/>
              <w:rPr>
                <w:sz w:val="20"/>
                <w:szCs w:val="20"/>
                <w:color w:val="auto"/>
              </w:rPr>
            </w:pPr>
            <w:r>
              <w:rPr>
                <w:rFonts w:ascii="Arial" w:cs="Arial" w:eastAsia="Arial" w:hAnsi="Arial"/>
                <w:sz w:val="14"/>
                <w:szCs w:val="14"/>
                <w:color w:val="auto"/>
              </w:rPr>
              <w:t>-118-</w:t>
            </w: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520" w:type="dxa"/>
            <w:vAlign w:val="bottom"/>
            <w:tcBorders>
              <w:bottom w:val="single" w:sz="8" w:color="808080"/>
            </w:tcBorders>
          </w:tcPr>
          <w:p>
            <w:pPr>
              <w:spacing w:after="0"/>
              <w:rPr>
                <w:sz w:val="7"/>
                <w:szCs w:val="7"/>
                <w:color w:val="auto"/>
              </w:rPr>
            </w:pPr>
          </w:p>
        </w:tc>
        <w:tc>
          <w:tcPr>
            <w:tcW w:w="29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3" w:name="page124"/>
    <w:bookmarkEnd w:id="12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2008 Stock Incentive Plan</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Stockholders of VistaGen California adopted our 2008 Plan on December 19, 2008 and we assumed the plan in connection with the Merger. In August 2015, our stockholders approved an amendment to the 2008 Plan to increase the number of shares of our common stock authorized for issuance to thereunder from 250,000 to 1.0 million shares.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4"/>
          <w:szCs w:val="14"/>
          <w:i w:val="1"/>
          <w:iCs w:val="1"/>
          <w:color w:val="auto"/>
        </w:rPr>
        <w:t>Code</w:t>
      </w:r>
      <w:r>
        <w:rPr>
          <w:rFonts w:ascii="Arial" w:cs="Arial" w:eastAsia="Arial" w:hAnsi="Arial"/>
          <w:sz w:val="14"/>
          <w:szCs w:val="14"/>
          <w:color w:val="auto"/>
        </w:rPr>
        <w:t>), is 1.0 million.</w:t>
      </w:r>
    </w:p>
    <w:p>
      <w:pPr>
        <w:spacing w:after="0" w:line="147" w:lineRule="exact"/>
        <w:rPr>
          <w:sz w:val="20"/>
          <w:szCs w:val="20"/>
          <w:color w:val="auto"/>
        </w:rPr>
      </w:pPr>
    </w:p>
    <w:p>
      <w:pPr>
        <w:ind w:right="260"/>
        <w:spacing w:after="0" w:line="298" w:lineRule="auto"/>
        <w:rPr>
          <w:sz w:val="20"/>
          <w:szCs w:val="20"/>
          <w:color w:val="auto"/>
        </w:rPr>
      </w:pPr>
      <w:r>
        <w:rPr>
          <w:rFonts w:ascii="Arial" w:cs="Arial" w:eastAsia="Arial" w:hAnsi="Arial"/>
          <w:sz w:val="13"/>
          <w:szCs w:val="13"/>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spacing w:after="0" w:line="146"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Our Board of Directors or the Compensation Committee of the Board of Directors, referred to as the “Administrator”, administers our 2008 Plan, including selecting the award recipients, determining the number of shares to be subject to each award, the exercise or purchase price of each award and the vesting and exercise periods of each award.</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ten years. The Administrator determines the term and exercise or purchase price of all other awards granted under our 2008 Plan.</w:t>
      </w:r>
    </w:p>
    <w:p>
      <w:pPr>
        <w:spacing w:after="0" w:line="156"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03" w:lineRule="exact"/>
        <w:rPr>
          <w:sz w:val="20"/>
          <w:szCs w:val="20"/>
          <w:color w:val="auto"/>
        </w:rPr>
      </w:pPr>
    </w:p>
    <w:p>
      <w:pPr>
        <w:ind w:left="480" w:hanging="475"/>
        <w:spacing w:after="0"/>
        <w:tabs>
          <w:tab w:leader="none" w:pos="480"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by will and by the laws of descent and distribution; and</w:t>
      </w:r>
    </w:p>
    <w:p>
      <w:pPr>
        <w:spacing w:after="0" w:line="181" w:lineRule="exact"/>
        <w:rPr>
          <w:rFonts w:ascii="Arial" w:cs="Arial" w:eastAsia="Arial" w:hAnsi="Arial"/>
          <w:sz w:val="20"/>
          <w:szCs w:val="20"/>
          <w:color w:val="auto"/>
          <w:vertAlign w:val="superscript"/>
        </w:rPr>
      </w:pPr>
    </w:p>
    <w:p>
      <w:pPr>
        <w:ind w:left="480" w:right="60" w:hanging="475"/>
        <w:spacing w:after="0" w:line="215" w:lineRule="auto"/>
        <w:tabs>
          <w:tab w:leader="none" w:pos="480"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during the lifetime of the participant, to the extent and in the manner authorized by the Administrator by gift or pursuant to a domestic relations order to members of the participant’s immediate family.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2008 Plan permits the designation of beneficiaries by holders of awards, including incentive stock options.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4" w:name="page125"/>
    <w:bookmarkEnd w:id="12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In the event of termination of a participant’s service for any reason other than disability or death, such participant may, but only during the period specified in the award agreement of not less than</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30 days (generally 90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Administrator).</w:t>
      </w:r>
    </w:p>
    <w:p>
      <w:pPr>
        <w:spacing w:after="0" w:line="176"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125,000 shares of common stock. In connection with a participant’s commencement of service with us, a participant may be granted options and stock appreciation rights for up to an additional 25,000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125,000 shares of common stock. The limits described in this paragraph are subject to adjustment in the event of any change in our capital structure as described below.</w:t>
      </w:r>
    </w:p>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The terms and conditions of awards are determined by the Administrator, including the vesting schedule and any forfeiture provisions. Awards under the plan may vest upon the passage of time or upon the attainment of certain performance criteria. Although we do not currently have any awards outstanding that vest upon the attainment of performance criteria, the Administrator may establish criteria based on any one of, or combination of, the following:</w:t>
      </w:r>
    </w:p>
    <w:p>
      <w:pPr>
        <w:spacing w:after="0" w:line="114" w:lineRule="exact"/>
        <w:rPr>
          <w:sz w:val="20"/>
          <w:szCs w:val="20"/>
          <w:color w:val="auto"/>
        </w:rPr>
      </w:pPr>
    </w:p>
    <w:p>
      <w:pPr>
        <w:ind w:left="500" w:hanging="495"/>
        <w:spacing w:after="0"/>
        <w:tabs>
          <w:tab w:leader="none" w:pos="500"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increase in share price;</w:t>
      </w:r>
    </w:p>
    <w:p>
      <w:pPr>
        <w:spacing w:after="0" w:line="1" w:lineRule="exact"/>
        <w:rPr>
          <w:rFonts w:ascii="Arial" w:cs="Arial" w:eastAsia="Arial" w:hAnsi="Arial"/>
          <w:sz w:val="20"/>
          <w:szCs w:val="20"/>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earnings per share;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total stockholder return;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operating margin;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gross margin;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return on equity;</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return on assets</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return on investment;</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operating income;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net operating income;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pre-tax profit;</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cash flow;</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revenue;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expenses;</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earnings before interest, taxes and depreciation;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economic value added; and</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market share.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25" w:name="page126"/>
    <w:bookmarkEnd w:id="12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Under our 2008 Plan, a Corporate Transaction is generally defined as:</w:t>
      </w:r>
    </w:p>
    <w:p>
      <w:pPr>
        <w:spacing w:after="0" w:line="180" w:lineRule="exact"/>
        <w:rPr>
          <w:sz w:val="20"/>
          <w:szCs w:val="20"/>
          <w:color w:val="auto"/>
        </w:rPr>
      </w:pPr>
    </w:p>
    <w:p>
      <w:pPr>
        <w:ind w:left="500" w:hanging="495"/>
        <w:spacing w:after="0" w:line="215" w:lineRule="auto"/>
        <w:tabs>
          <w:tab w:leader="none" w:pos="50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60" w:lineRule="exact"/>
        <w:rPr>
          <w:rFonts w:ascii="Arial" w:cs="Arial" w:eastAsia="Arial" w:hAnsi="Arial"/>
          <w:sz w:val="20"/>
          <w:szCs w:val="20"/>
          <w:color w:val="auto"/>
          <w:vertAlign w:val="superscript"/>
        </w:rPr>
      </w:pPr>
    </w:p>
    <w:p>
      <w:pPr>
        <w:jc w:val="both"/>
        <w:ind w:left="500" w:hanging="495"/>
        <w:spacing w:after="0" w:line="226" w:lineRule="auto"/>
        <w:tabs>
          <w:tab w:leader="none" w:pos="50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1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 sale, transfer or other disposition of all or substantially all of the assets of our Corporation;</w:t>
      </w:r>
    </w:p>
    <w:p>
      <w:pPr>
        <w:spacing w:after="0" w:line="110"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 merger or consolidation in which our Corporation is not the surviving entity; or</w:t>
      </w:r>
    </w:p>
    <w:p>
      <w:pPr>
        <w:spacing w:after="0" w:line="110"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72"/>
        </w:numPr>
        <w:rPr>
          <w:rFonts w:ascii="Arial" w:cs="Arial" w:eastAsia="Arial" w:hAnsi="Arial"/>
          <w:sz w:val="20"/>
          <w:szCs w:val="20"/>
          <w:color w:val="auto"/>
          <w:vertAlign w:val="superscript"/>
        </w:rPr>
      </w:pPr>
      <w:r>
        <w:rPr>
          <w:rFonts w:ascii="Arial" w:cs="Arial" w:eastAsia="Arial" w:hAnsi="Arial"/>
          <w:sz w:val="14"/>
          <w:szCs w:val="14"/>
          <w:color w:val="auto"/>
        </w:rPr>
        <w:t>a complete liquidation or dissolution.</w:t>
      </w:r>
    </w:p>
    <w:p>
      <w:pPr>
        <w:spacing w:after="0" w:line="182" w:lineRule="exact"/>
        <w:rPr>
          <w:sz w:val="20"/>
          <w:szCs w:val="20"/>
          <w:color w:val="auto"/>
        </w:rPr>
      </w:pPr>
    </w:p>
    <w:p>
      <w:pPr>
        <w:jc w:val="both"/>
        <w:ind w:right="140"/>
        <w:spacing w:after="0" w:line="268" w:lineRule="auto"/>
        <w:rPr>
          <w:sz w:val="20"/>
          <w:szCs w:val="20"/>
          <w:color w:val="auto"/>
        </w:rPr>
      </w:pPr>
      <w:r>
        <w:rPr>
          <w:rFonts w:ascii="Arial" w:cs="Arial" w:eastAsia="Arial" w:hAnsi="Arial"/>
          <w:sz w:val="14"/>
          <w:szCs w:val="14"/>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will obtain stockholder approval of any such amendment to the 2008 Stock Plan in such a manner and to such a degree as required.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As of May 6, 2016, we have options to purchase an aggregate of 319,758 registered shares of our common stock outstanding under our 2008 Plan.</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6" w:name="page127"/>
    <w:bookmarkEnd w:id="12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1999 Stock Incentive Plan</w:t>
      </w:r>
    </w:p>
    <w:p>
      <w:pPr>
        <w:spacing w:after="0" w:line="180"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63"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67" w:lineRule="exact"/>
        <w:rPr>
          <w:sz w:val="20"/>
          <w:szCs w:val="20"/>
          <w:color w:val="auto"/>
        </w:rPr>
      </w:pPr>
    </w:p>
    <w:p>
      <w:pPr>
        <w:ind w:right="240"/>
        <w:spacing w:after="0" w:line="290" w:lineRule="auto"/>
        <w:rPr>
          <w:sz w:val="20"/>
          <w:szCs w:val="20"/>
          <w:color w:val="auto"/>
        </w:rPr>
      </w:pPr>
      <w:r>
        <w:rPr>
          <w:rFonts w:ascii="Arial" w:cs="Arial" w:eastAsia="Arial" w:hAnsi="Arial"/>
          <w:sz w:val="13"/>
          <w:szCs w:val="13"/>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As of May 6, 2016, we have options outstanding under the 1999 Plan to purchase an aggregate of 12,229 registered shares of our common stock.</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7" w:name="page128"/>
    <w:bookmarkEnd w:id="12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of Securities to Cato Holding Company</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Cato Holding Company (</w:t>
      </w:r>
      <w:r>
        <w:rPr>
          <w:rFonts w:ascii="Arial" w:cs="Arial" w:eastAsia="Arial" w:hAnsi="Arial"/>
          <w:sz w:val="14"/>
          <w:szCs w:val="14"/>
          <w:i w:val="1"/>
          <w:iCs w:val="1"/>
          <w:color w:val="auto"/>
        </w:rPr>
        <w:t>CHC</w:t>
      </w:r>
      <w:r>
        <w:rPr>
          <w:rFonts w:ascii="Arial" w:cs="Arial" w:eastAsia="Arial" w:hAnsi="Arial"/>
          <w:sz w:val="14"/>
          <w:szCs w:val="14"/>
          <w:color w:val="auto"/>
        </w:rPr>
        <w:t>), doing business as Cato BioVentures (</w:t>
      </w:r>
      <w:r>
        <w:rPr>
          <w:rFonts w:ascii="Arial" w:cs="Arial" w:eastAsia="Arial" w:hAnsi="Arial"/>
          <w:sz w:val="14"/>
          <w:szCs w:val="14"/>
          <w:i w:val="1"/>
          <w:iCs w:val="1"/>
          <w:color w:val="auto"/>
        </w:rPr>
        <w:t>CBV</w:t>
      </w:r>
      <w:r>
        <w:rPr>
          <w:rFonts w:ascii="Arial" w:cs="Arial" w:eastAsia="Arial" w:hAnsi="Arial"/>
          <w:sz w:val="14"/>
          <w:szCs w:val="14"/>
          <w:color w:val="auto"/>
        </w:rPr>
        <w:t>), the parent of Cato Research Ltd. (</w:t>
      </w:r>
      <w:r>
        <w:rPr>
          <w:rFonts w:ascii="Arial" w:cs="Arial" w:eastAsia="Arial" w:hAnsi="Arial"/>
          <w:sz w:val="14"/>
          <w:szCs w:val="14"/>
          <w:i w:val="1"/>
          <w:iCs w:val="1"/>
          <w:color w:val="auto"/>
        </w:rPr>
        <w:t>CRL)</w:t>
      </w:r>
      <w:r>
        <w:rPr>
          <w:rFonts w:ascii="Arial" w:cs="Arial" w:eastAsia="Arial" w:hAnsi="Arial"/>
          <w:sz w:val="14"/>
          <w:szCs w:val="14"/>
          <w:color w:val="auto"/>
        </w:rPr>
        <w:t xml:space="preserve">,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$310,443 (the </w:t>
      </w:r>
      <w:r>
        <w:rPr>
          <w:rFonts w:ascii="Arial" w:cs="Arial" w:eastAsia="Arial" w:hAnsi="Arial"/>
          <w:sz w:val="14"/>
          <w:szCs w:val="14"/>
          <w:i w:val="1"/>
          <w:iCs w:val="1"/>
          <w:color w:val="auto"/>
        </w:rPr>
        <w:t>2012 CHC Note</w:t>
      </w:r>
      <w:r>
        <w:rPr>
          <w:rFonts w:ascii="Arial" w:cs="Arial" w:eastAsia="Arial" w:hAnsi="Arial"/>
          <w:sz w:val="14"/>
          <w:szCs w:val="14"/>
          <w:color w:val="auto"/>
        </w:rPr>
        <w:t xml:space="preserve">) and a five-year warrant to purchase 12,500 restricted shares of the Company’s common stock at a price of $30.00 per share (the </w:t>
      </w:r>
      <w:r>
        <w:rPr>
          <w:rFonts w:ascii="Arial" w:cs="Arial" w:eastAsia="Arial" w:hAnsi="Arial"/>
          <w:sz w:val="14"/>
          <w:szCs w:val="14"/>
          <w:i w:val="1"/>
          <w:iCs w:val="1"/>
          <w:color w:val="auto"/>
        </w:rPr>
        <w:t>CHC Warrant</w:t>
      </w:r>
      <w:r>
        <w:rPr>
          <w:rFonts w:ascii="Arial" w:cs="Arial" w:eastAsia="Arial" w:hAnsi="Arial"/>
          <w:sz w:val="14"/>
          <w:szCs w:val="14"/>
          <w:color w:val="auto"/>
        </w:rPr>
        <w:t>).</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4"/>
          <w:szCs w:val="14"/>
          <w:i w:val="1"/>
          <w:iCs w:val="1"/>
          <w:color w:val="auto"/>
        </w:rPr>
        <w:t>CRL Note</w:t>
      </w:r>
      <w:r>
        <w:rPr>
          <w:rFonts w:ascii="Arial" w:cs="Arial" w:eastAsia="Arial" w:hAnsi="Arial"/>
          <w:sz w:val="14"/>
          <w:szCs w:val="14"/>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Each of the CRL Note and 2012 CHC Note were scheduled to mature on March 31, 2016.</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In June 2015, the outstanding balance of the CHC Note, the CRL Note and all other outstanding amounts owed to CRL for CRO services were converted into shares of our Series B Preferred, and the exercise prices of the CHC Warrant and the CRL Warrant were each reduced to $7.00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Research and Development Agreement with Cato Research Ltd.</w:t>
      </w:r>
    </w:p>
    <w:p>
      <w:pPr>
        <w:spacing w:after="0" w:line="201"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During fiscal year 2007, we entered into a contract research organization arrangement with CRL related to the development of AV-101, under which we incurred expenses of $38,100 and $52,500 for the fiscal years ended March 31, 2015 and 2014,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Advances to us by Shawn Singh</w:t>
      </w:r>
    </w:p>
    <w:p>
      <w:pPr>
        <w:spacing w:after="0" w:line="180"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Between September 2013 and December 2013, Mr. Singh provided short-term cash advances aggregating $64,000 to meet our short-term working capital requirements. In lieu of cash repayment of the entire amount of the advances, in December 2013, Mr. Singh elected to invest $50,000 of the balance due him in the 2013 Unit Private Placement. At March 31, 2015, we had completely repaid the remaining balance of the advances and the $50,000 promissory note issued in connection with his investment in the 2013 Unit Private Placement to Mr. Singh.</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bookmarkStart w:id="128" w:name="page129"/>
    <w:bookmarkEnd w:id="12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5"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Our authorized capital stock consists of 30.0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3"/>
          <w:szCs w:val="13"/>
          <w:i w:val="1"/>
          <w:iCs w:val="1"/>
          <w:color w:val="auto"/>
        </w:rPr>
        <w:t>Bylaws</w:t>
      </w:r>
      <w:r>
        <w:rPr>
          <w:rFonts w:ascii="Arial" w:cs="Arial" w:eastAsia="Arial" w:hAnsi="Arial"/>
          <w:sz w:val="13"/>
          <w:szCs w:val="13"/>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Exchange Act.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As of May 6, 2016, there were issued and outstanding, or reserved for issuance:</w:t>
      </w:r>
    </w:p>
    <w:p>
      <w:pPr>
        <w:spacing w:after="0" w:line="201" w:lineRule="exact"/>
        <w:rPr>
          <w:sz w:val="20"/>
          <w:szCs w:val="20"/>
          <w:color w:val="auto"/>
        </w:rPr>
      </w:pPr>
    </w:p>
    <w:p>
      <w:pPr>
        <w:ind w:left="320" w:hanging="315"/>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2,525,276 shares of common stock held by approximately 300 stockholders of record;</w:t>
      </w:r>
    </w:p>
    <w:p>
      <w:pPr>
        <w:spacing w:after="0" w:line="201" w:lineRule="exact"/>
        <w:rPr>
          <w:rFonts w:ascii="Arial" w:cs="Arial" w:eastAsia="Arial" w:hAnsi="Arial"/>
          <w:sz w:val="14"/>
          <w:szCs w:val="14"/>
          <w:color w:val="auto"/>
        </w:rPr>
      </w:pPr>
    </w:p>
    <w:p>
      <w:pPr>
        <w:ind w:left="320" w:hanging="315"/>
        <w:spacing w:after="0"/>
        <w:tabs>
          <w:tab w:leader="none" w:pos="3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750,000 shares of common stock reserved for issuance upon conversion of 500,000 shares our Series A Preferred, all of which is held by one institutional investor and one accredited investor;</w:t>
      </w:r>
    </w:p>
    <w:p>
      <w:pPr>
        <w:spacing w:after="0" w:line="212" w:lineRule="exact"/>
        <w:rPr>
          <w:rFonts w:ascii="Arial" w:cs="Arial" w:eastAsia="Arial" w:hAnsi="Arial"/>
          <w:sz w:val="13"/>
          <w:szCs w:val="13"/>
          <w:color w:val="auto"/>
        </w:rPr>
      </w:pPr>
    </w:p>
    <w:p>
      <w:pPr>
        <w:ind w:left="320" w:hanging="315"/>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3,695,291 shares of common stock reserved for issuance upon conversion of the same number of shares of our Series B Preferred held by approximately 59 investors;</w:t>
      </w:r>
    </w:p>
    <w:p>
      <w:pPr>
        <w:spacing w:after="0" w:line="201" w:lineRule="exact"/>
        <w:rPr>
          <w:rFonts w:ascii="Arial" w:cs="Arial" w:eastAsia="Arial" w:hAnsi="Arial"/>
          <w:sz w:val="14"/>
          <w:szCs w:val="14"/>
          <w:color w:val="auto"/>
        </w:rPr>
      </w:pPr>
    </w:p>
    <w:p>
      <w:pPr>
        <w:ind w:left="320" w:hanging="315"/>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2,318,012 shares of common stock reserved for issuance upon conversion of the same number of shares of our Series C Preferred, held by one institutional investor;</w:t>
      </w:r>
    </w:p>
    <w:p>
      <w:pPr>
        <w:spacing w:after="0" w:line="201" w:lineRule="exact"/>
        <w:rPr>
          <w:rFonts w:ascii="Arial" w:cs="Arial" w:eastAsia="Arial" w:hAnsi="Arial"/>
          <w:sz w:val="14"/>
          <w:szCs w:val="14"/>
          <w:color w:val="auto"/>
        </w:rPr>
      </w:pPr>
    </w:p>
    <w:p>
      <w:pPr>
        <w:ind w:left="320" w:hanging="315"/>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1,901,103 shares of common stock that have been reserved for issuance upon exercise of outstanding warrants, with a weighted average exercise price of $8.17 per share;</w:t>
      </w:r>
    </w:p>
    <w:p>
      <w:pPr>
        <w:spacing w:after="0" w:line="201" w:lineRule="exact"/>
        <w:rPr>
          <w:rFonts w:ascii="Arial" w:cs="Arial" w:eastAsia="Arial" w:hAnsi="Arial"/>
          <w:sz w:val="14"/>
          <w:szCs w:val="14"/>
          <w:color w:val="auto"/>
        </w:rPr>
      </w:pPr>
    </w:p>
    <w:p>
      <w:pPr>
        <w:ind w:left="320" w:hanging="315"/>
        <w:spacing w:after="0" w:line="283"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331,987 shares of common stock reserved for issuance upon exercise of outstanding stock options under our 1999 Stock Incentive Plan and our 2008 Stock Incentive Plan, with a weighted average exercise price of $9.55 per share; and</w:t>
      </w:r>
    </w:p>
    <w:p>
      <w:pPr>
        <w:spacing w:after="0" w:line="152" w:lineRule="exact"/>
        <w:rPr>
          <w:rFonts w:ascii="Arial" w:cs="Arial" w:eastAsia="Arial" w:hAnsi="Arial"/>
          <w:sz w:val="14"/>
          <w:szCs w:val="14"/>
          <w:color w:val="auto"/>
        </w:rPr>
      </w:pPr>
    </w:p>
    <w:p>
      <w:pPr>
        <w:ind w:left="320" w:hanging="315"/>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665,242 shares of common stock reserved for issuance in connection with future grants under our 2008 Stock Incentive Plan.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05" w:lineRule="exact"/>
        <w:rPr>
          <w:sz w:val="20"/>
          <w:szCs w:val="20"/>
          <w:color w:val="auto"/>
        </w:rPr>
      </w:pPr>
    </w:p>
    <w:p>
      <w:pPr>
        <w:ind w:right="360"/>
        <w:spacing w:after="0" w:line="323" w:lineRule="auto"/>
        <w:rPr>
          <w:sz w:val="20"/>
          <w:szCs w:val="20"/>
          <w:color w:val="auto"/>
        </w:rPr>
      </w:pPr>
      <w:r>
        <w:rPr>
          <w:rFonts w:ascii="Arial" w:cs="Arial" w:eastAsia="Arial" w:hAnsi="Arial"/>
          <w:sz w:val="13"/>
          <w:szCs w:val="13"/>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201" w:lineRule="exact"/>
        <w:rPr>
          <w:sz w:val="20"/>
          <w:szCs w:val="20"/>
          <w:color w:val="auto"/>
        </w:rPr>
      </w:pPr>
    </w:p>
    <w:p>
      <w:pPr>
        <w:jc w:val="both"/>
        <w:ind w:right="160"/>
        <w:spacing w:after="0" w:line="298" w:lineRule="auto"/>
        <w:rPr>
          <w:sz w:val="20"/>
          <w:szCs w:val="20"/>
          <w:color w:val="auto"/>
        </w:rPr>
      </w:pPr>
      <w:r>
        <w:rPr>
          <w:rFonts w:ascii="Arial" w:cs="Arial" w:eastAsia="Arial" w:hAnsi="Arial"/>
          <w:sz w:val="13"/>
          <w:szCs w:val="13"/>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4"/>
          <w:szCs w:val="14"/>
          <w:i w:val="1"/>
          <w:iCs w:val="1"/>
          <w:color w:val="auto"/>
        </w:rPr>
        <w:t>Dividend Policy</w:t>
      </w:r>
      <w:r>
        <w:rPr>
          <w:rFonts w:ascii="Arial" w:cs="Arial" w:eastAsia="Arial" w:hAnsi="Arial"/>
          <w:sz w:val="14"/>
          <w:szCs w:val="14"/>
          <w:color w:val="auto"/>
        </w:rPr>
        <w:t>” for more information.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29" w:name="page130"/>
    <w:bookmarkEnd w:id="12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 Preemptive or Similar Rights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not subject to conversion, redemption, sinking fund or similar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205"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A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80"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and Rank</w:t>
      </w:r>
    </w:p>
    <w:p>
      <w:pPr>
        <w:spacing w:after="0" w:line="20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At May 6, 2016, there were 500,000 shares of Series A Preferred outstanding, which shares are exchangeable at the option of the holders into an aggregate of 750,000 shares of our common stock. The Series A Preferred ranks prior to our common stock for purposes of liquidation preference.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this limitation may be waived upon sixty-one (61) days notice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4"/>
          <w:szCs w:val="14"/>
          <w:i w:val="1"/>
          <w:iCs w:val="1"/>
          <w:color w:val="auto"/>
        </w:rPr>
        <w:t>Record Date</w:t>
      </w:r>
      <w:r>
        <w:rPr>
          <w:rFonts w:ascii="Arial" w:cs="Arial" w:eastAsia="Arial" w:hAnsi="Arial"/>
          <w:sz w:val="14"/>
          <w:szCs w:val="14"/>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30" w:name="page131"/>
    <w:bookmarkEnd w:id="13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80"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B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80" w:lineRule="exact"/>
        <w:rPr>
          <w:sz w:val="20"/>
          <w:szCs w:val="20"/>
          <w:color w:val="auto"/>
        </w:rPr>
      </w:pPr>
    </w:p>
    <w:p>
      <w:pPr>
        <w:ind w:right="20"/>
        <w:spacing w:after="0" w:line="323" w:lineRule="auto"/>
        <w:rPr>
          <w:sz w:val="20"/>
          <w:szCs w:val="20"/>
          <w:color w:val="auto"/>
        </w:rPr>
      </w:pPr>
      <w:r>
        <w:rPr>
          <w:rFonts w:ascii="Arial" w:cs="Arial" w:eastAsia="Arial" w:hAnsi="Arial"/>
          <w:sz w:val="13"/>
          <w:szCs w:val="13"/>
          <w:color w:val="auto"/>
        </w:rPr>
        <w:t>In May 2015, our board of directors authorized the creation of a series of up to 4.0 million shares of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xml:space="preserve">). The Certificate of Designation of the Relative Rights and Preferences of the Series B 10% Convertible Preferred Stock was filed with the Nevada Secretary of State on May 7, 2015 (the </w:t>
      </w:r>
      <w:r>
        <w:rPr>
          <w:rFonts w:ascii="Arial" w:cs="Arial" w:eastAsia="Arial" w:hAnsi="Arial"/>
          <w:sz w:val="13"/>
          <w:szCs w:val="13"/>
          <w:i w:val="1"/>
          <w:iCs w:val="1"/>
          <w:color w:val="auto"/>
        </w:rPr>
        <w:t>Series B Certificate of Designation</w:t>
      </w:r>
      <w:r>
        <w:rPr>
          <w:rFonts w:ascii="Arial" w:cs="Arial" w:eastAsia="Arial" w:hAnsi="Arial"/>
          <w:sz w:val="13"/>
          <w:szCs w:val="13"/>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w:t>
      </w:r>
    </w:p>
    <w:p>
      <w:pPr>
        <w:spacing w:after="0" w:line="20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Each share of Series B Preferred is convertible, at the option of the holder (</w:t>
      </w:r>
      <w:r>
        <w:rPr>
          <w:rFonts w:ascii="Arial" w:cs="Arial" w:eastAsia="Arial" w:hAnsi="Arial"/>
          <w:sz w:val="13"/>
          <w:szCs w:val="13"/>
          <w:i w:val="1"/>
          <w:iCs w:val="1"/>
          <w:color w:val="auto"/>
        </w:rPr>
        <w:t>Voluntary Conversion</w:t>
      </w:r>
      <w:r>
        <w:rPr>
          <w:rFonts w:ascii="Arial" w:cs="Arial" w:eastAsia="Arial" w:hAnsi="Arial"/>
          <w:sz w:val="13"/>
          <w:szCs w:val="13"/>
          <w:color w:val="auto"/>
        </w:rPr>
        <w:t>), into one (1) share of the Company’s common stock. All outstanding shares of Series B Preferred are also automatically convertible into common stock (</w:t>
      </w:r>
      <w:r>
        <w:rPr>
          <w:rFonts w:ascii="Arial" w:cs="Arial" w:eastAsia="Arial" w:hAnsi="Arial"/>
          <w:sz w:val="13"/>
          <w:szCs w:val="13"/>
          <w:i w:val="1"/>
          <w:iCs w:val="1"/>
          <w:color w:val="auto"/>
        </w:rPr>
        <w:t>Automatic Conversion</w:t>
      </w:r>
      <w:r>
        <w:rPr>
          <w:rFonts w:ascii="Arial" w:cs="Arial" w:eastAsia="Arial" w:hAnsi="Arial"/>
          <w:sz w:val="13"/>
          <w:szCs w:val="13"/>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56" w:lineRule="exact"/>
        <w:rPr>
          <w:sz w:val="20"/>
          <w:szCs w:val="20"/>
          <w:color w:val="auto"/>
        </w:rPr>
      </w:pPr>
    </w:p>
    <w:p>
      <w:pPr>
        <w:ind w:right="440"/>
        <w:spacing w:after="0" w:line="283" w:lineRule="auto"/>
        <w:rPr>
          <w:sz w:val="20"/>
          <w:szCs w:val="20"/>
          <w:color w:val="auto"/>
        </w:rPr>
      </w:pPr>
      <w:r>
        <w:rPr>
          <w:rFonts w:ascii="Arial" w:cs="Arial" w:eastAsia="Arial" w:hAnsi="Arial"/>
          <w:sz w:val="14"/>
          <w:szCs w:val="14"/>
          <w:color w:val="auto"/>
        </w:rPr>
        <w:t>At May 6, 2016, there were 3,695,291 shares of Series B Preferred outstanding, which shares are exchangeable at the option of the respective holders into an aggregate of 3,695,291 shares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this limitation may be waived upon sixty-one (61) days notice to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Rank</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Series B Preferred ranks prior to our common stock, and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the Series A Preferred for purposes of liquidation preference.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1" w:name="page132"/>
    <w:bookmarkEnd w:id="13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Prior to either a Voluntary Conversion or Automatic Conversion, shares of Series B Preferred will accrue dividends, payable only in common stock, at a rate of 10% per annum (the </w:t>
      </w:r>
      <w:r>
        <w:rPr>
          <w:rFonts w:ascii="Arial" w:cs="Arial" w:eastAsia="Arial" w:hAnsi="Arial"/>
          <w:sz w:val="13"/>
          <w:szCs w:val="13"/>
          <w:i w:val="1"/>
          <w:iCs w:val="1"/>
          <w:color w:val="auto"/>
        </w:rPr>
        <w:t>Accrued Dividend</w:t>
      </w:r>
      <w:r>
        <w:rPr>
          <w:rFonts w:ascii="Arial" w:cs="Arial" w:eastAsia="Arial" w:hAnsi="Arial"/>
          <w:sz w:val="13"/>
          <w:szCs w:val="13"/>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Accrued Dividend will be payable on the date of either a Voluntary Conversion or Automatic Conversion solely in that number of shares of Common Stock equal to the Accrued Dividend.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20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C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201" w:lineRule="exact"/>
        <w:rPr>
          <w:sz w:val="20"/>
          <w:szCs w:val="20"/>
          <w:color w:val="auto"/>
        </w:rPr>
      </w:pPr>
    </w:p>
    <w:p>
      <w:pPr>
        <w:ind w:right="120"/>
        <w:spacing w:after="0" w:line="323" w:lineRule="auto"/>
        <w:rPr>
          <w:sz w:val="20"/>
          <w:szCs w:val="20"/>
          <w:color w:val="auto"/>
        </w:rPr>
      </w:pPr>
      <w:r>
        <w:rPr>
          <w:rFonts w:ascii="Arial" w:cs="Arial" w:eastAsia="Arial" w:hAnsi="Arial"/>
          <w:sz w:val="13"/>
          <w:szCs w:val="13"/>
          <w:color w:val="auto"/>
        </w:rPr>
        <w:t>In January 2016, our board of directors authorized the creation of a series of up to 3.0 million shares of Series C Convertible Preferred Stock (</w:t>
      </w:r>
      <w:r>
        <w:rPr>
          <w:rFonts w:ascii="Arial" w:cs="Arial" w:eastAsia="Arial" w:hAnsi="Arial"/>
          <w:sz w:val="13"/>
          <w:szCs w:val="13"/>
          <w:i w:val="1"/>
          <w:iCs w:val="1"/>
          <w:color w:val="auto"/>
        </w:rPr>
        <w:t>Series C Preferred</w:t>
      </w:r>
      <w:r>
        <w:rPr>
          <w:rFonts w:ascii="Arial" w:cs="Arial" w:eastAsia="Arial" w:hAnsi="Arial"/>
          <w:sz w:val="13"/>
          <w:szCs w:val="13"/>
          <w:color w:val="auto"/>
        </w:rPr>
        <w:t xml:space="preserve">). The Certificate of Designation of the Relative Rights and Preferences of the Series C Convertible Preferred Stock was filed with the Nevada Secretary of State, effective January 25, 2016 (the </w:t>
      </w:r>
      <w:r>
        <w:rPr>
          <w:rFonts w:ascii="Arial" w:cs="Arial" w:eastAsia="Arial" w:hAnsi="Arial"/>
          <w:sz w:val="13"/>
          <w:szCs w:val="13"/>
          <w:i w:val="1"/>
          <w:iCs w:val="1"/>
          <w:color w:val="auto"/>
        </w:rPr>
        <w:t>Series C Certificate of Designation</w:t>
      </w:r>
      <w:r>
        <w:rPr>
          <w:rFonts w:ascii="Arial" w:cs="Arial" w:eastAsia="Arial" w:hAnsi="Arial"/>
          <w:sz w:val="13"/>
          <w:szCs w:val="13"/>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and Rank</w:t>
      </w:r>
    </w:p>
    <w:p>
      <w:pPr>
        <w:spacing w:after="0" w:line="180" w:lineRule="exact"/>
        <w:rPr>
          <w:sz w:val="20"/>
          <w:szCs w:val="20"/>
          <w:color w:val="auto"/>
        </w:rPr>
      </w:pPr>
    </w:p>
    <w:p>
      <w:pPr>
        <w:ind w:right="240"/>
        <w:spacing w:after="0" w:line="323" w:lineRule="auto"/>
        <w:rPr>
          <w:sz w:val="20"/>
          <w:szCs w:val="20"/>
          <w:color w:val="auto"/>
        </w:rPr>
      </w:pPr>
      <w:r>
        <w:rPr>
          <w:rFonts w:ascii="Arial" w:cs="Arial" w:eastAsia="Arial" w:hAnsi="Arial"/>
          <w:sz w:val="13"/>
          <w:szCs w:val="13"/>
          <w:color w:val="auto"/>
        </w:rPr>
        <w:t xml:space="preserve">At May 6, 2016, there were 2,318,012 shares of Series C Preferred outstanding, which shares of Series C Preferred are exchangeable at the option of the holder into 2,318,012 shares of our common stock. The Series C Preferred ranks prior to our common stock for purposes of liquidation preference, and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the Series A Preferred and Series B Preferred.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this limitation may be waived upon sixty-one (61) days notice to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4"/>
          <w:szCs w:val="14"/>
          <w:i w:val="1"/>
          <w:iCs w:val="1"/>
          <w:color w:val="auto"/>
        </w:rPr>
        <w:t>Record Date</w:t>
      </w:r>
      <w:r>
        <w:rPr>
          <w:rFonts w:ascii="Arial" w:cs="Arial" w:eastAsia="Arial" w:hAnsi="Arial"/>
          <w:sz w:val="14"/>
          <w:szCs w:val="14"/>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2" w:name="page133"/>
    <w:bookmarkEnd w:id="13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80"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C Preferred shall be entitled to vote separately as a class, the Series C Preferred has no voting rights. The common stock into which the Series C Preferred is exchangeable shall, upon issuance, have all of the same voting rights as other issued and outstanding shares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As of May 6, 2016, we had options to purchase 331,987 shares of our common stock outstanding pursuant to our 1999 Plan and our 2008 Plan.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As of May 6, 2016, warrants to purchase 1,901,103 shares of our common stock were outstanding, with a weighted average exercise price of $8.17 per share.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 Offered Hereby</w:t>
      </w:r>
    </w:p>
    <w:p>
      <w:pPr>
        <w:spacing w:after="0" w:line="205"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color w:val="auto"/>
        </w:rPr>
        <w:t>We are offering warrants to purchase up to 2,352,942 shares of our common stock to purchasers in this offering. Each warrant entitles the holder thereof to purchase one share of common stock at an exercise price of $[____] per share (125% of the public offering price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brief summary of certain terms and conditions of the warrants to be issued in connection with this Offering and are subject in all respects to the provisions contained in the warrants.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w:t>
      </w:r>
    </w:p>
    <w:p>
      <w:pPr>
        <w:spacing w:after="0" w:line="180" w:lineRule="exact"/>
        <w:rPr>
          <w:sz w:val="20"/>
          <w:szCs w:val="20"/>
          <w:color w:val="auto"/>
        </w:rPr>
      </w:pPr>
    </w:p>
    <w:p>
      <w:pPr>
        <w:ind w:right="440"/>
        <w:spacing w:after="0" w:line="283" w:lineRule="auto"/>
        <w:rPr>
          <w:sz w:val="20"/>
          <w:szCs w:val="20"/>
          <w:color w:val="auto"/>
        </w:rPr>
      </w:pPr>
      <w:r>
        <w:rPr>
          <w:rFonts w:ascii="Arial" w:cs="Arial" w:eastAsia="Arial" w:hAnsi="Arial"/>
          <w:sz w:val="14"/>
          <w:szCs w:val="14"/>
          <w:color w:val="auto"/>
        </w:rPr>
        <w:t>The warrants will be issued in electronic book-entry form to the investors. You should review a copy of the form of warrant, which is filed as an exhibit to the registration statement of which this prospectus forms a part, for a complete description of the terms and conditions applicable to the warrants.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Exercisability</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The warrants are exercisable at any time after their original issuance, expected to be [___], 2016, and at any time up to the date that is five years after their original issuance. The warrants will be exercisable, at the option of each holder, in whole or in part by delivering to us a duly executed exercise notice and, at any time a registration statement registering the issuance of the shares of common stock underlying the warrants under the Securities Act is effective and available for the issuance of such shares, or an exemption from registration under the Securities Act is available for the issuance of such shares, by payment in full in immediately available funds for the number of shares of common stock purchased upon such exercise. If a registration statement registering the issuance of the shares of common stock underlying the warrants under the Securities Act is not effective or available and an exemption from registration under the Securities Act is not available for the issuance of such shares, the holder may, in its sole discretion, elect to exercise the warrant through a cashless exercise, in which case the holder would receive upon such exercise the net number of shares of common stock determined according to the formula set forth in the warrant. No fractional shares of common stock will be issued in connection with the exercise of a warrant. In lieu of fractional shares, we will pay the holder an amount in cash equal to the fractional amount multiplied by the exercise price.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Limitation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A holder will not have the right to exercise any portion of the warrant if the holder (together with its affiliates) would beneficially own in excess of 4.99% of the number of shares of our common stock outstanding immediately after giving effect to the exercise, as such percentage ownership is determined in accordance with the terms of the warrants. However, any holder may increase or decrease such percentage to any other percentage not in excess of 9.99% upon at least 61 days’ prior notice from the holder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Price</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exercise price per whole share of common stock purchasable upon exercise of the warrants is $[___] per share of common stock. The exercise price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Transferability</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Subject to applicable laws, the warrants may be offered for sale, sold, transferred or assigned without our consent.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Exchange Listing</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There is no established public trading market for the warrants and we do not intend to apply to list the warrants on any securities exchange or automated quotation system.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Fundamental Transactions</w:t>
      </w:r>
    </w:p>
    <w:p>
      <w:pPr>
        <w:spacing w:after="0" w:line="180" w:lineRule="exact"/>
        <w:rPr>
          <w:sz w:val="20"/>
          <w:szCs w:val="20"/>
          <w:color w:val="auto"/>
        </w:rPr>
      </w:pPr>
    </w:p>
    <w:p>
      <w:pPr>
        <w:ind w:right="260"/>
        <w:spacing w:after="0" w:line="320" w:lineRule="auto"/>
        <w:rPr>
          <w:sz w:val="20"/>
          <w:szCs w:val="20"/>
          <w:color w:val="auto"/>
        </w:rPr>
      </w:pPr>
      <w:r>
        <w:rPr>
          <w:rFonts w:ascii="Arial" w:cs="Arial" w:eastAsia="Arial" w:hAnsi="Arial"/>
          <w:sz w:val="12"/>
          <w:szCs w:val="12"/>
          <w:color w:val="auto"/>
        </w:rPr>
        <w:t>In the event of a fundamental transaction, as described in the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Rights as a Stockholder</w:t>
      </w:r>
    </w:p>
    <w:p>
      <w:pPr>
        <w:spacing w:after="0" w:line="180"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Except as otherwise provided in the warrants or by virtue of such holder’s ownership of shares of our common stock, the holder of a warrant does not have the rights or privileges of a holder of our common stock, including any voting rights, until the holder exercises the warrant.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transfer agent and registrar for our common stock is Computershare Trust Company, N.A., Jersey City, New Jersey.</w:t>
      </w:r>
    </w:p>
    <w:p>
      <w:pPr>
        <w:sectPr>
          <w:pgSz w:w="11900" w:h="16838" w:orient="portrait"/>
          <w:cols w:equalWidth="0" w:num="1">
            <w:col w:w="11460"/>
          </w:cols>
          <w:pgMar w:left="220" w:top="133" w:right="21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type w:val="continuous"/>
        </w:sectPr>
      </w:pPr>
    </w:p>
    <w:bookmarkStart w:id="133" w:name="page134"/>
    <w:bookmarkEnd w:id="13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SHARES ELIGIBLE FOR FUTURE SALE</w:t>
      </w:r>
    </w:p>
    <w:p>
      <w:pPr>
        <w:spacing w:after="0" w:line="184" w:lineRule="exact"/>
        <w:rPr>
          <w:sz w:val="20"/>
          <w:szCs w:val="20"/>
          <w:color w:val="auto"/>
        </w:rPr>
      </w:pPr>
    </w:p>
    <w:p>
      <w:pPr>
        <w:jc w:val="both"/>
        <w:ind w:right="260"/>
        <w:spacing w:after="0" w:line="298" w:lineRule="auto"/>
        <w:rPr>
          <w:sz w:val="20"/>
          <w:szCs w:val="20"/>
          <w:color w:val="auto"/>
        </w:rPr>
      </w:pPr>
      <w:r>
        <w:rPr>
          <w:rFonts w:ascii="Arial" w:cs="Arial" w:eastAsia="Arial" w:hAnsi="Arial"/>
          <w:sz w:val="13"/>
          <w:szCs w:val="13"/>
          <w:color w:val="auto"/>
        </w:rPr>
        <w:t>Prior to this Offering, there has a limited public market for shares of our common stock. Future sales of substantial amounts of shares of our common stock, including sales of shares issued upon the exchange of outstanding preferred stock and exercise of outstanding options and warrants, including the warrants offered in this Offering, in the public market after this Offering or the possibility of these issuances and sales occurring, could cause the prevailing market price for our common stock to fall or impair our ability to raise equity capital in the future.</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Upon the completion of this Offering, based on the number of shares outstanding as of May 6, 2016, we will have approximately 11,991,990 million shares of common stock outstanding, assuming exercise of all outstanding options and warrants, including the warrants issued in connection with the Offering, and conversion of shares of our Series B Preferred not otherwise subject to ownership limitations. Of these outstanding shares, all shares of common stock sold by us in this Offering, as well as the shares of common stock issuable upon exercise of warrants offered in this Offering, will be freely tradable in the public market without restriction or further registration under the Securities Act, and shares of common stock held by our affiliates, as that term is defined in Rule 144 under the Securities Act, may only be sold in compliance with the limitations described below. All remaining shares of common stock, and all shares of Series A Preferred, Series B Preferred and Series C Preferred outstanding after this Offering, will remain deemed restricted under the Federal securities laws.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144</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person has beneficially owned the shares proposed to be sold for at least one year, including the holding period of any prior owner other than our affiliates, then that person is entitled to sell those shares without complying with the requirements of Rule 144, subject to the availability of current public information about us.</w:t>
      </w:r>
    </w:p>
    <w:p>
      <w:pPr>
        <w:spacing w:after="0" w:line="168"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In general, under Rule 144 as currently in effect, our affiliates or persons selling shares on behalf of our affiliates are entitled to sell upon the expiration of the lock-up agreements described below, within any three-month period, a number of shares that does not exceed the greater of:</w:t>
      </w:r>
    </w:p>
    <w:p>
      <w:pPr>
        <w:spacing w:after="0" w:line="82" w:lineRule="exact"/>
        <w:rPr>
          <w:sz w:val="20"/>
          <w:szCs w:val="20"/>
          <w:color w:val="auto"/>
        </w:rPr>
      </w:pPr>
    </w:p>
    <w:p>
      <w:pPr>
        <w:ind w:left="360" w:hanging="355"/>
        <w:spacing w:after="0"/>
        <w:tabs>
          <w:tab w:leader="none" w:pos="360" w:val="left"/>
        </w:tabs>
        <w:numPr>
          <w:ilvl w:val="0"/>
          <w:numId w:val="74"/>
        </w:numPr>
        <w:rPr>
          <w:rFonts w:ascii="Arial" w:cs="Arial" w:eastAsia="Arial" w:hAnsi="Arial"/>
          <w:sz w:val="20"/>
          <w:szCs w:val="20"/>
          <w:color w:val="auto"/>
          <w:vertAlign w:val="superscript"/>
        </w:rPr>
      </w:pPr>
      <w:r>
        <w:rPr>
          <w:rFonts w:ascii="Arial" w:cs="Arial" w:eastAsia="Arial" w:hAnsi="Arial"/>
          <w:sz w:val="14"/>
          <w:szCs w:val="14"/>
          <w:color w:val="auto"/>
        </w:rPr>
        <w:t>1% of the number of shares of common stock then outstanding; or</w:t>
      </w:r>
    </w:p>
    <w:p>
      <w:pPr>
        <w:spacing w:after="0" w:line="132" w:lineRule="exact"/>
        <w:rPr>
          <w:rFonts w:ascii="Arial" w:cs="Arial" w:eastAsia="Arial" w:hAnsi="Arial"/>
          <w:sz w:val="20"/>
          <w:szCs w:val="20"/>
          <w:color w:val="auto"/>
          <w:vertAlign w:val="superscript"/>
        </w:rPr>
      </w:pPr>
    </w:p>
    <w:p>
      <w:pPr>
        <w:ind w:left="340" w:hanging="335"/>
        <w:spacing w:after="0"/>
        <w:tabs>
          <w:tab w:leader="none" w:pos="340" w:val="left"/>
        </w:tabs>
        <w:numPr>
          <w:ilvl w:val="0"/>
          <w:numId w:val="74"/>
        </w:numPr>
        <w:rPr>
          <w:rFonts w:ascii="Arial" w:cs="Arial" w:eastAsia="Arial" w:hAnsi="Arial"/>
          <w:sz w:val="20"/>
          <w:szCs w:val="20"/>
          <w:color w:val="auto"/>
          <w:vertAlign w:val="superscript"/>
        </w:rPr>
      </w:pPr>
      <w:r>
        <w:rPr>
          <w:rFonts w:ascii="Arial" w:cs="Arial" w:eastAsia="Arial" w:hAnsi="Arial"/>
          <w:sz w:val="14"/>
          <w:szCs w:val="14"/>
          <w:color w:val="auto"/>
        </w:rPr>
        <w:t>the average weekly trading volume of the common stock during the four calendar weeks preceding the filing of a notice on Form 144 with respect to such sale.</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 and Market Standoff Provisions</w:t>
      </w:r>
    </w:p>
    <w:p>
      <w:pPr>
        <w:spacing w:after="0" w:line="205"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All of our directors and executive officers, and certain of our 5% or greater stockholders are each subject to lock-up agreements with the underwriters or market standoff provisions in agreements with us that, subject to certain exceptions, prohibit them from offering, pledging, selling, contracting to sell, selling any option or contracting to purchase, purchasing any option or contracting to sell, granting any option, right or warrant to purchase, or otherwise transferring or disposing of, directly or indirectly, or entering into any swap or other arrangement that transfers to another, in whole or in part, any of the economic consequences of ownership of any shares of common stock or any securities convertible into or exercisable or exchangeable for shares of common stock for a period of 90 days after the date of this prospectus, without the prior written consent of the representatives of the underwriters or us, as the case may be. While we anticipate that substantially all of our 5% or greater stockholders will be subject to such lock-up agreements, this cannot be assured at this time. See the section titled “</w:t>
      </w:r>
      <w:r>
        <w:rPr>
          <w:rFonts w:ascii="Arial" w:cs="Arial" w:eastAsia="Arial" w:hAnsi="Arial"/>
          <w:sz w:val="13"/>
          <w:szCs w:val="13"/>
          <w:i w:val="1"/>
          <w:iCs w:val="1"/>
          <w:color w:val="auto"/>
        </w:rPr>
        <w:t>Underwriting</w:t>
      </w:r>
      <w:r>
        <w:rPr>
          <w:rFonts w:ascii="Arial" w:cs="Arial" w:eastAsia="Arial" w:hAnsi="Arial"/>
          <w:sz w:val="13"/>
          <w:szCs w:val="13"/>
          <w:color w:val="auto"/>
        </w:rPr>
        <w: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4" w:name="page135"/>
    <w:bookmarkEnd w:id="13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UNDERWRITING</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Under the terms and subject to the conditions contained in an underwriting agreement, we have agreed to sell to the underwriters named below, for which Chardan Capital Markets, LLC, and WallachBeth Capital, LLC are acting as representatives, and the underwriters named below have agreed to purchase from us, the number of shares of common stock and warrants set forth opposite their respective names below.</w:t>
      </w:r>
    </w:p>
    <w:p>
      <w:pPr>
        <w:spacing w:after="0" w:line="138" w:lineRule="exact"/>
        <w:rPr>
          <w:sz w:val="20"/>
          <w:szCs w:val="20"/>
          <w:color w:val="auto"/>
        </w:rPr>
      </w:pPr>
    </w:p>
    <w:p>
      <w:pPr>
        <w:spacing w:after="0"/>
        <w:tabs>
          <w:tab w:leader="none" w:pos="5700" w:val="left"/>
          <w:tab w:leader="none" w:pos="938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Shares of Common Stock</w:t>
      </w:r>
      <w:r>
        <w:rPr>
          <w:sz w:val="20"/>
          <w:szCs w:val="20"/>
          <w:color w:val="auto"/>
        </w:rPr>
        <w:tab/>
      </w:r>
      <w:r>
        <w:rPr>
          <w:rFonts w:ascii="Arial" w:cs="Arial" w:eastAsia="Arial" w:hAnsi="Arial"/>
          <w:sz w:val="13"/>
          <w:szCs w:val="13"/>
          <w:b w:val="1"/>
          <w:bCs w:val="1"/>
          <w:color w:val="auto"/>
        </w:rPr>
        <w:t>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27583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5830" cy="133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75830" cy="1079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WallachBeth Capital, LLC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5830" cy="1079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underwriting agreement provides that the obligation of the underwriters to purchase the shares and warrants offered hereby is subject to certain conditions and that the underwriters are obligated to purchase all of the shares offered hereby if any of the shares and warrants are purchased.</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If the underwriters sell more shares and warrants than the above number, the underwriters have an option for 45 days to buy up to an aggregate of 352,942 additional shares and/or warrants to purchase up to 352,942 additional shares from us at the public offering price less the underwriting commissions and discounts to cover these sales.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Commissions, Discounts and Other Compensation</w:t>
      </w:r>
    </w:p>
    <w:p>
      <w:pPr>
        <w:spacing w:after="0" w:line="184"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The underwriters have advised us that they propose to offer the shares and warrants to the public at the public offering price set forth on the cover page of this prospectus and to certain dealers at that price less a concession not in excess of $[____] per share and warrant. After this Offering, the public offering price and concession may be changed by the underwriters. No such change shall change the</w:t>
      </w:r>
    </w:p>
    <w:p>
      <w:pPr>
        <w:ind w:right="160"/>
        <w:spacing w:after="0" w:line="267" w:lineRule="auto"/>
        <w:rPr>
          <w:sz w:val="20"/>
          <w:szCs w:val="20"/>
          <w:color w:val="auto"/>
        </w:rPr>
      </w:pPr>
      <w:r>
        <w:rPr>
          <w:rFonts w:ascii="Arial" w:cs="Arial" w:eastAsia="Arial" w:hAnsi="Arial"/>
          <w:sz w:val="14"/>
          <w:szCs w:val="14"/>
          <w:color w:val="auto"/>
        </w:rPr>
        <w:t>amount of proceeds to be received by us as set forth on the cover page of this prospectus. The shares and warrants are offered by the underwriters as stated herein, subject to receipt and acceptance by the underwriters and subject to their right to reject any order in whole or in part.</w:t>
      </w:r>
    </w:p>
    <w:p>
      <w:pPr>
        <w:spacing w:after="0" w:line="143"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We have agreed to pay to the underwriters a fee equal to 9.3% of the aggregate gross proceeds of the shares and warrants sold in this Offering. This fee is to be paid by means of a discount from the offering price to purchasers in the Offering. In addition, we have agreed to reimburse the representatives for their reasonable out-of-pocket accountable expenses incurred in connection with this Offering in an aggregate amount not to exceed $150,000 for all such expenses. We estimate that expenses payable by us in connection with this Offering, other than the underwriting discounts and commissions referred to above, will be approximately $[_______].</w:t>
      </w:r>
    </w:p>
    <w:p>
      <w:pPr>
        <w:spacing w:after="0" w:line="146"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The following table summarizes the public offering price, underwriting discounts and commissions and proceeds before expenses to us assuming both no exercise and full exercise of the underwriters’ option to purchase additional shares and/or warrants:</w:t>
      </w:r>
    </w:p>
    <w:p>
      <w:pPr>
        <w:spacing w:after="0" w:line="127" w:lineRule="exact"/>
        <w:rPr>
          <w:sz w:val="20"/>
          <w:szCs w:val="20"/>
          <w:color w:val="auto"/>
        </w:rPr>
      </w:pPr>
    </w:p>
    <w:tbl>
      <w:tblPr>
        <w:tblLayout w:type="fixed"/>
        <w:tblInd w:w="396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r>
      <w:tr>
        <w:trPr>
          <w:trHeight w:val="156"/>
        </w:trPr>
        <w:tc>
          <w:tcPr>
            <w:tcW w:w="1080" w:type="dxa"/>
            <w:vAlign w:val="bottom"/>
          </w:tcPr>
          <w:p>
            <w:pPr>
              <w:jc w:val="center"/>
              <w:ind w:right="649"/>
              <w:spacing w:after="0" w:line="156" w:lineRule="exact"/>
              <w:rPr>
                <w:sz w:val="20"/>
                <w:szCs w:val="20"/>
                <w:color w:val="auto"/>
              </w:rPr>
            </w:pPr>
            <w:r>
              <w:rPr>
                <w:rFonts w:ascii="Arial" w:cs="Arial" w:eastAsia="Arial" w:hAnsi="Arial"/>
                <w:sz w:val="14"/>
                <w:szCs w:val="14"/>
                <w:b w:val="1"/>
                <w:bCs w:val="1"/>
                <w:color w:val="auto"/>
                <w:w w:val="88"/>
              </w:rPr>
              <w:t>Per</w:t>
            </w:r>
          </w:p>
        </w:tc>
        <w:tc>
          <w:tcPr>
            <w:tcW w:w="2080" w:type="dxa"/>
            <w:vAlign w:val="bottom"/>
          </w:tcPr>
          <w:p>
            <w:pPr>
              <w:spacing w:after="0"/>
              <w:rPr>
                <w:sz w:val="13"/>
                <w:szCs w:val="13"/>
                <w:color w:val="auto"/>
              </w:rPr>
            </w:pPr>
          </w:p>
        </w:tc>
        <w:tc>
          <w:tcPr>
            <w:tcW w:w="1780" w:type="dxa"/>
            <w:vAlign w:val="bottom"/>
          </w:tcPr>
          <w:p>
            <w:pPr>
              <w:jc w:val="center"/>
              <w:ind w:left="209"/>
              <w:spacing w:after="0" w:line="156" w:lineRule="exact"/>
              <w:rPr>
                <w:sz w:val="20"/>
                <w:szCs w:val="20"/>
                <w:color w:val="auto"/>
              </w:rPr>
            </w:pPr>
            <w:r>
              <w:rPr>
                <w:rFonts w:ascii="Arial" w:cs="Arial" w:eastAsia="Arial" w:hAnsi="Arial"/>
                <w:sz w:val="14"/>
                <w:szCs w:val="14"/>
                <w:b w:val="1"/>
                <w:bCs w:val="1"/>
                <w:color w:val="auto"/>
                <w:w w:val="95"/>
              </w:rPr>
              <w:t>Without</w:t>
            </w:r>
          </w:p>
        </w:tc>
        <w:tc>
          <w:tcPr>
            <w:tcW w:w="2560" w:type="dxa"/>
            <w:vAlign w:val="bottom"/>
          </w:tcPr>
          <w:p>
            <w:pPr>
              <w:jc w:val="center"/>
              <w:ind w:left="309"/>
              <w:spacing w:after="0" w:line="156" w:lineRule="exact"/>
              <w:rPr>
                <w:sz w:val="20"/>
                <w:szCs w:val="20"/>
                <w:color w:val="auto"/>
              </w:rPr>
            </w:pPr>
            <w:r>
              <w:rPr>
                <w:rFonts w:ascii="Arial" w:cs="Arial" w:eastAsia="Arial" w:hAnsi="Arial"/>
                <w:sz w:val="14"/>
                <w:szCs w:val="14"/>
                <w:b w:val="1"/>
                <w:bCs w:val="1"/>
                <w:color w:val="auto"/>
                <w:w w:val="98"/>
              </w:rPr>
              <w:t>With</w:t>
            </w:r>
          </w:p>
        </w:tc>
      </w:tr>
      <w:tr>
        <w:trPr>
          <w:trHeight w:val="184"/>
        </w:trPr>
        <w:tc>
          <w:tcPr>
            <w:tcW w:w="1080" w:type="dxa"/>
            <w:vAlign w:val="bottom"/>
          </w:tcPr>
          <w:p>
            <w:pPr>
              <w:jc w:val="center"/>
              <w:ind w:right="649"/>
              <w:spacing w:after="0"/>
              <w:rPr>
                <w:sz w:val="20"/>
                <w:szCs w:val="20"/>
                <w:color w:val="auto"/>
              </w:rPr>
            </w:pPr>
            <w:r>
              <w:rPr>
                <w:rFonts w:ascii="Arial" w:cs="Arial" w:eastAsia="Arial" w:hAnsi="Arial"/>
                <w:sz w:val="14"/>
                <w:szCs w:val="14"/>
                <w:b w:val="1"/>
                <w:bCs w:val="1"/>
                <w:color w:val="auto"/>
                <w:w w:val="92"/>
              </w:rPr>
              <w:t>Share</w:t>
            </w:r>
          </w:p>
        </w:tc>
        <w:tc>
          <w:tcPr>
            <w:tcW w:w="2080" w:type="dxa"/>
            <w:vAlign w:val="bottom"/>
          </w:tcPr>
          <w:p>
            <w:pPr>
              <w:ind w:left="740"/>
              <w:spacing w:after="0"/>
              <w:rPr>
                <w:sz w:val="20"/>
                <w:szCs w:val="20"/>
                <w:color w:val="auto"/>
              </w:rPr>
            </w:pPr>
            <w:r>
              <w:rPr>
                <w:rFonts w:ascii="Arial" w:cs="Arial" w:eastAsia="Arial" w:hAnsi="Arial"/>
                <w:sz w:val="14"/>
                <w:szCs w:val="14"/>
                <w:b w:val="1"/>
                <w:bCs w:val="1"/>
                <w:color w:val="auto"/>
              </w:rPr>
              <w:t>Per Warrant</w:t>
            </w:r>
          </w:p>
        </w:tc>
        <w:tc>
          <w:tcPr>
            <w:tcW w:w="1780" w:type="dxa"/>
            <w:vAlign w:val="bottom"/>
          </w:tcPr>
          <w:p>
            <w:pPr>
              <w:jc w:val="center"/>
              <w:ind w:left="229"/>
              <w:spacing w:after="0"/>
              <w:rPr>
                <w:sz w:val="20"/>
                <w:szCs w:val="20"/>
                <w:color w:val="auto"/>
              </w:rPr>
            </w:pPr>
            <w:r>
              <w:rPr>
                <w:rFonts w:ascii="Arial" w:cs="Arial" w:eastAsia="Arial" w:hAnsi="Arial"/>
                <w:sz w:val="14"/>
                <w:szCs w:val="14"/>
                <w:b w:val="1"/>
                <w:bCs w:val="1"/>
                <w:color w:val="auto"/>
                <w:w w:val="95"/>
              </w:rPr>
              <w:t>Over- Allotment</w:t>
            </w:r>
          </w:p>
        </w:tc>
        <w:tc>
          <w:tcPr>
            <w:tcW w:w="2560" w:type="dxa"/>
            <w:vAlign w:val="bottom"/>
          </w:tcPr>
          <w:p>
            <w:pPr>
              <w:jc w:val="center"/>
              <w:ind w:left="329"/>
              <w:spacing w:after="0"/>
              <w:rPr>
                <w:sz w:val="20"/>
                <w:szCs w:val="20"/>
                <w:color w:val="auto"/>
              </w:rPr>
            </w:pPr>
            <w:r>
              <w:rPr>
                <w:rFonts w:ascii="Arial" w:cs="Arial" w:eastAsia="Arial" w:hAnsi="Arial"/>
                <w:sz w:val="14"/>
                <w:szCs w:val="14"/>
                <w:b w:val="1"/>
                <w:bCs w:val="1"/>
                <w:color w:val="auto"/>
                <w:w w:val="94"/>
              </w:rPr>
              <w:t>Over-Allotment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635</wp:posOffset>
            </wp:positionV>
            <wp:extent cx="5307965"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07965" cy="133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Public offering price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5830" cy="1079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Proceeds, before expenses, to us</w:t>
      </w:r>
    </w:p>
    <w:p>
      <w:pPr>
        <w:spacing w:after="0" w:line="191" w:lineRule="exact"/>
        <w:rPr>
          <w:sz w:val="20"/>
          <w:szCs w:val="20"/>
          <w:color w:val="auto"/>
        </w:rPr>
      </w:pPr>
    </w:p>
    <w:p>
      <w:pPr>
        <w:jc w:val="both"/>
        <w:ind w:right="160"/>
        <w:spacing w:after="0" w:line="268" w:lineRule="auto"/>
        <w:rPr>
          <w:sz w:val="20"/>
          <w:szCs w:val="20"/>
          <w:color w:val="auto"/>
        </w:rPr>
      </w:pPr>
      <w:r>
        <w:rPr>
          <w:rFonts w:ascii="Arial" w:cs="Arial" w:eastAsia="Arial" w:hAnsi="Arial"/>
          <w:sz w:val="14"/>
          <w:szCs w:val="14"/>
          <w:color w:val="auto"/>
        </w:rPr>
        <w:t>On November 23, 2015, we issued to Chardan Capital Markets, LLC 15,750 shares of common stock and five-year warrants to acquire 7,500 shares of common stock at an exercise price of $7.00 per share, in connection with a private placement of shares of our Series B 10% Convertible Preferred Stock. On February 12, 2016 these warrants were canceled in exchange for 5,625 shares of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These shares are subject to a 180- day lock-up, pursuant to FINRA Rule 5110(g)(1), and will be deemed to be an item of value in connection with this Offering, pursuant to FINRA Rule 5110(c)(3).</w:t>
      </w:r>
    </w:p>
    <w:p>
      <w:pPr>
        <w:spacing w:after="0" w:line="191"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auto"/>
        </w:rPr>
        <w:t>Pursuant to FINRA Rule 5110(g)(1), these shares shall not be sold during this Offering, or sold, transferred, assigned, pledged, or hypothecated, or be the subject of any hedging, short sale, derivative, put, or call transaction that would result in the effective economic disposition of the shares by any person for a period of 180 days immediately following the date of effectiveness or commencement of this Offering, except as provided in FINRA Rule 5110(g)(2).</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5" w:name="page136"/>
    <w:bookmarkEnd w:id="13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have agreed not to offer, sell, contract to sell, pledge, grant options to purchase, or otherwise dispose of any of our shares of common stock or securities exchangeable for or convertible into our shares of common stock for a period of 90 days after the date of this prospectus without the prior written consent of the representatives. This agreement does not apply to the issuance of shares upon the exercise of rights to acquire shares of common stock pursuant to any existing stock option or similar equity incentive or compensation plan. Our directors and executive officers, and certain of our 5% or greater stockholders have agreed, subject to certain exceptions, not to, directly or indirectly, sell, pledge, offer or otherwise dispose of any shares of common stock, options to acquire shares of common stock or securities exchangeable for or convertible into shares of common stock, for a period of 90 days from the date on which the Registration Statement of which this prospectus forms a part is declared effective by the SEC without the prior written consent of the representatives. While we anticipate that substantially all of our 5% or greater stockholders will be subject to such lock-up agreements, this cannot be assured at this time.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 of First Refusal</w:t>
      </w:r>
    </w:p>
    <w:p>
      <w:pPr>
        <w:spacing w:after="0" w:line="184" w:lineRule="exact"/>
        <w:rPr>
          <w:sz w:val="20"/>
          <w:szCs w:val="20"/>
          <w:color w:val="auto"/>
        </w:rPr>
      </w:pPr>
    </w:p>
    <w:p>
      <w:pPr>
        <w:ind w:right="40"/>
        <w:spacing w:after="0" w:line="333" w:lineRule="auto"/>
        <w:rPr>
          <w:sz w:val="20"/>
          <w:szCs w:val="20"/>
          <w:color w:val="auto"/>
        </w:rPr>
      </w:pPr>
      <w:r>
        <w:rPr>
          <w:rFonts w:ascii="Arial" w:cs="Arial" w:eastAsia="Arial" w:hAnsi="Arial"/>
          <w:sz w:val="12"/>
          <w:szCs w:val="12"/>
          <w:color w:val="auto"/>
        </w:rPr>
        <w:t>Subject to certain terms and exceptions, for a period of twelve months after the date of effectiveness of the Registration Statement of which this prospectus is a part, the representatives have a right of first refusal to act as co-lead underwriters or co-book-running managers or co-placement agents (or if only one representative exercises such right, lead underwriter or book-running manager or placement agent) for each and every future public and private equity and debt offerings we do, or any successor to or any subsidiary of us, on any U.S. stock exchange during such twelve month period.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and Contribution</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underwriting agreement provides for indemnification between us and the underwriters against specified liabilities, including liabilities under the Securities Act, and for contribution by us and the underwriters to payments that may be required to be made with respect to those liabilities. We have been advised that, in the opinion of the SEC, indemnification of liabilities under the Securities Act is against public policy as expressed in the Securities Act, and is therefore, unenforceable.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Short Sales, Stabilizing Transactions and Penalty Bids</w:t>
      </w:r>
    </w:p>
    <w:p>
      <w:pPr>
        <w:spacing w:after="0" w:line="184"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In order to facilitate this Offering, persons participating in this Offering may engage in transactions that stabilize, maintain, or otherwise affect the price of shares of common stock during and after this Offering. Specifically, the underwriters may engage in the following activities in accordance with the rules of the SEC.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6" w:name="page137"/>
    <w:bookmarkEnd w:id="13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i w:val="1"/>
          <w:iCs w:val="1"/>
          <w:color w:val="auto"/>
        </w:rPr>
        <w:t xml:space="preserve">Short sales. </w:t>
      </w:r>
      <w:r>
        <w:rPr>
          <w:rFonts w:ascii="Arial" w:cs="Arial" w:eastAsia="Arial" w:hAnsi="Arial"/>
          <w:sz w:val="14"/>
          <w:szCs w:val="14"/>
          <w:color w:val="auto"/>
        </w:rPr>
        <w:t>Short sales involve the sales by the underwriters of a greater number of shares than they are required to purchase in the Offering. Covered short sales are short sales made in an amount not</w:t>
      </w:r>
      <w:r>
        <w:rPr>
          <w:rFonts w:ascii="Arial" w:cs="Arial" w:eastAsia="Arial" w:hAnsi="Arial"/>
          <w:sz w:val="14"/>
          <w:szCs w:val="14"/>
          <w:i w:val="1"/>
          <w:iCs w:val="1"/>
          <w:color w:val="auto"/>
        </w:rPr>
        <w:t xml:space="preserve"> </w:t>
      </w:r>
      <w:r>
        <w:rPr>
          <w:rFonts w:ascii="Arial" w:cs="Arial" w:eastAsia="Arial" w:hAnsi="Arial"/>
          <w:sz w:val="14"/>
          <w:szCs w:val="14"/>
          <w:color w:val="auto"/>
        </w:rPr>
        <w:t>greater than the underwriters’ over-allotment option to purchase additional shares from us in this Offering. The underwriters may close out any covered short position by either exercising their over-allotment option to purchase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short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after pricing that could adversely affect investors who purchase in this Offering.</w:t>
      </w:r>
    </w:p>
    <w:p>
      <w:pPr>
        <w:spacing w:after="0" w:line="152"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i w:val="1"/>
          <w:iCs w:val="1"/>
          <w:color w:val="auto"/>
        </w:rPr>
        <w:t xml:space="preserve">Stabilizing transactions. </w:t>
      </w:r>
      <w:r>
        <w:rPr>
          <w:rFonts w:ascii="Arial" w:cs="Arial" w:eastAsia="Arial" w:hAnsi="Arial"/>
          <w:sz w:val="14"/>
          <w:szCs w:val="14"/>
          <w:color w:val="auto"/>
        </w:rPr>
        <w:t>The underwriters may make bids for or purchases of the shares for the purpose of pegging, fixing, or maintaining the price of the shares, so long as stabilizing bids do not</w:t>
      </w:r>
      <w:r>
        <w:rPr>
          <w:rFonts w:ascii="Arial" w:cs="Arial" w:eastAsia="Arial" w:hAnsi="Arial"/>
          <w:sz w:val="14"/>
          <w:szCs w:val="14"/>
          <w:i w:val="1"/>
          <w:iCs w:val="1"/>
          <w:color w:val="auto"/>
        </w:rPr>
        <w:t xml:space="preserve"> </w:t>
      </w:r>
      <w:r>
        <w:rPr>
          <w:rFonts w:ascii="Arial" w:cs="Arial" w:eastAsia="Arial" w:hAnsi="Arial"/>
          <w:sz w:val="14"/>
          <w:szCs w:val="14"/>
          <w:color w:val="auto"/>
        </w:rPr>
        <w:t>exceed a specified maximum.</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i w:val="1"/>
          <w:iCs w:val="1"/>
          <w:color w:val="auto"/>
        </w:rPr>
        <w:t xml:space="preserve">Penalty bids. </w:t>
      </w:r>
      <w:r>
        <w:rPr>
          <w:rFonts w:ascii="Arial" w:cs="Arial" w:eastAsia="Arial" w:hAnsi="Arial"/>
          <w:sz w:val="14"/>
          <w:szCs w:val="14"/>
          <w:color w:val="auto"/>
        </w:rPr>
        <w:t>If the underwriters purchase shares in the open market in a stabilizing transaction or syndicate covering transaction, they may reclaim a selling concession from the underwriters and selling</w:t>
      </w:r>
      <w:r>
        <w:rPr>
          <w:rFonts w:ascii="Arial" w:cs="Arial" w:eastAsia="Arial" w:hAnsi="Arial"/>
          <w:sz w:val="14"/>
          <w:szCs w:val="14"/>
          <w:i w:val="1"/>
          <w:iCs w:val="1"/>
          <w:color w:val="auto"/>
        </w:rPr>
        <w:t xml:space="preserve"> </w:t>
      </w:r>
      <w:r>
        <w:rPr>
          <w:rFonts w:ascii="Arial" w:cs="Arial" w:eastAsia="Arial" w:hAnsi="Arial"/>
          <w:sz w:val="14"/>
          <w:szCs w:val="14"/>
          <w:color w:val="auto"/>
        </w:rPr>
        <w:t>group members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re-sales of the shares.</w:t>
      </w:r>
    </w:p>
    <w:p>
      <w:pPr>
        <w:spacing w:after="0" w:line="142"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The transactions above may occur on The NASDAQ Capital Market or otherwise. Neither we nor the underwriters make any representation or prediction as to the effect that the transactions described above may have on the price of the shares. If these transactions are commenced, they may be discontinued without notice at any time.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Discretionary Sales</w:t>
      </w:r>
    </w:p>
    <w:p>
      <w:pPr>
        <w:spacing w:after="0" w:line="184" w:lineRule="exact"/>
        <w:rPr>
          <w:sz w:val="20"/>
          <w:szCs w:val="20"/>
          <w:color w:val="auto"/>
        </w:rPr>
      </w:pPr>
    </w:p>
    <w:p>
      <w:pPr>
        <w:ind w:right="460"/>
        <w:spacing w:after="0" w:line="283" w:lineRule="auto"/>
        <w:rPr>
          <w:sz w:val="20"/>
          <w:szCs w:val="20"/>
          <w:color w:val="auto"/>
        </w:rPr>
      </w:pPr>
      <w:r>
        <w:rPr>
          <w:rFonts w:ascii="Arial" w:cs="Arial" w:eastAsia="Arial" w:hAnsi="Arial"/>
          <w:sz w:val="14"/>
          <w:szCs w:val="14"/>
          <w:color w:val="auto"/>
        </w:rPr>
        <w:t>The underwriters have informed us that they do not expect to confirm sales of shares of common stock and warrants offered by this prospectus to accounts over which they exercise discretionary authority without obtaining the specific approval of the account holder.</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Distribution</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A prospectus in electronic format may be made available on the internet sites or through other online services maintained by one or more of the underwriters participating in this Offering, or by their affiliates. Other than the prospectus in electronic format, the information on any underwriters’ web site and any information contained in any other web 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Affiliations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underwriters and their affiliates may in the future provide various investment banking and other financial services for us for which services they may in the future receive, customary fees. Except for services provided in connection with this Offering, and in connection with the offering of our Series B 10% Convertible Preferred Stock, none of the underwriters has provided any investment banking or other financial services to us during the past 180 days and we do not expect to retain any of the underwriters to perform any investment banking or other financial services to us for at least 90 days after the date of this prospectus.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Offer Restrictions Outside the United States</w:t>
      </w:r>
    </w:p>
    <w:p>
      <w:pPr>
        <w:spacing w:after="0" w:line="184" w:lineRule="exact"/>
        <w:rPr>
          <w:sz w:val="20"/>
          <w:szCs w:val="20"/>
          <w:color w:val="auto"/>
        </w:rPr>
      </w:pPr>
    </w:p>
    <w:p>
      <w:pPr>
        <w:ind w:right="40"/>
        <w:spacing w:after="0" w:line="314"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7" w:name="page138"/>
    <w:bookmarkEnd w:id="13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Australia</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for the offeree under this prospectus.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China</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 xml:space="preserve">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w:t>
      </w:r>
      <w:r>
        <w:rPr>
          <w:rFonts w:ascii="Arial" w:cs="Arial" w:eastAsia="Arial" w:hAnsi="Arial"/>
          <w:sz w:val="14"/>
          <w:szCs w:val="14"/>
          <w:i w:val="1"/>
          <w:iCs w:val="1"/>
          <w:color w:val="auto"/>
        </w:rPr>
        <w:t>PRC</w:t>
      </w:r>
      <w:r>
        <w:rPr>
          <w:rFonts w:ascii="Arial" w:cs="Arial" w:eastAsia="Arial" w:hAnsi="Arial"/>
          <w:sz w:val="14"/>
          <w:szCs w:val="14"/>
          <w:color w:val="auto"/>
        </w:rPr>
        <w:t>). The securities may not be offered or sold directly or indirectly in the PRC to legal or natural persons other than directly to “qualified domestic institutional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European Economic Area — Belgium, Germany, Luxembourg and the Netherlands</w:t>
      </w:r>
    </w:p>
    <w:p>
      <w:pPr>
        <w:spacing w:after="0" w:line="180" w:lineRule="exact"/>
        <w:rPr>
          <w:sz w:val="20"/>
          <w:szCs w:val="20"/>
          <w:color w:val="auto"/>
        </w:rPr>
      </w:pPr>
    </w:p>
    <w:p>
      <w:pPr>
        <w:ind w:right="660"/>
        <w:spacing w:after="0" w:line="323" w:lineRule="auto"/>
        <w:rPr>
          <w:sz w:val="20"/>
          <w:szCs w:val="20"/>
          <w:color w:val="auto"/>
        </w:rPr>
      </w:pPr>
      <w:r>
        <w:rPr>
          <w:rFonts w:ascii="Arial" w:cs="Arial" w:eastAsia="Arial" w:hAnsi="Arial"/>
          <w:sz w:val="13"/>
          <w:szCs w:val="13"/>
          <w:color w:val="auto"/>
        </w:rPr>
        <w:t>The information in this document has been prepared on the basis that all offers of securities will be made pursuant to an exemption under the Directive 2003/71/EC (</w:t>
      </w:r>
      <w:r>
        <w:rPr>
          <w:rFonts w:ascii="Arial" w:cs="Arial" w:eastAsia="Arial" w:hAnsi="Arial"/>
          <w:sz w:val="13"/>
          <w:szCs w:val="13"/>
          <w:i w:val="1"/>
          <w:iCs w:val="1"/>
          <w:color w:val="auto"/>
        </w:rPr>
        <w:t>Prospectus Directive</w:t>
      </w:r>
      <w:r>
        <w:rPr>
          <w:rFonts w:ascii="Arial" w:cs="Arial" w:eastAsia="Arial" w:hAnsi="Arial"/>
          <w:sz w:val="13"/>
          <w:szCs w:val="13"/>
          <w:color w:val="auto"/>
        </w:rPr>
        <w:t xml:space="preserve">), as implemented in Member States of the European Economic Area (each, a </w:t>
      </w:r>
      <w:r>
        <w:rPr>
          <w:rFonts w:ascii="Arial" w:cs="Arial" w:eastAsia="Arial" w:hAnsi="Arial"/>
          <w:sz w:val="13"/>
          <w:szCs w:val="13"/>
          <w:i w:val="1"/>
          <w:iCs w:val="1"/>
          <w:color w:val="auto"/>
        </w:rPr>
        <w:t>Relevant Member State</w:t>
      </w:r>
      <w:r>
        <w:rPr>
          <w:rFonts w:ascii="Arial" w:cs="Arial" w:eastAsia="Arial" w:hAnsi="Arial"/>
          <w:sz w:val="13"/>
          <w:szCs w:val="13"/>
          <w:color w:val="auto"/>
        </w:rPr>
        <w:t>), from the requirement to produce a prospectus for offers of securities.</w:t>
      </w:r>
    </w:p>
    <w:p>
      <w:pPr>
        <w:spacing w:after="0" w:line="109" w:lineRule="exact"/>
        <w:rPr>
          <w:sz w:val="20"/>
          <w:szCs w:val="20"/>
          <w:color w:val="auto"/>
        </w:rPr>
      </w:pPr>
    </w:p>
    <w:p>
      <w:pPr>
        <w:ind w:right="580"/>
        <w:spacing w:after="0" w:line="283" w:lineRule="auto"/>
        <w:rPr>
          <w:sz w:val="20"/>
          <w:szCs w:val="20"/>
          <w:color w:val="auto"/>
        </w:rPr>
      </w:pPr>
      <w:r>
        <w:rPr>
          <w:rFonts w:ascii="Arial" w:cs="Arial" w:eastAsia="Arial" w:hAnsi="Arial"/>
          <w:sz w:val="14"/>
          <w:szCs w:val="14"/>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82" w:lineRule="exact"/>
        <w:rPr>
          <w:sz w:val="20"/>
          <w:szCs w:val="20"/>
          <w:color w:val="auto"/>
        </w:rPr>
      </w:pPr>
    </w:p>
    <w:p>
      <w:pPr>
        <w:ind w:left="480" w:hanging="475"/>
        <w:spacing w:after="0"/>
        <w:tabs>
          <w:tab w:leader="none" w:pos="480" w:val="left"/>
        </w:tabs>
        <w:numPr>
          <w:ilvl w:val="0"/>
          <w:numId w:val="75"/>
        </w:numPr>
        <w:rPr>
          <w:rFonts w:ascii="Arial" w:cs="Arial" w:eastAsia="Arial" w:hAnsi="Arial"/>
          <w:sz w:val="20"/>
          <w:szCs w:val="20"/>
          <w:color w:val="auto"/>
          <w:vertAlign w:val="superscript"/>
        </w:rPr>
      </w:pPr>
      <w:r>
        <w:rPr>
          <w:rFonts w:ascii="Arial" w:cs="Arial" w:eastAsia="Arial" w:hAnsi="Arial"/>
          <w:sz w:val="14"/>
          <w:szCs w:val="14"/>
          <w:color w:val="auto"/>
        </w:rPr>
        <w:t>to legal entities that are authorized or regulated to operate in the financial markets or, if not so authorized or regulated, whose corporate purpose is solely to invest in securities;</w:t>
      </w:r>
    </w:p>
    <w:p>
      <w:pPr>
        <w:spacing w:after="0" w:line="160" w:lineRule="exact"/>
        <w:rPr>
          <w:rFonts w:ascii="Arial" w:cs="Arial" w:eastAsia="Arial" w:hAnsi="Arial"/>
          <w:sz w:val="20"/>
          <w:szCs w:val="20"/>
          <w:color w:val="auto"/>
          <w:vertAlign w:val="superscript"/>
        </w:rPr>
      </w:pPr>
    </w:p>
    <w:p>
      <w:pPr>
        <w:ind w:left="480" w:right="120" w:hanging="475"/>
        <w:spacing w:after="0" w:line="290" w:lineRule="auto"/>
        <w:tabs>
          <w:tab w:leader="none" w:pos="480" w:val="left"/>
        </w:tabs>
        <w:numPr>
          <w:ilvl w:val="0"/>
          <w:numId w:val="75"/>
        </w:numPr>
        <w:rPr>
          <w:rFonts w:ascii="Arial" w:cs="Arial" w:eastAsia="Arial" w:hAnsi="Arial"/>
          <w:sz w:val="16"/>
          <w:szCs w:val="16"/>
          <w:color w:val="auto"/>
          <w:vertAlign w:val="superscript"/>
        </w:rPr>
      </w:pPr>
      <w:r>
        <w:rPr>
          <w:rFonts w:ascii="Arial" w:cs="Arial" w:eastAsia="Arial" w:hAnsi="Arial"/>
          <w:sz w:val="12"/>
          <w:szCs w:val="12"/>
          <w:color w:val="auto"/>
        </w:rPr>
        <w:t>to any legal entity that has two or more of (i) an average of at least 250 employees during its last fiscal year; (ii) a total balance sheet of more than €43 million (as shown on its last annual unconsolidated or consolidated financial statements); and (iii) an annual net turnover of more than €50 million (as shown on its last annual unconsolidated or consolidated financial statement);</w:t>
      </w:r>
    </w:p>
    <w:p>
      <w:pPr>
        <w:spacing w:after="0" w:line="122" w:lineRule="exact"/>
        <w:rPr>
          <w:rFonts w:ascii="Arial" w:cs="Arial" w:eastAsia="Arial" w:hAnsi="Arial"/>
          <w:sz w:val="16"/>
          <w:szCs w:val="16"/>
          <w:color w:val="auto"/>
          <w:vertAlign w:val="superscript"/>
        </w:rPr>
      </w:pPr>
    </w:p>
    <w:p>
      <w:pPr>
        <w:ind w:left="480" w:right="20" w:hanging="475"/>
        <w:spacing w:after="0" w:line="215" w:lineRule="auto"/>
        <w:tabs>
          <w:tab w:leader="none" w:pos="480" w:val="left"/>
        </w:tabs>
        <w:numPr>
          <w:ilvl w:val="0"/>
          <w:numId w:val="75"/>
        </w:numPr>
        <w:rPr>
          <w:rFonts w:ascii="Arial" w:cs="Arial" w:eastAsia="Arial" w:hAnsi="Arial"/>
          <w:sz w:val="20"/>
          <w:szCs w:val="20"/>
          <w:color w:val="auto"/>
          <w:vertAlign w:val="superscript"/>
        </w:rPr>
      </w:pPr>
      <w:r>
        <w:rPr>
          <w:rFonts w:ascii="Arial" w:cs="Arial" w:eastAsia="Arial" w:hAnsi="Arial"/>
          <w:sz w:val="14"/>
          <w:szCs w:val="14"/>
          <w:color w:val="auto"/>
        </w:rPr>
        <w:t>to fewer than 100 natural or legal persons (other than qualified investors within the meaning of Article 2(1)I of the Prospectus Directive) subject to obtaining the prior consent of the company or any underwriter for any such offer; or</w:t>
      </w:r>
    </w:p>
    <w:p>
      <w:pPr>
        <w:spacing w:after="0" w:line="160" w:lineRule="exact"/>
        <w:rPr>
          <w:rFonts w:ascii="Arial" w:cs="Arial" w:eastAsia="Arial" w:hAnsi="Arial"/>
          <w:sz w:val="20"/>
          <w:szCs w:val="20"/>
          <w:color w:val="auto"/>
          <w:vertAlign w:val="superscript"/>
        </w:rPr>
      </w:pPr>
    </w:p>
    <w:p>
      <w:pPr>
        <w:ind w:left="480" w:right="40" w:hanging="475"/>
        <w:spacing w:after="0" w:line="215" w:lineRule="auto"/>
        <w:tabs>
          <w:tab w:leader="none" w:pos="480" w:val="left"/>
        </w:tabs>
        <w:numPr>
          <w:ilvl w:val="0"/>
          <w:numId w:val="75"/>
        </w:numPr>
        <w:rPr>
          <w:rFonts w:ascii="Arial" w:cs="Arial" w:eastAsia="Arial" w:hAnsi="Arial"/>
          <w:sz w:val="20"/>
          <w:szCs w:val="20"/>
          <w:color w:val="auto"/>
          <w:vertAlign w:val="superscript"/>
        </w:rPr>
      </w:pPr>
      <w:r>
        <w:rPr>
          <w:rFonts w:ascii="Arial" w:cs="Arial" w:eastAsia="Arial" w:hAnsi="Arial"/>
          <w:sz w:val="14"/>
          <w:szCs w:val="14"/>
          <w:color w:val="auto"/>
        </w:rPr>
        <w:t>in any other circumstances falling within Article 3(2) of the Prospectus Directive, provided that no such offer of the securities shall result in a requirement for the publication by the company of a prospectus pursuant to Article 3 of the Prospectus Directive.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8" w:name="page139"/>
    <w:bookmarkEnd w:id="13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France</w:t>
      </w:r>
    </w:p>
    <w:p>
      <w:pPr>
        <w:spacing w:after="0" w:line="180" w:lineRule="exact"/>
        <w:rPr>
          <w:sz w:val="20"/>
          <w:szCs w:val="20"/>
          <w:color w:val="auto"/>
        </w:rPr>
      </w:pPr>
    </w:p>
    <w:p>
      <w:pPr>
        <w:ind w:right="320"/>
        <w:spacing w:after="0" w:line="268" w:lineRule="auto"/>
        <w:rPr>
          <w:sz w:val="20"/>
          <w:szCs w:val="20"/>
          <w:color w:val="auto"/>
        </w:rPr>
      </w:pPr>
      <w:r>
        <w:rPr>
          <w:rFonts w:ascii="Arial" w:cs="Arial" w:eastAsia="Arial" w:hAnsi="Arial"/>
          <w:sz w:val="14"/>
          <w:szCs w:val="14"/>
          <w:color w:val="auto"/>
        </w:rPr>
        <w:t>This document is not being distributed in the context of a public offering of financial securities (offre au public de titres financiers) in France within the meaning of Article L.411-1 of the French Monetary and Financial Code (Code mon</w:t>
      </w:r>
      <w:r>
        <w:rPr>
          <w:rFonts w:ascii="Arial" w:cs="Arial" w:eastAsia="Arial" w:hAnsi="Arial"/>
          <w:sz w:val="14"/>
          <w:szCs w:val="14"/>
          <w:color w:val="auto"/>
        </w:rPr>
        <w:t>й</w:t>
      </w:r>
      <w:r>
        <w:rPr>
          <w:rFonts w:ascii="Arial" w:cs="Arial" w:eastAsia="Arial" w:hAnsi="Arial"/>
          <w:sz w:val="14"/>
          <w:szCs w:val="14"/>
          <w:color w:val="auto"/>
        </w:rPr>
        <w:t>taire et financier) and Articles 211-1 et seq. of the General Regulation of the French Autorite des marches financiers (</w:t>
      </w:r>
      <w:r>
        <w:rPr>
          <w:rFonts w:ascii="Arial" w:cs="Arial" w:eastAsia="Arial" w:hAnsi="Arial"/>
          <w:sz w:val="14"/>
          <w:szCs w:val="14"/>
          <w:i w:val="1"/>
          <w:iCs w:val="1"/>
          <w:color w:val="auto"/>
        </w:rPr>
        <w:t>AMF</w:t>
      </w:r>
      <w:r>
        <w:rPr>
          <w:rFonts w:ascii="Arial" w:cs="Arial" w:eastAsia="Arial" w:hAnsi="Arial"/>
          <w:sz w:val="14"/>
          <w:szCs w:val="14"/>
          <w:color w:val="auto"/>
        </w:rPr>
        <w:t>). The securities have not been offered or sold and will not be offered or sold, directly or indirectly, to the public in France.</w:t>
      </w:r>
    </w:p>
    <w:p>
      <w:pPr>
        <w:spacing w:after="0" w:line="142"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spacing w:after="0" w:line="131"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Such offers, sales and distributions have been and shall only be made in France to (i) qualified investors (investisseurs qualifiés) acting for their own account, as defined in and in accordance with Articles L.411-2-II-2° and D.411-1 to D.411-3, D. 744-1, D.754-1 and D.764-1 of the French Monetary and Financial Code and any implementing regulation; and/or (ii) a restricted number of non-qualified investors (cercle restreint d’investisseurs non-qualifiés) acting for their own account, as defined in and in accordance with Articles L.411-2-II-2° and D.411-4, D.744-1, D.754-1 and D.764-1 of the French Monetary and Financial Code and any implementing regulation.</w:t>
      </w:r>
    </w:p>
    <w:p>
      <w:pPr>
        <w:spacing w:after="0" w:line="146"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Ireland</w:t>
      </w:r>
    </w:p>
    <w:p>
      <w:pPr>
        <w:spacing w:after="0" w:line="201" w:lineRule="exact"/>
        <w:rPr>
          <w:sz w:val="20"/>
          <w:szCs w:val="20"/>
          <w:color w:val="auto"/>
        </w:rPr>
      </w:pPr>
    </w:p>
    <w:p>
      <w:pPr>
        <w:ind w:right="340"/>
        <w:spacing w:after="0" w:line="290" w:lineRule="auto"/>
        <w:rPr>
          <w:sz w:val="20"/>
          <w:szCs w:val="20"/>
          <w:color w:val="auto"/>
        </w:rPr>
      </w:pPr>
      <w:r>
        <w:rPr>
          <w:rFonts w:ascii="Arial" w:cs="Arial" w:eastAsia="Arial" w:hAnsi="Arial"/>
          <w:sz w:val="13"/>
          <w:szCs w:val="13"/>
          <w:color w:val="auto"/>
        </w:rPr>
        <w:t xml:space="preserve">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w:t>
      </w:r>
      <w:r>
        <w:rPr>
          <w:rFonts w:ascii="Arial" w:cs="Arial" w:eastAsia="Arial" w:hAnsi="Arial"/>
          <w:sz w:val="13"/>
          <w:szCs w:val="13"/>
          <w:i w:val="1"/>
          <w:iCs w:val="1"/>
          <w:color w:val="auto"/>
        </w:rPr>
        <w:t>Prospectus</w:t>
      </w:r>
      <w:r>
        <w:rPr>
          <w:rFonts w:ascii="Arial" w:cs="Arial" w:eastAsia="Arial" w:hAnsi="Arial"/>
          <w:sz w:val="13"/>
          <w:szCs w:val="13"/>
          <w:color w:val="auto"/>
        </w:rPr>
        <w:t xml:space="preserve"> </w:t>
      </w:r>
      <w:r>
        <w:rPr>
          <w:rFonts w:ascii="Arial" w:cs="Arial" w:eastAsia="Arial" w:hAnsi="Arial"/>
          <w:sz w:val="13"/>
          <w:szCs w:val="13"/>
          <w:i w:val="1"/>
          <w:iCs w:val="1"/>
          <w:color w:val="auto"/>
        </w:rPr>
        <w:t>Regulations</w:t>
      </w:r>
      <w:r>
        <w:rPr>
          <w:rFonts w:ascii="Arial" w:cs="Arial" w:eastAsia="Arial" w:hAnsi="Arial"/>
          <w:sz w:val="13"/>
          <w:szCs w:val="13"/>
          <w:color w:val="auto"/>
        </w:rPr>
        <w:t>). The securities have not been offered or sold, and will not be offered, sold or delivered directly or indirectly in Ireland by way of a public offering, except to (i) qualified investors as</w:t>
      </w:r>
      <w:r>
        <w:rPr>
          <w:rFonts w:ascii="Arial" w:cs="Arial" w:eastAsia="Arial" w:hAnsi="Arial"/>
          <w:sz w:val="13"/>
          <w:szCs w:val="13"/>
          <w:i w:val="1"/>
          <w:iCs w:val="1"/>
          <w:color w:val="auto"/>
        </w:rPr>
        <w:t xml:space="preserve"> </w:t>
      </w:r>
      <w:r>
        <w:rPr>
          <w:rFonts w:ascii="Arial" w:cs="Arial" w:eastAsia="Arial" w:hAnsi="Arial"/>
          <w:sz w:val="13"/>
          <w:szCs w:val="13"/>
          <w:color w:val="auto"/>
        </w:rPr>
        <w:t>defined in Regulation 2(l) of the Prospectus Regulations; and (ii) fewer than 100 natural or legal persons who are not qualified investors.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Israel</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The securities offered by this prospectus may not be offered or sold to any person resident in Israel or entity organized or formed in Israel, unless it is an “institutional investor,” as set forth in Section 15A(b)(1) of the Israeli Securities Law 5728-1968, or the Israeli Securities Law, and has provided the requisite certification under the First Addendum of the Israeli Securities Law, or pursuant to other exemptions available under the Israeli Securities Law.</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Italy</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The offering of the securities in the Republic of Italy has not been authorized by the Italian Securities and Exchange Commission (Commissione Nazionale per le Societ</w:t>
      </w:r>
      <w:r>
        <w:rPr>
          <w:rFonts w:ascii="Arial" w:cs="Arial" w:eastAsia="Arial" w:hAnsi="Arial"/>
          <w:sz w:val="14"/>
          <w:szCs w:val="14"/>
          <w:color w:val="auto"/>
        </w:rPr>
        <w:t>а</w:t>
      </w:r>
      <w:r>
        <w:rPr>
          <w:rFonts w:ascii="Arial" w:cs="Arial" w:eastAsia="Arial" w:hAnsi="Arial"/>
          <w:sz w:val="14"/>
          <w:szCs w:val="14"/>
          <w:color w:val="auto"/>
        </w:rPr>
        <w:t xml:space="preserve"> e la Borsa, or </w:t>
      </w:r>
      <w:r>
        <w:rPr>
          <w:rFonts w:ascii="Arial" w:cs="Arial" w:eastAsia="Arial" w:hAnsi="Arial"/>
          <w:sz w:val="14"/>
          <w:szCs w:val="14"/>
          <w:i w:val="1"/>
          <w:iCs w:val="1"/>
          <w:color w:val="auto"/>
        </w:rPr>
        <w:t>CONSOB</w:t>
      </w:r>
      <w:r>
        <w:rPr>
          <w:rFonts w:ascii="Arial" w:cs="Arial" w:eastAsia="Arial" w:hAnsi="Arial"/>
          <w:sz w:val="14"/>
          <w:szCs w:val="14"/>
          <w:color w:val="auto"/>
        </w:rPr>
        <w:t>) 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w:t>
      </w:r>
      <w:r>
        <w:rPr>
          <w:rFonts w:ascii="Arial" w:cs="Arial" w:eastAsia="Arial" w:hAnsi="Arial"/>
          <w:sz w:val="14"/>
          <w:szCs w:val="14"/>
          <w:i w:val="1"/>
          <w:iCs w:val="1"/>
          <w:color w:val="auto"/>
        </w:rPr>
        <w:t>Decree No. 58</w:t>
      </w:r>
      <w:r>
        <w:rPr>
          <w:rFonts w:ascii="Arial" w:cs="Arial" w:eastAsia="Arial" w:hAnsi="Arial"/>
          <w:sz w:val="14"/>
          <w:szCs w:val="14"/>
          <w:color w:val="auto"/>
        </w:rPr>
        <w:t>), other than:</w:t>
      </w:r>
    </w:p>
    <w:p>
      <w:pPr>
        <w:spacing w:after="0" w:line="142" w:lineRule="exact"/>
        <w:rPr>
          <w:sz w:val="20"/>
          <w:szCs w:val="20"/>
          <w:color w:val="auto"/>
        </w:rPr>
      </w:pPr>
    </w:p>
    <w:p>
      <w:pPr>
        <w:ind w:left="480" w:right="260" w:hanging="475"/>
        <w:spacing w:after="0" w:line="215" w:lineRule="auto"/>
        <w:tabs>
          <w:tab w:leader="none" w:pos="480" w:val="left"/>
        </w:tabs>
        <w:numPr>
          <w:ilvl w:val="0"/>
          <w:numId w:val="76"/>
        </w:numPr>
        <w:rPr>
          <w:rFonts w:ascii="Arial" w:cs="Arial" w:eastAsia="Arial" w:hAnsi="Arial"/>
          <w:sz w:val="20"/>
          <w:szCs w:val="20"/>
          <w:color w:val="auto"/>
          <w:vertAlign w:val="superscript"/>
        </w:rPr>
      </w:pPr>
      <w:r>
        <w:rPr>
          <w:rFonts w:ascii="Arial" w:cs="Arial" w:eastAsia="Arial" w:hAnsi="Arial"/>
          <w:sz w:val="14"/>
          <w:szCs w:val="14"/>
          <w:color w:val="auto"/>
        </w:rPr>
        <w:t>to Italian qualified investors, as defined in Article 100 of Decree no. 58 by reference to Article 34-ter of CONSOB Regulation no. 11971 of 14 May 1999 (</w:t>
      </w:r>
      <w:r>
        <w:rPr>
          <w:rFonts w:ascii="Arial" w:cs="Arial" w:eastAsia="Arial" w:hAnsi="Arial"/>
          <w:sz w:val="14"/>
          <w:szCs w:val="14"/>
          <w:i w:val="1"/>
          <w:iCs w:val="1"/>
          <w:color w:val="auto"/>
        </w:rPr>
        <w:t>Regulation no. 1197l</w:t>
      </w:r>
      <w:r>
        <w:rPr>
          <w:rFonts w:ascii="Arial" w:cs="Arial" w:eastAsia="Arial" w:hAnsi="Arial"/>
          <w:sz w:val="14"/>
          <w:szCs w:val="14"/>
          <w:color w:val="auto"/>
        </w:rPr>
        <w:t>) as amended (</w:t>
      </w:r>
      <w:r>
        <w:rPr>
          <w:rFonts w:ascii="Arial" w:cs="Arial" w:eastAsia="Arial" w:hAnsi="Arial"/>
          <w:sz w:val="14"/>
          <w:szCs w:val="14"/>
          <w:i w:val="1"/>
          <w:iCs w:val="1"/>
          <w:color w:val="auto"/>
        </w:rPr>
        <w:t>Qualified Investors</w:t>
      </w:r>
      <w:r>
        <w:rPr>
          <w:rFonts w:ascii="Arial" w:cs="Arial" w:eastAsia="Arial" w:hAnsi="Arial"/>
          <w:sz w:val="14"/>
          <w:szCs w:val="14"/>
          <w:color w:val="auto"/>
        </w:rPr>
        <w:t>); and</w:t>
      </w:r>
    </w:p>
    <w:p>
      <w:pPr>
        <w:spacing w:after="0" w:line="160" w:lineRule="exact"/>
        <w:rPr>
          <w:rFonts w:ascii="Arial" w:cs="Arial" w:eastAsia="Arial" w:hAnsi="Arial"/>
          <w:sz w:val="20"/>
          <w:szCs w:val="20"/>
          <w:color w:val="auto"/>
          <w:vertAlign w:val="superscript"/>
        </w:rPr>
      </w:pPr>
    </w:p>
    <w:p>
      <w:pPr>
        <w:ind w:left="480" w:right="320" w:hanging="475"/>
        <w:spacing w:after="0" w:line="226" w:lineRule="auto"/>
        <w:tabs>
          <w:tab w:leader="none" w:pos="480" w:val="left"/>
        </w:tabs>
        <w:numPr>
          <w:ilvl w:val="0"/>
          <w:numId w:val="76"/>
        </w:numPr>
        <w:rPr>
          <w:rFonts w:ascii="Arial" w:cs="Arial" w:eastAsia="Arial" w:hAnsi="Arial"/>
          <w:sz w:val="20"/>
          <w:szCs w:val="20"/>
          <w:color w:val="auto"/>
          <w:vertAlign w:val="superscript"/>
        </w:rPr>
      </w:pPr>
      <w:r>
        <w:rPr>
          <w:rFonts w:ascii="Arial" w:cs="Arial" w:eastAsia="Arial" w:hAnsi="Arial"/>
          <w:sz w:val="14"/>
          <w:szCs w:val="14"/>
          <w:color w:val="auto"/>
        </w:rPr>
        <w:t>in other circumstances that are exempt from the rules on public offer pursuant to Article 100 of Decree No. 58 and Article 34-ter of Regulation No. 11971 as amended. Any offer, sale or delivery of the securities or distribution of any offer document relating to the securities in Italy (excluding placements where a Qualified Investor solicits an offer from the issuer) under the paragraphs above must be: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9" w:name="page140"/>
    <w:bookmarkEnd w:id="139"/>
    <w:p>
      <w:pPr>
        <w:spacing w:after="0"/>
        <w:rPr>
          <w:rFonts w:ascii="Arial" w:cs="Arial" w:eastAsia="Arial" w:hAnsi="Arial"/>
          <w:sz w:val="11"/>
          <w:szCs w:val="11"/>
          <w:i w:val="1"/>
          <w:iCs w:val="1"/>
          <w:u w:val="single" w:color="auto"/>
          <w:color w:val="0000EE"/>
        </w:rPr>
      </w:pPr>
      <w:hyperlink w:anchor="page5">
        <w:r>
          <w:rPr>
            <w:rFonts w:ascii="Arial" w:cs="Arial" w:eastAsia="Arial" w:hAnsi="Arial"/>
            <w:sz w:val="11"/>
            <w:szCs w:val="11"/>
            <w:i w:val="1"/>
            <w:iCs w:val="1"/>
            <w:u w:val="single" w:color="auto"/>
            <w:color w:val="0000EE"/>
          </w:rPr>
          <w:t>Table of Contents</w:t>
        </w:r>
      </w:hyperlink>
    </w:p>
    <w:p>
      <w:pPr>
        <w:spacing w:after="0" w:line="220" w:lineRule="exact"/>
        <w:rPr>
          <w:sz w:val="20"/>
          <w:szCs w:val="20"/>
          <w:color w:val="auto"/>
        </w:rPr>
      </w:pPr>
    </w:p>
    <w:p>
      <w:pPr>
        <w:ind w:left="480"/>
        <w:spacing w:after="0"/>
        <w:rPr>
          <w:sz w:val="20"/>
          <w:szCs w:val="20"/>
          <w:color w:val="auto"/>
        </w:rPr>
      </w:pPr>
      <w:r>
        <w:rPr>
          <w:rFonts w:ascii="Arial" w:cs="Arial" w:eastAsia="Arial" w:hAnsi="Arial"/>
          <w:sz w:val="10"/>
          <w:szCs w:val="10"/>
          <w:color w:val="auto"/>
        </w:rPr>
        <w:t>●</w:t>
      </w:r>
    </w:p>
    <w:p>
      <w:pPr>
        <w:spacing w:after="0" w:line="396" w:lineRule="exact"/>
        <w:rPr>
          <w:sz w:val="20"/>
          <w:szCs w:val="20"/>
          <w:color w:val="auto"/>
        </w:rPr>
      </w:pPr>
    </w:p>
    <w:p>
      <w:pPr>
        <w:ind w:left="480"/>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 compliance with all relevant Italian securities, tax and exchange controls and any other applicable laws.</w:t>
      </w:r>
    </w:p>
    <w:p>
      <w:pPr>
        <w:spacing w:after="0" w:line="180" w:lineRule="exact"/>
        <w:rPr>
          <w:sz w:val="20"/>
          <w:szCs w:val="20"/>
          <w:color w:val="auto"/>
        </w:rPr>
      </w:pPr>
    </w:p>
    <w:p>
      <w:pPr>
        <w:sectPr>
          <w:pgSz w:w="11900" w:h="16838" w:orient="portrait"/>
          <w:cols w:equalWidth="0" w:num="2">
            <w:col w:w="900" w:space="220"/>
            <w:col w:w="10280"/>
          </w:cols>
          <w:pgMar w:left="220" w:top="133" w:right="279" w:bottom="1440" w:gutter="0" w:footer="0" w:header="0"/>
        </w:sectPr>
      </w:pPr>
    </w:p>
    <w:p>
      <w:pPr>
        <w:spacing w:after="0" w:line="268" w:lineRule="auto"/>
        <w:rPr>
          <w:sz w:val="20"/>
          <w:szCs w:val="20"/>
          <w:color w:val="auto"/>
        </w:rPr>
      </w:pPr>
      <w:r>
        <w:rPr>
          <w:rFonts w:ascii="Arial" w:cs="Arial" w:eastAsia="Arial" w:hAnsi="Arial"/>
          <w:sz w:val="14"/>
          <w:szCs w:val="14"/>
          <w:color w:val="auto"/>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Japan</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 xml:space="preserve">The securities have not been and will not be registered under Article 4, paragraph 1 of the Financial Instruments and Exchange Law of Japan (Law No. 25 of 1948), as amended (the </w:t>
      </w:r>
      <w:r>
        <w:rPr>
          <w:rFonts w:ascii="Arial" w:cs="Arial" w:eastAsia="Arial" w:hAnsi="Arial"/>
          <w:sz w:val="14"/>
          <w:szCs w:val="14"/>
          <w:i w:val="1"/>
          <w:iCs w:val="1"/>
          <w:color w:val="auto"/>
        </w:rPr>
        <w:t>FIEL</w:t>
      </w:r>
      <w:r>
        <w:rPr>
          <w:rFonts w:ascii="Arial" w:cs="Arial" w:eastAsia="Arial" w:hAnsi="Arial"/>
          <w:sz w:val="14"/>
          <w:szCs w:val="14"/>
          <w:color w:val="auto"/>
        </w:rPr>
        <w:t>)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Portugal</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This document is not being distributed in the context of a public offer of financial securities (oferta p</w:t>
      </w:r>
      <w:r>
        <w:rPr>
          <w:rFonts w:ascii="Arial" w:cs="Arial" w:eastAsia="Arial" w:hAnsi="Arial"/>
          <w:sz w:val="13"/>
          <w:szCs w:val="13"/>
          <w:color w:val="auto"/>
        </w:rPr>
        <w:t>ъ</w:t>
      </w:r>
      <w:r>
        <w:rPr>
          <w:rFonts w:ascii="Arial" w:cs="Arial" w:eastAsia="Arial" w:hAnsi="Arial"/>
          <w:sz w:val="13"/>
          <w:szCs w:val="13"/>
          <w:color w:val="auto"/>
        </w:rPr>
        <w:t>blica de valores mobili</w:t>
      </w:r>
      <w:r>
        <w:rPr>
          <w:rFonts w:ascii="Arial" w:cs="Arial" w:eastAsia="Arial" w:hAnsi="Arial"/>
          <w:sz w:val="13"/>
          <w:szCs w:val="13"/>
          <w:color w:val="auto"/>
        </w:rPr>
        <w:t>б</w:t>
      </w:r>
      <w:r>
        <w:rPr>
          <w:rFonts w:ascii="Arial" w:cs="Arial" w:eastAsia="Arial" w:hAnsi="Arial"/>
          <w:sz w:val="13"/>
          <w:szCs w:val="13"/>
          <w:color w:val="auto"/>
        </w:rPr>
        <w:t>rios) in Portugal, within the meaning of Article 109 of the Portuguese Securities Code (C</w:t>
      </w:r>
      <w:r>
        <w:rPr>
          <w:rFonts w:ascii="Arial" w:cs="Arial" w:eastAsia="Arial" w:hAnsi="Arial"/>
          <w:sz w:val="13"/>
          <w:szCs w:val="13"/>
          <w:color w:val="auto"/>
        </w:rPr>
        <w:t>у</w:t>
      </w:r>
      <w:r>
        <w:rPr>
          <w:rFonts w:ascii="Arial" w:cs="Arial" w:eastAsia="Arial" w:hAnsi="Arial"/>
          <w:sz w:val="13"/>
          <w:szCs w:val="13"/>
          <w:color w:val="auto"/>
        </w:rPr>
        <w:t>digo dos Valores Mobili</w:t>
      </w:r>
      <w:r>
        <w:rPr>
          <w:rFonts w:ascii="Arial" w:cs="Arial" w:eastAsia="Arial" w:hAnsi="Arial"/>
          <w:sz w:val="13"/>
          <w:szCs w:val="13"/>
          <w:color w:val="auto"/>
        </w:rPr>
        <w:t>б</w:t>
      </w:r>
      <w:r>
        <w:rPr>
          <w:rFonts w:ascii="Arial" w:cs="Arial" w:eastAsia="Arial" w:hAnsi="Arial"/>
          <w:sz w:val="13"/>
          <w:szCs w:val="13"/>
          <w:color w:val="auto"/>
        </w:rPr>
        <w:t>rios). The securities have not been offered or sold and will not be offered or sold, directly or indirectly, to the public in Portugal. This document and any other offering material relating to the securities has not been, and will not be, submitted to the Portuguese Securities Market Commission (Comiss</w:t>
      </w:r>
      <w:r>
        <w:rPr>
          <w:rFonts w:ascii="Arial" w:cs="Arial" w:eastAsia="Arial" w:hAnsi="Arial"/>
          <w:sz w:val="13"/>
          <w:szCs w:val="13"/>
          <w:color w:val="auto"/>
        </w:rPr>
        <w:t>г</w:t>
      </w:r>
      <w:r>
        <w:rPr>
          <w:rFonts w:ascii="Arial" w:cs="Arial" w:eastAsia="Arial" w:hAnsi="Arial"/>
          <w:sz w:val="13"/>
          <w:szCs w:val="13"/>
          <w:color w:val="auto"/>
        </w:rPr>
        <w:t>o do Mercado de Valores Mobili</w:t>
      </w:r>
      <w:r>
        <w:rPr>
          <w:rFonts w:ascii="Arial" w:cs="Arial" w:eastAsia="Arial" w:hAnsi="Arial"/>
          <w:sz w:val="13"/>
          <w:szCs w:val="13"/>
          <w:color w:val="auto"/>
        </w:rPr>
        <w:t>б</w:t>
      </w:r>
      <w:r>
        <w:rPr>
          <w:rFonts w:ascii="Arial" w:cs="Arial" w:eastAsia="Arial" w:hAnsi="Arial"/>
          <w:sz w:val="13"/>
          <w:szCs w:val="13"/>
          <w:color w:val="auto"/>
        </w:rPr>
        <w:t>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Sweden</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type w:val="continuous"/>
        </w:sectPr>
      </w:pPr>
    </w:p>
    <w:bookmarkStart w:id="140" w:name="page141"/>
    <w:bookmarkEnd w:id="14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Switzerland</w:t>
      </w:r>
    </w:p>
    <w:p>
      <w:pPr>
        <w:spacing w:after="0" w:line="18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securities may not be publicly offered in Switzerland and will not be listed on the SIX Swiss Exchange (</w:t>
      </w:r>
      <w:r>
        <w:rPr>
          <w:rFonts w:ascii="Arial" w:cs="Arial" w:eastAsia="Arial" w:hAnsi="Arial"/>
          <w:sz w:val="14"/>
          <w:szCs w:val="14"/>
          <w:i w:val="1"/>
          <w:iCs w:val="1"/>
          <w:color w:val="auto"/>
        </w:rPr>
        <w:t>SIX</w:t>
      </w:r>
      <w:r>
        <w:rPr>
          <w:rFonts w:ascii="Arial" w:cs="Arial" w:eastAsia="Arial" w:hAnsi="Arial"/>
          <w:sz w:val="14"/>
          <w:szCs w:val="14"/>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146"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Neither this document nor any other offering material relating to the securities has been or will be filed with or approved by any Swiss regulatory authority. In particular, this document will not be filed with, and the offer of securities will not be supervised by, the Swiss Financial Market Supervisory Authority (</w:t>
      </w:r>
      <w:r>
        <w:rPr>
          <w:rFonts w:ascii="Arial" w:cs="Arial" w:eastAsia="Arial" w:hAnsi="Arial"/>
          <w:sz w:val="14"/>
          <w:szCs w:val="14"/>
          <w:i w:val="1"/>
          <w:iCs w:val="1"/>
          <w:color w:val="auto"/>
        </w:rPr>
        <w:t>FINMA</w:t>
      </w:r>
      <w:r>
        <w:rPr>
          <w:rFonts w:ascii="Arial" w:cs="Arial" w:eastAsia="Arial" w:hAnsi="Arial"/>
          <w:sz w:val="14"/>
          <w:szCs w:val="14"/>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This document is personal to the recipient only and not for general circulation in Switzerland.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Arab Emirates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Neither this document nor the securities have been approved, disapproved or passed on in any way by the Central Bank of the United Arab Emirates or any other governmental authority in the United Arab Emirates, nor have we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us.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No offer or invitation to subscribe for securities is valid or permitted in the Dubai International Financial Centre.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Kingdom</w:t>
      </w:r>
    </w:p>
    <w:p>
      <w:pPr>
        <w:spacing w:after="0" w:line="180"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w:t>
      </w:r>
      <w:r>
        <w:rPr>
          <w:rFonts w:ascii="Arial" w:cs="Arial" w:eastAsia="Arial" w:hAnsi="Arial"/>
          <w:sz w:val="13"/>
          <w:szCs w:val="13"/>
          <w:i w:val="1"/>
          <w:iCs w:val="1"/>
          <w:color w:val="auto"/>
        </w:rPr>
        <w:t>FSMA</w:t>
      </w:r>
      <w:r>
        <w:rPr>
          <w:rFonts w:ascii="Arial" w:cs="Arial" w:eastAsia="Arial" w:hAnsi="Arial"/>
          <w:sz w:val="13"/>
          <w:szCs w:val="13"/>
          <w:color w:val="auto"/>
        </w:rPr>
        <w:t>))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that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w:t>
      </w:r>
      <w:r>
        <w:rPr>
          <w:rFonts w:ascii="Arial" w:cs="Arial" w:eastAsia="Arial" w:hAnsi="Arial"/>
          <w:sz w:val="14"/>
          <w:szCs w:val="14"/>
          <w:i w:val="1"/>
          <w:iCs w:val="1"/>
          <w:color w:val="auto"/>
        </w:rPr>
        <w:t>FPO</w:t>
      </w:r>
      <w:r>
        <w:rPr>
          <w:rFonts w:ascii="Arial" w:cs="Arial" w:eastAsia="Arial" w:hAnsi="Arial"/>
          <w:sz w:val="14"/>
          <w:szCs w:val="14"/>
          <w:color w:val="auto"/>
        </w:rPr>
        <w:t>);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41" w:name="page142"/>
    <w:bookmarkEnd w:id="14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Disclosure Law Group, a Professional Corporation (</w:t>
      </w:r>
      <w:r>
        <w:rPr>
          <w:rFonts w:ascii="Arial" w:cs="Arial" w:eastAsia="Arial" w:hAnsi="Arial"/>
          <w:sz w:val="14"/>
          <w:szCs w:val="14"/>
          <w:i w:val="1"/>
          <w:iCs w:val="1"/>
          <w:color w:val="auto"/>
        </w:rPr>
        <w:t>DLG</w:t>
      </w:r>
      <w:r>
        <w:rPr>
          <w:rFonts w:ascii="Arial" w:cs="Arial" w:eastAsia="Arial" w:hAnsi="Arial"/>
          <w:sz w:val="14"/>
          <w:szCs w:val="14"/>
          <w:color w:val="auto"/>
        </w:rPr>
        <w:t>), of San Diego, California, will pass upon the validity of the shares of common stock and warrants offered hereby. A partner and an associate of DLG beneficially own an aggregate of 40,987 registered and/or restricted shares of our common stock. Legal counsel to the underwriters is Zysman, Aharoni, Gayer and Sullivan &amp; Worcester LLP, New York, New York (</w:t>
      </w:r>
      <w:r>
        <w:rPr>
          <w:rFonts w:ascii="Arial" w:cs="Arial" w:eastAsia="Arial" w:hAnsi="Arial"/>
          <w:sz w:val="14"/>
          <w:szCs w:val="14"/>
          <w:i w:val="1"/>
          <w:iCs w:val="1"/>
          <w:color w:val="auto"/>
        </w:rPr>
        <w:t>ZAG</w:t>
      </w:r>
      <w:r>
        <w:rPr>
          <w:rFonts w:ascii="Arial" w:cs="Arial" w:eastAsia="Arial" w:hAnsi="Arial"/>
          <w:sz w:val="14"/>
          <w:szCs w:val="14"/>
          <w:color w:val="auto"/>
        </w:rPr>
        <w:t>-</w:t>
      </w:r>
      <w:r>
        <w:rPr>
          <w:rFonts w:ascii="Arial" w:cs="Arial" w:eastAsia="Arial" w:hAnsi="Arial"/>
          <w:sz w:val="14"/>
          <w:szCs w:val="14"/>
          <w:i w:val="1"/>
          <w:iCs w:val="1"/>
          <w:color w:val="auto"/>
        </w:rPr>
        <w:t>S&amp;W</w:t>
      </w:r>
      <w:r>
        <w:rPr>
          <w:rFonts w:ascii="Arial" w:cs="Arial" w:eastAsia="Arial" w:hAnsi="Arial"/>
          <w:sz w:val="14"/>
          <w:szCs w:val="14"/>
          <w:color w:val="auto"/>
        </w:rPr>
        <w:t>). ZAG-S&amp;W beneficially owns 3,125 restricted shares of our common stock.</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EXPERTS</w:t>
      </w:r>
    </w:p>
    <w:p>
      <w:pPr>
        <w:spacing w:after="0" w:line="184" w:lineRule="exact"/>
        <w:rPr>
          <w:sz w:val="20"/>
          <w:szCs w:val="20"/>
          <w:color w:val="auto"/>
        </w:rPr>
      </w:pPr>
    </w:p>
    <w:p>
      <w:pPr>
        <w:jc w:val="both"/>
        <w:ind w:right="80"/>
        <w:spacing w:after="0" w:line="370" w:lineRule="auto"/>
        <w:rPr>
          <w:sz w:val="20"/>
          <w:szCs w:val="20"/>
          <w:color w:val="auto"/>
        </w:rPr>
      </w:pPr>
      <w:r>
        <w:rPr>
          <w:rFonts w:ascii="Arial" w:cs="Arial" w:eastAsia="Arial" w:hAnsi="Arial"/>
          <w:sz w:val="12"/>
          <w:szCs w:val="12"/>
          <w:color w:val="auto"/>
        </w:rPr>
        <w:t>The financial statements as of March 31, 2015 and 2014,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INTEREST OF NAMED EXPERTS AND COUNSEL</w:t>
      </w:r>
    </w:p>
    <w:p>
      <w:pPr>
        <w:spacing w:after="0" w:line="205"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No expert or counsel named in this prospectus as having prepared or certified any part of this prospectus or having given an opinion upon the validity of the securities being registered or upon other legal matters in connection with this Offering was employed on a contingency basis or had, or is to receive, in connection with the Offering,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WHERE YOU CAN FIND MORE INFORMATION</w:t>
      </w:r>
    </w:p>
    <w:p>
      <w:pPr>
        <w:spacing w:after="0" w:line="184"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25"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We have filed with the SEC a Registration Statement on Form S-1 under the Securities Act with respect to the shares of common stock and warrants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securities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2" w:name="page143"/>
    <w:bookmarkEnd w:id="14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0" w:type="dxa"/>
            <w:vAlign w:val="bottom"/>
          </w:tcPr>
          <w:p>
            <w:pPr>
              <w:jc w:val="center"/>
              <w:ind w:left="1429"/>
              <w:spacing w:after="0"/>
              <w:rPr>
                <w:sz w:val="20"/>
                <w:szCs w:val="20"/>
                <w:color w:val="auto"/>
              </w:rPr>
            </w:pPr>
            <w:r>
              <w:rPr>
                <w:rFonts w:ascii="Arial" w:cs="Arial" w:eastAsia="Arial" w:hAnsi="Arial"/>
                <w:sz w:val="14"/>
                <w:szCs w:val="14"/>
                <w:b w:val="1"/>
                <w:bCs w:val="1"/>
                <w:color w:val="auto"/>
              </w:rPr>
              <w:t>VISTAGEN THERAPEUTICS INC.</w:t>
            </w:r>
          </w:p>
        </w:tc>
        <w:tc>
          <w:tcPr>
            <w:tcW w:w="1460" w:type="dxa"/>
            <w:vAlign w:val="bottom"/>
          </w:tcPr>
          <w:p>
            <w:pPr>
              <w:spacing w:after="0"/>
              <w:rPr>
                <w:sz w:val="14"/>
                <w:szCs w:val="14"/>
                <w:color w:val="auto"/>
              </w:rPr>
            </w:pPr>
          </w:p>
        </w:tc>
      </w:tr>
      <w:tr>
        <w:trPr>
          <w:trHeight w:val="184"/>
        </w:trPr>
        <w:tc>
          <w:tcPr>
            <w:tcW w:w="10000" w:type="dxa"/>
            <w:vAlign w:val="bottom"/>
          </w:tcPr>
          <w:p>
            <w:pPr>
              <w:jc w:val="center"/>
              <w:ind w:left="1409"/>
              <w:spacing w:after="0"/>
              <w:rPr>
                <w:sz w:val="20"/>
                <w:szCs w:val="20"/>
                <w:color w:val="auto"/>
              </w:rPr>
            </w:pPr>
            <w:r>
              <w:rPr>
                <w:rFonts w:ascii="Arial" w:cs="Arial" w:eastAsia="Arial" w:hAnsi="Arial"/>
                <w:sz w:val="14"/>
                <w:szCs w:val="14"/>
                <w:b w:val="1"/>
                <w:bCs w:val="1"/>
                <w:color w:val="auto"/>
              </w:rPr>
              <w:t>INDEX TO FINANCIAL STATEMENTS</w:t>
            </w:r>
          </w:p>
        </w:tc>
        <w:tc>
          <w:tcPr>
            <w:tcW w:w="1460" w:type="dxa"/>
            <w:vAlign w:val="bottom"/>
          </w:tcPr>
          <w:p>
            <w:pPr>
              <w:spacing w:after="0"/>
              <w:rPr>
                <w:sz w:val="16"/>
                <w:szCs w:val="16"/>
                <w:color w:val="auto"/>
              </w:rPr>
            </w:pPr>
          </w:p>
        </w:tc>
      </w:tr>
      <w:tr>
        <w:trPr>
          <w:trHeight w:val="534"/>
        </w:trPr>
        <w:tc>
          <w:tcPr>
            <w:tcW w:w="10000" w:type="dxa"/>
            <w:vAlign w:val="bottom"/>
          </w:tcPr>
          <w:p>
            <w:pPr>
              <w:spacing w:after="0"/>
              <w:rPr>
                <w:sz w:val="24"/>
                <w:szCs w:val="24"/>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Page</w:t>
            </w:r>
          </w:p>
        </w:tc>
      </w:tr>
      <w:tr>
        <w:trPr>
          <w:trHeight w:val="170"/>
        </w:trPr>
        <w:tc>
          <w:tcPr>
            <w:tcW w:w="10000" w:type="dxa"/>
            <w:vAlign w:val="bottom"/>
          </w:tcPr>
          <w:p>
            <w:pPr>
              <w:spacing w:after="0"/>
              <w:rPr>
                <w:sz w:val="20"/>
                <w:szCs w:val="20"/>
                <w:color w:val="auto"/>
              </w:rPr>
            </w:pPr>
            <w:r>
              <w:rPr>
                <w:rFonts w:ascii="Arial" w:cs="Arial" w:eastAsia="Arial" w:hAnsi="Arial"/>
                <w:sz w:val="14"/>
                <w:szCs w:val="14"/>
                <w:b w:val="1"/>
                <w:bCs w:val="1"/>
                <w:color w:val="auto"/>
              </w:rPr>
              <w:t>Audited Financial Statements for the years ended March 31, 2015 and 2014</w:t>
            </w:r>
          </w:p>
        </w:tc>
        <w:tc>
          <w:tcPr>
            <w:tcW w:w="1460" w:type="dxa"/>
            <w:vAlign w:val="bottom"/>
          </w:tcPr>
          <w:p>
            <w:pPr>
              <w:spacing w:after="0"/>
              <w:rPr>
                <w:sz w:val="14"/>
                <w:szCs w:val="14"/>
                <w:color w:val="auto"/>
              </w:rPr>
            </w:pPr>
          </w:p>
        </w:tc>
      </w:tr>
      <w:tr>
        <w:trPr>
          <w:trHeight w:val="171"/>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Report of Independent Registered Public Accounting Firm</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F-2</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Consolidated Balance Sheets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F-3</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Consolidated Statements of Operations</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F-4</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Consolidated Statements of Cash Flows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F-5</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Consolidated Statements of Stockholders' Deficit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F-6</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Notes to Consolidated Financial Statements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F-7</w:t>
            </w:r>
          </w:p>
        </w:tc>
      </w:tr>
      <w:tr>
        <w:trPr>
          <w:trHeight w:val="170"/>
        </w:trPr>
        <w:tc>
          <w:tcPr>
            <w:tcW w:w="100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0"/>
        </w:trPr>
        <w:tc>
          <w:tcPr>
            <w:tcW w:w="10000" w:type="dxa"/>
            <w:vAlign w:val="bottom"/>
          </w:tcPr>
          <w:p>
            <w:pPr>
              <w:spacing w:after="0"/>
              <w:rPr>
                <w:sz w:val="20"/>
                <w:szCs w:val="20"/>
                <w:color w:val="auto"/>
              </w:rPr>
            </w:pPr>
            <w:r>
              <w:rPr>
                <w:rFonts w:ascii="Arial" w:cs="Arial" w:eastAsia="Arial" w:hAnsi="Arial"/>
                <w:sz w:val="14"/>
                <w:szCs w:val="14"/>
                <w:b w:val="1"/>
                <w:bCs w:val="1"/>
                <w:color w:val="auto"/>
              </w:rPr>
              <w:t>Financial statements for the nine-month periods ended December 31, 2015 and 2014 (Unaudited)</w:t>
            </w:r>
          </w:p>
        </w:tc>
        <w:tc>
          <w:tcPr>
            <w:tcW w:w="1460" w:type="dxa"/>
            <w:vAlign w:val="bottom"/>
          </w:tcPr>
          <w:p>
            <w:pPr>
              <w:spacing w:after="0"/>
              <w:rPr>
                <w:sz w:val="14"/>
                <w:szCs w:val="14"/>
                <w:color w:val="auto"/>
              </w:rPr>
            </w:pP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Condensed Consolidated Balance Sheets at December 31, 2015 and March 31, 2015</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F-50</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Condensed Consolidated Statements of Operations and Comprehensive Loss for the nine months ended December 31 2015 and 2014</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F-51</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Condensed Consolidated Statements of Cash Flows for the nine months ended December 31, 2015 and 2014</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F-52</w:t>
            </w:r>
          </w:p>
        </w:tc>
      </w:tr>
      <w:tr>
        <w:trPr>
          <w:trHeight w:val="180"/>
        </w:trPr>
        <w:tc>
          <w:tcPr>
            <w:tcW w:w="10000" w:type="dxa"/>
            <w:vAlign w:val="bottom"/>
          </w:tcPr>
          <w:p>
            <w:pPr>
              <w:spacing w:after="0"/>
              <w:rPr>
                <w:sz w:val="20"/>
                <w:szCs w:val="20"/>
                <w:color w:val="auto"/>
              </w:rPr>
            </w:pPr>
            <w:r>
              <w:rPr>
                <w:rFonts w:ascii="Arial" w:cs="Arial" w:eastAsia="Arial" w:hAnsi="Arial"/>
                <w:sz w:val="14"/>
                <w:szCs w:val="14"/>
                <w:color w:val="auto"/>
              </w:rPr>
              <w:t>Notes to the Condensed Consolidated Financial Statements</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F-53</w:t>
            </w:r>
          </w:p>
        </w:tc>
      </w:tr>
      <w:tr>
        <w:trPr>
          <w:trHeight w:val="660"/>
        </w:trPr>
        <w:tc>
          <w:tcPr>
            <w:tcW w:w="10000" w:type="dxa"/>
            <w:vAlign w:val="bottom"/>
          </w:tcPr>
          <w:p>
            <w:pPr>
              <w:jc w:val="center"/>
              <w:ind w:left="1409"/>
              <w:spacing w:after="0"/>
              <w:rPr>
                <w:sz w:val="20"/>
                <w:szCs w:val="20"/>
                <w:color w:val="auto"/>
              </w:rPr>
            </w:pPr>
            <w:r>
              <w:rPr>
                <w:rFonts w:ascii="Arial" w:cs="Arial" w:eastAsia="Arial" w:hAnsi="Arial"/>
                <w:sz w:val="14"/>
                <w:szCs w:val="14"/>
                <w:color w:val="auto"/>
                <w:w w:val="95"/>
              </w:rPr>
              <w:t>F-1</w:t>
            </w:r>
          </w:p>
        </w:tc>
        <w:tc>
          <w:tcPr>
            <w:tcW w:w="1460" w:type="dxa"/>
            <w:vAlign w:val="bottom"/>
          </w:tcPr>
          <w:p>
            <w:pPr>
              <w:spacing w:after="0"/>
              <w:rPr>
                <w:sz w:val="24"/>
                <w:szCs w:val="24"/>
                <w:color w:val="auto"/>
              </w:rPr>
            </w:pPr>
          </w:p>
        </w:tc>
      </w:tr>
      <w:tr>
        <w:trPr>
          <w:trHeight w:val="92"/>
        </w:trPr>
        <w:tc>
          <w:tcPr>
            <w:tcW w:w="1000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3" w:name="page144"/>
    <w:bookmarkEnd w:id="14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VistaGen Therapeutics, Inc.</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have audited the accompanying consolidated balance sheets of VistaGen Therapeutics, Inc. as of March 31, 2015 and 2014 and the related consolidated statements of operations and comprehensive loss, cash flows, preferred stock, and stockholders’ deficit for the years then ended. These financial statements are the responsibility of the Company's management. Our responsibility is to express an opinion on these consolidated financial statements based on our audits.</w:t>
      </w:r>
    </w:p>
    <w:p>
      <w:pPr>
        <w:spacing w:after="0" w:line="142"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35"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consolidated financial position of VistaGen Therapeutics, Inc. at March 31, 2015 and 2014, and the consolidated results of its operations and its cash flows for the years then ended, in conformity with U.S. generally accepted accounting principles.</w:t>
      </w:r>
    </w:p>
    <w:p>
      <w:pPr>
        <w:spacing w:after="0" w:line="13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/s/ OUM &amp; Co. LLP</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June 29, 2015</w:t>
      </w: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44" w:name="page145"/>
    <w:bookmarkEnd w:id="14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rPr>
              <w:t>VISTAGEN THERAPEUTICS, INC.</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8"/>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rPr>
              <w:t>CONSOLIDATED BALANCE SHEETS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w w:val="89"/>
              </w:rPr>
              <w:t>(Amounts in dollars, except share amounts)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7"/>
        </w:trPr>
        <w:tc>
          <w:tcPr>
            <w:tcW w:w="8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r>
      <w:tr>
        <w:trPr>
          <w:trHeight w:val="160"/>
        </w:trPr>
        <w:tc>
          <w:tcPr>
            <w:tcW w:w="8720" w:type="dxa"/>
            <w:vAlign w:val="bottom"/>
          </w:tcPr>
          <w:p>
            <w:pPr>
              <w:ind w:left="5420"/>
              <w:spacing w:after="0" w:line="160"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872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35,700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40,500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117,100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176,300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Security deposits and other assets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46,900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520"/>
              <w:spacing w:after="0"/>
              <w:rPr>
                <w:sz w:val="20"/>
                <w:szCs w:val="20"/>
                <w:color w:val="auto"/>
              </w:rPr>
            </w:pPr>
            <w:r>
              <w:rPr>
                <w:rFonts w:ascii="Arial" w:cs="Arial" w:eastAsia="Arial" w:hAnsi="Arial"/>
                <w:sz w:val="14"/>
                <w:szCs w:val="14"/>
                <w:color w:val="auto"/>
              </w:rPr>
              <w:t>Total assets</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269,700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263,700</w:t>
            </w: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8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720" w:type="dxa"/>
            <w:vAlign w:val="bottom"/>
          </w:tcPr>
          <w:p>
            <w:pPr>
              <w:ind w:left="4120"/>
              <w:spacing w:after="0"/>
              <w:rPr>
                <w:sz w:val="20"/>
                <w:szCs w:val="20"/>
                <w:color w:val="auto"/>
              </w:rPr>
            </w:pPr>
            <w:r>
              <w:rPr>
                <w:rFonts w:ascii="Arial" w:cs="Arial" w:eastAsia="Arial" w:hAnsi="Arial"/>
                <w:sz w:val="14"/>
                <w:szCs w:val="14"/>
                <w:b w:val="1"/>
                <w:bCs w:val="1"/>
                <w:color w:val="auto"/>
              </w:rPr>
              <w:t>LIABILITIES AND STOCKHOLDERS’ 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2,251,100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2,443,900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1,206,500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625,600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Advance from officer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3,600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maturities of senior secured convertible promissory notes 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4,146,100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Current portion of notes payable, net of discount of $474,500 at March 31, 2014 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4,117,000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1,442,300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portion of notes payable to related parties, net of discount of $54,500 at March 31, 2015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1,508,800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290,400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Convertible promissory notes and accrued interest, net of discount of $180,000 at March 31, 2015 and</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80"/>
              <w:spacing w:after="0"/>
              <w:rPr>
                <w:sz w:val="20"/>
                <w:szCs w:val="20"/>
                <w:color w:val="auto"/>
              </w:rPr>
            </w:pPr>
            <w:r>
              <w:rPr>
                <w:rFonts w:ascii="Arial" w:cs="Arial" w:eastAsia="Arial" w:hAnsi="Arial"/>
                <w:sz w:val="14"/>
                <w:szCs w:val="14"/>
                <w:color w:val="auto"/>
              </w:rPr>
              <w:t>$697,400 at March 31, 2014, respectively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4,157,600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396,000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20" w:type="dxa"/>
            <w:vAlign w:val="bottom"/>
          </w:tcPr>
          <w:p>
            <w:pPr>
              <w:ind w:left="52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17,388,100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5,205,700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Non-current liabilities:</w:t>
            </w:r>
          </w:p>
        </w:tc>
        <w:tc>
          <w:tcPr>
            <w:tcW w:w="1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Senior secured convertible promissory notes, net of discount of $0 at March 31, 2015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$2,085,900 at March 31, 2014, respectively, 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296,200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1,929,800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Notes payable, net of discount of $0 at March 31, 2015 and $848,100 at March 31, 2014,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1,797,600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Notes payable to related parties, net of discount of $103,200 at March 31, 2014 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1,057,100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3,008,500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2,973,900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Deferred rent liability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83,000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97,400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380"/>
              <w:spacing w:after="0"/>
              <w:rPr>
                <w:sz w:val="20"/>
                <w:szCs w:val="20"/>
                <w:color w:val="auto"/>
              </w:rPr>
            </w:pPr>
            <w:r>
              <w:rPr>
                <w:rFonts w:ascii="Arial" w:cs="Arial" w:eastAsia="Arial" w:hAnsi="Arial"/>
                <w:sz w:val="14"/>
                <w:szCs w:val="14"/>
                <w:color w:val="auto"/>
              </w:rPr>
              <w:t>Total non-current 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3,424,400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7,857,900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8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20,812,500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13,063,600</w:t>
            </w:r>
          </w:p>
        </w:tc>
      </w:tr>
      <w:tr>
        <w:trPr>
          <w:trHeight w:val="170"/>
        </w:trPr>
        <w:tc>
          <w:tcPr>
            <w:tcW w:w="8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8720" w:type="dxa"/>
            <w:vAlign w:val="bottom"/>
          </w:tcPr>
          <w:p>
            <w:pPr>
              <w:spacing w:after="0" w:line="160" w:lineRule="exact"/>
              <w:rPr>
                <w:sz w:val="20"/>
                <w:szCs w:val="20"/>
                <w:color w:val="auto"/>
              </w:rPr>
            </w:pPr>
            <w:r>
              <w:rPr>
                <w:rFonts w:ascii="Arial" w:cs="Arial" w:eastAsia="Arial" w:hAnsi="Arial"/>
                <w:sz w:val="14"/>
                <w:szCs w:val="14"/>
                <w:color w:val="auto"/>
              </w:rPr>
              <w:t>Preferred stock, $0.001 par value; 10,000,000 shares, including 500,000 Series A shares, authorized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at March 31, 2015 and March 31, 2014, respectively; 500,000 Series A shares issued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8720" w:type="dxa"/>
            <w:vAlign w:val="bottom"/>
          </w:tcPr>
          <w:p>
            <w:pPr>
              <w:spacing w:after="0"/>
              <w:rPr>
                <w:sz w:val="20"/>
                <w:szCs w:val="20"/>
                <w:color w:val="auto"/>
              </w:rPr>
            </w:pPr>
            <w:r>
              <w:rPr>
                <w:rFonts w:ascii="Arial" w:cs="Arial" w:eastAsia="Arial" w:hAnsi="Arial"/>
                <w:sz w:val="14"/>
                <w:szCs w:val="14"/>
                <w:color w:val="auto"/>
              </w:rPr>
              <w:t>outstanding at March 31, 2015 and March 31, 2014, respectively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500</w:t>
            </w:r>
          </w:p>
        </w:tc>
      </w:tr>
      <w:tr>
        <w:trPr>
          <w:trHeight w:val="171"/>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 $0.001 par value; 10,000,000 shares authorized at March 31, 2015 and March 31, 2014,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respectively; 1,677,110 shares and 1,310,093 shares issued at March 31, 2015 and March 31,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2014, respectively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67,945,800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62,001,400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Treasury stock, at cost, 135,665 shares of common stock held at March 31, 2015 and March 31, 2014,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(3,968,100)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(3,968,100)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 receivable from sale of 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(198,100)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(84,522,700)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(70,636,900)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520"/>
              <w:spacing w:after="0"/>
              <w:rPr>
                <w:sz w:val="20"/>
                <w:szCs w:val="20"/>
                <w:color w:val="auto"/>
              </w:rPr>
            </w:pPr>
            <w:r>
              <w:rPr>
                <w:rFonts w:ascii="Arial" w:cs="Arial" w:eastAsia="Arial" w:hAnsi="Arial"/>
                <w:sz w:val="14"/>
                <w:szCs w:val="14"/>
                <w:color w:val="auto"/>
              </w:rPr>
              <w:t>Total stockholders’ 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(20,542,800)</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(12,799,900)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8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liabilities and stockholders’ deficit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269,700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263,700</w:t>
            </w:r>
          </w:p>
        </w:tc>
      </w:tr>
      <w:tr>
        <w:trPr>
          <w:trHeight w:val="20"/>
        </w:trPr>
        <w:tc>
          <w:tcPr>
            <w:tcW w:w="8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5" w:name="page146"/>
    <w:bookmarkEnd w:id="14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VISTAGEN THERAPEUTICS, INC.</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780" w:type="dxa"/>
            <w:vAlign w:val="bottom"/>
          </w:tcPr>
          <w:p>
            <w:pPr>
              <w:spacing w:after="0"/>
              <w:rPr>
                <w:sz w:val="24"/>
                <w:szCs w:val="24"/>
                <w:color w:val="auto"/>
              </w:rPr>
            </w:pPr>
          </w:p>
        </w:tc>
        <w:tc>
          <w:tcPr>
            <w:tcW w:w="6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CONSOLIDATED STATEMENTS OF OPERATIONS AND COMPREHENSIVE LOSS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(Amounts in dollars, except share amounts)</w:t>
            </w:r>
          </w:p>
        </w:tc>
        <w:tc>
          <w:tcPr>
            <w:tcW w:w="238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2780" w:type="dxa"/>
            <w:vAlign w:val="bottom"/>
          </w:tcPr>
          <w:p>
            <w:pPr>
              <w:spacing w:after="0"/>
              <w:rPr>
                <w:sz w:val="20"/>
                <w:szCs w:val="20"/>
                <w:color w:val="auto"/>
              </w:rPr>
            </w:pPr>
            <w:r>
              <w:rPr>
                <w:rFonts w:ascii="Arial" w:cs="Arial" w:eastAsia="Arial" w:hAnsi="Arial"/>
                <w:sz w:val="14"/>
                <w:szCs w:val="14"/>
                <w:color w:val="auto"/>
              </w:rPr>
              <w:t>Operating expenses:</w:t>
            </w: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Research and development</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2,432,700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2,480,600</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4,344,400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2,548,300</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operating expenses</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6,777,100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5,028,900</w:t>
            </w:r>
          </w:p>
        </w:tc>
        <w:tc>
          <w:tcPr>
            <w:tcW w:w="0" w:type="dxa"/>
            <w:vAlign w:val="bottom"/>
          </w:tcPr>
          <w:p>
            <w:pPr>
              <w:spacing w:after="0"/>
              <w:rPr>
                <w:sz w:val="1"/>
                <w:szCs w:val="1"/>
                <w:color w:val="auto"/>
              </w:rPr>
            </w:pPr>
          </w:p>
        </w:tc>
      </w:tr>
      <w:tr>
        <w:trPr>
          <w:trHeight w:val="21"/>
        </w:trPr>
        <w:tc>
          <w:tcPr>
            <w:tcW w:w="278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tcPr>
          <w:p>
            <w:pPr>
              <w:spacing w:after="0"/>
              <w:rPr>
                <w:sz w:val="20"/>
                <w:szCs w:val="20"/>
                <w:color w:val="auto"/>
              </w:rPr>
            </w:pPr>
            <w:r>
              <w:rPr>
                <w:rFonts w:ascii="Arial" w:cs="Arial" w:eastAsia="Arial" w:hAnsi="Arial"/>
                <w:sz w:val="14"/>
                <w:szCs w:val="14"/>
                <w:color w:val="auto"/>
              </w:rPr>
              <w:t>Loss from operations</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(6,777,100)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(5,028,900)</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(4,548,700)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(1,503,000)</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warrant liability</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(34,600)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3,566,900</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(2,388,000)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expense</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78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(13,883,400)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(2,965,000)</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70"/>
        </w:trPr>
        <w:tc>
          <w:tcPr>
            <w:tcW w:w="2780" w:type="dxa"/>
            <w:vAlign w:val="bottom"/>
            <w:tcBorders>
              <w:top w:val="single" w:sz="8" w:color="CCEEFF"/>
            </w:tcBorders>
          </w:tcPr>
          <w:p>
            <w:pPr>
              <w:spacing w:after="0"/>
              <w:rPr>
                <w:sz w:val="14"/>
                <w:szCs w:val="14"/>
                <w:color w:val="auto"/>
              </w:rPr>
            </w:pPr>
          </w:p>
        </w:tc>
        <w:tc>
          <w:tcPr>
            <w:tcW w:w="60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Net loss and comprehensive loss</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c>
          <w:tcPr>
            <w:tcW w:w="0" w:type="dxa"/>
            <w:vAlign w:val="bottom"/>
          </w:tcPr>
          <w:p>
            <w:pPr>
              <w:spacing w:after="0"/>
              <w:rPr>
                <w:sz w:val="1"/>
                <w:szCs w:val="1"/>
                <w:color w:val="auto"/>
              </w:rPr>
            </w:pPr>
          </w:p>
        </w:tc>
      </w:tr>
      <w:tr>
        <w:trPr>
          <w:trHeight w:val="153"/>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per common share</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(10.53)</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53"/>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per common share</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(10.61)</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54"/>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w w:val="99"/>
              </w:rPr>
              <w:t>Weighted average shares used in computing</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Basic net loss per common share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1,098,742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780" w:type="dxa"/>
            <w:vAlign w:val="bottom"/>
            <w:shd w:val="clear" w:color="auto" w:fill="CCEEFF"/>
          </w:tcPr>
          <w:p>
            <w:pPr>
              <w:spacing w:after="0"/>
              <w:rPr>
                <w:sz w:val="13"/>
                <w:szCs w:val="13"/>
                <w:color w:val="auto"/>
              </w:rPr>
            </w:pPr>
          </w:p>
        </w:tc>
        <w:tc>
          <w:tcPr>
            <w:tcW w:w="6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Diluted net loss per common share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1,099,216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780" w:type="dxa"/>
            <w:vAlign w:val="bottom"/>
          </w:tcPr>
          <w:p>
            <w:pPr>
              <w:spacing w:after="0"/>
              <w:rPr>
                <w:sz w:val="24"/>
                <w:szCs w:val="24"/>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780" w:type="dxa"/>
            <w:vAlign w:val="bottom"/>
          </w:tcPr>
          <w:p>
            <w:pPr>
              <w:spacing w:after="0"/>
              <w:rPr>
                <w:sz w:val="24"/>
                <w:szCs w:val="24"/>
                <w:color w:val="auto"/>
              </w:rPr>
            </w:pPr>
          </w:p>
        </w:tc>
        <w:tc>
          <w:tcPr>
            <w:tcW w:w="6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780" w:type="dxa"/>
            <w:vAlign w:val="bottom"/>
            <w:tcBorders>
              <w:bottom w:val="single" w:sz="8" w:color="808080"/>
            </w:tcBorders>
          </w:tcPr>
          <w:p>
            <w:pPr>
              <w:spacing w:after="0"/>
              <w:rPr>
                <w:sz w:val="7"/>
                <w:szCs w:val="7"/>
                <w:color w:val="auto"/>
              </w:rPr>
            </w:pPr>
          </w:p>
        </w:tc>
        <w:tc>
          <w:tcPr>
            <w:tcW w:w="60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6" w:name="page147"/>
    <w:bookmarkEnd w:id="14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rPr>
              <w:t>VISTAGEN THERAPEUTICS, INC.</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rPr>
              <w:t>CONSOLIDATED STATEMENTS OF CASH FLOWS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w w:val="92"/>
              </w:rPr>
              <w:t>(Amounts in dollars)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c>
          <w:tcPr>
            <w:tcW w:w="0" w:type="dxa"/>
            <w:vAlign w:val="bottom"/>
          </w:tcPr>
          <w:p>
            <w:pPr>
              <w:spacing w:after="0"/>
              <w:rPr>
                <w:sz w:val="1"/>
                <w:szCs w:val="1"/>
                <w:color w:val="auto"/>
              </w:rPr>
            </w:pPr>
          </w:p>
        </w:tc>
      </w:tr>
      <w:tr>
        <w:trPr>
          <w:trHeight w:val="172"/>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59,100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54,600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Amortization of discounts on convertible and promissory notes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3,372,000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640,000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warrant liability</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(3,566,900)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2,460,100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1,137,300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Expense related to modification of warrants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98,400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204,300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Non-cash rent and relocation expense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(14,400)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56,800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income on note receivable for stock purchase</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Loss on settlement of note receivable for stock purchase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134,900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Fair value of common stock granted for services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469,000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Fair value of warrants granted for services and interest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44,500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60,700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currency fluctuation</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(48,600)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Loss on extinguishment of debt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2,388,000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107,400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92,700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Security deposits and other assets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(17,900)</w:t>
            </w:r>
          </w:p>
        </w:tc>
        <w:tc>
          <w:tcPr>
            <w:tcW w:w="0" w:type="dxa"/>
            <w:vAlign w:val="bottom"/>
          </w:tcPr>
          <w:p>
            <w:pPr>
              <w:spacing w:after="0"/>
              <w:rPr>
                <w:sz w:val="1"/>
                <w:szCs w:val="1"/>
                <w:color w:val="auto"/>
              </w:rPr>
            </w:pPr>
          </w:p>
        </w:tc>
      </w:tr>
      <w:tr>
        <w:trPr>
          <w:trHeight w:val="170"/>
        </w:trPr>
        <w:tc>
          <w:tcPr>
            <w:tcW w:w="8120" w:type="dxa"/>
            <w:vAlign w:val="bottom"/>
          </w:tcPr>
          <w:p>
            <w:pPr>
              <w:ind w:left="520"/>
              <w:spacing w:after="0"/>
              <w:rPr>
                <w:sz w:val="20"/>
                <w:szCs w:val="20"/>
                <w:color w:val="auto"/>
              </w:rPr>
            </w:pPr>
            <w:r>
              <w:rPr>
                <w:rFonts w:ascii="Arial" w:cs="Arial" w:eastAsia="Arial" w:hAnsi="Arial"/>
                <w:sz w:val="14"/>
                <w:szCs w:val="14"/>
                <w:color w:val="auto"/>
              </w:rPr>
              <w:t>Accounts payable and accrued expenses, including accrued interest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2,024,100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2,229,900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operating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(2,768,900)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(2,126,000)</w:t>
            </w:r>
          </w:p>
        </w:tc>
        <w:tc>
          <w:tcPr>
            <w:tcW w:w="0" w:type="dxa"/>
            <w:vAlign w:val="bottom"/>
          </w:tcPr>
          <w:p>
            <w:pPr>
              <w:spacing w:after="0"/>
              <w:rPr>
                <w:sz w:val="1"/>
                <w:szCs w:val="1"/>
                <w:color w:val="auto"/>
              </w:rPr>
            </w:pPr>
          </w:p>
        </w:tc>
      </w:tr>
      <w:tr>
        <w:trPr>
          <w:trHeight w:val="170"/>
        </w:trPr>
        <w:tc>
          <w:tcPr>
            <w:tcW w:w="81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Purchases of equipment, net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170"/>
        </w:trPr>
        <w:tc>
          <w:tcPr>
            <w:tcW w:w="81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Net proceeds from issuance of common stock and warrants, including Units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3,146,600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1,075,500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exercise of modified warrants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264,200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Proceeds from sale of note and warrant to Platinum</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Advance from officer</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64,000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Repayment of capital lease obligations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(3,900)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Repayment of notes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(303,800)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(148,600)</w:t>
            </w:r>
          </w:p>
        </w:tc>
        <w:tc>
          <w:tcPr>
            <w:tcW w:w="0" w:type="dxa"/>
            <w:vAlign w:val="bottom"/>
          </w:tcPr>
          <w:p>
            <w:pPr>
              <w:spacing w:after="0"/>
              <w:rPr>
                <w:sz w:val="1"/>
                <w:szCs w:val="1"/>
                <w:color w:val="auto"/>
              </w:rPr>
            </w:pPr>
          </w:p>
        </w:tc>
      </w:tr>
      <w:tr>
        <w:trPr>
          <w:trHeight w:val="21"/>
        </w:trPr>
        <w:tc>
          <w:tcPr>
            <w:tcW w:w="8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Net cash provided by financing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2,838,900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1,497,500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(638,100)</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638,100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period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812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Supplemental disclosure of cash flow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paid for interest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35,700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Cash paid for income taxes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Supplemental disclosure of noncash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Insurance premiums settled by issuing note payable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105,300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98,300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 settled by issuance of stock or notes payable and stock</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438,400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Recognition of warrant liability upon issuance to Platinum of July 2013</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Secured Convertible Note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146,800</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7" w:name="page148"/>
    <w:bookmarkEnd w:id="147"/>
    <w:p>
      <w:pPr>
        <w:spacing w:after="0" w:line="62" w:lineRule="exact"/>
        <w:rPr>
          <w:sz w:val="20"/>
          <w:szCs w:val="20"/>
          <w:color w:val="auto"/>
        </w:rPr>
      </w:pPr>
    </w:p>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DEFICIT</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Fiscal Years Ended march 31, 2015 and 2014</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(Amounts in dollars, except share amounts)</w:t>
      </w:r>
    </w:p>
    <w:p>
      <w:pPr>
        <w:sectPr>
          <w:pgSz w:w="11900" w:h="16900" w:orient="portrait"/>
          <w:cols w:equalWidth="0" w:num="1">
            <w:col w:w="11460"/>
          </w:cols>
          <w:pgMar w:left="220" w:top="133" w:right="219" w:bottom="0" w:gutter="0" w:footer="0" w:header="0"/>
        </w:sect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Series A Preferred Stock</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Borders>
              <w:bottom w:val="single" w:sz="8" w:color="auto"/>
            </w:tcBorders>
          </w:tcPr>
          <w:p>
            <w:pPr>
              <w:spacing w:after="0"/>
              <w:rPr>
                <w:sz w:val="16"/>
                <w:szCs w:val="16"/>
                <w:color w:val="auto"/>
              </w:rPr>
            </w:pPr>
          </w:p>
        </w:tc>
      </w:tr>
      <w:tr>
        <w:trPr>
          <w:trHeight w:val="172"/>
        </w:trPr>
        <w:tc>
          <w:tcPr>
            <w:tcW w:w="1280" w:type="dxa"/>
            <w:vAlign w:val="bottom"/>
          </w:tcPr>
          <w:p>
            <w:pPr>
              <w:spacing w:after="0"/>
              <w:rPr>
                <w:sz w:val="14"/>
                <w:szCs w:val="14"/>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4"/>
                <w:szCs w:val="1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14"/>
                <w:szCs w:val="14"/>
                <w:b w:val="1"/>
                <w:bCs w:val="1"/>
                <w:color w:val="auto"/>
              </w:rPr>
              <w:t>Balances at March</w:t>
            </w: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184"/>
        </w:trPr>
        <w:tc>
          <w:tcPr>
            <w:tcW w:w="1280" w:type="dxa"/>
            <w:vAlign w:val="bottom"/>
          </w:tcPr>
          <w:p>
            <w:pPr>
              <w:spacing w:after="0"/>
              <w:rPr>
                <w:sz w:val="20"/>
                <w:szCs w:val="20"/>
                <w:color w:val="auto"/>
              </w:rPr>
            </w:pPr>
            <w:r>
              <w:rPr>
                <w:rFonts w:ascii="Arial" w:cs="Arial" w:eastAsia="Arial" w:hAnsi="Arial"/>
                <w:sz w:val="14"/>
                <w:szCs w:val="14"/>
                <w:b w:val="1"/>
                <w:bCs w:val="1"/>
                <w:color w:val="auto"/>
              </w:rPr>
              <w:t>31, 2013</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500,000</w:t>
            </w:r>
          </w:p>
        </w:tc>
        <w:tc>
          <w:tcPr>
            <w:tcW w:w="940" w:type="dxa"/>
            <w:vAlign w:val="bottom"/>
            <w:gridSpan w:val="2"/>
          </w:tcPr>
          <w:p>
            <w:pPr>
              <w:jc w:val="right"/>
              <w:ind w:right="569"/>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500</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1,174,092</w:t>
            </w:r>
          </w:p>
        </w:tc>
        <w:tc>
          <w:tcPr>
            <w:tcW w:w="24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1,200</w:t>
            </w:r>
          </w:p>
        </w:tc>
      </w:tr>
      <w:tr>
        <w:trPr>
          <w:trHeight w:val="331"/>
        </w:trPr>
        <w:tc>
          <w:tcPr>
            <w:tcW w:w="1280" w:type="dxa"/>
            <w:vAlign w:val="bottom"/>
          </w:tcPr>
          <w:p>
            <w:pPr>
              <w:spacing w:after="0"/>
              <w:rPr>
                <w:sz w:val="20"/>
                <w:szCs w:val="20"/>
                <w:color w:val="auto"/>
              </w:rPr>
            </w:pPr>
            <w:r>
              <w:rPr>
                <w:rFonts w:ascii="Arial" w:cs="Arial" w:eastAsia="Arial" w:hAnsi="Arial"/>
                <w:sz w:val="14"/>
                <w:szCs w:val="14"/>
                <w:color w:val="auto"/>
              </w:rPr>
              <w:t>Share-based</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expense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Proceeds from sale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of common stock</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including</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exercises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warrants under</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Discount Warrant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Exercise Program</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32,751</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on note issued to</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Platinum in July</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2013</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Payment on note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receivable from</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sale of stock</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Allocated proceeds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from sale of Units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under 2013</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Unit Private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Placement,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 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100,750</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Allocated proceeds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from sale of Units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under 2014</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Unit Private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Placement,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 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2,500</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Incremental fair</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value of warrant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modifications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Fair value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warrants issued to</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Morrison &amp;</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Foerster, Cato</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Research Ltd. and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University Health</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Network in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connection with</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accrued interest on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underlying notes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Net loss for fiscal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year 2014</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1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-5422265</wp:posOffset>
            </wp:positionV>
            <wp:extent cx="7275830" cy="2165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5830" cy="2165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-5097780</wp:posOffset>
            </wp:positionV>
            <wp:extent cx="7275830" cy="3244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5830" cy="324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-4015740</wp:posOffset>
            </wp:positionV>
            <wp:extent cx="7275830" cy="541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5830" cy="541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-3150235</wp:posOffset>
            </wp:positionV>
            <wp:extent cx="7275830" cy="7575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5830" cy="7575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-1635760</wp:posOffset>
            </wp:positionV>
            <wp:extent cx="7275830" cy="324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5830" cy="324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275830" cy="2298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5830" cy="229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84"/>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from Sale of</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Stockholders’</w:t>
            </w:r>
          </w:p>
        </w:tc>
      </w:tr>
      <w:tr>
        <w:trPr>
          <w:trHeight w:val="19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Deficit</w:t>
            </w:r>
          </w:p>
        </w:tc>
      </w:tr>
    </w:tbl>
    <w:p>
      <w:pPr>
        <w:spacing w:after="0" w:line="326" w:lineRule="exact"/>
        <w:rPr>
          <w:sz w:val="20"/>
          <w:szCs w:val="20"/>
          <w:color w:val="auto"/>
        </w:rPr>
      </w:pPr>
    </w:p>
    <w:p>
      <w:pPr>
        <w:ind w:left="285" w:hanging="285"/>
        <w:spacing w:after="0"/>
        <w:tabs>
          <w:tab w:leader="none" w:pos="285"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auto"/>
        </w:rPr>
        <w:t>59,288,300   $   (3,968,100)  $(209,100)  $  (67,669,200)  $  (12,556,400)</w:t>
      </w:r>
    </w:p>
    <w:p>
      <w:pPr>
        <w:spacing w:after="0" w:line="200" w:lineRule="exact"/>
        <w:rPr>
          <w:sz w:val="20"/>
          <w:szCs w:val="20"/>
          <w:color w:val="auto"/>
        </w:rPr>
      </w:pPr>
    </w:p>
    <w:p>
      <w:pPr>
        <w:spacing w:after="0" w:line="325" w:lineRule="exact"/>
        <w:rPr>
          <w:sz w:val="20"/>
          <w:szCs w:val="20"/>
          <w:color w:val="auto"/>
        </w:rPr>
      </w:pPr>
    </w:p>
    <w:p>
      <w:pPr>
        <w:ind w:left="365"/>
        <w:spacing w:after="0"/>
        <w:tabs>
          <w:tab w:leader="none" w:pos="2025" w:val="left"/>
          <w:tab w:leader="none" w:pos="3145" w:val="left"/>
          <w:tab w:leader="none" w:pos="4265" w:val="left"/>
          <w:tab w:leader="none" w:pos="4845" w:val="left"/>
        </w:tabs>
        <w:rPr>
          <w:sz w:val="20"/>
          <w:szCs w:val="20"/>
          <w:color w:val="auto"/>
        </w:rPr>
      </w:pPr>
      <w:r>
        <w:rPr>
          <w:rFonts w:ascii="Arial" w:cs="Arial" w:eastAsia="Arial" w:hAnsi="Arial"/>
          <w:sz w:val="14"/>
          <w:szCs w:val="14"/>
          <w:color w:val="auto"/>
        </w:rPr>
        <w:t>1,137,300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1,137,300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 w:type="dxa"/>
        <w:tblCellMar>
          <w:top w:w="0" w:type="dxa"/>
          <w:left w:w="0" w:type="dxa"/>
          <w:bottom w:w="0" w:type="dxa"/>
          <w:right w:w="0" w:type="dxa"/>
        </w:tblCellMar>
      </w:tblPr>
      <w:tr>
        <w:trPr>
          <w:trHeight w:val="180"/>
        </w:trPr>
        <w:tc>
          <w:tcPr>
            <w:tcW w:w="920" w:type="dxa"/>
            <w:vAlign w:val="bottom"/>
          </w:tcPr>
          <w:p>
            <w:pPr>
              <w:jc w:val="right"/>
              <w:spacing w:after="0"/>
              <w:rPr>
                <w:sz w:val="20"/>
                <w:szCs w:val="20"/>
                <w:color w:val="auto"/>
              </w:rPr>
            </w:pPr>
            <w:r>
              <w:rPr>
                <w:rFonts w:ascii="Arial" w:cs="Arial" w:eastAsia="Arial" w:hAnsi="Arial"/>
                <w:sz w:val="14"/>
                <w:szCs w:val="14"/>
                <w:color w:val="auto"/>
              </w:rPr>
              <w:t>335,900</w:t>
            </w: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335,900</w:t>
            </w:r>
          </w:p>
        </w:tc>
      </w:tr>
      <w:tr>
        <w:trPr>
          <w:trHeight w:val="852"/>
        </w:trPr>
        <w:tc>
          <w:tcPr>
            <w:tcW w:w="920" w:type="dxa"/>
            <w:vAlign w:val="bottom"/>
          </w:tcPr>
          <w:p>
            <w:pPr>
              <w:jc w:val="right"/>
              <w:spacing w:after="0"/>
              <w:rPr>
                <w:sz w:val="20"/>
                <w:szCs w:val="20"/>
                <w:color w:val="auto"/>
              </w:rPr>
            </w:pPr>
            <w:r>
              <w:rPr>
                <w:rFonts w:ascii="Arial" w:cs="Arial" w:eastAsia="Arial" w:hAnsi="Arial"/>
                <w:sz w:val="14"/>
                <w:szCs w:val="14"/>
                <w:color w:val="auto"/>
              </w:rPr>
              <w:t>100,700</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100,700</w:t>
            </w:r>
          </w:p>
        </w:tc>
      </w:tr>
      <w:tr>
        <w:trPr>
          <w:trHeight w:val="511"/>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11,000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11,000</w:t>
            </w:r>
          </w:p>
        </w:tc>
      </w:tr>
      <w:tr>
        <w:trPr>
          <w:trHeight w:val="1193"/>
        </w:trPr>
        <w:tc>
          <w:tcPr>
            <w:tcW w:w="920" w:type="dxa"/>
            <w:vAlign w:val="bottom"/>
          </w:tcPr>
          <w:p>
            <w:pPr>
              <w:jc w:val="right"/>
              <w:spacing w:after="0"/>
              <w:rPr>
                <w:sz w:val="20"/>
                <w:szCs w:val="20"/>
                <w:color w:val="auto"/>
              </w:rPr>
            </w:pPr>
            <w:r>
              <w:rPr>
                <w:rFonts w:ascii="Arial" w:cs="Arial" w:eastAsia="Arial" w:hAnsi="Arial"/>
                <w:sz w:val="14"/>
                <w:szCs w:val="14"/>
                <w:color w:val="auto"/>
              </w:rPr>
              <w:t>838,100</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838,200</w:t>
            </w:r>
          </w:p>
        </w:tc>
      </w:tr>
      <w:tr>
        <w:trPr>
          <w:trHeight w:val="1193"/>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36,000</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36,000</w:t>
            </w:r>
          </w:p>
        </w:tc>
      </w:tr>
      <w:tr>
        <w:trPr>
          <w:trHeight w:val="511"/>
        </w:trPr>
        <w:tc>
          <w:tcPr>
            <w:tcW w:w="920" w:type="dxa"/>
            <w:vAlign w:val="bottom"/>
          </w:tcPr>
          <w:p>
            <w:pPr>
              <w:jc w:val="right"/>
              <w:spacing w:after="0"/>
              <w:rPr>
                <w:sz w:val="20"/>
                <w:szCs w:val="20"/>
                <w:color w:val="auto"/>
              </w:rPr>
            </w:pPr>
            <w:r>
              <w:rPr>
                <w:rFonts w:ascii="Arial" w:cs="Arial" w:eastAsia="Arial" w:hAnsi="Arial"/>
                <w:sz w:val="14"/>
                <w:szCs w:val="14"/>
                <w:color w:val="auto"/>
              </w:rPr>
              <w:t>204,300</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204,300</w:t>
            </w:r>
          </w:p>
        </w:tc>
      </w:tr>
      <w:tr>
        <w:trPr>
          <w:trHeight w:val="1704"/>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60,800</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60,800</w:t>
            </w:r>
          </w:p>
        </w:tc>
      </w:tr>
      <w:tr>
        <w:trPr>
          <w:trHeight w:val="341"/>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(2,967,700)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(2,967,700)</w:t>
            </w:r>
          </w:p>
        </w:tc>
      </w:tr>
      <w:tr>
        <w:trPr>
          <w:trHeight w:val="22"/>
        </w:trPr>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900" w:orient="portrait"/>
          <w:cols w:equalWidth="0" w:num="2">
            <w:col w:w="5680" w:space="235"/>
            <w:col w:w="5545"/>
          </w:cols>
          <w:pgMar w:left="220" w:top="133" w:right="21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at March</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5"/>
        </w:trPr>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31, 2014</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500,000</w:t>
            </w:r>
          </w:p>
        </w:tc>
        <w:tc>
          <w:tcPr>
            <w:tcW w:w="5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500</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1,310,093</w:t>
            </w:r>
          </w:p>
        </w:tc>
        <w:tc>
          <w:tcPr>
            <w:tcW w:w="46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1,300</w:t>
            </w:r>
          </w:p>
        </w:tc>
        <w:tc>
          <w:tcPr>
            <w:tcW w:w="3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62,001,400</w:t>
            </w:r>
          </w:p>
        </w:tc>
        <w:tc>
          <w:tcPr>
            <w:tcW w:w="3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(3,968,100)</w:t>
            </w:r>
          </w:p>
        </w:tc>
        <w:tc>
          <w:tcPr>
            <w:tcW w:w="30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(198,100)</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  (70,636,900)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(12,799,900)</w:t>
            </w:r>
          </w:p>
        </w:tc>
      </w:tr>
      <w:tr>
        <w:trPr>
          <w:trHeight w:val="170"/>
        </w:trPr>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Allocated proceeds</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from sale of Units</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for cash under 2014</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Unit Private</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Placement,</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including beneficial</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conversion feature</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280,350</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300</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2,746,800</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2,747,100</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4"/>
                <w:szCs w:val="14"/>
                <w:color w:val="auto"/>
              </w:rPr>
              <w:t>Share-based</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compensation</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4"/>
                <w:szCs w:val="14"/>
                <w:color w:val="auto"/>
              </w:rPr>
              <w:t>expense</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2,460,100</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2,460,100</w:t>
            </w: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Payment on and</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settlement of note</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receivable from</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sale of stock</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198,100</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198,100</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4"/>
                <w:szCs w:val="14"/>
                <w:color w:val="auto"/>
              </w:rPr>
              <w:t>Incremental fair</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value of modified</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4"/>
                <w:szCs w:val="14"/>
                <w:color w:val="auto"/>
              </w:rPr>
              <w:t>warrants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98,400</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98,400</w:t>
            </w: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Fair Value of</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71,667</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635,600</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635,700</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4"/>
                <w:szCs w:val="14"/>
                <w:color w:val="auto"/>
              </w:rPr>
              <w:t>Fair value of</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common stock and</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warrants issued in</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settlement of</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technology license</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4"/>
                <w:szCs w:val="14"/>
                <w:color w:val="auto"/>
              </w:rPr>
              <w:t>expenses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15,000</w:t>
            </w:r>
          </w:p>
        </w:tc>
        <w:tc>
          <w:tcPr>
            <w:tcW w:w="46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230,200</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230,200</w:t>
            </w: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Fair value of</w:t>
            </w:r>
          </w:p>
        </w:tc>
        <w:tc>
          <w:tcPr>
            <w:tcW w:w="88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29"/>
              <w:spacing w:after="0" w:line="160"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44,400</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9"/>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9"/>
              <w:spacing w:after="0" w:line="160"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line="160" w:lineRule="exact"/>
              <w:rPr>
                <w:sz w:val="20"/>
                <w:szCs w:val="20"/>
                <w:color w:val="auto"/>
              </w:rPr>
            </w:pPr>
            <w:r>
              <w:rPr>
                <w:rFonts w:ascii="Arial" w:cs="Arial" w:eastAsia="Arial" w:hAnsi="Arial"/>
                <w:sz w:val="14"/>
                <w:szCs w:val="14"/>
                <w:color w:val="auto"/>
              </w:rPr>
              <w:t>44,400</w:t>
            </w: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warrants issued to</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Morrison &amp;</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Foerster, Cato</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09"/>
        </w:trPr>
        <w:tc>
          <w:tcPr>
            <w:tcW w:w="14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bl>
    <w:p>
      <w:pPr>
        <w:sectPr>
          <w:pgSz w:w="11900" w:h="16900" w:orient="portrait"/>
          <w:cols w:equalWidth="0" w:num="1">
            <w:col w:w="11460"/>
          </w:cols>
          <w:pgMar w:left="220" w:top="133" w:right="219" w:bottom="0" w:gutter="0" w:footer="0" w:header="0"/>
          <w:type w:val="continuous"/>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Research Ltd. and</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University Health</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Network in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connection with</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accrued interest on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underlying notes</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Effect of</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amendments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2013 Unit Notes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and warrants,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repurchase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109,300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rPr>
              <w:t>109,300</w:t>
            </w: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Effect of</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amendments of</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Platinum Senior</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w w:val="99"/>
              </w:rPr>
              <w:t>Secured Promissory</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Notes, including</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repurchase of</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beneficial</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conversion feature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(380,400)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(380,400)</w:t>
            </w: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Net loss for fiscal</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1280" w:type="dxa"/>
            <w:vAlign w:val="bottom"/>
          </w:tcPr>
          <w:p>
            <w:pPr>
              <w:spacing w:after="0"/>
              <w:rPr>
                <w:sz w:val="20"/>
                <w:szCs w:val="20"/>
                <w:color w:val="auto"/>
              </w:rPr>
            </w:pPr>
            <w:r>
              <w:rPr>
                <w:rFonts w:ascii="Arial" w:cs="Arial" w:eastAsia="Arial" w:hAnsi="Arial"/>
                <w:sz w:val="14"/>
                <w:szCs w:val="14"/>
                <w:color w:val="auto"/>
              </w:rPr>
              <w:t>year 2015</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(13,885,800)</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auto"/>
              </w:rPr>
              <w:t>(13,885,800)</w:t>
            </w:r>
          </w:p>
        </w:tc>
      </w:tr>
      <w:tr>
        <w:trPr>
          <w:trHeight w:val="170"/>
        </w:trPr>
        <w:tc>
          <w:tcPr>
            <w:tcW w:w="128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4"/>
                <w:szCs w:val="14"/>
                <w:b w:val="1"/>
                <w:bCs w:val="1"/>
                <w:color w:val="auto"/>
              </w:rPr>
              <w:t>Balances at March</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280" w:type="dxa"/>
            <w:vAlign w:val="bottom"/>
          </w:tcPr>
          <w:p>
            <w:pPr>
              <w:spacing w:after="0"/>
              <w:rPr>
                <w:sz w:val="20"/>
                <w:szCs w:val="20"/>
                <w:color w:val="auto"/>
              </w:rPr>
            </w:pPr>
            <w:r>
              <w:rPr>
                <w:rFonts w:ascii="Arial" w:cs="Arial" w:eastAsia="Arial" w:hAnsi="Arial"/>
                <w:sz w:val="14"/>
                <w:szCs w:val="14"/>
                <w:b w:val="1"/>
                <w:bCs w:val="1"/>
                <w:color w:val="auto"/>
              </w:rPr>
              <w:t>31, 2015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500,000</w:t>
            </w: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500</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1,677,110</w:t>
            </w:r>
          </w:p>
        </w:tc>
        <w:tc>
          <w:tcPr>
            <w:tcW w:w="340" w:type="dxa"/>
            <w:vAlign w:val="bottom"/>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67,945,800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(3,968,100)  $</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  (84,522,700)</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  (20,542,800)</w:t>
            </w:r>
          </w:p>
        </w:tc>
      </w:tr>
      <w:tr>
        <w:trPr>
          <w:trHeight w:val="20"/>
        </w:trPr>
        <w:tc>
          <w:tcPr>
            <w:tcW w:w="1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49" w:name="page150"/>
    <w:bookmarkEnd w:id="14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VistaGen Therapeutics, Inc., a Nevada corporation, is a clinical-stage biopharmaceutical company committed to developing and commercializing product candidates for patients with depression, other diseases and disorders related to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xml:space="preserve">), and cancer. Our principal executive offices are located at 343 Allerton Avenue, South San Francisco, California 94080, and our telephone number is (650) 577-3600. Our website address is </w:t>
      </w:r>
      <w:r>
        <w:rPr>
          <w:rFonts w:ascii="Arial" w:cs="Arial" w:eastAsia="Arial" w:hAnsi="Arial"/>
          <w:sz w:val="14"/>
          <w:szCs w:val="14"/>
          <w:i w:val="1"/>
          <w:iCs w:val="1"/>
          <w:color w:val="auto"/>
        </w:rPr>
        <w:t>www.vistagen.com</w:t>
      </w:r>
      <w:r>
        <w:rPr>
          <w:rFonts w:ascii="Arial" w:cs="Arial" w:eastAsia="Arial" w:hAnsi="Arial"/>
          <w:sz w:val="14"/>
          <w:szCs w:val="14"/>
          <w:color w:val="auto"/>
        </w:rPr>
        <w:t>. Unless the context otherwise requires, the words “</w:t>
      </w:r>
      <w:r>
        <w:rPr>
          <w:rFonts w:ascii="Arial" w:cs="Arial" w:eastAsia="Arial" w:hAnsi="Arial"/>
          <w:sz w:val="14"/>
          <w:szCs w:val="14"/>
          <w:i w:val="1"/>
          <w:iCs w:val="1"/>
          <w:color w:val="auto"/>
        </w:rPr>
        <w:t>VistaGen Therapeutics, Inc.</w:t>
      </w:r>
      <w:r>
        <w:rPr>
          <w:rFonts w:ascii="Arial" w:cs="Arial" w:eastAsia="Arial" w:hAnsi="Arial"/>
          <w:sz w:val="14"/>
          <w:szCs w:val="14"/>
          <w:color w:val="auto"/>
        </w:rPr>
        <w:t>” “</w:t>
      </w:r>
      <w:r>
        <w:rPr>
          <w:rFonts w:ascii="Arial" w:cs="Arial" w:eastAsia="Arial" w:hAnsi="Arial"/>
          <w:sz w:val="14"/>
          <w:szCs w:val="14"/>
          <w:i w:val="1"/>
          <w:iCs w:val="1"/>
          <w:color w:val="auto"/>
        </w:rPr>
        <w:t>VistaGen</w:t>
      </w:r>
      <w:r>
        <w:rPr>
          <w:rFonts w:ascii="Arial" w:cs="Arial" w:eastAsia="Arial" w:hAnsi="Arial"/>
          <w:sz w:val="14"/>
          <w:szCs w:val="14"/>
          <w:color w:val="auto"/>
        </w:rPr>
        <w:t>,” “</w:t>
      </w:r>
      <w:r>
        <w:rPr>
          <w:rFonts w:ascii="Arial" w:cs="Arial" w:eastAsia="Arial" w:hAnsi="Arial"/>
          <w:sz w:val="14"/>
          <w:szCs w:val="14"/>
          <w:i w:val="1"/>
          <w:iCs w:val="1"/>
          <w:color w:val="auto"/>
        </w:rPr>
        <w:t>we</w:t>
      </w:r>
      <w:r>
        <w:rPr>
          <w:rFonts w:ascii="Arial" w:cs="Arial" w:eastAsia="Arial" w:hAnsi="Arial"/>
          <w:sz w:val="14"/>
          <w:szCs w:val="14"/>
          <w:color w:val="auto"/>
        </w:rPr>
        <w:t>,” “</w:t>
      </w:r>
      <w:r>
        <w:rPr>
          <w:rFonts w:ascii="Arial" w:cs="Arial" w:eastAsia="Arial" w:hAnsi="Arial"/>
          <w:sz w:val="14"/>
          <w:szCs w:val="14"/>
          <w:i w:val="1"/>
          <w:iCs w:val="1"/>
          <w:color w:val="auto"/>
        </w:rPr>
        <w:t>the Company</w:t>
      </w:r>
      <w:r>
        <w:rPr>
          <w:rFonts w:ascii="Arial" w:cs="Arial" w:eastAsia="Arial" w:hAnsi="Arial"/>
          <w:sz w:val="14"/>
          <w:szCs w:val="14"/>
          <w:color w:val="auto"/>
        </w:rPr>
        <w:t>,” “</w:t>
      </w:r>
      <w:r>
        <w:rPr>
          <w:rFonts w:ascii="Arial" w:cs="Arial" w:eastAsia="Arial" w:hAnsi="Arial"/>
          <w:sz w:val="14"/>
          <w:szCs w:val="14"/>
          <w:i w:val="1"/>
          <w:iCs w:val="1"/>
          <w:color w:val="auto"/>
        </w:rPr>
        <w:t>us</w:t>
      </w:r>
      <w:r>
        <w:rPr>
          <w:rFonts w:ascii="Arial" w:cs="Arial" w:eastAsia="Arial" w:hAnsi="Arial"/>
          <w:sz w:val="14"/>
          <w:szCs w:val="14"/>
          <w:color w:val="auto"/>
        </w:rPr>
        <w:t>” and “</w:t>
      </w:r>
      <w:r>
        <w:rPr>
          <w:rFonts w:ascii="Arial" w:cs="Arial" w:eastAsia="Arial" w:hAnsi="Arial"/>
          <w:sz w:val="14"/>
          <w:szCs w:val="14"/>
          <w:i w:val="1"/>
          <w:iCs w:val="1"/>
          <w:color w:val="auto"/>
        </w:rPr>
        <w:t>our</w:t>
      </w:r>
      <w:r>
        <w:rPr>
          <w:rFonts w:ascii="Arial" w:cs="Arial" w:eastAsia="Arial" w:hAnsi="Arial"/>
          <w:sz w:val="14"/>
          <w:szCs w:val="14"/>
          <w:color w:val="auto"/>
        </w:rPr>
        <w:t>” refer to VistaGen Therapeutics, Inc., a Nevada corporation.</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VistaGen Therapeutics, Inc., a California corporation incorporated on May 26, 1998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4"/>
          <w:szCs w:val="14"/>
          <w:i w:val="1"/>
          <w:iCs w:val="1"/>
          <w:color w:val="auto"/>
        </w:rPr>
        <w:t>Merger</w:t>
      </w:r>
      <w:r>
        <w:rPr>
          <w:rFonts w:ascii="Arial" w:cs="Arial" w:eastAsia="Arial" w:hAnsi="Arial"/>
          <w:sz w:val="14"/>
          <w:szCs w:val="14"/>
          <w:color w:val="auto"/>
        </w:rPr>
        <w:t>), and assumed all of VistaGen California’s pre-Merger obligations. The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Our lead product candidate, AV-101, is an orally-active small molecule prodrug in Phase 2 development for Major Depressive Disorder (</w:t>
      </w:r>
      <w:r>
        <w:rPr>
          <w:rFonts w:ascii="Arial" w:cs="Arial" w:eastAsia="Arial" w:hAnsi="Arial"/>
          <w:sz w:val="13"/>
          <w:szCs w:val="13"/>
          <w:i w:val="1"/>
          <w:iCs w:val="1"/>
          <w:color w:val="auto"/>
        </w:rPr>
        <w:t>MDD</w:t>
      </w:r>
      <w:r>
        <w:rPr>
          <w:rFonts w:ascii="Arial" w:cs="Arial" w:eastAsia="Arial" w:hAnsi="Arial"/>
          <w:sz w:val="13"/>
          <w:szCs w:val="13"/>
          <w:color w:val="auto"/>
        </w:rPr>
        <w:t>). AV-101’s mechanism of action (MOA), as an N-methyl-D-aspartate receptor (</w:t>
      </w:r>
      <w:r>
        <w:rPr>
          <w:rFonts w:ascii="Arial" w:cs="Arial" w:eastAsia="Arial" w:hAnsi="Arial"/>
          <w:sz w:val="13"/>
          <w:szCs w:val="13"/>
          <w:i w:val="1"/>
          <w:iCs w:val="1"/>
          <w:color w:val="auto"/>
        </w:rPr>
        <w:t>NMDAR</w:t>
      </w:r>
      <w:r>
        <w:rPr>
          <w:rFonts w:ascii="Arial" w:cs="Arial" w:eastAsia="Arial" w:hAnsi="Arial"/>
          <w:sz w:val="13"/>
          <w:szCs w:val="13"/>
          <w:color w:val="auto"/>
        </w:rPr>
        <w:t>) antagonist binding selectively at the glycine-binding (</w:t>
      </w:r>
      <w:r>
        <w:rPr>
          <w:rFonts w:ascii="Arial" w:cs="Arial" w:eastAsia="Arial" w:hAnsi="Arial"/>
          <w:sz w:val="13"/>
          <w:szCs w:val="13"/>
          <w:i w:val="1"/>
          <w:iCs w:val="1"/>
          <w:color w:val="auto"/>
        </w:rPr>
        <w:t>GlyB</w:t>
      </w:r>
      <w:r>
        <w:rPr>
          <w:rFonts w:ascii="Arial" w:cs="Arial" w:eastAsia="Arial" w:hAnsi="Arial"/>
          <w:sz w:val="13"/>
          <w:szCs w:val="13"/>
          <w:color w:val="auto"/>
        </w:rPr>
        <w:t>) co-agonist site of the NMDAR, is fundamentally different from all currently-approved antidepressants. In three preclinical studies utilizing well-validated animal models of depression, AV-101 was shown to induce fast-acting, dose-dependent, persistent and statistically significant antidepressant-like responses, following a single treatment, which were equivalent to response seen with a single sub-anesthetic dose of ketamine. In the same studies, fluoxetine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Following our two successful randomized, double-blind, placebo-controlled Phase 1 safety studies funded by the U.S. National Institutes of Health (</w:t>
      </w:r>
      <w:r>
        <w:rPr>
          <w:rFonts w:ascii="Arial" w:cs="Arial" w:eastAsia="Arial" w:hAnsi="Arial"/>
          <w:sz w:val="14"/>
          <w:szCs w:val="14"/>
          <w:i w:val="1"/>
          <w:iCs w:val="1"/>
          <w:color w:val="auto"/>
        </w:rPr>
        <w:t>NIH</w:t>
      </w:r>
      <w:r>
        <w:rPr>
          <w:rFonts w:ascii="Arial" w:cs="Arial" w:eastAsia="Arial" w:hAnsi="Arial"/>
          <w:sz w:val="14"/>
          <w:szCs w:val="14"/>
          <w:color w:val="auto"/>
        </w:rPr>
        <w:t>), AV-101 is the only small molecule product candidate known to management that is (A) in Phase 2 clinical development as a monotherapy for MDD, (B) designed to modulate the NMDAR through antagonistic binding at the GlyB co-agonist site of the NMDAR and (C) orally-active in human subjects.</w:t>
      </w:r>
    </w:p>
    <w:p>
      <w:pPr>
        <w:spacing w:after="0" w:line="142"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In February 2015, we entered a Cooperative Research and Development Agreement (</w:t>
      </w:r>
      <w:r>
        <w:rPr>
          <w:rFonts w:ascii="Arial" w:cs="Arial" w:eastAsia="Arial" w:hAnsi="Arial"/>
          <w:sz w:val="14"/>
          <w:szCs w:val="14"/>
          <w:i w:val="1"/>
          <w:iCs w:val="1"/>
          <w:color w:val="auto"/>
        </w:rPr>
        <w:t>CRADA</w:t>
      </w:r>
      <w:r>
        <w:rPr>
          <w:rFonts w:ascii="Arial" w:cs="Arial" w:eastAsia="Arial" w:hAnsi="Arial"/>
          <w:sz w:val="14"/>
          <w:szCs w:val="14"/>
          <w:color w:val="auto"/>
        </w:rPr>
        <w:t>) with the U.S. National Institute of Mental Health (</w:t>
      </w:r>
      <w:r>
        <w:rPr>
          <w:rFonts w:ascii="Arial" w:cs="Arial" w:eastAsia="Arial" w:hAnsi="Arial"/>
          <w:sz w:val="14"/>
          <w:szCs w:val="14"/>
          <w:i w:val="1"/>
          <w:iCs w:val="1"/>
          <w:color w:val="auto"/>
        </w:rPr>
        <w:t>NIMH</w:t>
      </w:r>
      <w:r>
        <w:rPr>
          <w:rFonts w:ascii="Arial" w:cs="Arial" w:eastAsia="Arial" w:hAnsi="Arial"/>
          <w:sz w:val="14"/>
          <w:szCs w:val="14"/>
          <w:color w:val="auto"/>
        </w:rPr>
        <w:t>), part of the NIH. Under this agreement, we will collaborate with the NIH on a Phase 2 clinical study of AV-101 in subjects with treatment resistant MDD. Pursuant to the CRADA, this study will be conducted and fully-funded by the NIMH. It is contemplated that this clinical study will begin this year under the direction of Dr. Carlos Zarate, Jr., the NIMH’s Chief of Experimental Therapeutics &amp; Pathophysiology Branch and of the Section on Neurobiology and Treatment of Mood and Anxiety Disorders.</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to developing AV-101 for MDD and other CNS indications, we are using our stem cell technology platform for drug rescue –to identify and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xml:space="preserve">) for our internal drug candidate pipeline by leveraging our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bioassay systems, prior investment by pharmaceutical companies and others to discover, optimize and test for efficacy NCEs terminated before FDA approval due to unexpected toxicity and medicinal chemistry.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bioassay system uses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xml:space="preserve">)-derived cardiomyocytes, or heart cells. Our </w:t>
      </w:r>
      <w:r>
        <w:rPr>
          <w:rFonts w:ascii="Arial" w:cs="Arial" w:eastAsia="Arial" w:hAnsi="Arial"/>
          <w:sz w:val="14"/>
          <w:szCs w:val="14"/>
          <w:i w:val="1"/>
          <w:iCs w:val="1"/>
          <w:color w:val="auto"/>
        </w:rPr>
        <w:t>LiverSafe</w:t>
      </w:r>
      <w:r>
        <w:rPr>
          <w:rFonts w:ascii="Arial" w:cs="Arial" w:eastAsia="Arial" w:hAnsi="Arial"/>
          <w:sz w:val="14"/>
          <w:szCs w:val="14"/>
          <w:color w:val="auto"/>
        </w:rPr>
        <w:t xml:space="preserve"> 3D™bioassay system uses our stem cell-derived hepatocytes, or liver cells. We believe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 </w:t>
      </w:r>
      <w:r>
        <w:rPr>
          <w:rFonts w:ascii="Arial" w:cs="Arial" w:eastAsia="Arial" w:hAnsi="Arial"/>
          <w:sz w:val="14"/>
          <w:szCs w:val="14"/>
          <w:i w:val="1"/>
          <w:iCs w:val="1"/>
          <w:color w:val="auto"/>
        </w:rPr>
        <w:t>LiverSafe</w:t>
      </w:r>
      <w:r>
        <w:rPr>
          <w:rFonts w:ascii="Arial" w:cs="Arial" w:eastAsia="Arial" w:hAnsi="Arial"/>
          <w:sz w:val="14"/>
          <w:szCs w:val="14"/>
          <w:color w:val="auto"/>
        </w:rPr>
        <w:t xml:space="preserve"> 3D offer a new paradigm for evaluating and predicting potential heart and liver toxicity of NCEs, including potential drug rescue NCEs, early in development, long before costly, high risk animal studies and human clinical trials. We intend to develop each optimized drug rescue NCE internally to establish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preclinical proof-of-concept (</w:t>
      </w:r>
      <w:r>
        <w:rPr>
          <w:rFonts w:ascii="Arial" w:cs="Arial" w:eastAsia="Arial" w:hAnsi="Arial"/>
          <w:sz w:val="14"/>
          <w:szCs w:val="14"/>
          <w:i w:val="1"/>
          <w:iCs w:val="1"/>
          <w:color w:val="auto"/>
        </w:rPr>
        <w:t>POC</w:t>
      </w:r>
      <w:r>
        <w:rPr>
          <w:rFonts w:ascii="Arial" w:cs="Arial" w:eastAsia="Arial" w:hAnsi="Arial"/>
          <w:sz w:val="14"/>
          <w:szCs w:val="14"/>
          <w:color w:val="auto"/>
        </w:rPr>
        <w:t xml:space="preserve">), as to both efficacy and safety, using both established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models, as well as in </w:t>
      </w: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and, when available,</w:t>
      </w:r>
      <w:r>
        <w:rPr>
          <w:rFonts w:ascii="Arial" w:cs="Arial" w:eastAsia="Arial" w:hAnsi="Arial"/>
          <w:sz w:val="14"/>
          <w:szCs w:val="14"/>
          <w:i w:val="1"/>
          <w:iCs w:val="1"/>
          <w:color w:val="auto"/>
        </w:rPr>
        <w:t xml:space="preserve"> LiverSafe </w:t>
      </w:r>
      <w:r>
        <w:rPr>
          <w:rFonts w:ascii="Arial" w:cs="Arial" w:eastAsia="Arial" w:hAnsi="Arial"/>
          <w:sz w:val="14"/>
          <w:szCs w:val="14"/>
          <w:color w:val="auto"/>
        </w:rPr>
        <w:t>3D.</w:t>
      </w:r>
    </w:p>
    <w:p>
      <w:pPr>
        <w:spacing w:after="0" w:line="152"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Although we have previously generated approximately $16.4 million of revenue from grant awards and collaborations, we currently have no commercially available, revenue-generating products and, since inception, we have devoted substantially all of our time and efforts to development of AV-101 for CNS indications and our human pluripotent stem cell technology research and development programs, including, customized bioassay system development, creating, protecting and patenting intellectual property, recruiting personnel and raising working capital.</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0" w:name="page151"/>
    <w:bookmarkEnd w:id="15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Going Concern</w:t>
      </w:r>
    </w:p>
    <w:p>
      <w:pPr>
        <w:spacing w:after="0" w:line="205"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 xml:space="preserve">Effective August 14, 2014, we consummated a 1-for-20 reverse split of our authorized, and issued and outstanding shares of common stock (the </w:t>
      </w:r>
      <w:r>
        <w:rPr>
          <w:rFonts w:ascii="Arial" w:cs="Arial" w:eastAsia="Arial" w:hAnsi="Arial"/>
          <w:sz w:val="14"/>
          <w:szCs w:val="14"/>
          <w:i w:val="1"/>
          <w:iCs w:val="1"/>
          <w:color w:val="auto"/>
        </w:rPr>
        <w:t>Stock Consolidation</w:t>
      </w:r>
      <w:r>
        <w:rPr>
          <w:rFonts w:ascii="Arial" w:cs="Arial" w:eastAsia="Arial" w:hAnsi="Arial"/>
          <w:sz w:val="14"/>
          <w:szCs w:val="14"/>
          <w:color w:val="auto"/>
        </w:rPr>
        <w:t xml:space="preserve">). Each reference to shares of common stock or the price per share of common stock in these financial statements is post-Stock Consolidation, and reflects the 1-for-20 adjustment as a result of the Stock Consolidation. See Note 8, </w:t>
      </w:r>
      <w:r>
        <w:rPr>
          <w:rFonts w:ascii="Arial" w:cs="Arial" w:eastAsia="Arial" w:hAnsi="Arial"/>
          <w:sz w:val="14"/>
          <w:szCs w:val="14"/>
          <w:i w:val="1"/>
          <w:iCs w:val="1"/>
          <w:color w:val="auto"/>
        </w:rPr>
        <w:t>Capital Stock</w:t>
      </w:r>
      <w:r>
        <w:rPr>
          <w:rFonts w:ascii="Arial" w:cs="Arial" w:eastAsia="Arial" w:hAnsi="Arial"/>
          <w:sz w:val="14"/>
          <w:szCs w:val="14"/>
          <w:color w:val="auto"/>
        </w:rPr>
        <w:t>, for more information regarding the Stock Consolidation.</w:t>
      </w:r>
    </w:p>
    <w:p>
      <w:pPr>
        <w:spacing w:after="0" w:line="163"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The accompanying Consolidated Financial Statements have been prepared assuming that we will continue as a going concern. As a developing-technology company having not yet developed commercial products or achieved sustainable revenues, we have experienced recurring losses and negative cash flows from operations resulting in a deficit of $84.5 million accumulated from inception through March 31, 2015. We expect losses and negative cash flows from operations to continue for the foreseeable future as we engage in further potential development of AV-101 and launch and execute our drug rescue programs and pursue potential drug development and regenerative medicine opportunities.</w:t>
      </w:r>
    </w:p>
    <w:p>
      <w:pPr>
        <w:spacing w:after="0" w:line="167"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Since our inception in May 1998 through March 31, 2015, we have financed our operations and technology acquisitions primarily through the issuance and sale of equity and debt securities, including convertible promissory notes and short-term promissory notes, for cash proceeds of approximately $29.0 million, as well as from an aggregate of approximately $16.4 million of government research grant awards, strategic collaboration payments and other revenues. Additionally, we have issued equity securities with an approximate value at issuance of $13.5 million in non-cash settlements of certain liabilities, including liabilities for professional services rendered to us or as compensation for such services.</w:t>
      </w:r>
    </w:p>
    <w:p>
      <w:pPr>
        <w:spacing w:after="0" w:line="16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Between late-March 2014 and March 31, 2015, we entered into securities purchase agreements with accredited investors and institutions, including Platinum, pursuant to which we sold units to such accredited investors, in private placement transactions (</w:t>
      </w:r>
      <w:r>
        <w:rPr>
          <w:rFonts w:ascii="Arial" w:cs="Arial" w:eastAsia="Arial" w:hAnsi="Arial"/>
          <w:sz w:val="14"/>
          <w:szCs w:val="14"/>
          <w:i w:val="1"/>
          <w:iCs w:val="1"/>
          <w:color w:val="auto"/>
        </w:rPr>
        <w:t>2014 Units</w:t>
      </w:r>
      <w:r>
        <w:rPr>
          <w:rFonts w:ascii="Arial" w:cs="Arial" w:eastAsia="Arial" w:hAnsi="Arial"/>
          <w:sz w:val="14"/>
          <w:szCs w:val="14"/>
          <w:color w:val="auto"/>
        </w:rPr>
        <w:t xml:space="preserve"> or </w:t>
      </w:r>
      <w:r>
        <w:rPr>
          <w:rFonts w:ascii="Arial" w:cs="Arial" w:eastAsia="Arial" w:hAnsi="Arial"/>
          <w:sz w:val="14"/>
          <w:szCs w:val="14"/>
          <w:i w:val="1"/>
          <w:iCs w:val="1"/>
          <w:color w:val="auto"/>
        </w:rPr>
        <w:t>2014 Unit Private Placement</w:t>
      </w:r>
      <w:r>
        <w:rPr>
          <w:rFonts w:ascii="Arial" w:cs="Arial" w:eastAsia="Arial" w:hAnsi="Arial"/>
          <w:sz w:val="14"/>
          <w:szCs w:val="14"/>
          <w:color w:val="auto"/>
        </w:rPr>
        <w:t>), for aggregate cash proceeds of approximately $3.1 million, consisting of (i) 2014 Unit Notes in the aggregate face amount of approximately $3.1 million which matured between March 31, 2015 and April 30, 2015, or were automatically convertible into securities we might issue upon the consummation of a Qualified Financing, as defined, (ii) an aggregate of 282,850 restricted shares of our common stock (</w:t>
      </w:r>
      <w:r>
        <w:rPr>
          <w:rFonts w:ascii="Arial" w:cs="Arial" w:eastAsia="Arial" w:hAnsi="Arial"/>
          <w:sz w:val="14"/>
          <w:szCs w:val="14"/>
          <w:i w:val="1"/>
          <w:iCs w:val="1"/>
          <w:color w:val="auto"/>
        </w:rPr>
        <w:t>2014 Unit Stock)</w:t>
      </w:r>
      <w:r>
        <w:rPr>
          <w:rFonts w:ascii="Arial" w:cs="Arial" w:eastAsia="Arial" w:hAnsi="Arial"/>
          <w:sz w:val="14"/>
          <w:szCs w:val="14"/>
          <w:color w:val="auto"/>
        </w:rPr>
        <w:t>; and (iii) warrants exercisable through December 31, 2016 to purchase an aggregate of 282,850 restricted shares of our common stock at an exercise price of $10.00 per share (</w:t>
      </w:r>
      <w:r>
        <w:rPr>
          <w:rFonts w:ascii="Arial" w:cs="Arial" w:eastAsia="Arial" w:hAnsi="Arial"/>
          <w:sz w:val="14"/>
          <w:szCs w:val="14"/>
          <w:i w:val="1"/>
          <w:iCs w:val="1"/>
          <w:color w:val="auto"/>
        </w:rPr>
        <w:t>2014 Unit Warrants).</w:t>
      </w:r>
      <w:r>
        <w:rPr>
          <w:rFonts w:ascii="Arial" w:cs="Arial" w:eastAsia="Arial" w:hAnsi="Arial"/>
          <w:sz w:val="14"/>
          <w:szCs w:val="14"/>
          <w:color w:val="auto"/>
        </w:rPr>
        <w:t xml:space="preserve"> At March 31, 2015, we did not have sufficient cash and cash equivalents to enable us to fund our planned operations, including expected cash expenditures of approximately $7 million over the next twelve months, including expenditures required to prepare for further clinical trials of AV-101.</w:t>
      </w:r>
    </w:p>
    <w:p>
      <w:pPr>
        <w:spacing w:after="0" w:line="173"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 xml:space="preserve">As described more completely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between April 1 and May 14, 2015, we continued the 2014 Unit Private Placement, pursuant to which we sold to accredited investors 2014 Units, for aggregate cash proceeds of $280,000, consisting of: (i) 10% convertible promissory notes maturing between April 30, 2015 and May 15, 2015, in the aggregate face amount of $280,000, (ii) an aggregate of 33,000 shares of our restricted common stock, and (iii) warrants exercisable through December 31, 2016 to purchase an aggregate of 24,250 restricted shares of our common stock at an exercise price of $10.00 per share. As also described more completely in Note 16, Subsequent Events, during May 2015, we entered into an agreement with Platinum (</w:t>
      </w:r>
      <w:r>
        <w:rPr>
          <w:rFonts w:ascii="Arial" w:cs="Arial" w:eastAsia="Arial" w:hAnsi="Arial"/>
          <w:sz w:val="14"/>
          <w:szCs w:val="14"/>
          <w:i w:val="1"/>
          <w:iCs w:val="1"/>
          <w:color w:val="auto"/>
        </w:rPr>
        <w:t>Platinum Agreement</w:t>
      </w:r>
      <w:r>
        <w:rPr>
          <w:rFonts w:ascii="Arial" w:cs="Arial" w:eastAsia="Arial" w:hAnsi="Arial"/>
          <w:sz w:val="14"/>
          <w:szCs w:val="14"/>
          <w:color w:val="auto"/>
        </w:rPr>
        <w:t>), pursuant to which, Platinum has, among other things:</w:t>
      </w:r>
    </w:p>
    <w:p>
      <w:pPr>
        <w:spacing w:after="0" w:line="168" w:lineRule="exact"/>
        <w:rPr>
          <w:sz w:val="20"/>
          <w:szCs w:val="20"/>
          <w:color w:val="auto"/>
        </w:rPr>
      </w:pPr>
    </w:p>
    <w:p>
      <w:pPr>
        <w:ind w:left="160" w:right="20" w:hanging="155"/>
        <w:spacing w:after="0" w:line="215" w:lineRule="auto"/>
        <w:tabs>
          <w:tab w:leader="none" w:pos="160" w:val="left"/>
        </w:tabs>
        <w:numPr>
          <w:ilvl w:val="0"/>
          <w:numId w:val="78"/>
        </w:numPr>
        <w:rPr>
          <w:rFonts w:ascii="Arial" w:cs="Arial" w:eastAsia="Arial" w:hAnsi="Arial"/>
          <w:sz w:val="20"/>
          <w:szCs w:val="20"/>
          <w:color w:val="auto"/>
          <w:vertAlign w:val="superscript"/>
        </w:rPr>
      </w:pPr>
      <w:r>
        <w:rPr>
          <w:rFonts w:ascii="Arial" w:cs="Arial" w:eastAsia="Arial" w:hAnsi="Arial"/>
          <w:sz w:val="14"/>
          <w:szCs w:val="14"/>
          <w:color w:val="auto"/>
        </w:rPr>
        <w:t>Converted the approximately $4.5 million outstanding balance (principal and accrued but unpaid interest) of the Senior Notes we issued to Platinum into 641,335 shares of our newly-created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 thereby cancelling approximately $4.5 million of our outstanding indebtedness;</w:t>
      </w:r>
    </w:p>
    <w:p>
      <w:pPr>
        <w:spacing w:after="0" w:line="182" w:lineRule="exact"/>
        <w:rPr>
          <w:rFonts w:ascii="Arial" w:cs="Arial" w:eastAsia="Arial" w:hAnsi="Arial"/>
          <w:sz w:val="20"/>
          <w:szCs w:val="20"/>
          <w:color w:val="auto"/>
          <w:vertAlign w:val="superscript"/>
        </w:rPr>
      </w:pPr>
    </w:p>
    <w:p>
      <w:pPr>
        <w:ind w:left="160" w:right="140" w:hanging="155"/>
        <w:spacing w:after="0" w:line="215" w:lineRule="auto"/>
        <w:tabs>
          <w:tab w:leader="none" w:pos="160" w:val="left"/>
        </w:tabs>
        <w:numPr>
          <w:ilvl w:val="0"/>
          <w:numId w:val="78"/>
        </w:numPr>
        <w:rPr>
          <w:rFonts w:ascii="Arial" w:cs="Arial" w:eastAsia="Arial" w:hAnsi="Arial"/>
          <w:sz w:val="20"/>
          <w:szCs w:val="20"/>
          <w:color w:val="auto"/>
          <w:vertAlign w:val="superscript"/>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which we had entered into with Platinum in October 2012;</w:t>
      </w:r>
    </w:p>
    <w:p>
      <w:pPr>
        <w:spacing w:after="0" w:line="182" w:lineRule="exact"/>
        <w:rPr>
          <w:rFonts w:ascii="Arial" w:cs="Arial" w:eastAsia="Arial" w:hAnsi="Arial"/>
          <w:sz w:val="20"/>
          <w:szCs w:val="20"/>
          <w:color w:val="auto"/>
          <w:vertAlign w:val="superscript"/>
        </w:rPr>
      </w:pPr>
    </w:p>
    <w:p>
      <w:pPr>
        <w:ind w:left="160" w:right="160" w:hanging="155"/>
        <w:spacing w:after="0" w:line="226" w:lineRule="auto"/>
        <w:tabs>
          <w:tab w:leader="none" w:pos="160" w:val="left"/>
        </w:tabs>
        <w:numPr>
          <w:ilvl w:val="0"/>
          <w:numId w:val="78"/>
        </w:numPr>
        <w:rPr>
          <w:rFonts w:ascii="Arial" w:cs="Arial" w:eastAsia="Arial" w:hAnsi="Arial"/>
          <w:sz w:val="20"/>
          <w:szCs w:val="20"/>
          <w:color w:val="auto"/>
          <w:vertAlign w:val="superscript"/>
        </w:rPr>
      </w:pPr>
      <w:r>
        <w:rPr>
          <w:rFonts w:ascii="Arial" w:cs="Arial" w:eastAsia="Arial" w:hAnsi="Arial"/>
          <w:sz w:val="14"/>
          <w:szCs w:val="14"/>
          <w:color w:val="auto"/>
        </w:rPr>
        <w:t>Converted the approximately $1.3 million outstanding balance (principal and accrued but unpaid interest) of the convertible promissory notes we issued to Platinum in the 2014 Unit Private Placement (</w:t>
      </w:r>
      <w:r>
        <w:rPr>
          <w:rFonts w:ascii="Arial" w:cs="Arial" w:eastAsia="Arial" w:hAnsi="Arial"/>
          <w:sz w:val="14"/>
          <w:szCs w:val="14"/>
          <w:i w:val="1"/>
          <w:iCs w:val="1"/>
          <w:color w:val="auto"/>
        </w:rPr>
        <w:t>2014 Unit Notes</w:t>
      </w:r>
      <w:r>
        <w:rPr>
          <w:rFonts w:ascii="Arial" w:cs="Arial" w:eastAsia="Arial" w:hAnsi="Arial"/>
          <w:sz w:val="14"/>
          <w:szCs w:val="14"/>
          <w:color w:val="auto"/>
        </w:rPr>
        <w:t>)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w:t>
      </w:r>
      <w:r>
        <w:rPr>
          <w:rFonts w:ascii="Arial" w:cs="Arial" w:eastAsia="Arial" w:hAnsi="Arial"/>
          <w:sz w:val="14"/>
          <w:szCs w:val="14"/>
          <w:color w:val="auto"/>
        </w:rPr>
        <w:t xml:space="preserve"> </w:t>
      </w:r>
      <w:r>
        <w:rPr>
          <w:rFonts w:ascii="Arial" w:cs="Arial" w:eastAsia="Arial" w:hAnsi="Arial"/>
          <w:sz w:val="14"/>
          <w:szCs w:val="14"/>
          <w:i w:val="1"/>
          <w:iCs w:val="1"/>
          <w:color w:val="auto"/>
        </w:rPr>
        <w:t>Warrants</w:t>
      </w:r>
      <w:r>
        <w:rPr>
          <w:rFonts w:ascii="Arial" w:cs="Arial" w:eastAsia="Arial" w:hAnsi="Arial"/>
          <w:sz w:val="14"/>
          <w:szCs w:val="14"/>
          <w:color w:val="auto"/>
        </w:rPr>
        <w:t>), thereby cancelling approximately $1.3 million of our outstanding indebtedness;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1" w:name="page152"/>
    <w:bookmarkEnd w:id="15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jc w:val="both"/>
        <w:ind w:left="160" w:right="240" w:hanging="155"/>
        <w:spacing w:after="0" w:line="226" w:lineRule="auto"/>
        <w:tabs>
          <w:tab w:leader="none" w:pos="160" w:val="left"/>
        </w:tabs>
        <w:numPr>
          <w:ilvl w:val="0"/>
          <w:numId w:val="79"/>
        </w:numPr>
        <w:rPr>
          <w:rFonts w:ascii="Arial" w:cs="Arial" w:eastAsia="Arial" w:hAnsi="Arial"/>
          <w:sz w:val="20"/>
          <w:szCs w:val="20"/>
          <w:color w:val="auto"/>
          <w:vertAlign w:val="superscript"/>
        </w:rPr>
      </w:pPr>
      <w:r>
        <w:rPr>
          <w:rFonts w:ascii="Arial" w:cs="Arial" w:eastAsia="Arial" w:hAnsi="Arial"/>
          <w:sz w:val="14"/>
          <w:szCs w:val="14"/>
          <w:color w:val="auto"/>
        </w:rPr>
        <w:t>Purchased approximately $1.5 million (principal and accrued but unpaid interest) of outstanding 2014 Unit Notes we issued to various other investors from the respective holders thereof (</w:t>
      </w:r>
      <w:r>
        <w:rPr>
          <w:rFonts w:ascii="Arial" w:cs="Arial" w:eastAsia="Arial" w:hAnsi="Arial"/>
          <w:sz w:val="14"/>
          <w:szCs w:val="14"/>
          <w:i w:val="1"/>
          <w:iCs w:val="1"/>
          <w:color w:val="auto"/>
        </w:rPr>
        <w:t>Investor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2014 Unit Notes </w:t>
      </w:r>
      <w:r>
        <w:rPr>
          <w:rFonts w:ascii="Arial" w:cs="Arial" w:eastAsia="Arial" w:hAnsi="Arial"/>
          <w:sz w:val="14"/>
          <w:szCs w:val="14"/>
          <w:color w:val="auto"/>
        </w:rPr>
        <w:t>) and converted the entire outstanding balance of the Investor 2014 Unit Notes into 265,699 shares of Series B Preferred and Series B Warrants to purchase 265,699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thereby cancelling approximately $1.5 million of our outstanding indebtedness; and</w:t>
      </w:r>
    </w:p>
    <w:p>
      <w:pPr>
        <w:spacing w:after="0" w:line="183" w:lineRule="exact"/>
        <w:rPr>
          <w:rFonts w:ascii="Arial" w:cs="Arial" w:eastAsia="Arial" w:hAnsi="Arial"/>
          <w:sz w:val="20"/>
          <w:szCs w:val="20"/>
          <w:color w:val="auto"/>
          <w:vertAlign w:val="superscript"/>
        </w:rPr>
      </w:pPr>
    </w:p>
    <w:p>
      <w:pPr>
        <w:ind w:left="160" w:hanging="155"/>
        <w:spacing w:after="0" w:line="215" w:lineRule="auto"/>
        <w:tabs>
          <w:tab w:leader="none" w:pos="160" w:val="left"/>
        </w:tabs>
        <w:numPr>
          <w:ilvl w:val="0"/>
          <w:numId w:val="79"/>
        </w:numPr>
        <w:rPr>
          <w:rFonts w:ascii="Arial" w:cs="Arial" w:eastAsia="Arial" w:hAnsi="Arial"/>
          <w:sz w:val="20"/>
          <w:szCs w:val="20"/>
          <w:color w:val="auto"/>
          <w:vertAlign w:val="superscript"/>
        </w:rPr>
      </w:pPr>
      <w:r>
        <w:rPr>
          <w:rFonts w:ascii="Arial" w:cs="Arial" w:eastAsia="Arial" w:hAnsi="Arial"/>
          <w:sz w:val="14"/>
          <w:szCs w:val="14"/>
          <w:color w:val="auto"/>
        </w:rPr>
        <w:t>Entered into a Securities Purchase Agreement (</w:t>
      </w:r>
      <w:r>
        <w:rPr>
          <w:rFonts w:ascii="Arial" w:cs="Arial" w:eastAsia="Arial" w:hAnsi="Arial"/>
          <w:sz w:val="14"/>
          <w:szCs w:val="14"/>
          <w:i w:val="1"/>
          <w:iCs w:val="1"/>
          <w:color w:val="auto"/>
        </w:rPr>
        <w:t>SPA</w:t>
      </w:r>
      <w:r>
        <w:rPr>
          <w:rFonts w:ascii="Arial" w:cs="Arial" w:eastAsia="Arial" w:hAnsi="Arial"/>
          <w:sz w:val="14"/>
          <w:szCs w:val="14"/>
          <w:color w:val="auto"/>
        </w:rPr>
        <w:t>) to purchase, for $1.0 million, a total of 142,857 shares of Series B Preferred and a Series B Warrant (</w:t>
      </w:r>
      <w:r>
        <w:rPr>
          <w:rFonts w:ascii="Arial" w:cs="Arial" w:eastAsia="Arial" w:hAnsi="Arial"/>
          <w:sz w:val="14"/>
          <w:szCs w:val="14"/>
          <w:i w:val="1"/>
          <w:iCs w:val="1"/>
          <w:color w:val="auto"/>
        </w:rPr>
        <w:t>Series B Preferred Unit</w:t>
      </w:r>
      <w:r>
        <w:rPr>
          <w:rFonts w:ascii="Arial" w:cs="Arial" w:eastAsia="Arial" w:hAnsi="Arial"/>
          <w:sz w:val="14"/>
          <w:szCs w:val="14"/>
          <w:color w:val="auto"/>
        </w:rPr>
        <w:t>) to purchase 142,857 shares of our common stock, on or before June 11, 2015 (a portion of which purchase was consummated on June 19, 2015).</w:t>
      </w:r>
    </w:p>
    <w:p>
      <w:pPr>
        <w:spacing w:after="0" w:line="16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 xml:space="preserve">As further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xml:space="preserve">, effective May 20, 2015, holders of the remaining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 Between May 26, 2015 and June 25, 2015, we sold to accredited investors and institutions an aggregate of $557,500 of units in our Series B Preferred Unit offering, which units consist of Series B Preferred and Series B Warrants (together </w:t>
      </w:r>
      <w:r>
        <w:rPr>
          <w:rFonts w:ascii="Arial" w:cs="Arial" w:eastAsia="Arial" w:hAnsi="Arial"/>
          <w:sz w:val="13"/>
          <w:szCs w:val="13"/>
          <w:i w:val="1"/>
          <w:iCs w:val="1"/>
          <w:color w:val="auto"/>
        </w:rPr>
        <w:t>Series B Preferred Units</w:t>
      </w:r>
      <w:r>
        <w:rPr>
          <w:rFonts w:ascii="Arial" w:cs="Arial" w:eastAsia="Arial" w:hAnsi="Arial"/>
          <w:sz w:val="13"/>
          <w:szCs w:val="13"/>
          <w:color w:val="auto"/>
        </w:rPr>
        <w:t>),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 xml:space="preserve">Additionally, as further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xml:space="preserve">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strategic adjustments) into 831,577 shares of Series B Preferred stock.</w:t>
      </w:r>
    </w:p>
    <w:p>
      <w:pPr>
        <w:spacing w:after="0" w:line="16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Since March 31, 2015, we have eliminated approximately $14.9 million of promissory notes, other debt and certain adjustments thereto that was either already due and payable or would have otherwise matured prior to March 31, 2016, through conversion into our Series B Preferred stock and, with respect to a portion of the indebtedness converted, warrants to purchase common stock. Together with the cash proceeds from our Series B Preferred Unit Offering, our working capital position has improved significantly since March 31, 2015. We will, however, need to raise additional capital to fund our operations and execute our business plan over the next year and thereafter.</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We believe that our participation in potential strategic collaborations, including potential transactions involving AV-101 such as our February 2015 Cooperative Research and Development Agreement with the U.S. National Institutes of Health (NIH) for an NIH-funded and sponsored Phase 2 study of AV-101 in major depressive disorder, may provide resources to support a portion of our future cash needs and working capital requirements.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major depressive disorder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and public company consulting, contract research and development, legal, accounting and other professional services and working capital costs.</w:t>
      </w:r>
    </w:p>
    <w:p>
      <w:pPr>
        <w:spacing w:after="0" w:line="15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These Consolidated Financial Statements do not include any adjustments that might result from the outcome of this uncertainty.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2" w:name="page153"/>
    <w:bookmarkEnd w:id="15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Summary of Significant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preparation of financial statements in conformity with U.S. generally accepted accounting principles “</w:t>
      </w:r>
      <w:r>
        <w:rPr>
          <w:rFonts w:ascii="Arial" w:cs="Arial" w:eastAsia="Arial" w:hAnsi="Arial"/>
          <w:sz w:val="14"/>
          <w:szCs w:val="14"/>
          <w:i w:val="1"/>
          <w:iCs w:val="1"/>
          <w:color w:val="auto"/>
        </w:rPr>
        <w:t>U.S. GAAP</w:t>
      </w:r>
      <w:r>
        <w:rPr>
          <w:rFonts w:ascii="Arial" w:cs="Arial" w:eastAsia="Arial" w:hAnsi="Arial"/>
          <w:sz w:val="14"/>
          <w:szCs w:val="14"/>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20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The accompanying consolidated financial statements include the Company’s accounts, and the accounts of VistaGen California’s wholly-owned inactive subsidiaries, Artemis Neurosciences and VistaStem Canada.</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are considered to be highly liquid investments with maturities of three months or less at the date of purchase.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20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or Disposal of Long-Lived Assets</w:t>
      </w:r>
    </w:p>
    <w:p>
      <w:pPr>
        <w:spacing w:after="0" w:line="201"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We evaluate our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we record an impairment loss in the amount by which the carrying value of the assets exceeds their fair value. If the assets are determined to be recoverable, but the useful lives are shorter than originally estimated, we depreciate or amortize the net book value of the assets over the newly determined remaining useful lives. We have not recorded any impairment charges to date.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Although we do not currently have any such arrangements, we have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53" w:name="page154"/>
    <w:bookmarkEnd w:id="15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07" w:lineRule="exact"/>
        <w:rPr>
          <w:sz w:val="20"/>
          <w:szCs w:val="20"/>
          <w:color w:val="auto"/>
        </w:rPr>
      </w:pPr>
    </w:p>
    <w:p>
      <w:pPr>
        <w:ind w:left="160" w:hanging="155"/>
        <w:spacing w:after="0" w:line="263" w:lineRule="auto"/>
        <w:tabs>
          <w:tab w:leader="none" w:pos="160" w:val="left"/>
        </w:tabs>
        <w:numPr>
          <w:ilvl w:val="0"/>
          <w:numId w:val="80"/>
        </w:numPr>
        <w:rPr>
          <w:rFonts w:ascii="Arial" w:cs="Arial" w:eastAsia="Arial" w:hAnsi="Arial"/>
          <w:sz w:val="19"/>
          <w:szCs w:val="19"/>
          <w:color w:val="auto"/>
          <w:vertAlign w:val="superscript"/>
        </w:rPr>
      </w:pPr>
      <w:r>
        <w:rPr>
          <w:rFonts w:ascii="Arial" w:cs="Arial" w:eastAsia="Arial" w:hAnsi="Arial"/>
          <w:sz w:val="13"/>
          <w:szCs w:val="13"/>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8" w:lineRule="exact"/>
        <w:rPr>
          <w:rFonts w:ascii="Arial" w:cs="Arial" w:eastAsia="Arial" w:hAnsi="Arial"/>
          <w:sz w:val="19"/>
          <w:szCs w:val="19"/>
          <w:color w:val="auto"/>
          <w:vertAlign w:val="superscript"/>
        </w:rPr>
      </w:pPr>
    </w:p>
    <w:p>
      <w:pPr>
        <w:ind w:left="160" w:right="200" w:hanging="155"/>
        <w:spacing w:after="0" w:line="251" w:lineRule="auto"/>
        <w:tabs>
          <w:tab w:leader="none" w:pos="160" w:val="left"/>
        </w:tabs>
        <w:numPr>
          <w:ilvl w:val="0"/>
          <w:numId w:val="80"/>
        </w:numPr>
        <w:rPr>
          <w:rFonts w:ascii="Arial" w:cs="Arial" w:eastAsia="Arial" w:hAnsi="Arial"/>
          <w:sz w:val="19"/>
          <w:szCs w:val="19"/>
          <w:color w:val="auto"/>
          <w:vertAlign w:val="superscript"/>
        </w:rPr>
      </w:pPr>
      <w:r>
        <w:rPr>
          <w:rFonts w:ascii="Arial" w:cs="Arial" w:eastAsia="Arial" w:hAnsi="Arial"/>
          <w:sz w:val="13"/>
          <w:szCs w:val="13"/>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175" w:lineRule="exact"/>
        <w:rPr>
          <w:rFonts w:ascii="Arial" w:cs="Arial" w:eastAsia="Arial" w:hAnsi="Arial"/>
          <w:sz w:val="19"/>
          <w:szCs w:val="19"/>
          <w:color w:val="auto"/>
          <w:vertAlign w:val="superscript"/>
        </w:rPr>
      </w:pPr>
    </w:p>
    <w:p>
      <w:pPr>
        <w:ind w:left="160" w:right="600" w:hanging="155"/>
        <w:spacing w:after="0" w:line="215" w:lineRule="auto"/>
        <w:tabs>
          <w:tab w:leader="none" w:pos="160" w:val="left"/>
        </w:tabs>
        <w:numPr>
          <w:ilvl w:val="0"/>
          <w:numId w:val="80"/>
        </w:numPr>
        <w:rPr>
          <w:rFonts w:ascii="Arial" w:cs="Arial" w:eastAsia="Arial" w:hAnsi="Arial"/>
          <w:sz w:val="20"/>
          <w:szCs w:val="20"/>
          <w:color w:val="auto"/>
          <w:vertAlign w:val="superscript"/>
        </w:rPr>
      </w:pPr>
      <w:r>
        <w:rPr>
          <w:rFonts w:ascii="Arial" w:cs="Arial" w:eastAsia="Arial" w:hAnsi="Arial"/>
          <w:sz w:val="14"/>
          <w:szCs w:val="14"/>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201"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54" w:name="page155"/>
    <w:bookmarkEnd w:id="15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201" w:lineRule="exact"/>
        <w:rPr>
          <w:sz w:val="20"/>
          <w:szCs w:val="20"/>
          <w:color w:val="auto"/>
        </w:rPr>
      </w:pPr>
    </w:p>
    <w:p>
      <w:pPr>
        <w:jc w:val="both"/>
        <w:ind w:right="220"/>
        <w:spacing w:after="0" w:line="268" w:lineRule="auto"/>
        <w:rPr>
          <w:sz w:val="20"/>
          <w:szCs w:val="20"/>
          <w:color w:val="auto"/>
        </w:rPr>
      </w:pPr>
      <w:r>
        <w:rPr>
          <w:rFonts w:ascii="Arial" w:cs="Arial" w:eastAsia="Arial" w:hAnsi="Arial"/>
          <w:sz w:val="14"/>
          <w:szCs w:val="14"/>
          <w:color w:val="auto"/>
        </w:rPr>
        <w:t>Financial instruments, which potentially subject us to concentrations of credit risk, consist principally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Liability</w:t>
      </w:r>
    </w:p>
    <w:p>
      <w:pPr>
        <w:spacing w:after="0" w:line="180"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We have issued to Platinum Long Term Growth VII, LLC, our largest investor (</w:t>
      </w:r>
      <w:r>
        <w:rPr>
          <w:rFonts w:ascii="Arial" w:cs="Arial" w:eastAsia="Arial" w:hAnsi="Arial"/>
          <w:sz w:val="13"/>
          <w:szCs w:val="13"/>
          <w:i w:val="1"/>
          <w:iCs w:val="1"/>
          <w:color w:val="auto"/>
        </w:rPr>
        <w:t>Platinum</w:t>
      </w:r>
      <w:r>
        <w:rPr>
          <w:rFonts w:ascii="Arial" w:cs="Arial" w:eastAsia="Arial" w:hAnsi="Arial"/>
          <w:sz w:val="13"/>
          <w:szCs w:val="13"/>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3"/>
          <w:szCs w:val="13"/>
          <w:i w:val="1"/>
          <w:iCs w:val="1"/>
          <w:color w:val="auto"/>
        </w:rPr>
        <w:t>Platinum Warrants</w:t>
      </w:r>
      <w:r>
        <w:rPr>
          <w:rFonts w:ascii="Arial" w:cs="Arial" w:eastAsia="Arial" w:hAnsi="Arial"/>
          <w:sz w:val="13"/>
          <w:szCs w:val="13"/>
          <w:color w:val="auto"/>
        </w:rPr>
        <w:t xml:space="preserve">). The Platinum Warrants contain an exercise price adjustment feature that will lower the exercise price of the warrants in the event we subsequently issue equity instruments at a price lower than the exercise price of the Platinum Warrants. We account for the Platinum Warrants as non-cash liabilities and estimate their fair value as described in Note 4, </w:t>
      </w:r>
      <w:r>
        <w:rPr>
          <w:rFonts w:ascii="Arial" w:cs="Arial" w:eastAsia="Arial" w:hAnsi="Arial"/>
          <w:sz w:val="13"/>
          <w:szCs w:val="13"/>
          <w:i w:val="1"/>
          <w:iCs w:val="1"/>
          <w:color w:val="auto"/>
        </w:rPr>
        <w:t xml:space="preserve">Fair Value Measurements, </w:t>
      </w:r>
      <w:r>
        <w:rPr>
          <w:rFonts w:ascii="Arial" w:cs="Arial" w:eastAsia="Arial" w:hAnsi="Arial"/>
          <w:sz w:val="13"/>
          <w:szCs w:val="13"/>
          <w:color w:val="auto"/>
        </w:rPr>
        <w:t>Note 8,</w:t>
      </w:r>
      <w:r>
        <w:rPr>
          <w:rFonts w:ascii="Arial" w:cs="Arial" w:eastAsia="Arial" w:hAnsi="Arial"/>
          <w:sz w:val="13"/>
          <w:szCs w:val="13"/>
          <w:i w:val="1"/>
          <w:iCs w:val="1"/>
          <w:color w:val="auto"/>
        </w:rPr>
        <w:t xml:space="preserve"> Convertible Promissory Notes and Other Notes Payable</w:t>
      </w:r>
      <w:r>
        <w:rPr>
          <w:rFonts w:ascii="Arial" w:cs="Arial" w:eastAsia="Arial" w:hAnsi="Arial"/>
          <w:sz w:val="13"/>
          <w:szCs w:val="13"/>
          <w:color w:val="auto"/>
        </w:rPr>
        <w:t>, and Note 9</w:t>
      </w:r>
      <w:r>
        <w:rPr>
          <w:rFonts w:ascii="Arial" w:cs="Arial" w:eastAsia="Arial" w:hAnsi="Arial"/>
          <w:sz w:val="13"/>
          <w:szCs w:val="13"/>
          <w:i w:val="1"/>
          <w:iCs w:val="1"/>
          <w:color w:val="auto"/>
        </w:rPr>
        <w:t>, Capital Stock</w:t>
      </w:r>
      <w:r>
        <w:rPr>
          <w:rFonts w:ascii="Arial" w:cs="Arial" w:eastAsia="Arial" w:hAnsi="Arial"/>
          <w:sz w:val="13"/>
          <w:szCs w:val="13"/>
          <w:color w:val="auto"/>
        </w:rPr>
        <w:t>. We compute the fair value of the warrant liability at each reporting period and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 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to fix the exercise price thereof at $7.00 per share</w:t>
      </w:r>
      <w:r>
        <w:rPr>
          <w:rFonts w:ascii="Arial" w:cs="Arial" w:eastAsia="Arial" w:hAnsi="Arial"/>
          <w:sz w:val="13"/>
          <w:szCs w:val="13"/>
          <w:i w:val="1"/>
          <w:iCs w:val="1"/>
          <w:color w:val="auto"/>
        </w:rPr>
        <w:t xml:space="preserve"> </w:t>
      </w:r>
      <w:r>
        <w:rPr>
          <w:rFonts w:ascii="Arial" w:cs="Arial" w:eastAsia="Arial" w:hAnsi="Arial"/>
          <w:sz w:val="13"/>
          <w:szCs w:val="13"/>
          <w:color w:val="auto"/>
        </w:rPr>
        <w:t>and eliminate the exercise price reset features and fix the number of shares of our common stock issuable thereunder. This amendment will result in the elimination of the warrant liability with respect to the Platinum Warrants during the first quarter of our fiscal year ended March 31, 2016.</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We have no components of other comprehensive loss other than net loss, and accordingly our comprehensive loss is equivalent to our net loss for the periods presented.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per Common Share</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adjust the numerator for the change in the fair value of the warrant liability attributable to the outstanding Platinum Warrants, only if dilutive, and increase the denominator to include the number of potentially dilutive common shares assumed to be outstanding during the period using the treasury stock method. As a result of our net loss for both periods presented, potentially dilutive securities were excluded from the computation of diluted loss per share, as their effect would be antidilutive.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49"/>
        </w:trPr>
        <w:tc>
          <w:tcPr>
            <w:tcW w:w="822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7320" w:type="dxa"/>
            <w:vAlign w:val="bottom"/>
          </w:tcPr>
          <w:p>
            <w:pPr>
              <w:jc w:val="center"/>
              <w:ind w:left="2269"/>
              <w:spacing w:after="0"/>
              <w:rPr>
                <w:sz w:val="20"/>
                <w:szCs w:val="20"/>
                <w:color w:val="auto"/>
              </w:rPr>
            </w:pPr>
            <w:r>
              <w:rPr>
                <w:rFonts w:ascii="Arial" w:cs="Arial" w:eastAsia="Arial" w:hAnsi="Arial"/>
                <w:sz w:val="14"/>
                <w:szCs w:val="14"/>
                <w:b w:val="1"/>
                <w:bCs w:val="1"/>
                <w:color w:val="auto"/>
              </w:rPr>
              <w:t>VISTAGEN THERAPEUTICS, INC.</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900" w:type="dxa"/>
            <w:vAlign w:val="bottom"/>
          </w:tcPr>
          <w:p>
            <w:pPr>
              <w:spacing w:after="0"/>
              <w:rPr>
                <w:sz w:val="16"/>
                <w:szCs w:val="16"/>
                <w:color w:val="auto"/>
              </w:rPr>
            </w:pPr>
          </w:p>
        </w:tc>
        <w:tc>
          <w:tcPr>
            <w:tcW w:w="7320" w:type="dxa"/>
            <w:vAlign w:val="bottom"/>
          </w:tcPr>
          <w:p>
            <w:pPr>
              <w:jc w:val="center"/>
              <w:ind w:left="2289"/>
              <w:spacing w:after="0"/>
              <w:rPr>
                <w:sz w:val="20"/>
                <w:szCs w:val="20"/>
                <w:color w:val="auto"/>
              </w:rPr>
            </w:pPr>
            <w:r>
              <w:rPr>
                <w:rFonts w:ascii="Arial" w:cs="Arial" w:eastAsia="Arial" w:hAnsi="Arial"/>
                <w:sz w:val="14"/>
                <w:szCs w:val="14"/>
                <w:b w:val="1"/>
                <w:bCs w:val="1"/>
                <w:color w:val="auto"/>
              </w:rPr>
              <w:t>NOTES TO CONSOLIDATED FINANCIAL STATEMENTS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220" w:type="dxa"/>
            <w:vAlign w:val="bottom"/>
            <w:gridSpan w:val="2"/>
          </w:tcPr>
          <w:p>
            <w:pPr>
              <w:spacing w:after="0"/>
              <w:rPr>
                <w:sz w:val="20"/>
                <w:szCs w:val="20"/>
                <w:color w:val="auto"/>
              </w:rPr>
            </w:pPr>
            <w:r>
              <w:rPr>
                <w:rFonts w:ascii="Arial" w:cs="Arial" w:eastAsia="Arial" w:hAnsi="Arial"/>
                <w:sz w:val="14"/>
                <w:szCs w:val="14"/>
                <w:color w:val="auto"/>
              </w:rPr>
              <w:t>Basic and diluted net loss attributable to common stockholders per share was computed as follows: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r>
      <w:tr>
        <w:trPr>
          <w:trHeight w:val="172"/>
        </w:trPr>
        <w:tc>
          <w:tcPr>
            <w:tcW w:w="9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220" w:type="dxa"/>
            <w:vAlign w:val="bottom"/>
            <w:gridSpan w:val="2"/>
          </w:tcPr>
          <w:p>
            <w:pPr>
              <w:spacing w:after="0"/>
              <w:rPr>
                <w:sz w:val="20"/>
                <w:szCs w:val="20"/>
                <w:color w:val="auto"/>
              </w:rPr>
            </w:pPr>
            <w:r>
              <w:rPr>
                <w:rFonts w:ascii="Arial" w:cs="Arial" w:eastAsia="Arial" w:hAnsi="Arial"/>
                <w:sz w:val="14"/>
                <w:szCs w:val="14"/>
                <w:color w:val="auto"/>
              </w:rPr>
              <w:t>Numerator: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2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Net loss attributable to common stockholders for basic earnings per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r>
      <w:tr>
        <w:trPr>
          <w:trHeight w:val="172"/>
        </w:trPr>
        <w:tc>
          <w:tcPr>
            <w:tcW w:w="8220" w:type="dxa"/>
            <w:vAlign w:val="bottom"/>
            <w:gridSpan w:val="2"/>
          </w:tcPr>
          <w:p>
            <w:pPr>
              <w:spacing w:after="0"/>
              <w:rPr>
                <w:sz w:val="20"/>
                <w:szCs w:val="20"/>
                <w:color w:val="auto"/>
              </w:rPr>
            </w:pPr>
            <w:r>
              <w:rPr>
                <w:rFonts w:ascii="Arial" w:cs="Arial" w:eastAsia="Arial" w:hAnsi="Arial"/>
                <w:sz w:val="14"/>
                <w:szCs w:val="14"/>
                <w:color w:val="auto"/>
              </w:rPr>
              <w:t>less: change in fair value of warrant liability attributable to Exchange, Investment and Bridge Warrants issued to Platinum</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(105,200)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(1,219,500)</w:t>
            </w:r>
          </w:p>
        </w:tc>
      </w:tr>
      <w:tr>
        <w:trPr>
          <w:trHeight w:val="170"/>
        </w:trPr>
        <w:tc>
          <w:tcPr>
            <w:tcW w:w="900" w:type="dxa"/>
            <w:vAlign w:val="bottom"/>
            <w:shd w:val="clear" w:color="auto" w:fill="CCEEFF"/>
          </w:tcPr>
          <w:p>
            <w:pPr>
              <w:spacing w:after="0"/>
              <w:rPr>
                <w:sz w:val="14"/>
                <w:szCs w:val="14"/>
                <w:color w:val="auto"/>
              </w:rPr>
            </w:pPr>
          </w:p>
        </w:tc>
        <w:tc>
          <w:tcPr>
            <w:tcW w:w="7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220" w:type="dxa"/>
            <w:vAlign w:val="bottom"/>
            <w:gridSpan w:val="2"/>
          </w:tcPr>
          <w:p>
            <w:pPr>
              <w:ind w:left="460"/>
              <w:spacing w:after="0"/>
              <w:rPr>
                <w:sz w:val="20"/>
                <w:szCs w:val="20"/>
                <w:color w:val="auto"/>
              </w:rPr>
            </w:pPr>
            <w:r>
              <w:rPr>
                <w:rFonts w:ascii="Arial" w:cs="Arial" w:eastAsia="Arial" w:hAnsi="Arial"/>
                <w:sz w:val="14"/>
                <w:szCs w:val="14"/>
                <w:color w:val="auto"/>
              </w:rPr>
              <w:t>Net loss for diluted earnings per share attributable to common stockholders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(13,991,000)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(4,187,200)</w:t>
            </w:r>
          </w:p>
        </w:tc>
      </w:tr>
      <w:tr>
        <w:trPr>
          <w:trHeight w:val="20"/>
        </w:trPr>
        <w:tc>
          <w:tcPr>
            <w:tcW w:w="9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220" w:type="dxa"/>
            <w:vAlign w:val="bottom"/>
            <w:gridSpan w:val="2"/>
          </w:tcPr>
          <w:p>
            <w:pPr>
              <w:spacing w:after="0"/>
              <w:rPr>
                <w:sz w:val="20"/>
                <w:szCs w:val="20"/>
                <w:color w:val="auto"/>
              </w:rPr>
            </w:pPr>
            <w:r>
              <w:rPr>
                <w:rFonts w:ascii="Arial" w:cs="Arial" w:eastAsia="Arial" w:hAnsi="Arial"/>
                <w:sz w:val="14"/>
                <w:szCs w:val="14"/>
                <w:color w:val="auto"/>
              </w:rPr>
              <w:t>Denominator: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2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Weighted average basic common shares outstanding</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1,318,797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1,098,742</w:t>
            </w:r>
          </w:p>
        </w:tc>
      </w:tr>
      <w:tr>
        <w:trPr>
          <w:trHeight w:val="170"/>
        </w:trPr>
        <w:tc>
          <w:tcPr>
            <w:tcW w:w="8220" w:type="dxa"/>
            <w:vAlign w:val="bottom"/>
            <w:gridSpan w:val="2"/>
          </w:tcPr>
          <w:p>
            <w:pPr>
              <w:ind w:left="460"/>
              <w:spacing w:after="0"/>
              <w:rPr>
                <w:sz w:val="20"/>
                <w:szCs w:val="20"/>
                <w:color w:val="auto"/>
              </w:rPr>
            </w:pPr>
            <w:r>
              <w:rPr>
                <w:rFonts w:ascii="Arial" w:cs="Arial" w:eastAsia="Arial" w:hAnsi="Arial"/>
                <w:sz w:val="14"/>
                <w:szCs w:val="14"/>
                <w:color w:val="auto"/>
              </w:rPr>
              <w:t>Assumed conversion of dilutive securities: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900" w:type="dxa"/>
            <w:vAlign w:val="bottom"/>
            <w:shd w:val="clear" w:color="auto" w:fill="CCEEFF"/>
          </w:tcPr>
          <w:p>
            <w:pPr>
              <w:spacing w:after="0"/>
              <w:rPr>
                <w:sz w:val="14"/>
                <w:szCs w:val="14"/>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474</w:t>
            </w:r>
          </w:p>
        </w:tc>
      </w:tr>
      <w:tr>
        <w:trPr>
          <w:trHeight w:val="21"/>
        </w:trPr>
        <w:tc>
          <w:tcPr>
            <w:tcW w:w="900" w:type="dxa"/>
            <w:vAlign w:val="bottom"/>
            <w:shd w:val="clear" w:color="auto" w:fill="CCEEFF"/>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900" w:type="dxa"/>
            <w:vAlign w:val="bottom"/>
          </w:tcPr>
          <w:p>
            <w:pPr>
              <w:spacing w:after="0"/>
              <w:rPr>
                <w:sz w:val="14"/>
                <w:szCs w:val="14"/>
                <w:color w:val="auto"/>
              </w:rPr>
            </w:pPr>
          </w:p>
        </w:tc>
        <w:tc>
          <w:tcPr>
            <w:tcW w:w="7320" w:type="dxa"/>
            <w:vAlign w:val="bottom"/>
          </w:tcPr>
          <w:p>
            <w:pPr>
              <w:ind w:left="20"/>
              <w:spacing w:after="0"/>
              <w:rPr>
                <w:sz w:val="20"/>
                <w:szCs w:val="20"/>
                <w:color w:val="auto"/>
              </w:rPr>
            </w:pPr>
            <w:r>
              <w:rPr>
                <w:rFonts w:ascii="Arial" w:cs="Arial" w:eastAsia="Arial" w:hAnsi="Arial"/>
                <w:sz w:val="14"/>
                <w:szCs w:val="14"/>
                <w:color w:val="auto"/>
              </w:rPr>
              <w:t>Potentially dilutive common shares assumed converted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474</w:t>
            </w:r>
          </w:p>
        </w:tc>
      </w:tr>
      <w:tr>
        <w:trPr>
          <w:trHeight w:val="170"/>
        </w:trPr>
        <w:tc>
          <w:tcPr>
            <w:tcW w:w="900" w:type="dxa"/>
            <w:vAlign w:val="bottom"/>
            <w:shd w:val="clear" w:color="auto" w:fill="CCEEFF"/>
          </w:tcPr>
          <w:p>
            <w:pPr>
              <w:spacing w:after="0"/>
              <w:rPr>
                <w:sz w:val="14"/>
                <w:szCs w:val="14"/>
                <w:color w:val="auto"/>
              </w:rPr>
            </w:pPr>
          </w:p>
        </w:tc>
        <w:tc>
          <w:tcPr>
            <w:tcW w:w="7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220" w:type="dxa"/>
            <w:vAlign w:val="bottom"/>
            <w:gridSpan w:val="2"/>
          </w:tcPr>
          <w:p>
            <w:pPr>
              <w:ind w:left="460"/>
              <w:spacing w:after="0"/>
              <w:rPr>
                <w:sz w:val="20"/>
                <w:szCs w:val="20"/>
                <w:color w:val="auto"/>
              </w:rPr>
            </w:pPr>
            <w:r>
              <w:rPr>
                <w:rFonts w:ascii="Arial" w:cs="Arial" w:eastAsia="Arial" w:hAnsi="Arial"/>
                <w:sz w:val="14"/>
                <w:szCs w:val="14"/>
                <w:color w:val="auto"/>
              </w:rPr>
              <w:t>Denominator for diluted earnings per share - adjusted weighted average shares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1,099,216</w:t>
            </w:r>
          </w:p>
        </w:tc>
      </w:tr>
      <w:tr>
        <w:trPr>
          <w:trHeight w:val="20"/>
        </w:trPr>
        <w:tc>
          <w:tcPr>
            <w:tcW w:w="9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9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r>
      <w:tr>
        <w:trPr>
          <w:trHeight w:val="153"/>
        </w:trPr>
        <w:tc>
          <w:tcPr>
            <w:tcW w:w="900" w:type="dxa"/>
            <w:vAlign w:val="bottom"/>
            <w:tcBorders>
              <w:top w:val="single" w:sz="8" w:color="CCEEFF"/>
            </w:tcBorders>
          </w:tcPr>
          <w:p>
            <w:pPr>
              <w:spacing w:after="0"/>
              <w:rPr>
                <w:sz w:val="13"/>
                <w:szCs w:val="13"/>
                <w:color w:val="auto"/>
              </w:rPr>
            </w:pPr>
          </w:p>
        </w:tc>
        <w:tc>
          <w:tcPr>
            <w:tcW w:w="732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(10.61)</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r>
      <w:tr>
        <w:trPr>
          <w:trHeight w:val="653"/>
        </w:trPr>
        <w:tc>
          <w:tcPr>
            <w:tcW w:w="900" w:type="dxa"/>
            <w:vAlign w:val="bottom"/>
            <w:tcBorders>
              <w:top w:val="single" w:sz="8" w:color="CCEEFF"/>
            </w:tcBorders>
          </w:tcPr>
          <w:p>
            <w:pPr>
              <w:spacing w:after="0"/>
              <w:rPr>
                <w:sz w:val="24"/>
                <w:szCs w:val="24"/>
                <w:color w:val="auto"/>
              </w:rPr>
            </w:pPr>
          </w:p>
        </w:tc>
        <w:tc>
          <w:tcPr>
            <w:tcW w:w="7320" w:type="dxa"/>
            <w:vAlign w:val="bottom"/>
            <w:tcBorders>
              <w:top w:val="single" w:sz="8" w:color="CCEEFF"/>
            </w:tcBorders>
          </w:tcPr>
          <w:p>
            <w:pPr>
              <w:jc w:val="center"/>
              <w:ind w:left="2269"/>
              <w:spacing w:after="0"/>
              <w:rPr>
                <w:sz w:val="20"/>
                <w:szCs w:val="20"/>
                <w:color w:val="auto"/>
              </w:rPr>
            </w:pPr>
            <w:r>
              <w:rPr>
                <w:rFonts w:ascii="Arial" w:cs="Arial" w:eastAsia="Arial" w:hAnsi="Arial"/>
                <w:sz w:val="14"/>
                <w:szCs w:val="14"/>
                <w:color w:val="auto"/>
                <w:w w:val="90"/>
              </w:rPr>
              <w:t>F-13</w:t>
            </w:r>
          </w:p>
        </w:tc>
        <w:tc>
          <w:tcPr>
            <w:tcW w:w="6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73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56" w:name="page157"/>
    <w:bookmarkEnd w:id="15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Potentially dilutive securities excluded in determining diluted net loss per common share for the fiscal years ended March 31, 2015 and 2014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ind w:left="340"/>
              <w:spacing w:after="0"/>
              <w:rPr>
                <w:sz w:val="20"/>
                <w:szCs w:val="20"/>
                <w:color w:val="auto"/>
              </w:rPr>
            </w:pPr>
            <w:r>
              <w:rPr>
                <w:rFonts w:ascii="Arial" w:cs="Arial" w:eastAsia="Arial" w:hAnsi="Arial"/>
                <w:sz w:val="14"/>
                <w:szCs w:val="14"/>
                <w:b w:val="1"/>
                <w:bCs w:val="1"/>
                <w:color w:val="auto"/>
              </w:rPr>
              <w:t>Fiscal Years Ended March 31,</w:t>
            </w:r>
          </w:p>
        </w:tc>
      </w:tr>
      <w:tr>
        <w:trPr>
          <w:trHeight w:val="172"/>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A preferred stock issued and outstanding </w:t>
            </w:r>
            <w:r>
              <w:rPr>
                <w:rFonts w:ascii="Arial" w:cs="Arial" w:eastAsia="Arial" w:hAnsi="Arial"/>
                <w:sz w:val="19"/>
                <w:szCs w:val="19"/>
                <w:color w:val="auto"/>
                <w:vertAlign w:val="superscript"/>
              </w:rPr>
              <w:t>(1)</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Warrant shares issuable to Platinum upon exercise of common stock warrants by Platinum</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upon exchange of Series A Preferred under the terms of the October 11, 2012 Note</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Exchange and Purchase Agreement</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375,000</w:t>
            </w:r>
          </w:p>
        </w:tc>
      </w:tr>
      <w:tr>
        <w:trPr>
          <w:trHeight w:val="170"/>
        </w:trPr>
        <w:tc>
          <w:tcPr>
            <w:tcW w:w="87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Outstanding options under the 2008 and 1999 Stock Incentive Plans</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207,638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212,486</w:t>
            </w:r>
          </w:p>
        </w:tc>
      </w:tr>
      <w:tr>
        <w:trPr>
          <w:trHeight w:val="170"/>
        </w:trPr>
        <w:tc>
          <w:tcPr>
            <w:tcW w:w="87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Outstanding warrants to purchase common stock</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1,544,474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854,782</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Exchange Note and Investment Notes issued to Platinum in October 2012,</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9"/>
        </w:trPr>
        <w:tc>
          <w:tcPr>
            <w:tcW w:w="8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February 2013 and March 2013, including accrued interest through March 31, 2015</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872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 xml:space="preserve">and 2014, respectively </w:t>
            </w:r>
            <w:r>
              <w:rPr>
                <w:rFonts w:ascii="Arial" w:cs="Arial" w:eastAsia="Arial" w:hAnsi="Arial"/>
                <w:sz w:val="19"/>
                <w:szCs w:val="19"/>
                <w:color w:val="auto"/>
                <w:vertAlign w:val="superscript"/>
              </w:rPr>
              <w:t>(2)</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414,615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374,798</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note issued to Platinum on July 26, 2013, including accrued interest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through March 31, 2015 and 2014, respectively</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29,620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26,776</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8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10% convertible notes issued as a component of Unit Private Placements, including accrued interest through March 31, 2014</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3"/>
        </w:trPr>
        <w:tc>
          <w:tcPr>
            <w:tcW w:w="872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 xml:space="preserve">accrued interest through March 31, 2015 and 2014, respectively </w:t>
            </w:r>
            <w:r>
              <w:rPr>
                <w:rFonts w:ascii="Arial" w:cs="Arial" w:eastAsia="Arial" w:hAnsi="Arial"/>
                <w:sz w:val="19"/>
                <w:szCs w:val="19"/>
                <w:color w:val="auto"/>
                <w:vertAlign w:val="superscript"/>
              </w:rPr>
              <w:t>(3)</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433,758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109,341</w:t>
            </w:r>
          </w:p>
        </w:tc>
      </w:tr>
      <w:tr>
        <w:trPr>
          <w:trHeight w:val="170"/>
        </w:trPr>
        <w:tc>
          <w:tcPr>
            <w:tcW w:w="8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3,755,105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2,703,183</w:t>
            </w:r>
          </w:p>
        </w:tc>
      </w:tr>
      <w:tr>
        <w:trPr>
          <w:trHeight w:val="150"/>
        </w:trPr>
        <w:tc>
          <w:tcPr>
            <w:tcW w:w="8720" w:type="dxa"/>
            <w:vAlign w:val="bottom"/>
            <w:tcBorders>
              <w:top w:val="single" w:sz="8" w:color="CCEEFF"/>
            </w:tcBorders>
          </w:tcPr>
          <w:p>
            <w:pPr>
              <w:spacing w:after="0" w:line="150" w:lineRule="exact"/>
              <w:rPr>
                <w:sz w:val="20"/>
                <w:szCs w:val="20"/>
                <w:color w:val="auto"/>
              </w:rPr>
            </w:pPr>
            <w:r>
              <w:rPr>
                <w:rFonts w:ascii="Arial" w:cs="Arial" w:eastAsia="Arial" w:hAnsi="Arial"/>
                <w:sz w:val="14"/>
                <w:szCs w:val="14"/>
                <w:color w:val="auto"/>
              </w:rPr>
              <w:t>____________</w:t>
            </w:r>
          </w:p>
        </w:tc>
        <w:tc>
          <w:tcPr>
            <w:tcW w:w="12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bl>
    <w:p>
      <w:pPr>
        <w:ind w:left="160" w:hanging="155"/>
        <w:spacing w:after="0" w:line="190" w:lineRule="auto"/>
        <w:tabs>
          <w:tab w:leader="none" w:pos="160" w:val="left"/>
        </w:tabs>
        <w:numPr>
          <w:ilvl w:val="0"/>
          <w:numId w:val="81"/>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81"/>
        </w:numPr>
        <w:rPr>
          <w:rFonts w:ascii="Arial" w:cs="Arial" w:eastAsia="Arial" w:hAnsi="Arial"/>
          <w:sz w:val="19"/>
          <w:szCs w:val="19"/>
          <w:color w:val="auto"/>
          <w:vertAlign w:val="superscript"/>
        </w:rPr>
      </w:pPr>
      <w:r>
        <w:rPr>
          <w:rFonts w:ascii="Arial" w:cs="Arial" w:eastAsia="Arial" w:hAnsi="Arial"/>
          <w:sz w:val="13"/>
          <w:szCs w:val="13"/>
          <w:color w:val="auto"/>
        </w:rPr>
        <w:t>Assumes conversion under the terms of the October 11, 2012 Note Exchange and Purchase Agreement with Platinum and the terms of the individual notes</w:t>
      </w:r>
    </w:p>
    <w:p>
      <w:pPr>
        <w:spacing w:after="0" w:line="1"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81"/>
        </w:numPr>
        <w:rPr>
          <w:rFonts w:ascii="Arial" w:cs="Arial" w:eastAsia="Arial" w:hAnsi="Arial"/>
          <w:sz w:val="19"/>
          <w:szCs w:val="19"/>
          <w:color w:val="auto"/>
          <w:vertAlign w:val="superscript"/>
        </w:rPr>
      </w:pPr>
      <w:r>
        <w:rPr>
          <w:rFonts w:ascii="Arial" w:cs="Arial" w:eastAsia="Arial" w:hAnsi="Arial"/>
          <w:sz w:val="13"/>
          <w:szCs w:val="13"/>
          <w:color w:val="auto"/>
        </w:rPr>
        <w:t>Excludes effect of conversion premium upon conversion into securities which may be issued in a Qualified Financing, as defined in the notes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7" w:name="page158"/>
    <w:bookmarkEnd w:id="15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9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In May 2014, the Financial Accounting Standards Board (</w:t>
      </w:r>
      <w:r>
        <w:rPr>
          <w:rFonts w:ascii="Arial" w:cs="Arial" w:eastAsia="Arial" w:hAnsi="Arial"/>
          <w:sz w:val="14"/>
          <w:szCs w:val="14"/>
          <w:i w:val="1"/>
          <w:iCs w:val="1"/>
          <w:color w:val="auto"/>
        </w:rPr>
        <w:t>FASB</w:t>
      </w:r>
      <w:r>
        <w:rPr>
          <w:rFonts w:ascii="Arial" w:cs="Arial" w:eastAsia="Arial" w:hAnsi="Arial"/>
          <w:sz w:val="14"/>
          <w:szCs w:val="14"/>
          <w:color w:val="auto"/>
        </w:rPr>
        <w:t>) issued Accounting Standards Update (</w:t>
      </w:r>
      <w:r>
        <w:rPr>
          <w:rFonts w:ascii="Arial" w:cs="Arial" w:eastAsia="Arial" w:hAnsi="Arial"/>
          <w:sz w:val="14"/>
          <w:szCs w:val="14"/>
          <w:i w:val="1"/>
          <w:iCs w:val="1"/>
          <w:color w:val="auto"/>
        </w:rPr>
        <w:t>ASU</w:t>
      </w:r>
      <w:r>
        <w:rPr>
          <w:rFonts w:ascii="Arial" w:cs="Arial" w:eastAsia="Arial" w:hAnsi="Arial"/>
          <w:sz w:val="14"/>
          <w:szCs w:val="14"/>
          <w:color w:val="auto"/>
        </w:rPr>
        <w:t xml:space="preserv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which supersedes the revenue recognition requirements in ASC 605, Revenue Recognition.</w:t>
      </w:r>
      <w:r>
        <w:rPr>
          <w:rFonts w:ascii="Arial" w:cs="Arial" w:eastAsia="Arial" w:hAnsi="Arial"/>
          <w:sz w:val="14"/>
          <w:szCs w:val="14"/>
          <w:i w:val="1"/>
          <w:iCs w:val="1"/>
          <w:color w:val="auto"/>
        </w:rPr>
        <w:t>,</w:t>
      </w:r>
      <w:r>
        <w:rPr>
          <w:rFonts w:ascii="Arial" w:cs="Arial" w:eastAsia="Arial" w:hAnsi="Arial"/>
          <w:sz w:val="14"/>
          <w:szCs w:val="14"/>
          <w:color w:val="auto"/>
        </w:rPr>
        <w:t xml:space="preserve"> The amendment in this ASU provides 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The ASU is effective for public entities for annual and interim periods beginning after December 15, 2016 (the first quarter of our fiscal year ending March 31, 2018). In April 2015, the FASB proposed to defer for one year the effective date of the new revenue standard, with an option that would permit companies to adopt the standard as early as the original effective date. Early adoption prior to the original effective date is not permitted. We have not determined the potential effects of adopting this ASU on our consolidated financial statements.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 xml:space="preserve">In June 2014, the FASB issued ASU No. 2014-10, </w:t>
      </w:r>
      <w:r>
        <w:rPr>
          <w:rFonts w:ascii="Arial" w:cs="Arial" w:eastAsia="Arial" w:hAnsi="Arial"/>
          <w:sz w:val="14"/>
          <w:szCs w:val="14"/>
          <w:i w:val="1"/>
          <w:iCs w:val="1"/>
          <w:color w:val="auto"/>
        </w:rPr>
        <w:t>Development Stage Entities (Topic 915): Elimination of Certain Financial Reporting Requirements, Including an Amendment to Variable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Entities Guidance in Topic 810, Consolidation</w:t>
      </w:r>
      <w:r>
        <w:rPr>
          <w:rFonts w:ascii="Arial" w:cs="Arial" w:eastAsia="Arial" w:hAnsi="Arial"/>
          <w:sz w:val="14"/>
          <w:szCs w:val="14"/>
          <w:color w:val="auto"/>
        </w:rPr>
        <w:t>. The amendments in this ASU remove all incremental financial reporting requirements for development stage entities. Among other changes, this ASU no</w:t>
      </w:r>
      <w:r>
        <w:rPr>
          <w:rFonts w:ascii="Arial" w:cs="Arial" w:eastAsia="Arial" w:hAnsi="Arial"/>
          <w:sz w:val="14"/>
          <w:szCs w:val="14"/>
          <w:i w:val="1"/>
          <w:iCs w:val="1"/>
          <w:color w:val="auto"/>
        </w:rPr>
        <w:t xml:space="preserve"> </w:t>
      </w:r>
      <w:r>
        <w:rPr>
          <w:rFonts w:ascii="Arial" w:cs="Arial" w:eastAsia="Arial" w:hAnsi="Arial"/>
          <w:sz w:val="14"/>
          <w:szCs w:val="14"/>
          <w:color w:val="auto"/>
        </w:rPr>
        <w:t>longer requires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with early adoption permitted. We have adopted ASU 2014-10 effective with our fiscal year beginning April 1, 2014 and, accordingly, have eliminated inception-to-date information in the accompanying Consolidated Statements of Operations and Comprehensive Loss and Consolidated Statements of Cash Flows.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3"/>
          <w:szCs w:val="13"/>
          <w:color w:val="auto"/>
        </w:rPr>
        <w:t xml:space="preserve">In August 2014, the FASB issued ASU No. 2014-15, </w:t>
      </w:r>
      <w:r>
        <w:rPr>
          <w:rFonts w:ascii="Arial" w:cs="Arial" w:eastAsia="Arial" w:hAnsi="Arial"/>
          <w:sz w:val="13"/>
          <w:szCs w:val="13"/>
          <w:i w:val="1"/>
          <w:iCs w:val="1"/>
          <w:color w:val="auto"/>
        </w:rPr>
        <w:t>Presentation of Financial Statements—Going Concern (Subtopic 205-40): Disclosure of Uncertainties about an Entity’s Ability to Continue as a</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Going Concern. </w:t>
      </w:r>
      <w:r>
        <w:rPr>
          <w:rFonts w:ascii="Arial" w:cs="Arial" w:eastAsia="Arial" w:hAnsi="Arial"/>
          <w:sz w:val="13"/>
          <w:szCs w:val="13"/>
          <w:color w:val="auto"/>
        </w:rPr>
        <w:t>The amendments in this ASU define when and how an entity is required to disclose going concern uncertainties, which must be evaluated each interim and annual period. Specifically,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3"/>
          <w:szCs w:val="13"/>
          <w:i w:val="1"/>
          <w:iCs w:val="1"/>
          <w:color w:val="auto"/>
        </w:rPr>
        <w:t>Contingencies</w:t>
      </w:r>
      <w:r>
        <w:rPr>
          <w:rFonts w:ascii="Arial" w:cs="Arial" w:eastAsia="Arial" w:hAnsi="Arial"/>
          <w:sz w:val="13"/>
          <w:szCs w:val="13"/>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2015, our auditors indicated that there was substantial doubt about our ability to continue as a going concern. Although we have not yet adopted ASU 2014-15, we have indicated in Note 2, </w:t>
      </w:r>
      <w:r>
        <w:rPr>
          <w:rFonts w:ascii="Arial" w:cs="Arial" w:eastAsia="Arial" w:hAnsi="Arial"/>
          <w:sz w:val="13"/>
          <w:szCs w:val="13"/>
          <w:i w:val="1"/>
          <w:iCs w:val="1"/>
          <w:color w:val="auto"/>
        </w:rPr>
        <w:t>Basis of Presentation and Going Concern</w:t>
      </w:r>
      <w:r>
        <w:rPr>
          <w:rFonts w:ascii="Arial" w:cs="Arial" w:eastAsia="Arial" w:hAnsi="Arial"/>
          <w:sz w:val="13"/>
          <w:szCs w:val="13"/>
          <w:color w:val="auto"/>
        </w:rPr>
        <w:t>, steps we have taken to eliminate certain of our indebtedness and raise additional financing that is expected to permit us to continue our operations for at least one year.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58" w:name="page159"/>
    <w:bookmarkEnd w:id="15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Fair Value Measurements</w:t>
      </w:r>
    </w:p>
    <w:p>
      <w:pPr>
        <w:spacing w:after="0" w:line="191"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color w:val="auto"/>
        </w:rPr>
        <w:t>We follow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56" w:lineRule="exact"/>
        <w:rPr>
          <w:sz w:val="20"/>
          <w:szCs w:val="20"/>
          <w:color w:val="auto"/>
        </w:rPr>
      </w:pPr>
    </w:p>
    <w:p>
      <w:pPr>
        <w:ind w:left="660" w:right="360" w:hanging="250"/>
        <w:spacing w:after="0" w:line="215" w:lineRule="auto"/>
        <w:tabs>
          <w:tab w:leader="none" w:pos="660" w:val="left"/>
        </w:tabs>
        <w:numPr>
          <w:ilvl w:val="0"/>
          <w:numId w:val="82"/>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 Quoted prices (unadjusted) in active markets that are accessible at the measurement date for assets or liabilities. The fair value hierarchy gives the highest priority to Level 1</w:t>
      </w:r>
      <w:r>
        <w:rPr>
          <w:rFonts w:ascii="Arial" w:cs="Arial" w:eastAsia="Arial" w:hAnsi="Arial"/>
          <w:sz w:val="14"/>
          <w:szCs w:val="14"/>
          <w:i w:val="1"/>
          <w:iCs w:val="1"/>
          <w:color w:val="auto"/>
        </w:rPr>
        <w:t xml:space="preserve"> </w:t>
      </w:r>
      <w:r>
        <w:rPr>
          <w:rFonts w:ascii="Arial" w:cs="Arial" w:eastAsia="Arial" w:hAnsi="Arial"/>
          <w:sz w:val="14"/>
          <w:szCs w:val="14"/>
          <w:color w:val="auto"/>
        </w:rPr>
        <w:t>inputs.</w:t>
      </w:r>
    </w:p>
    <w:p>
      <w:pPr>
        <w:spacing w:after="0" w:line="182" w:lineRule="exact"/>
        <w:rPr>
          <w:rFonts w:ascii="Arial" w:cs="Arial" w:eastAsia="Arial" w:hAnsi="Arial"/>
          <w:sz w:val="20"/>
          <w:szCs w:val="20"/>
          <w:color w:val="auto"/>
          <w:vertAlign w:val="superscript"/>
        </w:rPr>
      </w:pPr>
    </w:p>
    <w:p>
      <w:pPr>
        <w:ind w:left="660" w:right="20" w:hanging="250"/>
        <w:spacing w:after="0" w:line="215" w:lineRule="auto"/>
        <w:tabs>
          <w:tab w:leader="none" w:pos="660" w:val="left"/>
        </w:tabs>
        <w:numPr>
          <w:ilvl w:val="0"/>
          <w:numId w:val="82"/>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other than Level 1 that are observable, either directly or indirectly, such as quoted prices for similar assets or liabilities; quoted prices in markets that are not active; or other</w:t>
      </w:r>
      <w:r>
        <w:rPr>
          <w:rFonts w:ascii="Arial" w:cs="Arial" w:eastAsia="Arial" w:hAnsi="Arial"/>
          <w:sz w:val="14"/>
          <w:szCs w:val="14"/>
          <w:i w:val="1"/>
          <w:iCs w:val="1"/>
          <w:color w:val="auto"/>
        </w:rPr>
        <w:t xml:space="preserve"> </w:t>
      </w:r>
      <w:r>
        <w:rPr>
          <w:rFonts w:ascii="Arial" w:cs="Arial" w:eastAsia="Arial" w:hAnsi="Arial"/>
          <w:sz w:val="14"/>
          <w:szCs w:val="14"/>
          <w:color w:val="auto"/>
        </w:rPr>
        <w:t>inputs that are observable or can be corroborated by observable market data for substantially the full term of the assets or liabilities.</w:t>
      </w:r>
    </w:p>
    <w:p>
      <w:pPr>
        <w:spacing w:after="0" w:line="182" w:lineRule="exact"/>
        <w:rPr>
          <w:rFonts w:ascii="Arial" w:cs="Arial" w:eastAsia="Arial" w:hAnsi="Arial"/>
          <w:sz w:val="20"/>
          <w:szCs w:val="20"/>
          <w:color w:val="auto"/>
          <w:vertAlign w:val="superscript"/>
        </w:rPr>
      </w:pPr>
    </w:p>
    <w:p>
      <w:pPr>
        <w:ind w:left="660" w:right="280" w:hanging="250"/>
        <w:spacing w:after="0" w:line="215" w:lineRule="auto"/>
        <w:tabs>
          <w:tab w:leader="none" w:pos="660" w:val="left"/>
        </w:tabs>
        <w:numPr>
          <w:ilvl w:val="0"/>
          <w:numId w:val="82"/>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Unobservable inputs (</w:t>
      </w:r>
      <w:r>
        <w:rPr>
          <w:rFonts w:ascii="Arial" w:cs="Arial" w:eastAsia="Arial" w:hAnsi="Arial"/>
          <w:sz w:val="14"/>
          <w:szCs w:val="14"/>
          <w:i w:val="1"/>
          <w:iCs w:val="1"/>
          <w:color w:val="auto"/>
        </w:rPr>
        <w:t xml:space="preserve">i.e., </w:t>
      </w:r>
      <w:r>
        <w:rPr>
          <w:rFonts w:ascii="Arial" w:cs="Arial" w:eastAsia="Arial" w:hAnsi="Arial"/>
          <w:sz w:val="14"/>
          <w:szCs w:val="14"/>
          <w:color w:val="auto"/>
        </w:rPr>
        <w:t>inputs that reflect the reporting entity’s own assumptions about the assumptions that market participants would use in estimating the fair value of an</w:t>
      </w:r>
      <w:r>
        <w:rPr>
          <w:rFonts w:ascii="Arial" w:cs="Arial" w:eastAsia="Arial" w:hAnsi="Arial"/>
          <w:sz w:val="14"/>
          <w:szCs w:val="14"/>
          <w:i w:val="1"/>
          <w:iCs w:val="1"/>
          <w:color w:val="auto"/>
        </w:rPr>
        <w:t xml:space="preserve"> </w:t>
      </w:r>
      <w:r>
        <w:rPr>
          <w:rFonts w:ascii="Arial" w:cs="Arial" w:eastAsia="Arial" w:hAnsi="Arial"/>
          <w:sz w:val="14"/>
          <w:szCs w:val="14"/>
          <w:color w:val="auto"/>
        </w:rPr>
        <w:t>asset or liability) are used when little or no market data is available. The fair value hierarchy gives the lowest priority to Level 3 inputs.</w:t>
      </w:r>
    </w:p>
    <w:p>
      <w:pPr>
        <w:spacing w:after="0" w:line="182" w:lineRule="exact"/>
        <w:rPr>
          <w:sz w:val="20"/>
          <w:szCs w:val="20"/>
          <w:color w:val="auto"/>
        </w:rPr>
      </w:pPr>
    </w:p>
    <w:p>
      <w:pPr>
        <w:ind w:right="240"/>
        <w:spacing w:after="0" w:line="26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 xml:space="preserve">We do not use derivative instruments for hedging of market risks or for trading or speculative purposes. In conjunction with the Senior Secured Convertible Promissory Notes issued to Platinum between October 2012 and July 2013 and the related Platinum Warrants (see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xml:space="preserve">), and the contingently issuable Series A Exchange Warrant (see Note 9, </w:t>
      </w:r>
      <w:r>
        <w:rPr>
          <w:rFonts w:ascii="Arial" w:cs="Arial" w:eastAsia="Arial" w:hAnsi="Arial"/>
          <w:sz w:val="14"/>
          <w:szCs w:val="14"/>
          <w:i w:val="1"/>
          <w:iCs w:val="1"/>
          <w:color w:val="auto"/>
        </w:rPr>
        <w:t>Capital Stock</w:t>
      </w:r>
      <w:r>
        <w:rPr>
          <w:rFonts w:ascii="Arial" w:cs="Arial" w:eastAsia="Arial" w:hAnsi="Arial"/>
          <w:sz w:val="14"/>
          <w:szCs w:val="14"/>
          <w:color w:val="auto"/>
        </w:rPr>
        <w:t>), we determined that the warrants included certain exercise price adjustment features requiring the warrants to be treated as liabilities, which were recorded at their issuance-date estimated fair values. We determined the fair value of the warrant liabilities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80" w:type="dxa"/>
            <w:vAlign w:val="bottom"/>
          </w:tcPr>
          <w:p>
            <w:pPr>
              <w:spacing w:after="0"/>
              <w:rPr>
                <w:sz w:val="20"/>
                <w:szCs w:val="20"/>
                <w:color w:val="auto"/>
              </w:rPr>
            </w:pPr>
            <w:r>
              <w:rPr>
                <w:rFonts w:ascii="Arial" w:cs="Arial" w:eastAsia="Arial" w:hAnsi="Arial"/>
                <w:sz w:val="14"/>
                <w:szCs w:val="14"/>
                <w:color w:val="auto"/>
                <w:w w:val="94"/>
              </w:rPr>
              <w:t>The fair value hierarchy for liabilities measured at fair value on a recurring basis is as follows: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5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 at Reporting Date Using</w:t>
            </w:r>
          </w:p>
        </w:tc>
      </w:tr>
      <w:tr>
        <w:trPr>
          <w:trHeight w:val="156"/>
        </w:trPr>
        <w:tc>
          <w:tcPr>
            <w:tcW w:w="5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9"/>
              </w:rPr>
              <w:t>Quoted Prices in</w:t>
            </w: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5"/>
              </w:rPr>
              <w:t>Active Markets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6"/>
              </w:rPr>
              <w:t>for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Unobservable</w:t>
            </w: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5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172"/>
        </w:trPr>
        <w:tc>
          <w:tcPr>
            <w:tcW w:w="5480" w:type="dxa"/>
            <w:vAlign w:val="bottom"/>
          </w:tcPr>
          <w:p>
            <w:pPr>
              <w:spacing w:after="0"/>
              <w:rPr>
                <w:sz w:val="20"/>
                <w:szCs w:val="20"/>
                <w:color w:val="auto"/>
              </w:rPr>
            </w:pPr>
            <w:r>
              <w:rPr>
                <w:rFonts w:ascii="Arial" w:cs="Arial" w:eastAsia="Arial" w:hAnsi="Arial"/>
                <w:sz w:val="14"/>
                <w:szCs w:val="14"/>
                <w:color w:val="auto"/>
              </w:rPr>
              <w:t>March 31, 2015:</w:t>
            </w:r>
          </w:p>
        </w:tc>
        <w:tc>
          <w:tcPr>
            <w:tcW w:w="6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7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1320" w:type="dxa"/>
            <w:vAlign w:val="bottom"/>
            <w:gridSpan w:val="2"/>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4"/>
              </w:rPr>
              <w:t>-</w:t>
            </w: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3,008,500</w:t>
            </w:r>
          </w:p>
        </w:tc>
      </w:tr>
      <w:tr>
        <w:trPr>
          <w:trHeight w:val="153"/>
        </w:trPr>
        <w:tc>
          <w:tcPr>
            <w:tcW w:w="548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March 31, 2014:</w:t>
            </w:r>
          </w:p>
        </w:tc>
        <w:tc>
          <w:tcPr>
            <w:tcW w:w="6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5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2,973,900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2,973,900</w:t>
            </w:r>
          </w:p>
        </w:tc>
      </w:tr>
      <w:tr>
        <w:trPr>
          <w:trHeight w:val="461"/>
        </w:trPr>
        <w:tc>
          <w:tcPr>
            <w:tcW w:w="54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ind w:left="120"/>
              <w:spacing w:after="0"/>
              <w:rPr>
                <w:sz w:val="20"/>
                <w:szCs w:val="20"/>
                <w:color w:val="auto"/>
              </w:rPr>
            </w:pPr>
            <w:r>
              <w:rPr>
                <w:rFonts w:ascii="Arial" w:cs="Arial" w:eastAsia="Arial" w:hAnsi="Arial"/>
                <w:sz w:val="14"/>
                <w:szCs w:val="14"/>
                <w:color w:val="auto"/>
              </w:rPr>
              <w:t>F-16</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54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9" w:name="page160"/>
    <w:bookmarkEnd w:id="15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During the fiscal years ended March 31, 2015 and 2014, there were no significant changes to the valuation models used for purposes of determining the fair value of the Level 3 warrant liability.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80" w:type="dxa"/>
            <w:vAlign w:val="bottom"/>
          </w:tcPr>
          <w:p>
            <w:pPr>
              <w:spacing w:after="0"/>
              <w:rPr>
                <w:sz w:val="20"/>
                <w:szCs w:val="20"/>
                <w:color w:val="auto"/>
              </w:rPr>
            </w:pPr>
            <w:r>
              <w:rPr>
                <w:rFonts w:ascii="Arial" w:cs="Arial" w:eastAsia="Arial" w:hAnsi="Arial"/>
                <w:sz w:val="14"/>
                <w:szCs w:val="14"/>
                <w:color w:val="auto"/>
              </w:rPr>
              <w:t>The changes in Level 3 liabilities measured at fair value on a recurring basis are as follows: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8"/>
        </w:trPr>
        <w:tc>
          <w:tcPr>
            <w:tcW w:w="10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Measurements</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Using Significant</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Unobservable</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w:t>
            </w:r>
          </w:p>
        </w:tc>
      </w:tr>
      <w:tr>
        <w:trPr>
          <w:trHeight w:val="186"/>
        </w:trPr>
        <w:tc>
          <w:tcPr>
            <w:tcW w:w="10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r>
      <w:tr>
        <w:trPr>
          <w:trHeight w:val="172"/>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Warrant Liability</w:t>
            </w:r>
          </w:p>
        </w:tc>
        <w:tc>
          <w:tcPr>
            <w:tcW w:w="100" w:type="dxa"/>
            <w:vAlign w:val="bottom"/>
          </w:tcPr>
          <w:p>
            <w:pPr>
              <w:spacing w:after="0"/>
              <w:rPr>
                <w:sz w:val="14"/>
                <w:szCs w:val="14"/>
                <w:color w:val="auto"/>
              </w:rPr>
            </w:pP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Balance at March 31, 2013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6,394,000</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Recognition of warrant liability upon issuance of Senior Secured Convertible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Promissory Note and warrant to Platinum on July 26, 2013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146,800</w:t>
            </w: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Mark to market gain included in net 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(3,566,900)</w:t>
            </w: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Balance at March 31, 2014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2,973,900</w:t>
            </w:r>
          </w:p>
        </w:tc>
      </w:tr>
      <w:tr>
        <w:trPr>
          <w:trHeight w:val="172"/>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Mark to market loss included in net loss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34,600</w:t>
            </w:r>
          </w:p>
        </w:tc>
      </w:tr>
      <w:tr>
        <w:trPr>
          <w:trHeight w:val="170"/>
        </w:trPr>
        <w:tc>
          <w:tcPr>
            <w:tcW w:w="100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March 31, 2015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1" w:lineRule="exact"/>
        <w:rPr>
          <w:sz w:val="20"/>
          <w:szCs w:val="20"/>
          <w:color w:val="auto"/>
        </w:rPr>
      </w:pPr>
    </w:p>
    <w:p>
      <w:pPr>
        <w:ind w:right="480"/>
        <w:spacing w:after="0" w:line="298" w:lineRule="auto"/>
        <w:rPr>
          <w:sz w:val="20"/>
          <w:szCs w:val="20"/>
          <w:color w:val="auto"/>
        </w:rPr>
      </w:pPr>
      <w:r>
        <w:rPr>
          <w:rFonts w:ascii="Arial" w:cs="Arial" w:eastAsia="Arial" w:hAnsi="Arial"/>
          <w:sz w:val="13"/>
          <w:szCs w:val="13"/>
          <w:color w:val="auto"/>
        </w:rPr>
        <w:t xml:space="preserve">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No assets or other liabilities were measured on a recurring basis at fair value at March 31, 2015 or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20"/>
                <w:szCs w:val="20"/>
                <w:color w:val="auto"/>
              </w:rPr>
            </w:pPr>
            <w:r>
              <w:rPr>
                <w:rFonts w:ascii="Arial" w:cs="Arial" w:eastAsia="Arial" w:hAnsi="Arial"/>
                <w:sz w:val="14"/>
                <w:szCs w:val="14"/>
                <w:b w:val="1"/>
                <w:bCs w:val="1"/>
                <w:color w:val="auto"/>
              </w:rPr>
              <w:t>5. Prepaid Expenses and Other Current Assets</w:t>
            </w:r>
          </w:p>
        </w:tc>
        <w:tc>
          <w:tcPr>
            <w:tcW w:w="4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4680" w:type="dxa"/>
            <w:vAlign w:val="bottom"/>
          </w:tcPr>
          <w:p>
            <w:pPr>
              <w:spacing w:after="0"/>
              <w:rPr>
                <w:sz w:val="20"/>
                <w:szCs w:val="20"/>
                <w:color w:val="auto"/>
              </w:rPr>
            </w:pPr>
            <w:r>
              <w:rPr>
                <w:rFonts w:ascii="Arial" w:cs="Arial" w:eastAsia="Arial" w:hAnsi="Arial"/>
                <w:sz w:val="14"/>
                <w:szCs w:val="14"/>
                <w:color w:val="auto"/>
              </w:rPr>
              <w:t>Prepaid expenses and other current assets consist of the following:</w:t>
            </w:r>
          </w:p>
        </w:tc>
        <w:tc>
          <w:tcPr>
            <w:tcW w:w="4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4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4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Insurance</w:t>
            </w:r>
          </w:p>
        </w:tc>
        <w:tc>
          <w:tcPr>
            <w:tcW w:w="490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8"/>
              </w:rPr>
              <w:t>27,300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21,800</w:t>
            </w:r>
          </w:p>
        </w:tc>
      </w:tr>
      <w:tr>
        <w:trPr>
          <w:trHeight w:val="170"/>
        </w:trPr>
        <w:tc>
          <w:tcPr>
            <w:tcW w:w="4680" w:type="dxa"/>
            <w:vAlign w:val="bottom"/>
          </w:tcPr>
          <w:p>
            <w:pPr>
              <w:spacing w:after="0"/>
              <w:rPr>
                <w:sz w:val="20"/>
                <w:szCs w:val="20"/>
                <w:color w:val="auto"/>
              </w:rPr>
            </w:pPr>
            <w:r>
              <w:rPr>
                <w:rFonts w:ascii="Arial" w:cs="Arial" w:eastAsia="Arial" w:hAnsi="Arial"/>
                <w:sz w:val="14"/>
                <w:szCs w:val="14"/>
                <w:color w:val="auto"/>
              </w:rPr>
              <w:t>Legal fees</w:t>
            </w: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3,400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3,400</w:t>
            </w:r>
          </w:p>
        </w:tc>
      </w:tr>
      <w:tr>
        <w:trPr>
          <w:trHeight w:val="170"/>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Interest receivable on note receivable from sale</w:t>
            </w:r>
          </w:p>
        </w:tc>
        <w:tc>
          <w:tcPr>
            <w:tcW w:w="4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680" w:type="dxa"/>
            <w:vAlign w:val="bottom"/>
          </w:tcPr>
          <w:p>
            <w:pPr>
              <w:spacing w:after="0"/>
              <w:rPr>
                <w:sz w:val="20"/>
                <w:szCs w:val="20"/>
                <w:color w:val="auto"/>
              </w:rPr>
            </w:pPr>
            <w:r>
              <w:rPr>
                <w:rFonts w:ascii="Arial" w:cs="Arial" w:eastAsia="Arial" w:hAnsi="Arial"/>
                <w:sz w:val="14"/>
                <w:szCs w:val="14"/>
                <w:color w:val="auto"/>
              </w:rPr>
              <w:t>of common stock</w:t>
            </w: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2,800</w:t>
            </w:r>
          </w:p>
        </w:tc>
      </w:tr>
      <w:tr>
        <w:trPr>
          <w:trHeight w:val="172"/>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Technology license fees and all other</w:t>
            </w:r>
          </w:p>
        </w:tc>
        <w:tc>
          <w:tcPr>
            <w:tcW w:w="4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12,500</w:t>
            </w:r>
          </w:p>
        </w:tc>
      </w:tr>
      <w:tr>
        <w:trPr>
          <w:trHeight w:val="170"/>
        </w:trPr>
        <w:tc>
          <w:tcPr>
            <w:tcW w:w="4680" w:type="dxa"/>
            <w:vAlign w:val="bottom"/>
            <w:tcBorders>
              <w:top w:val="single" w:sz="8" w:color="CCEEFF"/>
            </w:tcBorders>
          </w:tcPr>
          <w:p>
            <w:pPr>
              <w:spacing w:after="0"/>
              <w:rPr>
                <w:sz w:val="14"/>
                <w:szCs w:val="14"/>
                <w:color w:val="auto"/>
              </w:rPr>
            </w:pPr>
          </w:p>
        </w:tc>
        <w:tc>
          <w:tcPr>
            <w:tcW w:w="416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8"/>
              </w:rPr>
              <w:t>35,700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40,500</w:t>
            </w:r>
          </w:p>
        </w:tc>
      </w:tr>
      <w:tr>
        <w:trPr>
          <w:trHeight w:val="461"/>
        </w:trPr>
        <w:tc>
          <w:tcPr>
            <w:tcW w:w="4680" w:type="dxa"/>
            <w:vAlign w:val="bottom"/>
            <w:tcBorders>
              <w:top w:val="single" w:sz="8" w:color="CCEEFF"/>
            </w:tcBorders>
          </w:tcPr>
          <w:p>
            <w:pPr>
              <w:spacing w:after="0"/>
              <w:rPr>
                <w:sz w:val="24"/>
                <w:szCs w:val="24"/>
                <w:color w:val="auto"/>
              </w:rPr>
            </w:pPr>
          </w:p>
        </w:tc>
        <w:tc>
          <w:tcPr>
            <w:tcW w:w="4160" w:type="dxa"/>
            <w:vAlign w:val="bottom"/>
            <w:tcBorders>
              <w:top w:val="single" w:sz="8" w:color="CCEEFF"/>
            </w:tcBorders>
          </w:tcPr>
          <w:p>
            <w:pPr>
              <w:ind w:left="920"/>
              <w:spacing w:after="0"/>
              <w:rPr>
                <w:sz w:val="20"/>
                <w:szCs w:val="20"/>
                <w:color w:val="auto"/>
              </w:rPr>
            </w:pPr>
            <w:r>
              <w:rPr>
                <w:rFonts w:ascii="Arial" w:cs="Arial" w:eastAsia="Arial" w:hAnsi="Arial"/>
                <w:sz w:val="14"/>
                <w:szCs w:val="14"/>
                <w:color w:val="auto"/>
              </w:rPr>
              <w:t>F-17</w:t>
            </w: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680" w:type="dxa"/>
            <w:vAlign w:val="bottom"/>
            <w:tcBorders>
              <w:bottom w:val="single" w:sz="8" w:color="808080"/>
            </w:tcBorders>
          </w:tcPr>
          <w:p>
            <w:pPr>
              <w:spacing w:after="0"/>
              <w:rPr>
                <w:sz w:val="7"/>
                <w:szCs w:val="7"/>
                <w:color w:val="auto"/>
              </w:rPr>
            </w:pPr>
          </w:p>
        </w:tc>
        <w:tc>
          <w:tcPr>
            <w:tcW w:w="416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49"/>
        </w:trPr>
        <w:tc>
          <w:tcPr>
            <w:tcW w:w="336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5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5720" w:type="dxa"/>
            <w:vAlign w:val="bottom"/>
            <w:gridSpan w:val="2"/>
          </w:tcPr>
          <w:p>
            <w:pPr>
              <w:jc w:val="right"/>
              <w:ind w:right="2220"/>
              <w:spacing w:after="0"/>
              <w:rPr>
                <w:sz w:val="20"/>
                <w:szCs w:val="20"/>
                <w:color w:val="auto"/>
              </w:rPr>
            </w:pPr>
            <w:r>
              <w:rPr>
                <w:rFonts w:ascii="Arial" w:cs="Arial" w:eastAsia="Arial" w:hAnsi="Arial"/>
                <w:sz w:val="14"/>
                <w:szCs w:val="14"/>
                <w:b w:val="1"/>
                <w:bCs w:val="1"/>
                <w:color w:val="auto"/>
              </w:rPr>
              <w:t>VISTAGEN THERAPEUTICS, INC.</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6. Property and Equipment</w:t>
            </w:r>
          </w:p>
        </w:tc>
        <w:tc>
          <w:tcPr>
            <w:tcW w:w="572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NOTES TO CONSOLIDATED FINANCIAL STATEMENTS</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360" w:type="dxa"/>
            <w:vAlign w:val="bottom"/>
            <w:gridSpan w:val="2"/>
            <w:vMerge w:val="continue"/>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3360" w:type="dxa"/>
            <w:vAlign w:val="bottom"/>
            <w:gridSpan w:val="2"/>
          </w:tcPr>
          <w:p>
            <w:pPr>
              <w:spacing w:after="0"/>
              <w:rPr>
                <w:sz w:val="20"/>
                <w:szCs w:val="20"/>
                <w:color w:val="auto"/>
              </w:rPr>
            </w:pPr>
            <w:r>
              <w:rPr>
                <w:rFonts w:ascii="Arial" w:cs="Arial" w:eastAsia="Arial" w:hAnsi="Arial"/>
                <w:sz w:val="14"/>
                <w:szCs w:val="14"/>
                <w:color w:val="auto"/>
              </w:rPr>
              <w:t>Property and equipment consists of the following:</w:t>
            </w: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5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653,600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653,600</w:t>
            </w:r>
          </w:p>
        </w:tc>
        <w:tc>
          <w:tcPr>
            <w:tcW w:w="0" w:type="dxa"/>
            <w:vAlign w:val="bottom"/>
          </w:tcPr>
          <w:p>
            <w:pPr>
              <w:spacing w:after="0"/>
              <w:rPr>
                <w:sz w:val="1"/>
                <w:szCs w:val="1"/>
                <w:color w:val="auto"/>
              </w:rPr>
            </w:pPr>
          </w:p>
        </w:tc>
      </w:tr>
      <w:tr>
        <w:trPr>
          <w:trHeight w:val="170"/>
        </w:trPr>
        <w:tc>
          <w:tcPr>
            <w:tcW w:w="3360" w:type="dxa"/>
            <w:vAlign w:val="bottom"/>
            <w:gridSpan w:val="2"/>
          </w:tcPr>
          <w:p>
            <w:pPr>
              <w:spacing w:after="0"/>
              <w:rPr>
                <w:sz w:val="20"/>
                <w:szCs w:val="20"/>
                <w:color w:val="auto"/>
              </w:rPr>
            </w:pPr>
            <w:r>
              <w:rPr>
                <w:rFonts w:ascii="Arial" w:cs="Arial" w:eastAsia="Arial" w:hAnsi="Arial"/>
                <w:sz w:val="14"/>
                <w:szCs w:val="14"/>
                <w:color w:val="auto"/>
              </w:rPr>
              <w:t>Tenant improvements</w:t>
            </w: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26,900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26,900</w:t>
            </w: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Computers and network equipment</w:t>
            </w: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32,200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32,200</w:t>
            </w:r>
          </w:p>
        </w:tc>
        <w:tc>
          <w:tcPr>
            <w:tcW w:w="0" w:type="dxa"/>
            <w:vAlign w:val="bottom"/>
          </w:tcPr>
          <w:p>
            <w:pPr>
              <w:spacing w:after="0"/>
              <w:rPr>
                <w:sz w:val="1"/>
                <w:szCs w:val="1"/>
                <w:color w:val="auto"/>
              </w:rPr>
            </w:pPr>
          </w:p>
        </w:tc>
      </w:tr>
      <w:tr>
        <w:trPr>
          <w:trHeight w:val="170"/>
        </w:trPr>
        <w:tc>
          <w:tcPr>
            <w:tcW w:w="3360" w:type="dxa"/>
            <w:vAlign w:val="bottom"/>
            <w:gridSpan w:val="2"/>
          </w:tcPr>
          <w:p>
            <w:pPr>
              <w:spacing w:after="0"/>
              <w:rPr>
                <w:sz w:val="20"/>
                <w:szCs w:val="20"/>
                <w:color w:val="auto"/>
              </w:rPr>
            </w:pPr>
            <w:r>
              <w:rPr>
                <w:rFonts w:ascii="Arial" w:cs="Arial" w:eastAsia="Arial" w:hAnsi="Arial"/>
                <w:sz w:val="14"/>
                <w:szCs w:val="14"/>
                <w:color w:val="auto"/>
              </w:rPr>
              <w:t>Office furniture and equipment</w:t>
            </w: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69,500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69,500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782,200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782,200</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depreciation and amortization</w:t>
            </w: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(665,100)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(605,900)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2460" w:type="dxa"/>
            <w:vAlign w:val="bottom"/>
            <w:tcBorders>
              <w:top w:val="single" w:sz="8" w:color="CCEEFF"/>
            </w:tcBorders>
          </w:tcPr>
          <w:p>
            <w:pPr>
              <w:spacing w:after="0"/>
              <w:rPr>
                <w:sz w:val="14"/>
                <w:szCs w:val="14"/>
                <w:color w:val="auto"/>
              </w:rPr>
            </w:pPr>
          </w:p>
        </w:tc>
        <w:tc>
          <w:tcPr>
            <w:tcW w:w="54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5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117,100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176,300</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 xml:space="preserve">In connection with the issuance of Senior Secured Convertible Promissory Notes to Platinum beginning in October 2012, we entered into a Security Agreement with Platinum under which the repayment of all amounts due under the terms of the various Senior Secured Convertible Promissory Notes is secured by all of our assets, including our tangible and intangible personal property, licenses, patent licenses, trademarks and trademark licenses (see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xml:space="preserve">). As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during May 2015, we entered into an agreement with Platinum pursuant to which Platinum converted all of the Senior Secured Convertible Promissory Notes it held into shares of our newly created Series B Preferred stock and terminated its security interests in our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20"/>
                <w:szCs w:val="20"/>
                <w:color w:val="auto"/>
              </w:rPr>
            </w:pPr>
            <w:r>
              <w:rPr>
                <w:rFonts w:ascii="Arial" w:cs="Arial" w:eastAsia="Arial" w:hAnsi="Arial"/>
                <w:sz w:val="14"/>
                <w:szCs w:val="14"/>
                <w:b w:val="1"/>
                <w:bCs w:val="1"/>
                <w:color w:val="auto"/>
              </w:rPr>
              <w:t>7. Accrued Expenses</w:t>
            </w: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3660" w:type="dxa"/>
            <w:vAlign w:val="bottom"/>
          </w:tcPr>
          <w:p>
            <w:pPr>
              <w:spacing w:after="0"/>
              <w:rPr>
                <w:sz w:val="20"/>
                <w:szCs w:val="20"/>
                <w:color w:val="auto"/>
              </w:rPr>
            </w:pPr>
            <w:r>
              <w:rPr>
                <w:rFonts w:ascii="Arial" w:cs="Arial" w:eastAsia="Arial" w:hAnsi="Arial"/>
                <w:sz w:val="14"/>
                <w:szCs w:val="14"/>
                <w:color w:val="auto"/>
              </w:rPr>
              <w:t>Accrued expenses consist of:</w:t>
            </w:r>
          </w:p>
        </w:tc>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vMerge w:val="restart"/>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Accrued professional services</w:t>
            </w:r>
          </w:p>
        </w:tc>
        <w:tc>
          <w:tcPr>
            <w:tcW w:w="5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213,800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135,700</w:t>
            </w:r>
          </w:p>
        </w:tc>
        <w:tc>
          <w:tcPr>
            <w:tcW w:w="0" w:type="dxa"/>
            <w:vAlign w:val="bottom"/>
          </w:tcPr>
          <w:p>
            <w:pPr>
              <w:spacing w:after="0"/>
              <w:rPr>
                <w:sz w:val="1"/>
                <w:szCs w:val="1"/>
                <w:color w:val="auto"/>
              </w:rPr>
            </w:pPr>
          </w:p>
        </w:tc>
      </w:tr>
      <w:tr>
        <w:trPr>
          <w:trHeight w:val="170"/>
        </w:trPr>
        <w:tc>
          <w:tcPr>
            <w:tcW w:w="3660" w:type="dxa"/>
            <w:vAlign w:val="bottom"/>
          </w:tcPr>
          <w:p>
            <w:pPr>
              <w:spacing w:after="0"/>
              <w:rPr>
                <w:sz w:val="20"/>
                <w:szCs w:val="20"/>
                <w:color w:val="auto"/>
              </w:rPr>
            </w:pPr>
            <w:r>
              <w:rPr>
                <w:rFonts w:ascii="Arial" w:cs="Arial" w:eastAsia="Arial" w:hAnsi="Arial"/>
                <w:sz w:val="14"/>
                <w:szCs w:val="14"/>
                <w:color w:val="auto"/>
              </w:rPr>
              <w:t>Accrued compensation</w:t>
            </w: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990,700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489,900</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All other</w:t>
            </w:r>
          </w:p>
        </w:tc>
        <w:tc>
          <w:tcPr>
            <w:tcW w:w="5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3660" w:type="dxa"/>
            <w:vAlign w:val="bottom"/>
            <w:tcBorders>
              <w:top w:val="single" w:sz="8" w:color="CCEEFF"/>
            </w:tcBorders>
          </w:tcPr>
          <w:p>
            <w:pPr>
              <w:spacing w:after="0"/>
              <w:rPr>
                <w:sz w:val="14"/>
                <w:szCs w:val="14"/>
                <w:color w:val="auto"/>
              </w:rPr>
            </w:pPr>
          </w:p>
        </w:tc>
        <w:tc>
          <w:tcPr>
            <w:tcW w:w="51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1,206,500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625,600</w:t>
            </w:r>
          </w:p>
        </w:tc>
        <w:tc>
          <w:tcPr>
            <w:tcW w:w="0" w:type="dxa"/>
            <w:vAlign w:val="bottom"/>
          </w:tcPr>
          <w:p>
            <w:pPr>
              <w:spacing w:after="0"/>
              <w:rPr>
                <w:sz w:val="1"/>
                <w:szCs w:val="1"/>
                <w:color w:val="auto"/>
              </w:rPr>
            </w:pPr>
          </w:p>
        </w:tc>
      </w:tr>
      <w:tr>
        <w:trPr>
          <w:trHeight w:val="653"/>
        </w:trPr>
        <w:tc>
          <w:tcPr>
            <w:tcW w:w="3660" w:type="dxa"/>
            <w:vAlign w:val="bottom"/>
            <w:tcBorders>
              <w:top w:val="single" w:sz="8" w:color="CCEEFF"/>
            </w:tcBorders>
          </w:tcPr>
          <w:p>
            <w:pPr>
              <w:spacing w:after="0"/>
              <w:rPr>
                <w:sz w:val="24"/>
                <w:szCs w:val="24"/>
                <w:color w:val="auto"/>
              </w:rPr>
            </w:pPr>
          </w:p>
        </w:tc>
        <w:tc>
          <w:tcPr>
            <w:tcW w:w="5180" w:type="dxa"/>
            <w:vAlign w:val="bottom"/>
            <w:tcBorders>
              <w:top w:val="single" w:sz="8" w:color="CCEEFF"/>
            </w:tcBorders>
          </w:tcPr>
          <w:p>
            <w:pPr>
              <w:ind w:left="1940"/>
              <w:spacing w:after="0"/>
              <w:rPr>
                <w:sz w:val="20"/>
                <w:szCs w:val="20"/>
                <w:color w:val="auto"/>
              </w:rPr>
            </w:pPr>
            <w:r>
              <w:rPr>
                <w:rFonts w:ascii="Arial" w:cs="Arial" w:eastAsia="Arial" w:hAnsi="Arial"/>
                <w:sz w:val="14"/>
                <w:szCs w:val="14"/>
                <w:color w:val="auto"/>
              </w:rPr>
              <w:t>F-18</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660" w:type="dxa"/>
            <w:vAlign w:val="bottom"/>
            <w:tcBorders>
              <w:bottom w:val="single" w:sz="8" w:color="808080"/>
            </w:tcBorders>
          </w:tcPr>
          <w:p>
            <w:pPr>
              <w:spacing w:after="0"/>
              <w:rPr>
                <w:sz w:val="7"/>
                <w:szCs w:val="7"/>
                <w:color w:val="auto"/>
              </w:rPr>
            </w:pPr>
          </w:p>
        </w:tc>
        <w:tc>
          <w:tcPr>
            <w:tcW w:w="5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VISTAGEN THERAPEUTICS,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8. Convertible Promissory Notes and Other Notes Payable</w:t>
            </w:r>
          </w:p>
        </w:tc>
        <w:tc>
          <w:tcPr>
            <w:tcW w:w="4120" w:type="dxa"/>
            <w:vAlign w:val="bottom"/>
            <w:gridSpan w:val="11"/>
          </w:tcPr>
          <w:p>
            <w:pPr>
              <w:jc w:val="right"/>
              <w:ind w:right="49"/>
              <w:spacing w:after="0"/>
              <w:rPr>
                <w:sz w:val="20"/>
                <w:szCs w:val="20"/>
                <w:color w:val="auto"/>
              </w:rPr>
            </w:pPr>
            <w:r>
              <w:rPr>
                <w:rFonts w:ascii="Arial" w:cs="Arial" w:eastAsia="Arial" w:hAnsi="Arial"/>
                <w:sz w:val="14"/>
                <w:szCs w:val="14"/>
                <w:b w:val="1"/>
                <w:bCs w:val="1"/>
                <w:color w:val="auto"/>
              </w:rPr>
              <w:t>NOTES TO CONSOLIDATED FINANCIAL STATEMENTS</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8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7500" w:type="dxa"/>
            <w:vAlign w:val="bottom"/>
            <w:gridSpan w:val="13"/>
          </w:tcPr>
          <w:p>
            <w:pPr>
              <w:spacing w:after="0"/>
              <w:rPr>
                <w:sz w:val="20"/>
                <w:szCs w:val="20"/>
                <w:color w:val="auto"/>
              </w:rPr>
            </w:pPr>
            <w:r>
              <w:rPr>
                <w:rFonts w:ascii="Arial" w:cs="Arial" w:eastAsia="Arial" w:hAnsi="Arial"/>
                <w:sz w:val="14"/>
                <w:szCs w:val="14"/>
                <w:color w:val="auto"/>
                <w:w w:val="99"/>
              </w:rPr>
              <w:t>The following table summarizes the components of the Company’s convertible promissory notes and other notes payable: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2014</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420"/>
              <w:spacing w:after="0" w:line="160" w:lineRule="exact"/>
              <w:rPr>
                <w:sz w:val="20"/>
                <w:szCs w:val="20"/>
                <w:color w:val="auto"/>
              </w:rPr>
            </w:pPr>
            <w:r>
              <w:rPr>
                <w:rFonts w:ascii="Arial" w:cs="Arial" w:eastAsia="Arial" w:hAnsi="Arial"/>
                <w:sz w:val="14"/>
                <w:szCs w:val="14"/>
                <w:color w:val="auto"/>
              </w:rPr>
              <w:t>Principal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Arial" w:cs="Arial" w:eastAsia="Arial" w:hAnsi="Arial"/>
                <w:sz w:val="14"/>
                <w:szCs w:val="14"/>
                <w:color w:val="auto"/>
                <w:w w:val="93"/>
              </w:rPr>
              <w:t>Accrued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60"/>
              <w:spacing w:after="0" w:line="160" w:lineRule="exact"/>
              <w:rPr>
                <w:sz w:val="20"/>
                <w:szCs w:val="20"/>
                <w:color w:val="auto"/>
              </w:rPr>
            </w:pPr>
            <w:r>
              <w:rPr>
                <w:rFonts w:ascii="Arial" w:cs="Arial" w:eastAsia="Arial" w:hAnsi="Arial"/>
                <w:sz w:val="14"/>
                <w:szCs w:val="14"/>
                <w:color w:val="auto"/>
              </w:rPr>
              <w:t>Accrued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Balance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0"/>
        </w:trPr>
        <w:tc>
          <w:tcPr>
            <w:tcW w:w="3340" w:type="dxa"/>
            <w:vAlign w:val="bottom"/>
            <w:gridSpan w:val="2"/>
          </w:tcPr>
          <w:p>
            <w:pPr>
              <w:ind w:left="260"/>
              <w:spacing w:after="0" w:line="160" w:lineRule="exact"/>
              <w:rPr>
                <w:sz w:val="20"/>
                <w:szCs w:val="20"/>
                <w:color w:val="auto"/>
              </w:rPr>
            </w:pPr>
            <w:r>
              <w:rPr>
                <w:rFonts w:ascii="Arial" w:cs="Arial" w:eastAsia="Arial" w:hAnsi="Arial"/>
                <w:sz w:val="14"/>
                <w:szCs w:val="14"/>
                <w:b w:val="1"/>
                <w:bCs w:val="1"/>
                <w:i w:val="1"/>
                <w:iCs w:val="1"/>
                <w:color w:val="auto"/>
              </w:rPr>
              <w:t>Senior Secured 10% Convertible Promissory</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Notes issued to Platinum:</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Exchange Note issued on October 11, 2012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1,272,600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360,200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1,632,800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1,272,600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1,476,000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Investment Note issued on October 11, 2012</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641,500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79,900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579,900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Investment Note issued on October 19, 2012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640,100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78,600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578,600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Investment Note issued on February 22, 2013</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59,100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309,100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29,400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279,400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Investment Note issued on March 12, 2013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922,600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834,100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3,272,600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873,500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4,146,100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3,272,600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475,400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3,748,000</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40" w:type="dxa"/>
            <w:vAlign w:val="bottom"/>
            <w:gridSpan w:val="2"/>
          </w:tcPr>
          <w:p>
            <w:pPr>
              <w:ind w:left="380"/>
              <w:spacing w:after="0" w:line="160" w:lineRule="exact"/>
              <w:rPr>
                <w:sz w:val="20"/>
                <w:szCs w:val="20"/>
                <w:color w:val="auto"/>
              </w:rPr>
            </w:pPr>
            <w:r>
              <w:rPr>
                <w:rFonts w:ascii="Arial" w:cs="Arial" w:eastAsia="Arial" w:hAnsi="Arial"/>
                <w:sz w:val="14"/>
                <w:szCs w:val="14"/>
                <w:color w:val="auto"/>
              </w:rPr>
              <w:t>Convertible promissory note issued on July 26,</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20"/>
                <w:szCs w:val="20"/>
                <w:color w:val="auto"/>
              </w:rPr>
            </w:pPr>
            <w:r>
              <w:rPr>
                <w:rFonts w:ascii="Arial" w:cs="Arial" w:eastAsia="Arial" w:hAnsi="Arial"/>
                <w:sz w:val="14"/>
                <w:szCs w:val="14"/>
                <w:color w:val="auto"/>
              </w:rPr>
              <w:t>2013</w:t>
            </w: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46,200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296,200</w:t>
            </w: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17,700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267,700</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Senior notes</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3,522,600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4,442,300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3,522,600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4,015,700</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Aggregate note discount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(2,085,900)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(2,085,900)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Net Senior notes</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3,522,600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919,700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4,442,300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1,436,700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1,929,800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(3,272,600)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(873,500)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(4,146,100)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Senior notes - non-current portion and discount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46,200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296,200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1,436,700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1,929,800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00" w:type="dxa"/>
            <w:vAlign w:val="bottom"/>
            <w:tcBorders>
              <w:bottom w:val="single" w:sz="8" w:color="auto"/>
            </w:tcBorders>
            <w:shd w:val="clear" w:color="auto" w:fill="CCEEFF"/>
          </w:tcPr>
          <w:p>
            <w:pPr>
              <w:spacing w:after="0"/>
              <w:rPr>
                <w:sz w:val="13"/>
                <w:szCs w:val="13"/>
                <w:color w:val="auto"/>
              </w:rPr>
            </w:pPr>
          </w:p>
        </w:tc>
        <w:tc>
          <w:tcPr>
            <w:tcW w:w="24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w w:val="96"/>
              </w:rPr>
              <w:t>10% Convertible Promissory Notes (Unit Notes)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2013 Unit Notes, due 7/31/14</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1,007,500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35,700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1,043,200</w:t>
            </w:r>
          </w:p>
        </w:tc>
        <w:tc>
          <w:tcPr>
            <w:tcW w:w="0" w:type="dxa"/>
            <w:vAlign w:val="bottom"/>
          </w:tcPr>
          <w:p>
            <w:pPr>
              <w:spacing w:after="0"/>
              <w:rPr>
                <w:sz w:val="1"/>
                <w:szCs w:val="1"/>
                <w:color w:val="auto"/>
              </w:rPr>
            </w:pPr>
          </w:p>
        </w:tc>
      </w:tr>
      <w:tr>
        <w:trPr>
          <w:trHeight w:val="160"/>
        </w:trPr>
        <w:tc>
          <w:tcPr>
            <w:tcW w:w="3340" w:type="dxa"/>
            <w:vAlign w:val="bottom"/>
            <w:gridSpan w:val="2"/>
          </w:tcPr>
          <w:p>
            <w:pPr>
              <w:ind w:left="380"/>
              <w:spacing w:after="0" w:line="160" w:lineRule="exact"/>
              <w:rPr>
                <w:sz w:val="20"/>
                <w:szCs w:val="20"/>
                <w:color w:val="auto"/>
              </w:rPr>
            </w:pPr>
            <w:r>
              <w:rPr>
                <w:rFonts w:ascii="Arial" w:cs="Arial" w:eastAsia="Arial" w:hAnsi="Arial"/>
                <w:sz w:val="14"/>
                <w:szCs w:val="14"/>
                <w:color w:val="auto"/>
                <w:w w:val="99"/>
              </w:rPr>
              <w:t>2014 Unit Notes, including amended notes, due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20"/>
                <w:szCs w:val="20"/>
                <w:color w:val="auto"/>
              </w:rPr>
            </w:pPr>
            <w:r>
              <w:rPr>
                <w:rFonts w:ascii="Arial" w:cs="Arial" w:eastAsia="Arial" w:hAnsi="Arial"/>
                <w:sz w:val="14"/>
                <w:szCs w:val="14"/>
                <w:color w:val="auto"/>
              </w:rPr>
              <w:t>3/31/15</w:t>
            </w: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4,066,900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4,337,600</w:t>
            </w: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50,200</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4,066,900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4,337,600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1,057,500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35,900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1,093,400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Note discounts</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(180,000)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(697,400)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(697,400)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convertible notes (all current)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3,886,900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4,157,600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360,100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396,000</w:t>
            </w:r>
          </w:p>
        </w:tc>
        <w:tc>
          <w:tcPr>
            <w:tcW w:w="0" w:type="dxa"/>
            <w:vAlign w:val="bottom"/>
          </w:tcPr>
          <w:p>
            <w:pPr>
              <w:spacing w:after="0"/>
              <w:rPr>
                <w:sz w:val="1"/>
                <w:szCs w:val="1"/>
                <w:color w:val="auto"/>
              </w:rPr>
            </w:pPr>
          </w:p>
        </w:tc>
      </w:tr>
      <w:tr>
        <w:trPr>
          <w:trHeight w:val="154"/>
        </w:trPr>
        <w:tc>
          <w:tcPr>
            <w:tcW w:w="900" w:type="dxa"/>
            <w:vAlign w:val="bottom"/>
            <w:tcBorders>
              <w:top w:val="single" w:sz="8" w:color="CCEEFF"/>
              <w:bottom w:val="single" w:sz="8" w:color="auto"/>
            </w:tcBorders>
          </w:tcPr>
          <w:p>
            <w:pPr>
              <w:spacing w:after="0"/>
              <w:rPr>
                <w:sz w:val="13"/>
                <w:szCs w:val="13"/>
                <w:color w:val="auto"/>
              </w:rPr>
            </w:pPr>
          </w:p>
        </w:tc>
        <w:tc>
          <w:tcPr>
            <w:tcW w:w="2440" w:type="dxa"/>
            <w:vAlign w:val="bottom"/>
            <w:tcBorders>
              <w:top w:val="single" w:sz="8" w:color="CCEEFF"/>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CCEEFF"/>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Notes Payable to unrelated parties: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7.5% Notes payable to service providers for</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w w:val="98"/>
              </w:rPr>
              <w:t>accounts payable converted to notes payable: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Burr, Pilger, Mayer</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90,400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90,400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97,200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Desjardins</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156,300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24,100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180,400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178,600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14,100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192,700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McCarthy Tetrault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319,700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365,700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360,900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24,800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August 2012 Morrison &amp; Foerster Note A</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918,200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193,200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1,111,400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918,200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87,900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1,006,100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line="171" w:lineRule="exact"/>
              <w:rPr>
                <w:sz w:val="20"/>
                <w:szCs w:val="20"/>
                <w:color w:val="auto"/>
              </w:rPr>
            </w:pPr>
            <w:r>
              <w:rPr>
                <w:rFonts w:ascii="Arial" w:cs="Arial" w:eastAsia="Arial" w:hAnsi="Arial"/>
                <w:sz w:val="14"/>
                <w:szCs w:val="14"/>
                <w:color w:val="auto"/>
              </w:rPr>
              <w:t xml:space="preserve">August 2012 Morrison &amp; Foerster Note B </w:t>
            </w:r>
            <w:r>
              <w:rPr>
                <w:rFonts w:ascii="Arial" w:cs="Arial" w:eastAsia="Arial" w:hAnsi="Arial"/>
                <w:sz w:val="19"/>
                <w:szCs w:val="19"/>
                <w:color w:val="auto"/>
                <w:vertAlign w:val="superscript"/>
              </w:rPr>
              <w:t>(1)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1,379,400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333,100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1,712,500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1,379,400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1,574,600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line="171" w:lineRule="exact"/>
              <w:rPr>
                <w:sz w:val="20"/>
                <w:szCs w:val="20"/>
                <w:color w:val="auto"/>
              </w:rPr>
            </w:pPr>
            <w:r>
              <w:rPr>
                <w:rFonts w:ascii="Arial" w:cs="Arial" w:eastAsia="Arial" w:hAnsi="Arial"/>
                <w:sz w:val="14"/>
                <w:szCs w:val="14"/>
                <w:color w:val="auto"/>
              </w:rPr>
              <w:t xml:space="preserve">University Health Network </w:t>
            </w:r>
            <w:r>
              <w:rPr>
                <w:rFonts w:ascii="Arial" w:cs="Arial" w:eastAsia="Arial" w:hAnsi="Arial"/>
                <w:sz w:val="19"/>
                <w:szCs w:val="19"/>
                <w:color w:val="auto"/>
                <w:vertAlign w:val="superscript"/>
              </w:rPr>
              <w:t>(1)</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549,500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101,800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651,300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549,500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60,600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610,100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3,413,500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4,124,800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3,477,000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3,866,400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Note discount</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(474,500)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(474,500)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(848,100)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(848,100)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2,939,000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3,650,300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2,628,900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3,018,300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(3,413,500)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(4,124,800)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(1,130,100)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(133,600)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(1,263,700)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 and discount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(474,500)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(474,500)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1,498,800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1,754,600</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5.75% and 10.25% Notes payable to insurance</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premium financing company (current)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5,800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5,800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4,900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10% Notes payable to vendors for accounts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payable converted to notes payable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378,300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51,500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429,800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119,400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34,700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154,100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(378,300)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(51,500)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(429,800)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(119,400)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(34,700)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(154,100)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7.0% Note payable (August 2012)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58,800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66,700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(23,200)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(31,100)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(15,800)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(3,800)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7.0% Notes payable - 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43,000</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notes payable to unrelated parties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3,856,400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4,627,100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3,660,100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4,088,000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(3,820,800)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(770,700)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(4,591,500)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(1,270,200)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(172,100)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(1,442,300)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2,389,900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2,645,700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discount (current at March 31, 2015)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(848,100)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(848,100)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Net 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1,541,800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1,797,600</w:t>
            </w:r>
          </w:p>
        </w:tc>
        <w:tc>
          <w:tcPr>
            <w:tcW w:w="0" w:type="dxa"/>
            <w:vAlign w:val="bottom"/>
          </w:tcPr>
          <w:p>
            <w:pPr>
              <w:spacing w:after="0"/>
              <w:rPr>
                <w:sz w:val="1"/>
                <w:szCs w:val="1"/>
                <w:color w:val="auto"/>
              </w:rPr>
            </w:pPr>
          </w:p>
        </w:tc>
      </w:tr>
      <w:tr>
        <w:trPr>
          <w:trHeight w:val="176"/>
        </w:trPr>
        <w:tc>
          <w:tcPr>
            <w:tcW w:w="900" w:type="dxa"/>
            <w:vAlign w:val="bottom"/>
            <w:tcBorders>
              <w:top w:val="single" w:sz="8" w:color="CCEEFF"/>
              <w:bottom w:val="single" w:sz="8" w:color="auto"/>
            </w:tcBorders>
          </w:tcPr>
          <w:p>
            <w:pPr>
              <w:spacing w:after="0"/>
              <w:rPr>
                <w:sz w:val="15"/>
                <w:szCs w:val="15"/>
                <w:color w:val="auto"/>
              </w:rPr>
            </w:pPr>
          </w:p>
        </w:tc>
        <w:tc>
          <w:tcPr>
            <w:tcW w:w="2440" w:type="dxa"/>
            <w:vAlign w:val="bottom"/>
            <w:tcBorders>
              <w:top w:val="single" w:sz="8" w:color="CCEEFF"/>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CEEFF"/>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Notes payable to related parties: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October 2012 7.5% Note to Cato Holding Co.</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349,500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293,600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30,800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324,400</w:t>
            </w:r>
          </w:p>
        </w:tc>
        <w:tc>
          <w:tcPr>
            <w:tcW w:w="0" w:type="dxa"/>
            <w:vAlign w:val="bottom"/>
          </w:tcPr>
          <w:p>
            <w:pPr>
              <w:spacing w:after="0"/>
              <w:rPr>
                <w:sz w:val="1"/>
                <w:szCs w:val="1"/>
                <w:color w:val="auto"/>
              </w:rPr>
            </w:pPr>
          </w:p>
        </w:tc>
      </w:tr>
      <w:tr>
        <w:trPr>
          <w:trHeight w:val="159"/>
        </w:trPr>
        <w:tc>
          <w:tcPr>
            <w:tcW w:w="3340" w:type="dxa"/>
            <w:vAlign w:val="bottom"/>
            <w:gridSpan w:val="2"/>
          </w:tcPr>
          <w:p>
            <w:pPr>
              <w:ind w:left="380"/>
              <w:spacing w:after="0" w:line="159" w:lineRule="exact"/>
              <w:rPr>
                <w:sz w:val="20"/>
                <w:szCs w:val="20"/>
                <w:color w:val="auto"/>
              </w:rPr>
            </w:pPr>
            <w:r>
              <w:rPr>
                <w:rFonts w:ascii="Arial" w:cs="Arial" w:eastAsia="Arial" w:hAnsi="Arial"/>
                <w:sz w:val="14"/>
                <w:szCs w:val="14"/>
                <w:color w:val="auto"/>
                <w:w w:val="99"/>
              </w:rPr>
              <w:t>October 2012 7.5% Note to Cato Research Ltd.</w:t>
            </w:r>
          </w:p>
        </w:tc>
        <w:tc>
          <w:tcPr>
            <w:tcW w:w="240" w:type="dxa"/>
            <w:vAlign w:val="bottom"/>
          </w:tcPr>
          <w:p>
            <w:pPr>
              <w:spacing w:after="0"/>
              <w:rPr>
                <w:sz w:val="13"/>
                <w:szCs w:val="13"/>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1,009,000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204,800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1,213,800</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1,009,000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117,300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1,126,300</w:t>
            </w:r>
          </w:p>
        </w:tc>
        <w:tc>
          <w:tcPr>
            <w:tcW w:w="0" w:type="dxa"/>
            <w:vAlign w:val="bottom"/>
          </w:tcPr>
          <w:p>
            <w:pPr>
              <w:spacing w:after="0"/>
              <w:rPr>
                <w:sz w:val="1"/>
                <w:szCs w:val="1"/>
                <w:color w:val="auto"/>
              </w:rPr>
            </w:pPr>
          </w:p>
        </w:tc>
      </w:tr>
      <w:tr>
        <w:trPr>
          <w:trHeight w:val="139"/>
        </w:trPr>
        <w:tc>
          <w:tcPr>
            <w:tcW w:w="900" w:type="dxa"/>
            <w:vAlign w:val="bottom"/>
          </w:tcPr>
          <w:p>
            <w:pPr>
              <w:spacing w:after="0"/>
              <w:rPr>
                <w:sz w:val="20"/>
                <w:szCs w:val="20"/>
                <w:color w:val="auto"/>
              </w:rPr>
            </w:pPr>
            <w:r>
              <w:rPr>
                <w:rFonts w:ascii="Arial" w:cs="Arial" w:eastAsia="Arial" w:hAnsi="Arial"/>
                <w:sz w:val="10"/>
                <w:szCs w:val="10"/>
                <w:color w:val="auto"/>
              </w:rPr>
              <w:t>(1)</w:t>
            </w: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1,563,300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1,302,600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1,450,700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color w:val="auto"/>
              </w:rPr>
              <w:t>Note discount</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(54,500)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(54,500)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(103,200)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(103,200)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notes payable to related parties</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1,248,100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1,508,800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1,199,400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1,347,500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(1,248,100)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(260,700)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(1,508,800)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(259,600)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(30,800)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(290,400)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 and discount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939,800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117,300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1,057,100</w:t>
            </w:r>
          </w:p>
        </w:tc>
        <w:tc>
          <w:tcPr>
            <w:tcW w:w="0" w:type="dxa"/>
            <w:vAlign w:val="bottom"/>
          </w:tcPr>
          <w:p>
            <w:pPr>
              <w:spacing w:after="0"/>
              <w:rPr>
                <w:sz w:val="1"/>
                <w:szCs w:val="1"/>
                <w:color w:val="auto"/>
              </w:rPr>
            </w:pPr>
          </w:p>
        </w:tc>
      </w:tr>
      <w:tr>
        <w:trPr>
          <w:trHeight w:val="150"/>
        </w:trPr>
        <w:tc>
          <w:tcPr>
            <w:tcW w:w="3340" w:type="dxa"/>
            <w:vAlign w:val="bottom"/>
            <w:tcBorders>
              <w:top w:val="single" w:sz="8" w:color="CCEEFF"/>
            </w:tcBorders>
            <w:gridSpan w:val="2"/>
          </w:tcPr>
          <w:p>
            <w:pPr>
              <w:ind w:left="520"/>
              <w:spacing w:after="0" w:line="150" w:lineRule="exact"/>
              <w:rPr>
                <w:sz w:val="20"/>
                <w:szCs w:val="20"/>
                <w:color w:val="auto"/>
              </w:rPr>
            </w:pPr>
            <w:r>
              <w:rPr>
                <w:rFonts w:ascii="Arial" w:cs="Arial" w:eastAsia="Arial" w:hAnsi="Arial"/>
                <w:sz w:val="14"/>
                <w:szCs w:val="14"/>
                <w:color w:val="auto"/>
              </w:rPr>
              <w:t>____________</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bl>
    <w:p>
      <w:pPr>
        <w:ind w:left="660" w:hanging="144"/>
        <w:spacing w:after="0" w:line="225" w:lineRule="auto"/>
        <w:tabs>
          <w:tab w:leader="none" w:pos="660" w:val="left"/>
        </w:tabs>
        <w:numPr>
          <w:ilvl w:val="0"/>
          <w:numId w:val="83"/>
        </w:numPr>
        <w:rPr>
          <w:rFonts w:ascii="Arial" w:cs="Arial" w:eastAsia="Arial" w:hAnsi="Arial"/>
          <w:sz w:val="16"/>
          <w:szCs w:val="16"/>
          <w:color w:val="auto"/>
          <w:vertAlign w:val="superscript"/>
        </w:rPr>
      </w:pPr>
      <w:r>
        <w:rPr>
          <w:rFonts w:ascii="Arial" w:cs="Arial" w:eastAsia="Arial" w:hAnsi="Arial"/>
          <w:sz w:val="12"/>
          <w:szCs w:val="12"/>
          <w:color w:val="auto"/>
        </w:rPr>
        <w:t>Note and interest payable solely in restricted shares of the Company's common stock.</w:t>
      </w:r>
    </w:p>
    <w:p>
      <w:pPr>
        <w:sectPr>
          <w:pgSz w:w="11900" w:h="16838" w:orient="portrait"/>
          <w:cols w:equalWidth="0" w:num="1">
            <w:col w:w="11460"/>
          </w:cols>
          <w:pgMar w:left="220" w:top="118" w:right="219" w:bottom="417"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417" w:gutter="0" w:footer="0" w:header="0"/>
          <w:type w:val="continuous"/>
        </w:sectPr>
      </w:pPr>
    </w:p>
    <w:bookmarkStart w:id="162" w:name="page163"/>
    <w:bookmarkEnd w:id="16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Significant changes in our convertible promissory notes and other promissory notes during the fiscal years ended March 31, 2015 and 2014 are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Convertible Notes Issued in Connection with 2014 Unit Private Placement</w:t>
      </w:r>
    </w:p>
    <w:p>
      <w:pPr>
        <w:spacing w:after="0" w:line="205"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As described more completely in the section entitled </w:t>
      </w:r>
      <w:r>
        <w:rPr>
          <w:rFonts w:ascii="Arial" w:cs="Arial" w:eastAsia="Arial" w:hAnsi="Arial"/>
          <w:sz w:val="13"/>
          <w:szCs w:val="13"/>
          <w:i w:val="1"/>
          <w:iCs w:val="1"/>
          <w:color w:val="auto"/>
        </w:rPr>
        <w:t>2014 Unit Private Placement</w:t>
      </w:r>
      <w:r>
        <w:rPr>
          <w:rFonts w:ascii="Arial" w:cs="Arial" w:eastAsia="Arial" w:hAnsi="Arial"/>
          <w:sz w:val="13"/>
          <w:szCs w:val="13"/>
          <w:color w:val="auto"/>
        </w:rPr>
        <w:t xml:space="preserve">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between late March 2014 and March 31, 2015, we issued to accredited investors 10% convertible notes (the </w:t>
      </w:r>
      <w:r>
        <w:rPr>
          <w:rFonts w:ascii="Arial" w:cs="Arial" w:eastAsia="Arial" w:hAnsi="Arial"/>
          <w:sz w:val="13"/>
          <w:szCs w:val="13"/>
          <w:i w:val="1"/>
          <w:iCs w:val="1"/>
          <w:color w:val="auto"/>
        </w:rPr>
        <w:t>2014Unit Notes</w:t>
      </w:r>
      <w:r>
        <w:rPr>
          <w:rFonts w:ascii="Arial" w:cs="Arial" w:eastAsia="Arial" w:hAnsi="Arial"/>
          <w:sz w:val="13"/>
          <w:szCs w:val="13"/>
          <w:color w:val="auto"/>
        </w:rPr>
        <w:t xml:space="preserve">) in the aggregate face amount of $3,113,500, including an aggregate face amount of $1,250,000 of such notes issued to Platinum and 2014 Unit Notes in the aggregate principal amount of $50,000 issued prior to March 31, 2014, in connection with our private placement offering of Units.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additional notes issued in connection with the 2014 Unit Private Placement after March 31, 2015.) The 2014 Unit Notes mature on March 31, 2015 (</w:t>
      </w:r>
      <w:r>
        <w:rPr>
          <w:rFonts w:ascii="Arial" w:cs="Arial" w:eastAsia="Arial" w:hAnsi="Arial"/>
          <w:sz w:val="13"/>
          <w:szCs w:val="13"/>
          <w:i w:val="1"/>
          <w:iCs w:val="1"/>
          <w:color w:val="auto"/>
        </w:rPr>
        <w:t>Maturity</w:t>
      </w:r>
      <w:r>
        <w:rPr>
          <w:rFonts w:ascii="Arial" w:cs="Arial" w:eastAsia="Arial" w:hAnsi="Arial"/>
          <w:sz w:val="13"/>
          <w:szCs w:val="13"/>
          <w:color w:val="auto"/>
        </w:rPr>
        <w:t xml:space="preserve">) and the outstanding principal of the 2014 Unit Notes and their related accrued interest (the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is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3"/>
          <w:szCs w:val="13"/>
          <w:i w:val="1"/>
          <w:iCs w:val="1"/>
          <w:color w:val="auto"/>
        </w:rPr>
        <w:t>Qualified Financing</w:t>
      </w:r>
      <w:r>
        <w:rPr>
          <w:rFonts w:ascii="Arial" w:cs="Arial" w:eastAsia="Arial" w:hAnsi="Arial"/>
          <w:sz w:val="13"/>
          <w:szCs w:val="13"/>
          <w:color w:val="auto"/>
        </w:rPr>
        <w:t xml:space="preserve">), the Outstanding Balance of the 2014 Unit Notes will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 Under certain circumstances, the holders of the 2014 Unit Notes may request payment in cash in lieu of automatic conversion into the securities of the Qualified Financing.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regarding the conversion of the Outstanding Balance of all of the 2014 Unit Notes pursuant to a private placement financing in May 2015.</w:t>
      </w:r>
    </w:p>
    <w:p>
      <w:pPr>
        <w:spacing w:after="0" w:line="161" w:lineRule="exact"/>
        <w:rPr>
          <w:sz w:val="20"/>
          <w:szCs w:val="20"/>
          <w:color w:val="auto"/>
        </w:rPr>
      </w:pPr>
    </w:p>
    <w:p>
      <w:pPr>
        <w:ind w:right="20"/>
        <w:spacing w:after="0" w:line="304" w:lineRule="auto"/>
        <w:rPr>
          <w:sz w:val="20"/>
          <w:szCs w:val="20"/>
          <w:color w:val="auto"/>
        </w:rPr>
      </w:pPr>
      <w:r>
        <w:rPr>
          <w:rFonts w:ascii="Arial" w:cs="Arial" w:eastAsia="Arial" w:hAnsi="Arial"/>
          <w:sz w:val="12"/>
          <w:szCs w:val="12"/>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 an embedded conversion feature, most of which had an intrinsic value at the issuance date, which value we treated as an additional discount attributable to such 2014 Unit Notes, subject to limitations on the absolute amount of discount attributable to each 2014 Unit Note. We recorded a corresponding credit to additional paid-in capital, an equity account, attributable to the beneficial conversion feature. We amortize the aggregate discount attributable to the 2014 Unit Notes using the effective interest method over the respective term of each 2014 Unit Note. Because the discount on a 2014 Unit Note may be as great as 99% of its initial face value, and because we must amortize such discount over the period from issuance to maturity, which has generally been less than one year, or in the case of such notes issued after December 31, 2014, less than one calendar quarter, the calculated effective interest rate may be very high. Based on the amounts of their respective discounts and the term between issuance and maturity, the effective interest rates attributable to the 2014 Unit Notes range from approximately 38% to over 10,000%, with the weighted average effective interest rate in excess of 3,000%. During November 2014, we repaid the $10,000 face amount of a 2014 Unit Note issued in October 2014.</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Convertible Promissory Notes issued to Platinum</w:t>
      </w:r>
    </w:p>
    <w:p>
      <w:pPr>
        <w:spacing w:after="0" w:line="205"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In July and August 2012, we issued to Platinum senior secured convertible promissory notes in the aggregate principal amount of $1,250,000. Each note accrued interest at the rate of 10% per annum and was due and payable on July 2, 2015. The notes were each mandatorily convertible into securities that we might have issued in an equity, equity-based, or debt financing, or series of financings, subsequent to the issuance of the notes resulting in gross proceeds to us of at least $3,000,000, excluding any additional investment by Platinum.</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63" w:name="page164"/>
    <w:bookmarkEnd w:id="16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On October 11, 2012, we entered into a Note Exchange and Purchase Agreement (</w:t>
      </w:r>
      <w:r>
        <w:rPr>
          <w:rFonts w:ascii="Arial" w:cs="Arial" w:eastAsia="Arial" w:hAnsi="Arial"/>
          <w:sz w:val="14"/>
          <w:szCs w:val="14"/>
          <w:i w:val="1"/>
          <w:iCs w:val="1"/>
          <w:color w:val="auto"/>
        </w:rPr>
        <w:t>NEPA Agreement</w:t>
      </w:r>
      <w:r>
        <w:rPr>
          <w:rFonts w:ascii="Arial" w:cs="Arial" w:eastAsia="Arial" w:hAnsi="Arial"/>
          <w:sz w:val="14"/>
          <w:szCs w:val="14"/>
          <w:color w:val="auto"/>
        </w:rPr>
        <w:t xml:space="preserve">) with Platinum in which the senior secured notes issued in July 2012 and August 2012 and the related accrued interest, were consolidated into and exchanged for a single senior secured convertible note in the amount of $1,272,577 (the </w:t>
      </w:r>
      <w:r>
        <w:rPr>
          <w:rFonts w:ascii="Arial" w:cs="Arial" w:eastAsia="Arial" w:hAnsi="Arial"/>
          <w:sz w:val="14"/>
          <w:szCs w:val="14"/>
          <w:i w:val="1"/>
          <w:iCs w:val="1"/>
          <w:color w:val="auto"/>
        </w:rPr>
        <w:t>Exchange Note</w:t>
      </w:r>
      <w:r>
        <w:rPr>
          <w:rFonts w:ascii="Arial" w:cs="Arial" w:eastAsia="Arial" w:hAnsi="Arial"/>
          <w:sz w:val="14"/>
          <w:szCs w:val="14"/>
          <w:color w:val="auto"/>
        </w:rPr>
        <w:t xml:space="preserve">) and Platinum agreed to purchase four additional 10% senior secured convertible promissory notes in the aggregate principal amount of $2.0 million (the </w:t>
      </w:r>
      <w:r>
        <w:rPr>
          <w:rFonts w:ascii="Arial" w:cs="Arial" w:eastAsia="Arial" w:hAnsi="Arial"/>
          <w:sz w:val="14"/>
          <w:szCs w:val="14"/>
          <w:i w:val="1"/>
          <w:iCs w:val="1"/>
          <w:color w:val="auto"/>
        </w:rPr>
        <w:t>Investment Notes</w:t>
      </w:r>
      <w:r>
        <w:rPr>
          <w:rFonts w:ascii="Arial" w:cs="Arial" w:eastAsia="Arial" w:hAnsi="Arial"/>
          <w:sz w:val="14"/>
          <w:szCs w:val="14"/>
          <w:color w:val="auto"/>
        </w:rPr>
        <w:t>), issuable over four separate $500,000 tranches between October 2012 and December 2012. The NEPA Agreement was subsequently amended as to timing of subsequent note purchases, but between October 2012 and March 2013, we issued and Platinum purchased an aggregate of $2.0 million of Investment Notes. We also entered into a Security Agreement with Platinum to secure repayment of all obligations due and payable under the terms of the Exchange Note and the Investment Notes.</w:t>
      </w:r>
    </w:p>
    <w:p>
      <w:pPr>
        <w:spacing w:after="0" w:line="171"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 xml:space="preserve">The Exchange Note and each Investment Note (together, </w:t>
      </w:r>
      <w:r>
        <w:rPr>
          <w:rFonts w:ascii="Arial" w:cs="Arial" w:eastAsia="Arial" w:hAnsi="Arial"/>
          <w:sz w:val="13"/>
          <w:szCs w:val="13"/>
          <w:i w:val="1"/>
          <w:iCs w:val="1"/>
          <w:color w:val="auto"/>
        </w:rPr>
        <w:t>SeniorNotes</w:t>
      </w:r>
      <w:r>
        <w:rPr>
          <w:rFonts w:ascii="Arial" w:cs="Arial" w:eastAsia="Arial" w:hAnsi="Arial"/>
          <w:sz w:val="13"/>
          <w:szCs w:val="13"/>
          <w:color w:val="auto"/>
        </w:rPr>
        <w:t xml:space="preserve">) accrue interest at a rate of 10% per annum and, subject to certain limitations and exceptions set forth in the Senior Notes, unless voluntarily converted earlier by Platinum, will be due and payable in restricted shares of our common stock on October 11, 2015, or three years following the date of issuance, as determined by the terms of the Investment Notes. Subject to certain terms and conditions, at maturity, all principal and accrued interest under the Senior Notes will be repaid through our issuance of restricted shares of our common stock to Platinum. Subject to certain potential adjustments set forth in the Senior Notes, the number of restricted shares of common stock issuable as payment in full for each of the Notes at maturity will be calculated by dividing the outstanding Senior Note balance plus accrued interest by $10.00 per share. Prior to maturity, the outstanding principal and any accrued interest on the Exchange Note and each of the Investment Notes is convertible, in whole or in part, at Platinum’s option into shares of our common stock at a conversion price of $10.00 per share, subject to certain adjustments.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the conversion of the Senior Notes and accrued interest into shares of Series B Preferred stock during May 2015.</w:t>
      </w:r>
    </w:p>
    <w:p>
      <w:pPr>
        <w:spacing w:after="0" w:line="159" w:lineRule="exact"/>
        <w:rPr>
          <w:sz w:val="20"/>
          <w:szCs w:val="20"/>
          <w:color w:val="auto"/>
        </w:rPr>
      </w:pPr>
    </w:p>
    <w:p>
      <w:pPr>
        <w:ind w:right="160"/>
        <w:spacing w:after="0" w:line="280" w:lineRule="auto"/>
        <w:rPr>
          <w:sz w:val="20"/>
          <w:szCs w:val="20"/>
          <w:color w:val="auto"/>
        </w:rPr>
      </w:pPr>
      <w:r>
        <w:rPr>
          <w:rFonts w:ascii="Arial" w:cs="Arial" w:eastAsia="Arial" w:hAnsi="Arial"/>
          <w:sz w:val="13"/>
          <w:szCs w:val="13"/>
          <w:color w:val="auto"/>
        </w:rPr>
        <w:t xml:space="preserve">As additional consideration for the purchase of the Investment Notes, we issued to Platinum warrants to purchase an aggregate of 100,000 shares of our common stock, issuable in separate tranches together with each Investment Note. We issued four warrants to Platinum between October 2012 and March 2013 (each an </w:t>
      </w:r>
      <w:r>
        <w:rPr>
          <w:rFonts w:ascii="Arial" w:cs="Arial" w:eastAsia="Arial" w:hAnsi="Arial"/>
          <w:sz w:val="13"/>
          <w:szCs w:val="13"/>
          <w:i w:val="1"/>
          <w:iCs w:val="1"/>
          <w:color w:val="auto"/>
        </w:rPr>
        <w:t>Investment Warrant</w:t>
      </w:r>
      <w:r>
        <w:rPr>
          <w:rFonts w:ascii="Arial" w:cs="Arial" w:eastAsia="Arial" w:hAnsi="Arial"/>
          <w:sz w:val="13"/>
          <w:szCs w:val="13"/>
          <w:color w:val="auto"/>
        </w:rPr>
        <w:t>) to purchase an aggregate of 100,000 shares of our restricted common stock. Additionally, we issued Platinum a warrant to purchase 63,629 shares of our common stock in connection with the issuance of the Exchange Note (</w:t>
      </w:r>
      <w:r>
        <w:rPr>
          <w:rFonts w:ascii="Arial" w:cs="Arial" w:eastAsia="Arial" w:hAnsi="Arial"/>
          <w:sz w:val="13"/>
          <w:szCs w:val="13"/>
          <w:i w:val="1"/>
          <w:iCs w:val="1"/>
          <w:color w:val="auto"/>
        </w:rPr>
        <w:t>Exchange Warrant</w:t>
      </w:r>
      <w:r>
        <w:rPr>
          <w:rFonts w:ascii="Arial" w:cs="Arial" w:eastAsia="Arial" w:hAnsi="Arial"/>
          <w:sz w:val="13"/>
          <w:szCs w:val="13"/>
          <w:color w:val="auto"/>
        </w:rPr>
        <w:t>). At issuance, the Exchange Warrant and each Investment Warrant had a term of five-years and an exercise price of $30.00 per share, subject to certain adjustments. Effective on May 24, 2013, we entered into an Amendment and Waiver agreement with Platinum pursuant to which we agreed to reduce the exercise price of the Exchange Warrant and the Investment Warrants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our securities, including issuances pursuant to the prospective Autilion Financing and other private placement transactions, at a price of less than $30.00 per share.</w:t>
      </w:r>
    </w:p>
    <w:p>
      <w:pPr>
        <w:spacing w:after="0" w:line="159"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On July 26, 2013, we issued an additional senior secured convertible promissory note in the principal amount of $250,000 to Platinum (</w:t>
      </w:r>
      <w:r>
        <w:rPr>
          <w:rFonts w:ascii="Arial" w:cs="Arial" w:eastAsia="Arial" w:hAnsi="Arial"/>
          <w:sz w:val="13"/>
          <w:szCs w:val="13"/>
          <w:i w:val="1"/>
          <w:iCs w:val="1"/>
          <w:color w:val="auto"/>
        </w:rPr>
        <w:t>July 2013 Note</w:t>
      </w:r>
      <w:r>
        <w:rPr>
          <w:rFonts w:ascii="Arial" w:cs="Arial" w:eastAsia="Arial" w:hAnsi="Arial"/>
          <w:sz w:val="13"/>
          <w:szCs w:val="13"/>
          <w:color w:val="auto"/>
        </w:rPr>
        <w:t>). The July 2013 Note matures on July 26, 2016 and is otherwise in the same form as the earlier Investment Notes, bearing interest at 10% per annum and being payable in restricted shares of our common stock and convertible, in whole or in part, at Platinum’s option into shares of our restricted common stock at a conversion price of $10.00 per share, subject to certain adjustments. The conversion feature in the July 2013 Note constituted a beneficial conversion feature at the date of issuance. As additional consideration for the purchase of the July 2013 Note, we also issued to Platinum a five-year warrant to purchase 12,500 shares of our restricted common stock at an exercise price of $10.00 per share (</w:t>
      </w:r>
      <w:r>
        <w:rPr>
          <w:rFonts w:ascii="Arial" w:cs="Arial" w:eastAsia="Arial" w:hAnsi="Arial"/>
          <w:sz w:val="13"/>
          <w:szCs w:val="13"/>
          <w:i w:val="1"/>
          <w:iCs w:val="1"/>
          <w:color w:val="auto"/>
        </w:rPr>
        <w:t>July 2013 Warrant</w:t>
      </w:r>
      <w:r>
        <w:rPr>
          <w:rFonts w:ascii="Arial" w:cs="Arial" w:eastAsia="Arial" w:hAnsi="Arial"/>
          <w:sz w:val="13"/>
          <w:szCs w:val="13"/>
          <w:color w:val="auto"/>
        </w:rPr>
        <w:t>). The fair value of the July 2013 Warrant was estimated to be $11.74 per share, or $146,800, at its issuance date using a Monte Carlo simulation model and the following assumptions: market price of common stock: $15.00 per share; exercise price: $10.00 per share; risk-free interest rate: 1.36%; volatility: 96.9%; term: 5.0 years; and dividend rate 0.0%. We recorded the fair value of the July 2013 Warrant at the date of issuance as a liability and as a corresponding discount to the July 2013 Note.</w:t>
      </w:r>
    </w:p>
    <w:p>
      <w:pPr>
        <w:spacing w:after="0" w:line="159"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The conversion option embedded in the July 2013 Note resulted in a beneficial conversion feature having intrinsic value of $100,700 at issuance. We recorded the issuance-date intrinsic value of the beneficial conversion feature as an additional component of the discount attributable to the July 2013 Note. The aggregate discount attributable to the July 2013 Note was $247,500, resulting in an issuance date carrying value of $2,500. As with the Investment Notes, we amortize the aggregate discount attributable to each note using the effective interest method over the respective term of each note. Considering the amount of the discount and the term of the note, the effective interest rate of the July 2013 Note was determined to be 159%.</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4" w:name="page165"/>
    <w:bookmarkEnd w:id="16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Subject to limited exceptions, the Exchange Warrant, each of the Investment Warrants and the July 2013 Warrant include certain exercise price reset and anti-dilution protection features in the event that we issue other securities during the five-year term of the warrants at a price less than $10.00 per share, as amended for the Exchange Warrant and the Investment Warrants. As a result of these provisions, the Exchange Warrant, the Investment Warrants and the July 2013 Warrant do not meet the criteria set forth in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to be treated as equity instruments. Consequently, we initially recorded the Exchange Warrant, each of the Investment Warrants and the July 2013 Warrant as liabilities at their fair value and adjust them at the end of each reporting period. (See Note 4, </w:t>
      </w:r>
      <w:r>
        <w:rPr>
          <w:rFonts w:ascii="Arial" w:cs="Arial" w:eastAsia="Arial" w:hAnsi="Arial"/>
          <w:sz w:val="14"/>
          <w:szCs w:val="14"/>
          <w:i w:val="1"/>
          <w:iCs w:val="1"/>
          <w:color w:val="auto"/>
        </w:rPr>
        <w:t>Fair Value Measurements</w:t>
      </w:r>
      <w:r>
        <w:rPr>
          <w:rFonts w:ascii="Arial" w:cs="Arial" w:eastAsia="Arial" w:hAnsi="Arial"/>
          <w:sz w:val="14"/>
          <w:szCs w:val="14"/>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Conversion and Warrant Amendment Agreement with Platinum</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July 18, 2014, we entered into an Amended and Restated Note Conversion Agreement and Warrant Amendment with Platinum (</w:t>
      </w:r>
      <w:r>
        <w:rPr>
          <w:rFonts w:ascii="Arial" w:cs="Arial" w:eastAsia="Arial" w:hAnsi="Arial"/>
          <w:sz w:val="13"/>
          <w:szCs w:val="13"/>
          <w:i w:val="1"/>
          <w:iCs w:val="1"/>
          <w:color w:val="auto"/>
        </w:rPr>
        <w:t>Amendment</w:t>
      </w:r>
      <w:r>
        <w:rPr>
          <w:rFonts w:ascii="Arial" w:cs="Arial" w:eastAsia="Arial" w:hAnsi="Arial"/>
          <w:sz w:val="13"/>
          <w:szCs w:val="13"/>
          <w:color w:val="auto"/>
        </w:rPr>
        <w:t>), pursuant to which Platinum agreed to convert into our unregistered equity securities all Senior Secured Convertible Promissory Notes (</w:t>
      </w:r>
      <w:r>
        <w:rPr>
          <w:rFonts w:ascii="Arial" w:cs="Arial" w:eastAsia="Arial" w:hAnsi="Arial"/>
          <w:sz w:val="13"/>
          <w:szCs w:val="13"/>
          <w:i w:val="1"/>
          <w:iCs w:val="1"/>
          <w:color w:val="auto"/>
        </w:rPr>
        <w:t>Senior Notes</w:t>
      </w:r>
      <w:r>
        <w:rPr>
          <w:rFonts w:ascii="Arial" w:cs="Arial" w:eastAsia="Arial" w:hAnsi="Arial"/>
          <w:sz w:val="13"/>
          <w:szCs w:val="13"/>
          <w:color w:val="auto"/>
        </w:rPr>
        <w:t>) held by Platinum, including accrued but unpaid interest thereon (</w:t>
      </w:r>
      <w:r>
        <w:rPr>
          <w:rFonts w:ascii="Arial" w:cs="Arial" w:eastAsia="Arial" w:hAnsi="Arial"/>
          <w:sz w:val="13"/>
          <w:szCs w:val="13"/>
          <w:i w:val="1"/>
          <w:iCs w:val="1"/>
          <w:color w:val="auto"/>
        </w:rPr>
        <w:t>Outstanding Balance</w:t>
      </w:r>
      <w:r>
        <w:rPr>
          <w:rFonts w:ascii="Arial" w:cs="Arial" w:eastAsia="Arial" w:hAnsi="Arial"/>
          <w:sz w:val="13"/>
          <w:szCs w:val="13"/>
          <w:color w:val="auto"/>
        </w:rPr>
        <w:t>), in the aggregate amount of approximately $4.2 million at the date of the agreement, upon our consummation on or before August 31, 2014 (</w:t>
      </w:r>
      <w:r>
        <w:rPr>
          <w:rFonts w:ascii="Arial" w:cs="Arial" w:eastAsia="Arial" w:hAnsi="Arial"/>
          <w:sz w:val="13"/>
          <w:szCs w:val="13"/>
          <w:i w:val="1"/>
          <w:iCs w:val="1"/>
          <w:color w:val="auto"/>
        </w:rPr>
        <w:t>Closing Date</w:t>
      </w:r>
      <w:r>
        <w:rPr>
          <w:rFonts w:ascii="Arial" w:cs="Arial" w:eastAsia="Arial" w:hAnsi="Arial"/>
          <w:sz w:val="13"/>
          <w:szCs w:val="13"/>
          <w:color w:val="auto"/>
        </w:rPr>
        <w:t>), of either (i) a private equity financing resulting in aggregate gross proceeds of at least $36.0 million (</w:t>
      </w:r>
      <w:r>
        <w:rPr>
          <w:rFonts w:ascii="Arial" w:cs="Arial" w:eastAsia="Arial" w:hAnsi="Arial"/>
          <w:sz w:val="13"/>
          <w:szCs w:val="13"/>
          <w:i w:val="1"/>
          <w:iCs w:val="1"/>
          <w:color w:val="auto"/>
        </w:rPr>
        <w:t>Private Financing</w:t>
      </w:r>
      <w:r>
        <w:rPr>
          <w:rFonts w:ascii="Arial" w:cs="Arial" w:eastAsia="Arial" w:hAnsi="Arial"/>
          <w:sz w:val="13"/>
          <w:szCs w:val="13"/>
          <w:color w:val="auto"/>
        </w:rPr>
        <w:t>), or (ii) a public offering of our equity securities registered with the SEC resulting in gross proceeds of at least $10.0 million (</w:t>
      </w:r>
      <w:r>
        <w:rPr>
          <w:rFonts w:ascii="Arial" w:cs="Arial" w:eastAsia="Arial" w:hAnsi="Arial"/>
          <w:sz w:val="13"/>
          <w:szCs w:val="13"/>
          <w:i w:val="1"/>
          <w:iCs w:val="1"/>
          <w:color w:val="auto"/>
        </w:rPr>
        <w:t>Public Offering</w:t>
      </w:r>
      <w:r>
        <w:rPr>
          <w:rFonts w:ascii="Arial" w:cs="Arial" w:eastAsia="Arial" w:hAnsi="Arial"/>
          <w:sz w:val="13"/>
          <w:szCs w:val="13"/>
          <w:color w:val="auto"/>
        </w:rPr>
        <w:t xml:space="preserve">) (the Private Financing and Public Offering are referred to in this discussion as a </w:t>
      </w:r>
      <w:r>
        <w:rPr>
          <w:rFonts w:ascii="Arial" w:cs="Arial" w:eastAsia="Arial" w:hAnsi="Arial"/>
          <w:sz w:val="13"/>
          <w:szCs w:val="13"/>
          <w:i w:val="1"/>
          <w:iCs w:val="1"/>
          <w:color w:val="auto"/>
        </w:rPr>
        <w:t>Platinum Qualified Financing</w:t>
      </w:r>
      <w:r>
        <w:rPr>
          <w:rFonts w:ascii="Arial" w:cs="Arial" w:eastAsia="Arial" w:hAnsi="Arial"/>
          <w:sz w:val="13"/>
          <w:szCs w:val="13"/>
          <w:color w:val="auto"/>
        </w:rPr>
        <w:t>). In August and September 2014, we amended the Amendment to extend the Closing Date until October 31, 2014.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 class of Series B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at the lower of $10.00 per share or the lowest per-share price in the Public Offering.</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Additionally, pursuant to the terms and conditions of the Amendment, in the event we had consummated a Platinum Qualified Financing on or before the Closing Date, the exercise price of the Platinum Warrants we have issued to Platinum in connection with the Senior Notes, and warrants that we may still issue pursuant to the Note Exchange and Purchase Agreement between us and Platinum, dated October 11, 2012 (</w:t>
      </w:r>
      <w:r>
        <w:rPr>
          <w:rFonts w:ascii="Arial" w:cs="Arial" w:eastAsia="Arial" w:hAnsi="Arial"/>
          <w:sz w:val="13"/>
          <w:szCs w:val="13"/>
          <w:i w:val="1"/>
          <w:iCs w:val="1"/>
          <w:color w:val="auto"/>
        </w:rPr>
        <w:t>NEPA</w:t>
      </w:r>
      <w:r>
        <w:rPr>
          <w:rFonts w:ascii="Arial" w:cs="Arial" w:eastAsia="Arial" w:hAnsi="Arial"/>
          <w:sz w:val="13"/>
          <w:szCs w:val="13"/>
          <w:color w:val="auto"/>
        </w:rPr>
        <w:t>), if any, would have been fixed at the lower of $10.00 per share or the purchase price of common stock sold in the Platinum Qualified Financing. Finally, the anti-dilutive provisions contained in the Platinum Warrants, other than typical adjustments for stock splits, combinations and dividends, would have been terminated as of the Closing Date.</w:t>
      </w:r>
    </w:p>
    <w:p>
      <w:pPr>
        <w:spacing w:after="0" w:line="151" w:lineRule="exact"/>
        <w:rPr>
          <w:sz w:val="20"/>
          <w:szCs w:val="20"/>
          <w:color w:val="auto"/>
        </w:rPr>
      </w:pPr>
    </w:p>
    <w:p>
      <w:pPr>
        <w:jc w:val="both"/>
        <w:ind w:right="340"/>
        <w:spacing w:after="0" w:line="298" w:lineRule="auto"/>
        <w:rPr>
          <w:sz w:val="20"/>
          <w:szCs w:val="20"/>
          <w:color w:val="auto"/>
        </w:rPr>
      </w:pPr>
      <w:r>
        <w:rPr>
          <w:rFonts w:ascii="Arial" w:cs="Arial" w:eastAsia="Arial" w:hAnsi="Arial"/>
          <w:sz w:val="13"/>
          <w:szCs w:val="13"/>
          <w:color w:val="auto"/>
        </w:rPr>
        <w:t xml:space="preserve">Through March 31, 2015, we did not request Platinum to extend the Closing Date of the Amendment or enter into any other agreement with Platinum regarding the conversion of the Senior Notes, fixing the exercise price of the Platinum Warrants or terminating the anti-dilution provisions of the Platinum Warrants.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regarding the conversion of the Senior Notes and accrued interest into shares of Series B Preferred stock and modifications made to the exercise price and anti-dilution provisions of the Platinum Warrants in May 2015.</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At the execution of the Amendment, we determined that the Amendment resulted in a modification of the Senior Notes that should be accounted for as an extinguishment of debt. Considering, among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other factors, the cash flows and conversion features of the Senior Notes as modified by the Amendment, market interest rates for debt of similar quality and the relative probabilities of conversion of</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the Senior Notes into either shares of our common stock or Series B Preferred upon consummation of a Qualified Financing, we determined that the fair values of the Senior Notes at July 18, 2014,</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aggregating $6,475,000, represented a substantial premium over their aggregate $4,138,700 face values plus accrued interest. In accordance with the provisions of ASC 470-20, </w:t>
      </w:r>
      <w:r>
        <w:rPr>
          <w:rFonts w:ascii="Arial" w:cs="Arial" w:eastAsia="Arial" w:hAnsi="Arial"/>
          <w:sz w:val="13"/>
          <w:szCs w:val="13"/>
          <w:i w:val="1"/>
          <w:iCs w:val="1"/>
          <w:color w:val="auto"/>
        </w:rPr>
        <w:t>Debt with Conversion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and Other Options, </w:t>
      </w:r>
      <w:r>
        <w:rPr>
          <w:rFonts w:ascii="Arial" w:cs="Arial" w:eastAsia="Arial" w:hAnsi="Arial"/>
          <w:sz w:val="12"/>
          <w:szCs w:val="12"/>
          <w:color w:val="auto"/>
        </w:rPr>
        <w:t>we recognized the premium in excess of the face value and accrued interest, $2,336,300, as a non-cash component of loss on extinguishment of debt in the accompanying Condensed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Operations and Comprehensive (Loss) Income with a credit to additional paid-in capital, an equity account. Consequently, we recorded the liability for the Senior Notes at</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their face values plus accrued interest. We recognized the difference between the pre-modification carrying values of the notes and their face values, an aggregate of $1,983,700, as an additional non-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cash charge to loss on extinguishment of debt in the accompanying Condensed Consolidated Statement of Operations and Comprehensive (Loss) Income. Certain of the Senior Notes contained 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beneficial conversion feature at the time they were originally issued. We have accounted for the repurchase of the beneficial conversion feature at the time of the modification,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$2,716,600, as a reduction to the loss on extinguishment of debt in the accompanying Condensed Consolidated Statements of Operations and Comprehensive (Loss) Income, with a corresponding</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reduction to additional paid-in capital. The net amount of the loss on extinguishment of debt related to the amendment of the Senior Notes recognized in the accompanying Condensed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Statements of Operations and Comprehensive (Loss) Income for the nine months ended December 31, 2014 is $1,603,400.</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5" w:name="page166"/>
    <w:bookmarkEnd w:id="16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00"/>
        <w:spacing w:after="0" w:line="281" w:lineRule="auto"/>
        <w:rPr>
          <w:sz w:val="20"/>
          <w:szCs w:val="20"/>
          <w:color w:val="auto"/>
        </w:rPr>
      </w:pPr>
      <w:r>
        <w:rPr>
          <w:rFonts w:ascii="Arial" w:cs="Arial" w:eastAsia="Arial" w:hAnsi="Arial"/>
          <w:sz w:val="13"/>
          <w:szCs w:val="13"/>
          <w:color w:val="auto"/>
        </w:rPr>
        <w:t>At the date of its issuance, we recorded the fair value of the Exchange Warrant as a liability and as a corresponding charge to loss on early extinguishment of debt. We recorded the fair value of each Investment Warrant and the July 2013 Warrant at the date of issuance as a liability and as a corresponding discount to the related note. Subject to limitations of the absolute amount of discount attributable to each Investment Note and the July 2013 Note, we treated the issuance-date intrinsic value of the beneficial conversion feature embedded in each Investment Note and the July 2013 Note as an additional component of the discount attributable to such note and recorded a corresponding discount attributable to the beneficial conversion feature for each note. Prior to the Amendment, at which time the remaining unamortized discount was written off in our determination of the loss on extinguishment of debt, we had amortized the aggregate discount attributable to each of the Investment Notes and the July 2013 Note using the effective interest method over the respective term of each note. The effective interest rate of the Exchange Note was 10.0% at inception and the effective interest rate at inception for each of the Investment Notes and the July 2013 Note was 159.1% .</w:t>
      </w:r>
    </w:p>
    <w:p>
      <w:pPr>
        <w:spacing w:after="0" w:line="159"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 xml:space="preserve">We re-measure the fair value of the Exchange Warrant, the Investment Warrants and the July 2013 Warrant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at each quarterly reporting period. As of March 31, 2015 and 2014, we measured the fair value of such warrants at an aggregate of $810,100 and $915,300, respectively. The aggregate decrease in fair value between March 31, 2014 and March 31, 2015 of $105,200 and the aggregate decrease in fair value between March 31, 2013 and March 31, 2014 of $1,219,500 is reflected in the Change in Warrant Liability in the accompanying Consolidated Statement of Operations and Comprehensive Income for the years ended March 31, 2015 and 2014,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Convertible Notes Issued in Connection with 2013 Unit Private Placement</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 xml:space="preserve">As described more completely in the section entitled 2013 Unit Private Placement in Note 9,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between August 2013 and March 2014, we issued to accredited investors 10% convertible promissory notes (the </w:t>
      </w:r>
      <w:r>
        <w:rPr>
          <w:rFonts w:ascii="Arial" w:cs="Arial" w:eastAsia="Arial" w:hAnsi="Arial"/>
          <w:sz w:val="14"/>
          <w:szCs w:val="14"/>
          <w:i w:val="1"/>
          <w:iCs w:val="1"/>
          <w:color w:val="auto"/>
        </w:rPr>
        <w:t>2013 Unit Notes</w:t>
      </w:r>
      <w:r>
        <w:rPr>
          <w:rFonts w:ascii="Arial" w:cs="Arial" w:eastAsia="Arial" w:hAnsi="Arial"/>
          <w:sz w:val="14"/>
          <w:szCs w:val="14"/>
          <w:color w:val="auto"/>
        </w:rPr>
        <w:t>) in an aggregate face amount of $1,007,500 in connection with our private placement of Units. The maturity date of the 2013 Unit Notes was July 30, 2014 and each 2013 Unit Note and its related accrued interest was convertible into shares of our common stock at a fixed conversion price of $10.00 per share at or prior to maturity, at the option of the accredited investor.</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allocated the proceeds from the sale of the units to the 2013 Unit Notes, the common stock and the warrants comprising the Units based on the relative fair value of the individual securities in each Unit on the dates of the Unit sales. Based on the short-duration of the 2013 Unit Notes and their other terms, we determined that the fair value of the 2013 Unit Notes at the date of issuance was equal to their face value. Accordingly, we recorded an initial discount attributable to each 2013 Unit Note for an amount representing the difference between the face value of the 2013 Unit Note and its relative value. Additionally, the 2013 Unit Notes contain an embedded conversion feature, certain of which had an intrinsic value at the issuance date, which value we treated as an additional discount attributable to such 2013 Unit Notes, subject to limitations on the absolute amount of discount attributable to each 2013 Unit Note. We recorded a corresponding credit to additional paid-in capital, an equity account in the Consolidated Balance Sheet, attributable to the beneficial conversion feature. We amortized the aggregate discount attributable to each of the 2013 Unit Notes using the effective interest method over the respective term of each 2013 Unit Note. Based on their respective discounts, the weighted average effective interest rate attributable to the 2013 Unit Notes at issuance was 464.1%.</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of 2013 Unit Notes and Warrants</w:t>
      </w:r>
    </w:p>
    <w:p>
      <w:pPr>
        <w:spacing w:after="0" w:line="205" w:lineRule="exact"/>
        <w:rPr>
          <w:sz w:val="20"/>
          <w:szCs w:val="20"/>
          <w:color w:val="auto"/>
        </w:rPr>
      </w:pPr>
    </w:p>
    <w:p>
      <w:pPr>
        <w:spacing w:after="0" w:line="302" w:lineRule="auto"/>
        <w:rPr>
          <w:sz w:val="20"/>
          <w:szCs w:val="20"/>
          <w:color w:val="auto"/>
        </w:rPr>
      </w:pPr>
      <w:r>
        <w:rPr>
          <w:rFonts w:ascii="Arial" w:cs="Arial" w:eastAsia="Arial" w:hAnsi="Arial"/>
          <w:sz w:val="12"/>
          <w:szCs w:val="12"/>
          <w:color w:val="auto"/>
        </w:rPr>
        <w:t>Effective May 31, 2014, we entered into note and warrant amendment agreements with substantially all holders of our 2013 Unit Notes and 2013 Unit Warrants, each of whom agreed to (i) modify certain terms of their 2013 Unit Note to conform to the corresponding terms of the 2014 Unit Notes, including an extension of the maturity date of their 2013 Unit Note from July 30, 2014 to March 31, 2015, as well as adoption of the automatic conversion and 25% conversion premium features related to consummation of a Qualified Financing, as described previously (</w:t>
      </w:r>
      <w:r>
        <w:rPr>
          <w:rFonts w:ascii="Arial" w:cs="Arial" w:eastAsia="Arial" w:hAnsi="Arial"/>
          <w:sz w:val="12"/>
          <w:szCs w:val="12"/>
          <w:i w:val="1"/>
          <w:iCs w:val="1"/>
          <w:color w:val="auto"/>
        </w:rPr>
        <w:t>Amended 2013 Unit Notes</w:t>
      </w:r>
      <w:r>
        <w:rPr>
          <w:rFonts w:ascii="Arial" w:cs="Arial" w:eastAsia="Arial" w:hAnsi="Arial"/>
          <w:sz w:val="12"/>
          <w:szCs w:val="12"/>
          <w:color w:val="auto"/>
        </w:rPr>
        <w:t>), and</w:t>
      </w:r>
    </w:p>
    <w:p>
      <w:pPr>
        <w:ind w:right="80" w:firstLine="5"/>
        <w:spacing w:after="0" w:line="257" w:lineRule="auto"/>
        <w:tabs>
          <w:tab w:leader="none" w:pos="209" w:val="left"/>
        </w:tabs>
        <w:numPr>
          <w:ilvl w:val="0"/>
          <w:numId w:val="84"/>
        </w:numPr>
        <w:rPr>
          <w:rFonts w:ascii="Arial" w:cs="Arial" w:eastAsia="Arial" w:hAnsi="Arial"/>
          <w:sz w:val="14"/>
          <w:szCs w:val="14"/>
          <w:color w:val="auto"/>
        </w:rPr>
      </w:pPr>
      <w:r>
        <w:rPr>
          <w:rFonts w:ascii="Arial" w:cs="Arial" w:eastAsia="Arial" w:hAnsi="Arial"/>
          <w:sz w:val="14"/>
          <w:szCs w:val="14"/>
          <w:color w:val="auto"/>
        </w:rPr>
        <w:t>modify certain terms of their 2013 Unit Warrants, including the exercise price and expiration date, to conform to the corresponding terms of the 2014 Unit Warrants (</w:t>
      </w:r>
      <w:r>
        <w:rPr>
          <w:rFonts w:ascii="Arial" w:cs="Arial" w:eastAsia="Arial" w:hAnsi="Arial"/>
          <w:sz w:val="14"/>
          <w:szCs w:val="14"/>
          <w:i w:val="1"/>
          <w:iCs w:val="1"/>
          <w:color w:val="auto"/>
        </w:rPr>
        <w:t>Amended 2013 Unit Warrants</w:t>
      </w:r>
      <w:r>
        <w:rPr>
          <w:rFonts w:ascii="Arial" w:cs="Arial" w:eastAsia="Arial" w:hAnsi="Arial"/>
          <w:sz w:val="14"/>
          <w:szCs w:val="14"/>
          <w:color w:val="auto"/>
        </w:rPr>
        <w:t>). Holders of 2013 Unit Notes having an aggregate initial face amount of $895,000 agreed to such amendments. The maturity date of 2013 Unit Notes payable to holders who did not agree to amend their 2013 Unit Note and 2013 Unit Warrant remained July 30, 2014 and the $20.00 per share exercise price and July 30, 2016 expiration date of the 2013 Unit Warrants held by such holders remains unchanged. Between April 1, 2014 and August 15, 2014, we repaid 2013 Unit Notes having an initial face value of $ 112,500 and since the later date, no un-amended 2013 Unit Notes remain outstanding.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6" w:name="page167"/>
    <w:bookmarkEnd w:id="16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20"/>
        <w:spacing w:after="0" w:line="302" w:lineRule="auto"/>
        <w:rPr>
          <w:sz w:val="20"/>
          <w:szCs w:val="20"/>
          <w:color w:val="auto"/>
        </w:rPr>
      </w:pPr>
      <w:r>
        <w:rPr>
          <w:rFonts w:ascii="Arial" w:cs="Arial" w:eastAsia="Arial" w:hAnsi="Arial"/>
          <w:sz w:val="12"/>
          <w:szCs w:val="12"/>
          <w:color w:val="auto"/>
        </w:rPr>
        <w:t xml:space="preserve">We determined that the modification of the 2013 Unit Notes and the 2013 Unit Warrants should be accounted for as an extinguishment of debt. Considering the cash flows and the non-contingent and contingent beneficial conversion features of the Amended 2013 Notes and other factors, including market interest rates for unsecured debt of similar quality and the probability of their conversion to securities in a Qualified Financing, we determined that the fair values of the Amended 2013 Unit Notes, aggregating $1,394,000, represented a substantial premium over their aggregate $943,400 face values. In accordance with the provisions of ASC 470-20, </w:t>
      </w:r>
      <w:r>
        <w:rPr>
          <w:rFonts w:ascii="Arial" w:cs="Arial" w:eastAsia="Arial" w:hAnsi="Arial"/>
          <w:sz w:val="12"/>
          <w:szCs w:val="12"/>
          <w:i w:val="1"/>
          <w:iCs w:val="1"/>
          <w:color w:val="auto"/>
        </w:rPr>
        <w:t>Debt with Conversion and Other Options,</w:t>
      </w:r>
      <w:r>
        <w:rPr>
          <w:rFonts w:ascii="Arial" w:cs="Arial" w:eastAsia="Arial" w:hAnsi="Arial"/>
          <w:sz w:val="12"/>
          <w:szCs w:val="12"/>
          <w:color w:val="auto"/>
        </w:rPr>
        <w:t xml:space="preserve"> we recognized the premium in excess of the face value, $450,600, as a credit to additional paid-in capital, an equity account. Consequently, we recorded the liability for the Amended 2013 Unit Notes at their face values. We recognized the difference between the pre-modification carrying values of the notes and their fair values, an aggregate of $867,500, as a non-cash charge to loss on extinguishment of debt in the accompanying Condensed Consolidated Statement of Operations and Comprehensive Loss. As described in greater detail in Note 9, </w:t>
      </w:r>
      <w:r>
        <w:rPr>
          <w:rFonts w:ascii="Arial" w:cs="Arial" w:eastAsia="Arial" w:hAnsi="Arial"/>
          <w:sz w:val="12"/>
          <w:szCs w:val="12"/>
          <w:i w:val="1"/>
          <w:iCs w:val="1"/>
          <w:color w:val="auto"/>
        </w:rPr>
        <w:t>Capital Stock</w:t>
      </w:r>
      <w:r>
        <w:rPr>
          <w:rFonts w:ascii="Arial" w:cs="Arial" w:eastAsia="Arial" w:hAnsi="Arial"/>
          <w:sz w:val="12"/>
          <w:szCs w:val="12"/>
          <w:color w:val="auto"/>
        </w:rPr>
        <w:t>, we determined the incremental fair value of the Amended 2013 Unit Warrants, which are treated as equity instruments, to be $272,900. We recognized this incremental fair value as an additional component of loss on extinguishment of debt in the accompanying Condensed Consolidated Statements of Operations and Comprehensive Loss and as a credit to additional paid-in capital. Certain of the 2013 Unit Notes contained a beneficial conversion feature when they were originally issued. We have accounted for the repurchase of the beneficial conversion feature at the time of the modification, an aggregate of $614,200, as a reduction to the loss on extinguishment of debt in the accompanying Condensed Consolidated Statements of Operations and Comprehensive Loss, with a corresponding reduction to additional paid-in capital. The net amount of the loss on extinguishment of debt related to the Amended 2013 Unit Notes and Amended 2013 Unit Warrants recognized in the accompanying Condensed Consolidated Statements of Operations and Comprehensive Loss is $526,200. Since the Amended 2013 Unit Notes have the same features and maturity as the 2014 Unit Notes, the two sets of notes are aggregated in the summary table above.</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Satisfaction of Technology License and Maintenance Fees and Patent Expenses</w:t>
      </w:r>
    </w:p>
    <w:p>
      <w:pPr>
        <w:spacing w:after="0" w:line="205" w:lineRule="exact"/>
        <w:rPr>
          <w:sz w:val="20"/>
          <w:szCs w:val="20"/>
          <w:color w:val="auto"/>
        </w:rPr>
      </w:pPr>
    </w:p>
    <w:p>
      <w:pPr>
        <w:ind w:right="160"/>
        <w:spacing w:after="0" w:line="305" w:lineRule="auto"/>
        <w:rPr>
          <w:sz w:val="20"/>
          <w:szCs w:val="20"/>
          <w:color w:val="auto"/>
        </w:rPr>
      </w:pPr>
      <w:r>
        <w:rPr>
          <w:rFonts w:ascii="Arial" w:cs="Arial" w:eastAsia="Arial" w:hAnsi="Arial"/>
          <w:sz w:val="12"/>
          <w:szCs w:val="12"/>
          <w:color w:val="auto"/>
        </w:rPr>
        <w:t>In April 2014, we entered into an agreement with Icahn School of Medicine at Mount Sinai (</w:t>
      </w:r>
      <w:r>
        <w:rPr>
          <w:rFonts w:ascii="Arial" w:cs="Arial" w:eastAsia="Arial" w:hAnsi="Arial"/>
          <w:sz w:val="12"/>
          <w:szCs w:val="12"/>
          <w:i w:val="1"/>
          <w:iCs w:val="1"/>
          <w:color w:val="auto"/>
        </w:rPr>
        <w:t>Icahn School</w:t>
      </w:r>
      <w:r>
        <w:rPr>
          <w:rFonts w:ascii="Arial" w:cs="Arial" w:eastAsia="Arial" w:hAnsi="Arial"/>
          <w:sz w:val="12"/>
          <w:szCs w:val="12"/>
          <w:color w:val="auto"/>
        </w:rPr>
        <w:t>), one of our long-term stem cell technology licensors, pursuant to which we issued (i) a 10% promissory note in the face amount of $300,000 due on the earlier of December 31, 2014, or the completion of a qualified financing, as defined, (ii) 15,000 restricted shares of our common stock and</w:t>
      </w:r>
    </w:p>
    <w:p>
      <w:pPr>
        <w:ind w:firstLine="5"/>
        <w:spacing w:after="0" w:line="255" w:lineRule="auto"/>
        <w:tabs>
          <w:tab w:leader="none" w:pos="248"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4"/>
          <w:szCs w:val="14"/>
          <w:i w:val="1"/>
          <w:iCs w:val="1"/>
          <w:color w:val="auto"/>
        </w:rPr>
        <w:t>Agreement</w:t>
      </w:r>
      <w:r>
        <w:rPr>
          <w:rFonts w:ascii="Arial" w:cs="Arial" w:eastAsia="Arial" w:hAnsi="Arial"/>
          <w:sz w:val="14"/>
          <w:szCs w:val="14"/>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Agreement, an additional $35,800 of license maintenance fees and reimbursable patent prosecution costs was added to the principal amount of the promissory note through December 31, 2014. We made a payment of $10,000 on the note in January 2015 and it remained outstanding at March 31, 2015.</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 to Morrison &amp; Foerster</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 xml:space="preserve">On May 5, 2011, we amended a previously outstanding note (the </w:t>
      </w:r>
      <w:r>
        <w:rPr>
          <w:rFonts w:ascii="Arial" w:cs="Arial" w:eastAsia="Arial" w:hAnsi="Arial"/>
          <w:sz w:val="14"/>
          <w:szCs w:val="14"/>
          <w:i w:val="1"/>
          <w:iCs w:val="1"/>
          <w:color w:val="auto"/>
        </w:rPr>
        <w:t>Original Note</w:t>
      </w:r>
      <w:r>
        <w:rPr>
          <w:rFonts w:ascii="Arial" w:cs="Arial" w:eastAsia="Arial" w:hAnsi="Arial"/>
          <w:sz w:val="14"/>
          <w:szCs w:val="14"/>
          <w:color w:val="auto"/>
        </w:rPr>
        <w:t>) issued to Morrison &amp; Foerster LLP (</w:t>
      </w:r>
      <w:r>
        <w:rPr>
          <w:rFonts w:ascii="Arial" w:cs="Arial" w:eastAsia="Arial" w:hAnsi="Arial"/>
          <w:sz w:val="14"/>
          <w:szCs w:val="14"/>
          <w:i w:val="1"/>
          <w:iCs w:val="1"/>
          <w:color w:val="auto"/>
        </w:rPr>
        <w:t>Morrison &amp; Foerster</w:t>
      </w:r>
      <w:r>
        <w:rPr>
          <w:rFonts w:ascii="Arial" w:cs="Arial" w:eastAsia="Arial" w:hAnsi="Arial"/>
          <w:sz w:val="14"/>
          <w:szCs w:val="14"/>
          <w:color w:val="auto"/>
        </w:rPr>
        <w:t xml:space="preserve">), then our general corporate and intellectual property counsel, in payment of legal services (the </w:t>
      </w:r>
      <w:r>
        <w:rPr>
          <w:rFonts w:ascii="Arial" w:cs="Arial" w:eastAsia="Arial" w:hAnsi="Arial"/>
          <w:sz w:val="14"/>
          <w:szCs w:val="14"/>
          <w:i w:val="1"/>
          <w:iCs w:val="1"/>
          <w:color w:val="auto"/>
        </w:rPr>
        <w:t>Amended Note</w:t>
      </w:r>
      <w:r>
        <w:rPr>
          <w:rFonts w:ascii="Arial" w:cs="Arial" w:eastAsia="Arial" w:hAnsi="Arial"/>
          <w:sz w:val="14"/>
          <w:szCs w:val="14"/>
          <w:color w:val="auto"/>
        </w:rPr>
        <w:t>). Under the terms of Amended Note, the principal balance of the Original Note was increased to $2,200,000, interest accrued at the rate of 7.5% per annum, and we were required to make certain payments to Morrison &amp; Foerster.</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7" w:name="page168"/>
    <w:bookmarkEnd w:id="16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 xml:space="preserve">On August 31, 2012, we restructured the Amended Note (the </w:t>
      </w:r>
      <w:r>
        <w:rPr>
          <w:rFonts w:ascii="Arial" w:cs="Arial" w:eastAsia="Arial" w:hAnsi="Arial"/>
          <w:sz w:val="13"/>
          <w:szCs w:val="13"/>
          <w:i w:val="1"/>
          <w:iCs w:val="1"/>
          <w:color w:val="auto"/>
        </w:rPr>
        <w:t>Restructuring Agreement</w:t>
      </w:r>
      <w:r>
        <w:rPr>
          <w:rFonts w:ascii="Arial" w:cs="Arial" w:eastAsia="Arial" w:hAnsi="Arial"/>
          <w:sz w:val="13"/>
          <w:szCs w:val="13"/>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3"/>
          <w:szCs w:val="13"/>
          <w:i w:val="1"/>
          <w:iCs w:val="1"/>
          <w:color w:val="auto"/>
        </w:rPr>
        <w:t>Replacement Note A</w:t>
      </w:r>
      <w:r>
        <w:rPr>
          <w:rFonts w:ascii="Arial" w:cs="Arial" w:eastAsia="Arial" w:hAnsi="Arial"/>
          <w:sz w:val="13"/>
          <w:szCs w:val="13"/>
          <w:color w:val="auto"/>
        </w:rPr>
        <w:t>) and the other in the principal amount of $1,379,400 (</w:t>
      </w:r>
      <w:r>
        <w:rPr>
          <w:rFonts w:ascii="Arial" w:cs="Arial" w:eastAsia="Arial" w:hAnsi="Arial"/>
          <w:sz w:val="13"/>
          <w:szCs w:val="13"/>
          <w:i w:val="1"/>
          <w:iCs w:val="1"/>
          <w:color w:val="auto"/>
        </w:rPr>
        <w:t>Replacement Note B</w:t>
      </w:r>
      <w:r>
        <w:rPr>
          <w:rFonts w:ascii="Arial" w:cs="Arial" w:eastAsia="Arial" w:hAnsi="Arial"/>
          <w:sz w:val="13"/>
          <w:szCs w:val="13"/>
          <w:color w:val="auto"/>
        </w:rPr>
        <w:t xml:space="preserve">) (together, the </w:t>
      </w:r>
      <w:r>
        <w:rPr>
          <w:rFonts w:ascii="Arial" w:cs="Arial" w:eastAsia="Arial" w:hAnsi="Arial"/>
          <w:sz w:val="13"/>
          <w:szCs w:val="13"/>
          <w:i w:val="1"/>
          <w:iCs w:val="1"/>
          <w:color w:val="auto"/>
        </w:rPr>
        <w:t>Replacement Notes</w:t>
      </w:r>
      <w:r>
        <w:rPr>
          <w:rFonts w:ascii="Arial" w:cs="Arial" w:eastAsia="Arial" w:hAnsi="Arial"/>
          <w:sz w:val="13"/>
          <w:szCs w:val="13"/>
          <w:color w:val="auto"/>
        </w:rPr>
        <w:t>); amended an outstanding warrant to purchase restricted shares of our common stock (the</w:t>
      </w:r>
      <w:r>
        <w:rPr>
          <w:rFonts w:ascii="Arial" w:cs="Arial" w:eastAsia="Arial" w:hAnsi="Arial"/>
          <w:sz w:val="13"/>
          <w:szCs w:val="13"/>
          <w:i w:val="1"/>
          <w:iCs w:val="1"/>
          <w:color w:val="auto"/>
        </w:rPr>
        <w:t xml:space="preserve"> Amended M&amp;F Warrant)</w:t>
      </w:r>
      <w:r>
        <w:rPr>
          <w:rFonts w:ascii="Arial" w:cs="Arial" w:eastAsia="Arial" w:hAnsi="Arial"/>
          <w:sz w:val="13"/>
          <w:szCs w:val="13"/>
          <w:color w:val="auto"/>
        </w:rPr>
        <w:t>; and issued a new warrant exercisable at $20.00 per share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September 15, 2017 to purchase restricted shares of our common stock (the </w:t>
      </w:r>
      <w:r>
        <w:rPr>
          <w:rFonts w:ascii="Arial" w:cs="Arial" w:eastAsia="Arial" w:hAnsi="Arial"/>
          <w:sz w:val="13"/>
          <w:szCs w:val="13"/>
          <w:i w:val="1"/>
          <w:iCs w:val="1"/>
          <w:color w:val="auto"/>
        </w:rPr>
        <w:t>New M&amp;F Warrant).</w:t>
      </w:r>
      <w:r>
        <w:rPr>
          <w:rFonts w:ascii="Arial" w:cs="Arial" w:eastAsia="Arial" w:hAnsi="Arial"/>
          <w:sz w:val="13"/>
          <w:szCs w:val="13"/>
          <w:color w:val="auto"/>
        </w:rPr>
        <w:t xml:space="preserve"> Under the terms of the Restructuring Agreement, the Amended Note was cancelled and all of our past due payment obligations under the Amended Note were satisfied. Pursuant to the terms of the Amended Note, we made a payment of $155,000 to Morrison &amp; Foerster on August 31, 2012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Between May 2013 and March 31, 2015, we have made no payments on Replacement Note A. In accordance with the terms of the Replacement Notes, the applicable penalty interest rate of 10.0% per annum has become effective and we have accrued interest on the Replacement Notes at that rate since May 2013. Payment of the principal and interest on Replacement Note B will be made solely in restricted shares of our common stock pursuant to Morrison &amp; Foerster’s cancellation from time to time of all or a portion of the principal and interest balance due on Replacement Note B in connection with its concurrent exercise of the New M&amp;F Warrant, at an exercise price of $20.00 per share; provided, however, that Morrison &amp; Foerster shall have the option to require payment of Replacement Note B in cash upon the occurrence of a change in control of the Company or an event of default, and only in such circumstances. As indicated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in May 2015, Replacement Note B in the aggregate amount (principal and accrued but unpaid interest) of approximately $1.8 million was converted into 257,143 shares of our newly created Series B Preferred, eliminating approximately $1.8 million of our indebtedness. Additionally, Morrison &amp; Foerster agreed to standstill and forbear until December 31, 2016 with respect to further payment requirements on Replacement Note A and accounts payable outstanding at the time of the agreement.</w:t>
      </w:r>
    </w:p>
    <w:p>
      <w:pPr>
        <w:spacing w:after="0" w:line="159" w:lineRule="exact"/>
        <w:rPr>
          <w:sz w:val="20"/>
          <w:szCs w:val="20"/>
          <w:color w:val="auto"/>
        </w:rPr>
      </w:pPr>
    </w:p>
    <w:p>
      <w:pPr>
        <w:ind w:right="140"/>
        <w:spacing w:after="0" w:line="285" w:lineRule="auto"/>
        <w:rPr>
          <w:sz w:val="20"/>
          <w:szCs w:val="20"/>
          <w:color w:val="auto"/>
        </w:rPr>
      </w:pPr>
      <w:r>
        <w:rPr>
          <w:rFonts w:ascii="Arial" w:cs="Arial" w:eastAsia="Arial" w:hAnsi="Arial"/>
          <w:sz w:val="13"/>
          <w:szCs w:val="13"/>
          <w:color w:val="auto"/>
        </w:rPr>
        <w:t>The New M&amp;F Warrant is exercisable for the number of restricted shares of our common stock equal to the principal and accrued interest due under the terms of Replacement Note B divided by the warrant exercise price of $20.00 per share. At the August 31, 2012 date of grant, the New M&amp;F Warrant was exercisable to purchase 68,969 restricted shares of our common stock. The New M&amp;F Warrant effectively permits exercise only by the cancellation in whole or in part of our indebtedness under either of the Replacement Notes. Through March 31, 2015, we have adjusted the New M&amp;F Warrant to increase the number of restricted shares available for purchase by 16,658 shares, based on interest accrued on Replacement Note B through that date. We have recorded the fair value of the additional warrant shares as a charge to interest expense and a corresponding credit to additional paid-in capital.</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Cato Research Ltd.</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On October 10, 2012, we issued to Cato Research Ltd (</w:t>
      </w:r>
      <w:r>
        <w:rPr>
          <w:rFonts w:ascii="Arial" w:cs="Arial" w:eastAsia="Arial" w:hAnsi="Arial"/>
          <w:sz w:val="13"/>
          <w:szCs w:val="13"/>
          <w:i w:val="1"/>
          <w:iCs w:val="1"/>
          <w:color w:val="auto"/>
        </w:rPr>
        <w:t>CRL</w:t>
      </w:r>
      <w:r>
        <w:rPr>
          <w:rFonts w:ascii="Arial" w:cs="Arial" w:eastAsia="Arial" w:hAnsi="Arial"/>
          <w:sz w:val="13"/>
          <w:szCs w:val="13"/>
          <w:color w:val="auto"/>
        </w:rPr>
        <w:t>) a contract research and development partner and a related party: (i) an unsecured promissory note in the initial principal amount of</w:t>
      </w:r>
    </w:p>
    <w:p>
      <w:pPr>
        <w:spacing w:after="0" w:line="31"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$1,009,000, which is payable solely in restricted shares of our common stock and which accrues interest at the rate of 7.5% per annum, compounded monthly (the </w:t>
      </w:r>
      <w:r>
        <w:rPr>
          <w:rFonts w:ascii="Arial" w:cs="Arial" w:eastAsia="Arial" w:hAnsi="Arial"/>
          <w:sz w:val="13"/>
          <w:szCs w:val="13"/>
          <w:i w:val="1"/>
          <w:iCs w:val="1"/>
          <w:color w:val="auto"/>
        </w:rPr>
        <w:t>CRL Note</w:t>
      </w:r>
      <w:r>
        <w:rPr>
          <w:rFonts w:ascii="Arial" w:cs="Arial" w:eastAsia="Arial" w:hAnsi="Arial"/>
          <w:sz w:val="13"/>
          <w:szCs w:val="13"/>
          <w:color w:val="auto"/>
        </w:rPr>
        <w:t>), as payment in full for all contract research and development services and regulatory advice (</w:t>
      </w:r>
      <w:r>
        <w:rPr>
          <w:rFonts w:ascii="Arial" w:cs="Arial" w:eastAsia="Arial" w:hAnsi="Arial"/>
          <w:sz w:val="13"/>
          <w:szCs w:val="13"/>
          <w:i w:val="1"/>
          <w:iCs w:val="1"/>
          <w:color w:val="auto"/>
        </w:rPr>
        <w:t>CRO Services</w:t>
      </w:r>
      <w:r>
        <w:rPr>
          <w:rFonts w:ascii="Arial" w:cs="Arial" w:eastAsia="Arial" w:hAnsi="Arial"/>
          <w:sz w:val="13"/>
          <w:szCs w:val="13"/>
          <w:color w:val="auto"/>
        </w:rPr>
        <w:t xml:space="preserve">) rendered by CRL to us and our affiliates through December 31, 2012 with respect to the non-clinical and clinical development of AV-101, and (ii) a five-year warrant to purchase, at a price of $20.00 per share, 50,450 restricted shares of our common stock, the amount equal to the sum of the principal amount of the CRL Note, plus all accrued interest thereon, divided by $20.00 per share (the </w:t>
      </w:r>
      <w:r>
        <w:rPr>
          <w:rFonts w:ascii="Arial" w:cs="Arial" w:eastAsia="Arial" w:hAnsi="Arial"/>
          <w:sz w:val="13"/>
          <w:szCs w:val="13"/>
          <w:i w:val="1"/>
          <w:iCs w:val="1"/>
          <w:color w:val="auto"/>
        </w:rPr>
        <w:t>CRL Warrant</w:t>
      </w:r>
      <w:r>
        <w:rPr>
          <w:rFonts w:ascii="Arial" w:cs="Arial" w:eastAsia="Arial" w:hAnsi="Arial"/>
          <w:sz w:val="13"/>
          <w:szCs w:val="13"/>
          <w:color w:val="auto"/>
        </w:rPr>
        <w:t>). The CRL Note is due and payable on March 31, 2016 and is payable solely by CRL's cancellation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Through March 31, 2015, we have adjusted the CRL Warrant to increase the number of restricted shares available for purchase by 10,241 shares, based on interest accrued on the CRL Note through that date. We have recorded the fair value of the additional shares as a charge to interest expense and a corresponding credit to additional paid-in capital.</w:t>
      </w:r>
    </w:p>
    <w:p>
      <w:pPr>
        <w:spacing w:after="0" w:line="159"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CRL Note and certain accounts payable to CRL for CRO Services related to AV-101 in the aggregate amount (principal and accrued but unpaid interest, plus certain strategic adjustments) of approximately $1.9 million were converted into 278,006 shares of our Series B Preferred, eliminating approximately $1.9 million of our indebtedness.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8" w:name="page169"/>
    <w:bookmarkEnd w:id="16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Cato Holding Company</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On October 10, 2012, we exchanged a previously outstanding note issued to Cato Holding Company (</w:t>
      </w:r>
      <w:r>
        <w:rPr>
          <w:rFonts w:ascii="Arial" w:cs="Arial" w:eastAsia="Arial" w:hAnsi="Arial"/>
          <w:sz w:val="14"/>
          <w:szCs w:val="14"/>
          <w:i w:val="1"/>
          <w:iCs w:val="1"/>
          <w:color w:val="auto"/>
        </w:rPr>
        <w:t>CHC</w:t>
      </w:r>
      <w:r>
        <w:rPr>
          <w:rFonts w:ascii="Arial" w:cs="Arial" w:eastAsia="Arial" w:hAnsi="Arial"/>
          <w:sz w:val="14"/>
          <w:szCs w:val="14"/>
          <w:color w:val="auto"/>
        </w:rPr>
        <w:t xml:space="preserve">) for a new unsecured promissory note in the principal amount of $310,400 (the </w:t>
      </w:r>
      <w:r>
        <w:rPr>
          <w:rFonts w:ascii="Arial" w:cs="Arial" w:eastAsia="Arial" w:hAnsi="Arial"/>
          <w:sz w:val="14"/>
          <w:szCs w:val="14"/>
          <w:i w:val="1"/>
          <w:iCs w:val="1"/>
          <w:color w:val="auto"/>
        </w:rPr>
        <w:t>2012 CHC</w:t>
      </w:r>
      <w:r>
        <w:rPr>
          <w:rFonts w:ascii="Arial" w:cs="Arial" w:eastAsia="Arial" w:hAnsi="Arial"/>
          <w:sz w:val="14"/>
          <w:szCs w:val="14"/>
          <w:color w:val="auto"/>
        </w:rPr>
        <w:t xml:space="preserve"> </w:t>
      </w:r>
      <w:r>
        <w:rPr>
          <w:rFonts w:ascii="Arial" w:cs="Arial" w:eastAsia="Arial" w:hAnsi="Arial"/>
          <w:sz w:val="14"/>
          <w:szCs w:val="14"/>
          <w:i w:val="1"/>
          <w:iCs w:val="1"/>
          <w:color w:val="auto"/>
        </w:rPr>
        <w:t>Note</w:t>
      </w:r>
      <w:r>
        <w:rPr>
          <w:rFonts w:ascii="Arial" w:cs="Arial" w:eastAsia="Arial" w:hAnsi="Arial"/>
          <w:sz w:val="14"/>
          <w:szCs w:val="14"/>
          <w:color w:val="auto"/>
        </w:rPr>
        <w:t>) and a five-year warrant to purchase 12,500 restricted shares of the Company’s common stock at a price of $30.00 per share (the</w:t>
      </w:r>
      <w:r>
        <w:rPr>
          <w:rFonts w:ascii="Arial" w:cs="Arial" w:eastAsia="Arial" w:hAnsi="Arial"/>
          <w:sz w:val="14"/>
          <w:szCs w:val="14"/>
          <w:i w:val="1"/>
          <w:iCs w:val="1"/>
          <w:color w:val="auto"/>
        </w:rPr>
        <w:t xml:space="preserve"> CHC Warrant</w:t>
      </w:r>
      <w:r>
        <w:rPr>
          <w:rFonts w:ascii="Arial" w:cs="Arial" w:eastAsia="Arial" w:hAnsi="Arial"/>
          <w:sz w:val="14"/>
          <w:szCs w:val="14"/>
          <w:color w:val="auto"/>
        </w:rPr>
        <w:t>). The 2012 CHC Note accrues interest at a rate of</w:t>
      </w:r>
      <w:r>
        <w:rPr>
          <w:rFonts w:ascii="Arial" w:cs="Arial" w:eastAsia="Arial" w:hAnsi="Arial"/>
          <w:sz w:val="14"/>
          <w:szCs w:val="14"/>
          <w:i w:val="1"/>
          <w:iCs w:val="1"/>
          <w:color w:val="auto"/>
        </w:rPr>
        <w:t xml:space="preserve"> </w:t>
      </w:r>
      <w:r>
        <w:rPr>
          <w:rFonts w:ascii="Arial" w:cs="Arial" w:eastAsia="Arial" w:hAnsi="Arial"/>
          <w:sz w:val="14"/>
          <w:szCs w:val="14"/>
          <w:color w:val="auto"/>
        </w:rPr>
        <w:t>7.5% per annum and is due and payable in monthly installments of $10,000, beginning November 1, 2012 and continuing until the outstanding balance is paid in full. Between December 2012 and March 31, 2015, we have made no payments on the 2012 CHC Note.</w:t>
      </w:r>
    </w:p>
    <w:p>
      <w:pPr>
        <w:spacing w:after="0" w:line="167"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2012 CHC Note in the aggregate amount (principal and accrued but unpaid interest) of approximately $354,000 was converted into 50,565 shares of our Series B Preferred, eliminating approximately $354,000 of our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University Health Network</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October 10, 2012, we issued to the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xml:space="preserve">):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3"/>
          <w:szCs w:val="13"/>
          <w:i w:val="1"/>
          <w:iCs w:val="1"/>
          <w:color w:val="auto"/>
        </w:rPr>
        <w:t>UHN Note</w:t>
      </w:r>
      <w:r>
        <w:rPr>
          <w:rFonts w:ascii="Arial" w:cs="Arial" w:eastAsia="Arial" w:hAnsi="Arial"/>
          <w:sz w:val="13"/>
          <w:szCs w:val="13"/>
          <w:color w:val="auto"/>
        </w:rPr>
        <w:t xml:space="preserve">), and (ii) a five-year warrant to purchase, at a price of $20.00 per share, 27,475 restricted shares of our common stock, the amount equal to the sum of the principal amount of the UHN Note, plus all accrued interest thereon, divided by $20.00 per share (the </w:t>
      </w:r>
      <w:r>
        <w:rPr>
          <w:rFonts w:ascii="Arial" w:cs="Arial" w:eastAsia="Arial" w:hAnsi="Arial"/>
          <w:sz w:val="13"/>
          <w:szCs w:val="13"/>
          <w:i w:val="1"/>
          <w:iCs w:val="1"/>
          <w:color w:val="auto"/>
        </w:rPr>
        <w:t>UHN Warrant</w:t>
      </w:r>
      <w:r>
        <w:rPr>
          <w:rFonts w:ascii="Arial" w:cs="Arial" w:eastAsia="Arial" w:hAnsi="Arial"/>
          <w:sz w:val="13"/>
          <w:szCs w:val="13"/>
          <w:color w:val="auto"/>
        </w:rPr>
        <w:t>). The UHN Note is due and payable on March 31, 2016 and is payable solely by UHN's cancellation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 Through March 31, 2015, we have adjusted the UHN Warrant to increase the number of restricted shares available for purchase by 5,095 shares, based on interest accrued on the UHN Note through that date. We have recorded the fair value of the additional shares as a charge to interest expense and a corresponding credit to additional paid-in capital.</w:t>
      </w:r>
    </w:p>
    <w:p>
      <w:pPr>
        <w:spacing w:after="0" w:line="159"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UHN Note in the aggregate amount (principal and accrued but unpaid interest) of approximately $656,400 was converted into 93,775 shares of our Series B Preferred, eliminating approximately $656,400 of our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 for Cancellation of Amounts Payable for Services and Royalties</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On February 25, 2011, we issued to Burr, Pilger, and Mayer, LLC (</w:t>
      </w:r>
      <w:r>
        <w:rPr>
          <w:rFonts w:ascii="Arial" w:cs="Arial" w:eastAsia="Arial" w:hAnsi="Arial"/>
          <w:sz w:val="14"/>
          <w:szCs w:val="14"/>
          <w:i w:val="1"/>
          <w:iCs w:val="1"/>
          <w:color w:val="auto"/>
        </w:rPr>
        <w:t>BPM</w:t>
      </w:r>
      <w:r>
        <w:rPr>
          <w:rFonts w:ascii="Arial" w:cs="Arial" w:eastAsia="Arial" w:hAnsi="Arial"/>
          <w:sz w:val="14"/>
          <w:szCs w:val="14"/>
          <w:color w:val="auto"/>
        </w:rPr>
        <w:t>) an unsecured promissory note in the principal amount of $98,674 for amounts payable in connection with valuation services provided to us by BPM. The BPM note bears interest at the rate of 7.5% per annum and has payment terms of $1,000 per month, beginning March 1, 2011 and continuing until all principal and interest is paid in full. In addition, a payment of $25,000 shall be due upon the sale of the Company or upon our completing a financing transaction of at least $5.0 million during any three-month period, with the payment increasing to $50,000 (or the amount then owed under the note, if less) upon the Company completing a financing of over $10.0 million. We made no payments on the BPM note during the fiscal year ended March 31, 2015.</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On April 29, 2011, we issued to Desjardins Securities, Inc. (</w:t>
      </w:r>
      <w:r>
        <w:rPr>
          <w:rFonts w:ascii="Arial" w:cs="Arial" w:eastAsia="Arial" w:hAnsi="Arial"/>
          <w:sz w:val="14"/>
          <w:szCs w:val="14"/>
          <w:i w:val="1"/>
          <w:iCs w:val="1"/>
          <w:color w:val="auto"/>
        </w:rPr>
        <w:t>Desjardins</w:t>
      </w:r>
      <w:r>
        <w:rPr>
          <w:rFonts w:ascii="Arial" w:cs="Arial" w:eastAsia="Arial" w:hAnsi="Arial"/>
          <w:sz w:val="14"/>
          <w:szCs w:val="14"/>
          <w:color w:val="auto"/>
        </w:rPr>
        <w:t>) an unsecured promissory note in the principal amount of CDN $236,000 for amounts payable for legal fees incurred by Desjardins in connection with investment banking services provided to us by Desjardins. The Desjardins note bears interest at 7.5% and was due, along with all accrued but unpaid interest on the earliest of (i) June 30, 2014, (ii) the consummation of a Change of Control, as defined in the Desjardins note, and (iii) any failure to pay principal or interest when due. We were required to make payments of CDN $4,000 per month beginning May 31, 2011, increasing to CDN $6,000 per month beginning on January 31, 2012. Beginning on January 1, 2012, we are also required to make payments equal to one-half of one percent (0.5%) of the net proceeds of all private or public equity financings closed during the term of the note. The note payable to Desjardins was due on June 30, 2014. We made no payments on the Desjardins note during the fiscal year ended March 31, 2015.</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9" w:name="page170"/>
    <w:bookmarkEnd w:id="16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80"/>
        <w:spacing w:after="0" w:line="279" w:lineRule="auto"/>
        <w:rPr>
          <w:sz w:val="20"/>
          <w:szCs w:val="20"/>
          <w:color w:val="auto"/>
        </w:rPr>
      </w:pPr>
      <w:r>
        <w:rPr>
          <w:rFonts w:ascii="Arial" w:cs="Arial" w:eastAsia="Arial" w:hAnsi="Arial"/>
          <w:sz w:val="13"/>
          <w:szCs w:val="13"/>
          <w:color w:val="auto"/>
        </w:rPr>
        <w:t>On May 5, 2011, we issued to McCarthy Tetrault LLP (</w:t>
      </w:r>
      <w:r>
        <w:rPr>
          <w:rFonts w:ascii="Arial" w:cs="Arial" w:eastAsia="Arial" w:hAnsi="Arial"/>
          <w:sz w:val="13"/>
          <w:szCs w:val="13"/>
          <w:i w:val="1"/>
          <w:iCs w:val="1"/>
          <w:color w:val="auto"/>
        </w:rPr>
        <w:t>McCarthy</w:t>
      </w:r>
      <w:r>
        <w:rPr>
          <w:rFonts w:ascii="Arial" w:cs="Arial" w:eastAsia="Arial" w:hAnsi="Arial"/>
          <w:sz w:val="13"/>
          <w:szCs w:val="13"/>
          <w:color w:val="auto"/>
        </w:rPr>
        <w:t xml:space="preserve">) an unsecured promissory note in the principal amount of CDN $502,797 for amounts payable in connection with Canadian legal services provided to us. The McCarthy note bears interest at 7.5% and was due, along with all accrued but unpaid interest on the earliest of (i) June 30, 2014, (ii) the consummation of a Change of Control, as defined in the McCarthy note, and (iii) any failure to pay principal or interest when due. We were required to make payments of CDN $10,000 per month beginning May 31, 2011, which payment amounts increased to CDN $15,000 per month on January 31, 2012. Beginning on January 1, 2012, we are also required to make payments equal to one percent (1%) of the net proceeds of all private or public equity financings closed during the term of the note. The note payable to McCarthy was due on June 14, 2014. On June 11, 2014, we and McCarthy agreed to extend the maturity date of the McCarthy note from June 14, 2014 to the earlier of (i) September 30, 2014, (ii) consummation of a financing in which we received gross cash proceeds of at least $15.0 million, or (iii) consummation of a change of control of the Company, as defined in the McCarthy note. McCarthy also agreed to forbear with respect to the requirement that we make monthly payments on the note from the date of the agreement until maturity and granted us a waiver with respect to previously missed monthly payments. We made no payments on the McCarthy note during the fiscal year ended March 31, 2015. As disclosed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in May 2015, the McCarthy note in the aggregate amount (principal and accrued but unpaid interest) of approximately $414,600 was converted into 59.230 shares of our Series B Preferred, eliminating approximately $414,600 of our indebtedness.</w:t>
      </w:r>
    </w:p>
    <w:p>
      <w:pPr>
        <w:spacing w:after="0" w:line="136"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On August 30, 2012, we issued a promissory note in the principal amount of $60,000 and 750 restricted shares of our common stock valued at a market price of $18.80 per share to Progressive Medical Research in settlement of past due obligations for clinical research services in the amount of $79,900. Under the terms of the settlement, we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our assets or upon our completion of a financing transaction, or series of transactions, resulting in gross proceeds to us of at least $4.0 million in any three-month period, excluding proceeds from stock option or warrant exercises. We made no payments on this note during the fiscal year ended March 31, 2015.</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On October 12, 2009, VistaGen California issued a promissory note payable to the Regents of the University of California “</w:t>
      </w:r>
      <w:r>
        <w:rPr>
          <w:rFonts w:ascii="Arial" w:cs="Arial" w:eastAsia="Arial" w:hAnsi="Arial"/>
          <w:sz w:val="13"/>
          <w:szCs w:val="13"/>
          <w:i w:val="1"/>
          <w:iCs w:val="1"/>
          <w:color w:val="auto"/>
        </w:rPr>
        <w:t>UC</w:t>
      </w:r>
      <w:r>
        <w:rPr>
          <w:rFonts w:ascii="Arial" w:cs="Arial" w:eastAsia="Arial" w:hAnsi="Arial"/>
          <w:sz w:val="13"/>
          <w:szCs w:val="13"/>
          <w:color w:val="auto"/>
        </w:rPr>
        <w:t>” with a principal balance of $90,000 in exchange for the cancellation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certain amounts payable under a research collaboration agreement (the </w:t>
      </w:r>
      <w:r>
        <w:rPr>
          <w:rFonts w:ascii="Arial" w:cs="Arial" w:eastAsia="Arial" w:hAnsi="Arial"/>
          <w:sz w:val="13"/>
          <w:szCs w:val="13"/>
          <w:i w:val="1"/>
          <w:iCs w:val="1"/>
          <w:color w:val="auto"/>
        </w:rPr>
        <w:t>UC Note 1</w:t>
      </w:r>
      <w:r>
        <w:rPr>
          <w:rFonts w:ascii="Arial" w:cs="Arial" w:eastAsia="Arial" w:hAnsi="Arial"/>
          <w:sz w:val="13"/>
          <w:szCs w:val="13"/>
          <w:color w:val="auto"/>
        </w:rPr>
        <w:t>) On February 25, 2010, VistaGen California issued a promissory note payable to UC having a principal balance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$170,000 in exchange for the cancellation of the remaining $60,000 principal balance of UC Note 1 and certain amounts payable under a research collaboration agreement (</w:t>
      </w:r>
      <w:r>
        <w:rPr>
          <w:rFonts w:ascii="Arial" w:cs="Arial" w:eastAsia="Arial" w:hAnsi="Arial"/>
          <w:sz w:val="12"/>
          <w:szCs w:val="12"/>
          <w:i w:val="1"/>
          <w:iCs w:val="1"/>
          <w:color w:val="auto"/>
        </w:rPr>
        <w:t>UC Note 2</w:t>
      </w:r>
      <w:r>
        <w:rPr>
          <w:rFonts w:ascii="Arial" w:cs="Arial" w:eastAsia="Arial" w:hAnsi="Arial"/>
          <w:sz w:val="12"/>
          <w:szCs w:val="12"/>
          <w:color w:val="auto"/>
        </w:rPr>
        <w:t>). UC Note 2 was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payable in monthly principal installments of $15,000 through May 31, 2010, with the remaining $125,000 plus all accrued and unpaid interest due on or before June 30, 2010. Between June 2010 and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December 2010, VistaGen California amended UC Note 2 multiple times, ultimately resulting in a decrease in the monthly payment amount to $5,000, with payments continuing until the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balance of principal and interest is paid in full. We made no payments on UC Note 2 during the fiscal year ended March 31, 2015.</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On March 1, 2010, VistaGen California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4"/>
          <w:szCs w:val="14"/>
          <w:i w:val="1"/>
          <w:iCs w:val="1"/>
          <w:color w:val="auto"/>
        </w:rPr>
        <w:t>March 2010 Note</w:t>
      </w:r>
      <w:r>
        <w:rPr>
          <w:rFonts w:ascii="Arial" w:cs="Arial" w:eastAsia="Arial" w:hAnsi="Arial"/>
          <w:sz w:val="14"/>
          <w:szCs w:val="14"/>
          <w:color w:val="auto"/>
        </w:rPr>
        <w:t>). On December 28, 2010, VistaGen California amended the March 2010 Note and extended its maturity date to the first to occur of April 30, 2011 or 30 days following the closing of a financing with gross proceeds of $5,000,000 or more. We made no payments on this note during the fiscal year ended March 31, 2015.</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On August 13, 2010, VistaGen California issued a 10% promissory note with a principal balance of $41,000 to MicroConstants, Inc. in exchange for the cancellation of certain amounts payable for services rendered. Under the terms of this note, VistaGen California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our stock or assets. We made no payments on this note during the fiscal year ended March 31, 2015.</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70" w:name="page171"/>
    <w:bookmarkEnd w:id="17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Capital Stock</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Reverse Split (Stock Consolidation) of our Common Stock</w:t>
      </w:r>
    </w:p>
    <w:p>
      <w:pPr>
        <w:spacing w:after="0" w:line="205" w:lineRule="exact"/>
        <w:rPr>
          <w:sz w:val="20"/>
          <w:szCs w:val="20"/>
          <w:color w:val="auto"/>
        </w:rPr>
      </w:pPr>
    </w:p>
    <w:p>
      <w:pPr>
        <w:ind w:right="80"/>
        <w:spacing w:after="0" w:line="290" w:lineRule="auto"/>
        <w:rPr>
          <w:sz w:val="20"/>
          <w:szCs w:val="20"/>
          <w:color w:val="auto"/>
        </w:rPr>
      </w:pPr>
      <w:r>
        <w:rPr>
          <w:rFonts w:ascii="Arial" w:cs="Arial" w:eastAsia="Arial" w:hAnsi="Arial"/>
          <w:sz w:val="13"/>
          <w:szCs w:val="13"/>
          <w:color w:val="auto"/>
        </w:rPr>
        <w:t xml:space="preserve">As indicated in Note 2, </w:t>
      </w:r>
      <w:r>
        <w:rPr>
          <w:rFonts w:ascii="Arial" w:cs="Arial" w:eastAsia="Arial" w:hAnsi="Arial"/>
          <w:sz w:val="13"/>
          <w:szCs w:val="13"/>
          <w:i w:val="1"/>
          <w:iCs w:val="1"/>
          <w:color w:val="auto"/>
        </w:rPr>
        <w:t>Basis of Presentation and Going Concern</w:t>
      </w:r>
      <w:r>
        <w:rPr>
          <w:rFonts w:ascii="Arial" w:cs="Arial" w:eastAsia="Arial" w:hAnsi="Arial"/>
          <w:sz w:val="13"/>
          <w:szCs w:val="13"/>
          <w:color w:val="auto"/>
        </w:rPr>
        <w:t>, we consummated the Stock Consolidation, a 1-for-20 reverse split of our authorized, and issued and outstanding shares of common stock, effective on August 14, 2014. The par value of our common stock remained unchanged at $0.001 per share following the Stock Consolidation. The Stock Consolidation was approved by the Financial Industry Regulatory Authority (</w:t>
      </w:r>
      <w:r>
        <w:rPr>
          <w:rFonts w:ascii="Arial" w:cs="Arial" w:eastAsia="Arial" w:hAnsi="Arial"/>
          <w:sz w:val="13"/>
          <w:szCs w:val="13"/>
          <w:i w:val="1"/>
          <w:iCs w:val="1"/>
          <w:color w:val="auto"/>
        </w:rPr>
        <w:t>FINRA</w:t>
      </w:r>
      <w:r>
        <w:rPr>
          <w:rFonts w:ascii="Arial" w:cs="Arial" w:eastAsia="Arial" w:hAnsi="Arial"/>
          <w:sz w:val="13"/>
          <w:szCs w:val="13"/>
          <w:color w:val="auto"/>
        </w:rPr>
        <w:t>) on August 13, 2014, and became effective on the OTCQB at the opening of trading on August 14, 2014. Each reference to shares of common stock or the price per share of common stock in these financial statements is post-Stock Consolidation, and reflects the 1-for-20 adjustment as a result of the Stock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Series A Preferred Stock</w:t>
      </w:r>
    </w:p>
    <w:p>
      <w:pPr>
        <w:spacing w:after="0" w:line="205"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In December 2011, our Board of Directors authorized the creation of a series of up to 500,000 shares of Series A Preferred, par value $0.001 (</w:t>
      </w:r>
      <w:r>
        <w:rPr>
          <w:rFonts w:ascii="Arial" w:cs="Arial" w:eastAsia="Arial" w:hAnsi="Arial"/>
          <w:sz w:val="14"/>
          <w:szCs w:val="14"/>
          <w:i w:val="1"/>
          <w:iCs w:val="1"/>
          <w:color w:val="auto"/>
        </w:rPr>
        <w:t>Series A Preferred</w:t>
      </w:r>
      <w:r>
        <w:rPr>
          <w:rFonts w:ascii="Arial" w:cs="Arial" w:eastAsia="Arial" w:hAnsi="Arial"/>
          <w:sz w:val="14"/>
          <w:szCs w:val="14"/>
          <w:color w:val="auto"/>
        </w:rPr>
        <w:t>). Each restricted share of Series A Preferred was initially convertible at the option of the holder into one-half of one restricted share of our common stock. The Series A Preferred ranks prior to the common stock for purposes of liquidation preference.</w:t>
      </w:r>
    </w:p>
    <w:p>
      <w:pPr>
        <w:spacing w:after="0" w:line="163"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6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53"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37"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At March 31, 2015 and 2014, there were 500,000 restricted shares of Series A Preferred outstanding, all issued to Platinum or its affiliates.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14" w:lineRule="exact"/>
        <w:rPr>
          <w:sz w:val="20"/>
          <w:szCs w:val="20"/>
          <w:color w:val="auto"/>
        </w:rPr>
      </w:pPr>
    </w:p>
    <w:p>
      <w:pPr>
        <w:ind w:left="1020" w:hanging="534"/>
        <w:spacing w:after="0"/>
        <w:tabs>
          <w:tab w:leader="none" w:pos="1020" w:val="left"/>
        </w:tabs>
        <w:numPr>
          <w:ilvl w:val="0"/>
          <w:numId w:val="86"/>
        </w:numPr>
        <w:rPr>
          <w:rFonts w:ascii="Arial" w:cs="Arial" w:eastAsia="Arial" w:hAnsi="Arial"/>
          <w:sz w:val="20"/>
          <w:szCs w:val="20"/>
          <w:color w:val="auto"/>
          <w:vertAlign w:val="superscript"/>
        </w:rPr>
      </w:pPr>
      <w:r>
        <w:rPr>
          <w:rFonts w:ascii="Arial" w:cs="Arial" w:eastAsia="Arial" w:hAnsi="Arial"/>
          <w:sz w:val="14"/>
          <w:szCs w:val="14"/>
          <w:b w:val="1"/>
          <w:bCs w:val="1"/>
          <w:i w:val="1"/>
          <w:iCs w:val="1"/>
          <w:color w:val="auto"/>
        </w:rPr>
        <w:t>December 2011 Common Stock Exchange Agreement with Platinum</w:t>
      </w:r>
    </w:p>
    <w:p>
      <w:pPr>
        <w:spacing w:after="0" w:line="181" w:lineRule="exact"/>
        <w:rPr>
          <w:rFonts w:ascii="Arial" w:cs="Arial" w:eastAsia="Arial" w:hAnsi="Arial"/>
          <w:sz w:val="20"/>
          <w:szCs w:val="20"/>
          <w:color w:val="auto"/>
          <w:vertAlign w:val="superscript"/>
        </w:rPr>
      </w:pPr>
    </w:p>
    <w:p>
      <w:pPr>
        <w:ind w:left="1020" w:right="80"/>
        <w:spacing w:after="0" w:line="290" w:lineRule="auto"/>
        <w:rPr>
          <w:rFonts w:ascii="Arial" w:cs="Arial" w:eastAsia="Arial" w:hAnsi="Arial"/>
          <w:sz w:val="20"/>
          <w:szCs w:val="20"/>
          <w:color w:val="auto"/>
          <w:vertAlign w:val="superscript"/>
        </w:rPr>
      </w:pPr>
      <w:r>
        <w:rPr>
          <w:rFonts w:ascii="Arial" w:cs="Arial" w:eastAsia="Arial" w:hAnsi="Arial"/>
          <w:sz w:val="13"/>
          <w:szCs w:val="13"/>
          <w:color w:val="auto"/>
        </w:rPr>
        <w:t xml:space="preserve">On December 22, 2011, we entered into a Common Stock Exchange Agreement (the </w:t>
      </w:r>
      <w:r>
        <w:rPr>
          <w:rFonts w:ascii="Arial" w:cs="Arial" w:eastAsia="Arial" w:hAnsi="Arial"/>
          <w:sz w:val="13"/>
          <w:szCs w:val="13"/>
          <w:i w:val="1"/>
          <w:iCs w:val="1"/>
          <w:color w:val="auto"/>
        </w:rPr>
        <w:t>Exchange Agreement</w:t>
      </w:r>
      <w:r>
        <w:rPr>
          <w:rFonts w:ascii="Arial" w:cs="Arial" w:eastAsia="Arial" w:hAnsi="Arial"/>
          <w:sz w:val="13"/>
          <w:szCs w:val="13"/>
          <w:color w:val="auto"/>
        </w:rPr>
        <w:t xml:space="preserve">") with Platinum, pursuant to which Platinum converted 24,200 restricted shares of our common stock into 45,980 restricted shares of Series A Preferred (the </w:t>
      </w:r>
      <w:r>
        <w:rPr>
          <w:rFonts w:ascii="Arial" w:cs="Arial" w:eastAsia="Arial" w:hAnsi="Arial"/>
          <w:sz w:val="13"/>
          <w:szCs w:val="13"/>
          <w:i w:val="1"/>
          <w:iCs w:val="1"/>
          <w:color w:val="auto"/>
        </w:rPr>
        <w:t>Exchange</w:t>
      </w:r>
      <w:r>
        <w:rPr>
          <w:rFonts w:ascii="Arial" w:cs="Arial" w:eastAsia="Arial" w:hAnsi="Arial"/>
          <w:sz w:val="13"/>
          <w:szCs w:val="13"/>
          <w:color w:val="auto"/>
        </w:rPr>
        <w:t>). Each restricted share of Series A Preferred issued to Platinum was initially convertible into ten restricted shares of our common stock. At the time of the Exchange, we determined the fair value of the common stock subject to the Exchange to be $31.00 per share and have reflected the 24,200 restricted common shares as treasury stock on that basis in the accompanying Consolidated Balance Sheet at March 31, 2015 and 2014.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1" w:name="page172"/>
    <w:bookmarkEnd w:id="17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41" w:lineRule="exact"/>
        <w:rPr>
          <w:sz w:val="20"/>
          <w:szCs w:val="20"/>
          <w:color w:val="auto"/>
        </w:rPr>
      </w:pPr>
    </w:p>
    <w:p>
      <w:pPr>
        <w:ind w:left="1020" w:hanging="534"/>
        <w:spacing w:after="0"/>
        <w:tabs>
          <w:tab w:leader="none" w:pos="1020" w:val="left"/>
        </w:tabs>
        <w:numPr>
          <w:ilvl w:val="0"/>
          <w:numId w:val="87"/>
        </w:numPr>
        <w:rPr>
          <w:rFonts w:ascii="Arial" w:cs="Arial" w:eastAsia="Arial" w:hAnsi="Arial"/>
          <w:sz w:val="20"/>
          <w:szCs w:val="20"/>
          <w:color w:val="auto"/>
          <w:vertAlign w:val="superscript"/>
        </w:rPr>
      </w:pPr>
      <w:r>
        <w:rPr>
          <w:rFonts w:ascii="Arial" w:cs="Arial" w:eastAsia="Arial" w:hAnsi="Arial"/>
          <w:sz w:val="14"/>
          <w:szCs w:val="14"/>
          <w:b w:val="1"/>
          <w:bCs w:val="1"/>
          <w:i w:val="1"/>
          <w:iCs w:val="1"/>
          <w:color w:val="auto"/>
        </w:rPr>
        <w:t>December 2011 Note and Warrant Exchange Agreement with Platinum</w:t>
      </w:r>
    </w:p>
    <w:p>
      <w:pPr>
        <w:spacing w:after="0" w:line="181" w:lineRule="exact"/>
        <w:rPr>
          <w:rFonts w:ascii="Arial" w:cs="Arial" w:eastAsia="Arial" w:hAnsi="Arial"/>
          <w:sz w:val="20"/>
          <w:szCs w:val="20"/>
          <w:color w:val="auto"/>
          <w:vertAlign w:val="superscript"/>
        </w:rPr>
      </w:pPr>
    </w:p>
    <w:p>
      <w:pPr>
        <w:ind w:left="1020"/>
        <w:spacing w:after="0" w:line="281" w:lineRule="auto"/>
        <w:rPr>
          <w:rFonts w:ascii="Arial" w:cs="Arial" w:eastAsia="Arial" w:hAnsi="Arial"/>
          <w:sz w:val="20"/>
          <w:szCs w:val="20"/>
          <w:color w:val="auto"/>
          <w:vertAlign w:val="superscript"/>
        </w:rPr>
      </w:pPr>
      <w:r>
        <w:rPr>
          <w:rFonts w:ascii="Arial" w:cs="Arial" w:eastAsia="Arial" w:hAnsi="Arial"/>
          <w:sz w:val="13"/>
          <w:szCs w:val="13"/>
          <w:color w:val="auto"/>
        </w:rPr>
        <w:t>On December 29, 2011, we entered into a Note and Warrant Exchange Agreement with Platinum pursuant to which a promissory note in the face amount of $4,000,000 plus accrued interest and all outstanding warrants issued to Platinum to purchase an aggregate of 79,993 restricted shares of our common stock were cancelled in exchange for 391,075 restricted shares of Series A Preferred. Each share of Series A Preferred was initially convertible into one-half of one share of our common stock. We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79,993 outstanding warrants held by Platinum, and a contractual conversion basis of $35.00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09" w:lineRule="exact"/>
        <w:rPr>
          <w:rFonts w:ascii="Arial" w:cs="Arial" w:eastAsia="Arial" w:hAnsi="Arial"/>
          <w:sz w:val="20"/>
          <w:szCs w:val="20"/>
          <w:color w:val="auto"/>
          <w:vertAlign w:val="superscript"/>
        </w:rPr>
      </w:pPr>
    </w:p>
    <w:p>
      <w:pPr>
        <w:ind w:left="1020" w:hanging="534"/>
        <w:spacing w:after="0"/>
        <w:tabs>
          <w:tab w:leader="none" w:pos="1020" w:val="left"/>
        </w:tabs>
        <w:numPr>
          <w:ilvl w:val="0"/>
          <w:numId w:val="87"/>
        </w:numPr>
        <w:rPr>
          <w:rFonts w:ascii="Arial" w:cs="Arial" w:eastAsia="Arial" w:hAnsi="Arial"/>
          <w:sz w:val="20"/>
          <w:szCs w:val="20"/>
          <w:color w:val="auto"/>
          <w:vertAlign w:val="superscript"/>
        </w:rPr>
      </w:pPr>
      <w:r>
        <w:rPr>
          <w:rFonts w:ascii="Arial" w:cs="Arial" w:eastAsia="Arial" w:hAnsi="Arial"/>
          <w:sz w:val="14"/>
          <w:szCs w:val="14"/>
          <w:b w:val="1"/>
          <w:bCs w:val="1"/>
          <w:i w:val="1"/>
          <w:iCs w:val="1"/>
          <w:color w:val="auto"/>
        </w:rPr>
        <w:t>2012 Exchange Agreement with Platinum</w:t>
      </w:r>
    </w:p>
    <w:p>
      <w:pPr>
        <w:spacing w:after="0" w:line="182" w:lineRule="exact"/>
        <w:rPr>
          <w:sz w:val="20"/>
          <w:szCs w:val="20"/>
          <w:color w:val="auto"/>
        </w:rPr>
      </w:pPr>
    </w:p>
    <w:p>
      <w:pPr>
        <w:ind w:left="1020" w:right="80"/>
        <w:spacing w:after="0" w:line="285" w:lineRule="auto"/>
        <w:rPr>
          <w:sz w:val="20"/>
          <w:szCs w:val="20"/>
          <w:color w:val="auto"/>
        </w:rPr>
      </w:pPr>
      <w:r>
        <w:rPr>
          <w:rFonts w:ascii="Arial" w:cs="Arial" w:eastAsia="Arial" w:hAnsi="Arial"/>
          <w:sz w:val="13"/>
          <w:szCs w:val="13"/>
          <w:color w:val="auto"/>
        </w:rPr>
        <w:t xml:space="preserve">On June 29, 2012, we entered into an Exchange Agreement (the </w:t>
      </w:r>
      <w:r>
        <w:rPr>
          <w:rFonts w:ascii="Arial" w:cs="Arial" w:eastAsia="Arial" w:hAnsi="Arial"/>
          <w:sz w:val="13"/>
          <w:szCs w:val="13"/>
          <w:i w:val="1"/>
          <w:iCs w:val="1"/>
          <w:color w:val="auto"/>
        </w:rPr>
        <w:t>2012 Platinum Exchange Agreement</w:t>
      </w:r>
      <w:r>
        <w:rPr>
          <w:rFonts w:ascii="Arial" w:cs="Arial" w:eastAsia="Arial" w:hAnsi="Arial"/>
          <w:sz w:val="13"/>
          <w:szCs w:val="13"/>
          <w:color w:val="auto"/>
        </w:rPr>
        <w:t>) with Platinum pursuant to which we issued Platinum 62,945 restricted shares of Series A Preferred in exchange for 31,473 restricted shares of our common stock then owned by Platinum, in consideration for Platinum’s agreement to purchase from us a senior secured convertible promissory note in the face amount of $500,000. We estimated the fair value of the Series A Preferred shares tendered to Platinum under the terms of the 2012 Platinum Exchange Agreement at $736,400 ($23.40 per share on a common share equivalent basis). The common shares exchanged for shares of Series A Preferred are treated as treasury stock on that basis in the accompanying Consolidated Balance Sheet at March 31, 2015 and 2014.</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Series A Preferred Exchange Right</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 xml:space="preserve">Pursuant to the October 2012 Agreement described more completely in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Platinum’s exchange rights in the Series A Preferred were modified such that Platinum now has the right and option to exchange the 500,000 restricted shares of our Series A Preferred that it holds for (i) a total of 750,000 restricted shares of our common stock, and (ii) a five-year warrant to purchase 350,000 restricted shares of our common stock, originally at an exercise price of $30.00 per share (</w:t>
      </w:r>
      <w:r>
        <w:rPr>
          <w:rFonts w:ascii="Arial" w:cs="Arial" w:eastAsia="Arial" w:hAnsi="Arial"/>
          <w:sz w:val="14"/>
          <w:szCs w:val="14"/>
          <w:i w:val="1"/>
          <w:iCs w:val="1"/>
          <w:color w:val="auto"/>
        </w:rPr>
        <w:t>Series A Exchange Warrant</w:t>
      </w:r>
      <w:r>
        <w:rPr>
          <w:rFonts w:ascii="Arial" w:cs="Arial" w:eastAsia="Arial" w:hAnsi="Arial"/>
          <w:sz w:val="14"/>
          <w:szCs w:val="14"/>
          <w:color w:val="auto"/>
        </w:rPr>
        <w:t xml:space="preserve">). The Series A Exchange Warrant, when issued, will have the same features, including exercise price and anti-dilution provisions as the Exchange Warrant and the Investment Warrants issued to Platinum between October 2012 and July 2013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xml:space="preserve">) and accordingly, has been treated as a component of Warrant Liability in our Consolidated Balance Sheets since the effective date of the October 2012 Agreement. Effective on May 24, 2013, we entered into an Amendment and Waiver Agreement (the </w:t>
      </w:r>
      <w:r>
        <w:rPr>
          <w:rFonts w:ascii="Arial" w:cs="Arial" w:eastAsia="Arial" w:hAnsi="Arial"/>
          <w:sz w:val="14"/>
          <w:szCs w:val="14"/>
          <w:i w:val="1"/>
          <w:iCs w:val="1"/>
          <w:color w:val="auto"/>
        </w:rPr>
        <w:t>Amendment and Waiver</w:t>
      </w:r>
      <w:r>
        <w:rPr>
          <w:rFonts w:ascii="Arial" w:cs="Arial" w:eastAsia="Arial" w:hAnsi="Arial"/>
          <w:sz w:val="14"/>
          <w:szCs w:val="14"/>
          <w:color w:val="auto"/>
        </w:rPr>
        <w:t>) with Platinum pursuant to which we agreed to reduce the exercise price of the Platinum Warrants and the Series A Exchange Warrant from $30.00 per share to $10.00 per share in consideration for Platinum’s agreement to waive certain of its rights under the anti-dilution provisions of the Platinum Warrants and the Series A Exchange Warrant. See the section entitled Modification of Platinum Warrants, later in this note, for a more complete description of the Amendment and Waiver.</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Similarly to the Platinum Warrants, we remeasure the fair value of the Series A Exchange Warrant at each quarterly reporting period and reflect the change in its fair value as a component of the Change in Warrant Liability in the Consolidated Statement of Operations. The fair value of the Series A Exchange Warrant was determined to be $2,198,400 and $2,058,600 as of March 31, 2015 and 2014, respectively, and the $139,800 increase in fair value since March 31, 2014 is reflected as a component of the Change in Warrant Liability in the accompanying Consolidated Statement of Operations and Comprehensive Loss for the fiscal year ended March 31, 2015.</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2" w:name="page173"/>
    <w:bookmarkEnd w:id="17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480"/>
        <w:spacing w:after="0" w:line="298" w:lineRule="auto"/>
        <w:rPr>
          <w:sz w:val="20"/>
          <w:szCs w:val="20"/>
          <w:color w:val="auto"/>
        </w:rPr>
      </w:pPr>
      <w:r>
        <w:rPr>
          <w:rFonts w:ascii="Arial" w:cs="Arial" w:eastAsia="Arial" w:hAnsi="Arial"/>
          <w:sz w:val="13"/>
          <w:szCs w:val="13"/>
          <w:color w:val="auto"/>
        </w:rPr>
        <w:t xml:space="preserve">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Creation of Series B Preferred Stock</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On July 17, 2014, our Board of Directors authorized the creation of a class of Series B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to provide for the potential conversion of the Senior Secured Convertible Promissory Notes held by Platinum totaling approximately $4.3 million in principal and accrued interest at December 31, 2014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into Series B Preferred. At March 31, 2015, we had not yet filed a certificate of designation with the Nevada Secretary of State to amend our Articles of Incorporation to formally establish the Series B Preferred.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the filing of a Certificate of Designation for the Series B Preferred with the Nevada Secretary of State and the issuance of Series B Preferred in May and June 2015.</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 Unit Private Placement</w:t>
      </w:r>
    </w:p>
    <w:p>
      <w:pPr>
        <w:spacing w:after="0" w:line="205" w:lineRule="exact"/>
        <w:rPr>
          <w:sz w:val="20"/>
          <w:szCs w:val="20"/>
          <w:color w:val="auto"/>
        </w:rPr>
      </w:pPr>
    </w:p>
    <w:p>
      <w:pPr>
        <w:ind w:right="160"/>
        <w:spacing w:after="0" w:line="302" w:lineRule="auto"/>
        <w:rPr>
          <w:sz w:val="20"/>
          <w:szCs w:val="20"/>
          <w:color w:val="auto"/>
        </w:rPr>
      </w:pPr>
      <w:r>
        <w:rPr>
          <w:rFonts w:ascii="Arial" w:cs="Arial" w:eastAsia="Arial" w:hAnsi="Arial"/>
          <w:sz w:val="12"/>
          <w:szCs w:val="12"/>
          <w:color w:val="auto"/>
        </w:rPr>
        <w:t>Between late-March 2014 and March 31, 2015, we entered into securities purchase agreements with accredited investors, including Platinum, pursuant to which we sold units to such accredited investors in private placement transactions (</w:t>
      </w:r>
      <w:r>
        <w:rPr>
          <w:rFonts w:ascii="Arial" w:cs="Arial" w:eastAsia="Arial" w:hAnsi="Arial"/>
          <w:sz w:val="12"/>
          <w:szCs w:val="12"/>
          <w:i w:val="1"/>
          <w:iCs w:val="1"/>
          <w:color w:val="auto"/>
        </w:rPr>
        <w:t>2014 Units</w:t>
      </w:r>
      <w:r>
        <w:rPr>
          <w:rFonts w:ascii="Arial" w:cs="Arial" w:eastAsia="Arial" w:hAnsi="Arial"/>
          <w:sz w:val="12"/>
          <w:szCs w:val="12"/>
          <w:color w:val="auto"/>
        </w:rPr>
        <w:t>), for aggregate cash proceeds of $3,113,500, consisting of (i) 2014 Unit Notes in the aggregate face amount of $3,113,500 which are due on March 31, 2015 or automatically convertible into securities we may issue upon the consummation of a Qualified Financing, defined as (a) an equity-based public financing registered with the SEC, or</w:t>
      </w:r>
    </w:p>
    <w:p>
      <w:pPr>
        <w:ind w:right="80" w:firstLine="5"/>
        <w:spacing w:after="0" w:line="277" w:lineRule="auto"/>
        <w:tabs>
          <w:tab w:leader="none" w:pos="201" w:val="left"/>
        </w:tabs>
        <w:numPr>
          <w:ilvl w:val="0"/>
          <w:numId w:val="88"/>
        </w:numPr>
        <w:rPr>
          <w:rFonts w:ascii="Arial" w:cs="Arial" w:eastAsia="Arial" w:hAnsi="Arial"/>
          <w:sz w:val="13"/>
          <w:szCs w:val="13"/>
          <w:color w:val="auto"/>
        </w:rPr>
      </w:pPr>
      <w:r>
        <w:rPr>
          <w:rFonts w:ascii="Arial" w:cs="Arial" w:eastAsia="Arial" w:hAnsi="Arial"/>
          <w:sz w:val="13"/>
          <w:szCs w:val="13"/>
          <w:color w:val="auto"/>
        </w:rPr>
        <w:t>a private equity-based financing or series of private equity-based financings, in either case in which we receive at least $10 million in gross cash proceeds prior to March 31, 2015; (ii) an aggregate of 282,850 restricted shares of our common stock (</w:t>
      </w:r>
      <w:r>
        <w:rPr>
          <w:rFonts w:ascii="Arial" w:cs="Arial" w:eastAsia="Arial" w:hAnsi="Arial"/>
          <w:sz w:val="13"/>
          <w:szCs w:val="13"/>
          <w:i w:val="1"/>
          <w:iCs w:val="1"/>
          <w:color w:val="auto"/>
        </w:rPr>
        <w:t>2014 Unit Stock)</w:t>
      </w:r>
      <w:r>
        <w:rPr>
          <w:rFonts w:ascii="Arial" w:cs="Arial" w:eastAsia="Arial" w:hAnsi="Arial"/>
          <w:sz w:val="13"/>
          <w:szCs w:val="13"/>
          <w:color w:val="auto"/>
        </w:rPr>
        <w:t>; and (iii) warrants exercisable through December 31, 2016 to purchase an aggregate of 282,850 restricted shares of our common stock at an exercise price of $10.00 per share (</w:t>
      </w:r>
      <w:r>
        <w:rPr>
          <w:rFonts w:ascii="Arial" w:cs="Arial" w:eastAsia="Arial" w:hAnsi="Arial"/>
          <w:sz w:val="13"/>
          <w:szCs w:val="13"/>
          <w:i w:val="1"/>
          <w:iCs w:val="1"/>
          <w:color w:val="auto"/>
        </w:rPr>
        <w:t>2014 Unit Warrants</w:t>
      </w:r>
      <w:r>
        <w:rPr>
          <w:rFonts w:ascii="Arial" w:cs="Arial" w:eastAsia="Arial" w:hAnsi="Arial"/>
          <w:sz w:val="13"/>
          <w:szCs w:val="13"/>
          <w:color w:val="auto"/>
        </w:rPr>
        <w:t xml:space="preserve">). We sold $1,250,000 of such Units to Platinum, issuing 2014 Unit Notes in the face amount of $1,250,000; 125,000 restricted shares of 2014 Unit Stock and 2014 Unit Warrants to purchase 125,000 shares of our common stock to Platinum. The Outstanding Balance of each 2014 Unit Notes is convertible into shares of our common stock at a conversion price of $10.00 per share at or prior to maturity, at the option of each investor. In addition, however, the Outstanding Balance is automatically convertible into securities substantially similar to those we may issue in a Qualified Financing at an amount determined by multiplying the Outstanding Balance by 1.25, and dividing the resulting number by the price per share of securities offered in the Qualified Financing. Under certain circumstances, the holders of the 2014 Unit Notes may request payment in cash in lieu of automatic conversion into the securities of the Qualified Financing. We sold $50,000 of 2014 Units prior to March 31, 2014, which Units are reflected in the figures above.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additional sales of 2014 Unit Notes in April and May 2015 and the conversion of the 2014 Unit Notes pursuant to a private placement financing in May 2015.</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 xml:space="preserve">We allocated the proceeds from the sale of the 2014 Units to the various securities based on their relative fair values on the dates of the sales. As described in Note 8, </w:t>
      </w:r>
      <w:r>
        <w:rPr>
          <w:rFonts w:ascii="Arial" w:cs="Arial" w:eastAsia="Arial" w:hAnsi="Arial"/>
          <w:sz w:val="14"/>
          <w:szCs w:val="14"/>
          <w:i w:val="1"/>
          <w:iCs w:val="1"/>
          <w:color w:val="auto"/>
        </w:rPr>
        <w:t>Convertible PromissoryNotes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Notes Payable</w:t>
      </w:r>
      <w:r>
        <w:rPr>
          <w:rFonts w:ascii="Arial" w:cs="Arial" w:eastAsia="Arial" w:hAnsi="Arial"/>
          <w:sz w:val="14"/>
          <w:szCs w:val="14"/>
          <w:color w:val="auto"/>
        </w:rPr>
        <w:t>, based on the short-term nature of the Unit Notes, we determined that fair value of the 2014 Unit Notes was equal to their face value. We determined the fair value of the 2014 Unit</w:t>
      </w:r>
      <w:r>
        <w:rPr>
          <w:rFonts w:ascii="Arial" w:cs="Arial" w:eastAsia="Arial" w:hAnsi="Arial"/>
          <w:sz w:val="14"/>
          <w:szCs w:val="14"/>
          <w:i w:val="1"/>
          <w:iCs w:val="1"/>
          <w:color w:val="auto"/>
        </w:rPr>
        <w:t xml:space="preserve"> </w:t>
      </w:r>
      <w:r>
        <w:rPr>
          <w:rFonts w:ascii="Arial" w:cs="Arial" w:eastAsia="Arial" w:hAnsi="Arial"/>
          <w:sz w:val="14"/>
          <w:szCs w:val="14"/>
          <w:color w:val="auto"/>
        </w:rPr>
        <w:t>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color w:val="auto"/>
              </w:rPr>
              <w:t>Unit Warrants</w:t>
            </w: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2"/>
              </w:rPr>
              <w:t>Weighted Average Issuance Date Valuation Assumptions</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Per Share</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w w:val="89"/>
              </w:rPr>
              <w:t>Aggregate</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Aggregate</w:t>
            </w:r>
          </w:p>
        </w:tc>
        <w:tc>
          <w:tcPr>
            <w:tcW w:w="290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Aggregate Allocation of Proceeds</w:t>
            </w:r>
          </w:p>
        </w:tc>
        <w:tc>
          <w:tcPr>
            <w:tcW w:w="0" w:type="dxa"/>
            <w:vAlign w:val="bottom"/>
          </w:tcPr>
          <w:p>
            <w:pPr>
              <w:spacing w:after="0"/>
              <w:rPr>
                <w:sz w:val="1"/>
                <w:szCs w:val="1"/>
                <w:color w:val="auto"/>
              </w:rPr>
            </w:pPr>
          </w:p>
        </w:tc>
      </w:tr>
      <w:tr>
        <w:trPr>
          <w:trHeight w:val="150"/>
        </w:trPr>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Warrant</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0"/>
              </w:rPr>
              <w:t>Risk free</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Fair Value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Proceeds</w:t>
            </w:r>
          </w:p>
        </w:tc>
        <w:tc>
          <w:tcPr>
            <w:tcW w:w="29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2"/>
              </w:rPr>
              <w:t>Based on Relative Fair Value of:</w:t>
            </w:r>
          </w:p>
        </w:tc>
        <w:tc>
          <w:tcPr>
            <w:tcW w:w="0" w:type="dxa"/>
            <w:vAlign w:val="bottom"/>
          </w:tcPr>
          <w:p>
            <w:pPr>
              <w:spacing w:after="0"/>
              <w:rPr>
                <w:sz w:val="1"/>
                <w:szCs w:val="1"/>
                <w:color w:val="auto"/>
              </w:rPr>
            </w:pPr>
          </w:p>
        </w:tc>
      </w:tr>
      <w:tr>
        <w:trPr>
          <w:trHeight w:val="160"/>
        </w:trPr>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8"/>
              </w:rPr>
              <w:t>Market</w:t>
            </w:r>
          </w:p>
        </w:tc>
        <w:tc>
          <w:tcPr>
            <w:tcW w:w="820" w:type="dxa"/>
            <w:vAlign w:val="bottom"/>
          </w:tcPr>
          <w:p>
            <w:pPr>
              <w:ind w:left="100"/>
              <w:spacing w:after="0" w:line="160" w:lineRule="exact"/>
              <w:rPr>
                <w:sz w:val="20"/>
                <w:szCs w:val="20"/>
                <w:color w:val="auto"/>
              </w:rPr>
            </w:pPr>
            <w:r>
              <w:rPr>
                <w:rFonts w:ascii="Arial" w:cs="Arial" w:eastAsia="Arial" w:hAnsi="Arial"/>
                <w:sz w:val="14"/>
                <w:szCs w:val="14"/>
                <w:color w:val="auto"/>
              </w:rPr>
              <w:t>Exercise</w:t>
            </w:r>
          </w:p>
        </w:tc>
        <w:tc>
          <w:tcPr>
            <w:tcW w:w="720" w:type="dxa"/>
            <w:vAlign w:val="bottom"/>
          </w:tcPr>
          <w:p>
            <w:pPr>
              <w:jc w:val="center"/>
              <w:ind w:right="69"/>
              <w:spacing w:after="0" w:line="160" w:lineRule="exact"/>
              <w:rPr>
                <w:sz w:val="20"/>
                <w:szCs w:val="20"/>
                <w:color w:val="auto"/>
              </w:rPr>
            </w:pPr>
            <w:r>
              <w:rPr>
                <w:rFonts w:ascii="Arial" w:cs="Arial" w:eastAsia="Arial" w:hAnsi="Arial"/>
                <w:sz w:val="14"/>
                <w:szCs w:val="14"/>
                <w:color w:val="auto"/>
                <w:w w:val="91"/>
              </w:rPr>
              <w:t>Term</w:t>
            </w:r>
          </w:p>
        </w:tc>
        <w:tc>
          <w:tcPr>
            <w:tcW w:w="880" w:type="dxa"/>
            <w:vAlign w:val="bottom"/>
          </w:tcPr>
          <w:p>
            <w:pPr>
              <w:jc w:val="center"/>
              <w:ind w:right="109"/>
              <w:spacing w:after="0" w:line="160" w:lineRule="exact"/>
              <w:rPr>
                <w:sz w:val="20"/>
                <w:szCs w:val="20"/>
                <w:color w:val="auto"/>
              </w:rPr>
            </w:pPr>
            <w:r>
              <w:rPr>
                <w:rFonts w:ascii="Arial" w:cs="Arial" w:eastAsia="Arial" w:hAnsi="Arial"/>
                <w:sz w:val="14"/>
                <w:szCs w:val="14"/>
                <w:color w:val="auto"/>
                <w:w w:val="89"/>
              </w:rPr>
              <w:t>Interest</w:t>
            </w:r>
          </w:p>
        </w:tc>
        <w:tc>
          <w:tcPr>
            <w:tcW w:w="960" w:type="dxa"/>
            <w:vAlign w:val="bottom"/>
          </w:tcPr>
          <w:p>
            <w:pPr>
              <w:spacing w:after="0"/>
              <w:rPr>
                <w:sz w:val="13"/>
                <w:szCs w:val="13"/>
                <w:color w:val="auto"/>
              </w:rPr>
            </w:pPr>
          </w:p>
        </w:tc>
        <w:tc>
          <w:tcPr>
            <w:tcW w:w="860" w:type="dxa"/>
            <w:vAlign w:val="bottom"/>
            <w:gridSpan w:val="2"/>
          </w:tcPr>
          <w:p>
            <w:pPr>
              <w:jc w:val="center"/>
              <w:ind w:right="200"/>
              <w:spacing w:after="0" w:line="160" w:lineRule="exact"/>
              <w:rPr>
                <w:sz w:val="20"/>
                <w:szCs w:val="20"/>
                <w:color w:val="auto"/>
              </w:rPr>
            </w:pPr>
            <w:r>
              <w:rPr>
                <w:rFonts w:ascii="Arial" w:cs="Arial" w:eastAsia="Arial" w:hAnsi="Arial"/>
                <w:sz w:val="14"/>
                <w:szCs w:val="14"/>
                <w:color w:val="auto"/>
                <w:w w:val="99"/>
              </w:rPr>
              <w:t>Dividend</w:t>
            </w:r>
          </w:p>
        </w:tc>
        <w:tc>
          <w:tcPr>
            <w:tcW w:w="780" w:type="dxa"/>
            <w:vAlign w:val="bottom"/>
          </w:tcPr>
          <w:p>
            <w:pPr>
              <w:jc w:val="center"/>
              <w:spacing w:after="0" w:line="160" w:lineRule="exact"/>
              <w:rPr>
                <w:sz w:val="20"/>
                <w:szCs w:val="20"/>
                <w:color w:val="auto"/>
              </w:rPr>
            </w:pPr>
            <w:r>
              <w:rPr>
                <w:rFonts w:ascii="Arial" w:cs="Arial" w:eastAsia="Arial" w:hAnsi="Arial"/>
                <w:sz w:val="14"/>
                <w:szCs w:val="14"/>
                <w:color w:val="auto"/>
                <w:w w:val="93"/>
              </w:rPr>
              <w:t>Value of</w:t>
            </w:r>
          </w:p>
        </w:tc>
        <w:tc>
          <w:tcPr>
            <w:tcW w:w="1080" w:type="dxa"/>
            <w:vAlign w:val="bottom"/>
            <w:gridSpan w:val="2"/>
          </w:tcPr>
          <w:p>
            <w:pPr>
              <w:jc w:val="center"/>
              <w:ind w:right="100"/>
              <w:spacing w:after="0" w:line="160" w:lineRule="exact"/>
              <w:rPr>
                <w:sz w:val="20"/>
                <w:szCs w:val="20"/>
                <w:color w:val="auto"/>
              </w:rPr>
            </w:pPr>
            <w:r>
              <w:rPr>
                <w:rFonts w:ascii="Arial" w:cs="Arial" w:eastAsia="Arial" w:hAnsi="Arial"/>
                <w:sz w:val="14"/>
                <w:szCs w:val="14"/>
                <w:color w:val="auto"/>
              </w:rPr>
              <w:t>of Unit</w:t>
            </w:r>
          </w:p>
        </w:tc>
        <w:tc>
          <w:tcPr>
            <w:tcW w:w="880" w:type="dxa"/>
            <w:vAlign w:val="bottom"/>
          </w:tcPr>
          <w:p>
            <w:pPr>
              <w:jc w:val="center"/>
              <w:ind w:right="29"/>
              <w:spacing w:after="0" w:line="160" w:lineRule="exact"/>
              <w:rPr>
                <w:sz w:val="20"/>
                <w:szCs w:val="20"/>
                <w:color w:val="auto"/>
              </w:rPr>
            </w:pPr>
            <w:r>
              <w:rPr>
                <w:rFonts w:ascii="Arial" w:cs="Arial" w:eastAsia="Arial" w:hAnsi="Arial"/>
                <w:sz w:val="14"/>
                <w:szCs w:val="14"/>
                <w:color w:val="auto"/>
              </w:rPr>
              <w:t>of Unit</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69"/>
              <w:spacing w:after="0" w:line="160" w:lineRule="exact"/>
              <w:rPr>
                <w:sz w:val="20"/>
                <w:szCs w:val="20"/>
                <w:color w:val="auto"/>
              </w:rPr>
            </w:pPr>
            <w:r>
              <w:rPr>
                <w:rFonts w:ascii="Arial" w:cs="Arial" w:eastAsia="Arial" w:hAnsi="Arial"/>
                <w:sz w:val="14"/>
                <w:szCs w:val="14"/>
                <w:color w:val="auto"/>
              </w:rPr>
              <w:t>Unit</w:t>
            </w: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20" w:type="dxa"/>
            <w:vAlign w:val="bottom"/>
          </w:tcPr>
          <w:p>
            <w:pPr>
              <w:jc w:val="center"/>
              <w:spacing w:after="0"/>
              <w:rPr>
                <w:sz w:val="20"/>
                <w:szCs w:val="20"/>
                <w:color w:val="auto"/>
              </w:rPr>
            </w:pPr>
            <w:r>
              <w:rPr>
                <w:rFonts w:ascii="Arial" w:cs="Arial" w:eastAsia="Arial" w:hAnsi="Arial"/>
                <w:sz w:val="14"/>
                <w:szCs w:val="14"/>
                <w:color w:val="auto"/>
                <w:w w:val="87"/>
              </w:rPr>
              <w:t>Issued</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3"/>
              </w:rPr>
              <w:t>Price</w:t>
            </w:r>
          </w:p>
        </w:tc>
        <w:tc>
          <w:tcPr>
            <w:tcW w:w="820" w:type="dxa"/>
            <w:vAlign w:val="bottom"/>
          </w:tcPr>
          <w:p>
            <w:pPr>
              <w:ind w:left="200"/>
              <w:spacing w:after="0"/>
              <w:rPr>
                <w:sz w:val="20"/>
                <w:szCs w:val="20"/>
                <w:color w:val="auto"/>
              </w:rPr>
            </w:pPr>
            <w:r>
              <w:rPr>
                <w:rFonts w:ascii="Arial" w:cs="Arial" w:eastAsia="Arial" w:hAnsi="Arial"/>
                <w:sz w:val="14"/>
                <w:szCs w:val="14"/>
                <w:color w:val="auto"/>
              </w:rPr>
              <w:t>Price</w:t>
            </w:r>
          </w:p>
        </w:tc>
        <w:tc>
          <w:tcPr>
            <w:tcW w:w="720" w:type="dxa"/>
            <w:vAlign w:val="bottom"/>
          </w:tcPr>
          <w:p>
            <w:pPr>
              <w:jc w:val="center"/>
              <w:ind w:right="89"/>
              <w:spacing w:after="0"/>
              <w:rPr>
                <w:sz w:val="20"/>
                <w:szCs w:val="20"/>
                <w:color w:val="auto"/>
              </w:rPr>
            </w:pPr>
            <w:r>
              <w:rPr>
                <w:rFonts w:ascii="Arial" w:cs="Arial" w:eastAsia="Arial" w:hAnsi="Arial"/>
                <w:sz w:val="14"/>
                <w:szCs w:val="14"/>
                <w:color w:val="auto"/>
                <w:w w:val="87"/>
              </w:rPr>
              <w:t>(Years)</w:t>
            </w:r>
          </w:p>
        </w:tc>
        <w:tc>
          <w:tcPr>
            <w:tcW w:w="880" w:type="dxa"/>
            <w:vAlign w:val="bottom"/>
          </w:tcPr>
          <w:p>
            <w:pPr>
              <w:jc w:val="center"/>
              <w:ind w:right="109"/>
              <w:spacing w:after="0"/>
              <w:rPr>
                <w:sz w:val="20"/>
                <w:szCs w:val="20"/>
                <w:color w:val="auto"/>
              </w:rPr>
            </w:pPr>
            <w:r>
              <w:rPr>
                <w:rFonts w:ascii="Arial" w:cs="Arial" w:eastAsia="Arial" w:hAnsi="Arial"/>
                <w:sz w:val="14"/>
                <w:szCs w:val="14"/>
                <w:color w:val="auto"/>
                <w:w w:val="87"/>
              </w:rPr>
              <w:t>Rate</w:t>
            </w:r>
          </w:p>
        </w:tc>
        <w:tc>
          <w:tcPr>
            <w:tcW w:w="960" w:type="dxa"/>
            <w:vAlign w:val="bottom"/>
          </w:tcPr>
          <w:p>
            <w:pPr>
              <w:jc w:val="right"/>
              <w:ind w:right="269"/>
              <w:spacing w:after="0"/>
              <w:rPr>
                <w:sz w:val="20"/>
                <w:szCs w:val="20"/>
                <w:color w:val="auto"/>
              </w:rPr>
            </w:pPr>
            <w:r>
              <w:rPr>
                <w:rFonts w:ascii="Arial" w:cs="Arial" w:eastAsia="Arial" w:hAnsi="Arial"/>
                <w:sz w:val="14"/>
                <w:szCs w:val="14"/>
                <w:color w:val="auto"/>
              </w:rPr>
              <w:t>Volatility</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Rate</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2"/>
              </w:rPr>
              <w:t>Warrant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Warrants</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Sales</w:t>
            </w: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Unit Stock</w:t>
            </w:r>
          </w:p>
        </w:tc>
        <w:tc>
          <w:tcPr>
            <w:tcW w:w="900" w:type="dxa"/>
            <w:vAlign w:val="bottom"/>
          </w:tcPr>
          <w:p>
            <w:pPr>
              <w:jc w:val="center"/>
              <w:ind w:right="169"/>
              <w:spacing w:after="0"/>
              <w:rPr>
                <w:sz w:val="20"/>
                <w:szCs w:val="20"/>
                <w:color w:val="auto"/>
              </w:rPr>
            </w:pPr>
            <w:r>
              <w:rPr>
                <w:rFonts w:ascii="Arial" w:cs="Arial" w:eastAsia="Arial" w:hAnsi="Arial"/>
                <w:sz w:val="14"/>
                <w:szCs w:val="14"/>
                <w:color w:val="auto"/>
                <w:w w:val="92"/>
              </w:rPr>
              <w:t>Warrant</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Unit Note</w:t>
            </w:r>
          </w:p>
        </w:tc>
        <w:tc>
          <w:tcPr>
            <w:tcW w:w="0" w:type="dxa"/>
            <w:vAlign w:val="bottom"/>
          </w:tcPr>
          <w:p>
            <w:pPr>
              <w:spacing w:after="0"/>
              <w:rPr>
                <w:sz w:val="1"/>
                <w:szCs w:val="1"/>
                <w:color w:val="auto"/>
              </w:rPr>
            </w:pPr>
          </w:p>
        </w:tc>
      </w:tr>
      <w:tr>
        <w:trPr>
          <w:trHeight w:val="170"/>
        </w:trPr>
        <w:tc>
          <w:tcPr>
            <w:tcW w:w="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282,850</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2.17</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0.62%</w:t>
            </w: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72.36%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$1,027,000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$3,133,500</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$1,122,400</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$454,200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$1,556,900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3" w:name="page174"/>
    <w:bookmarkEnd w:id="17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 Unit Private Placement</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Between August 2013 and March 2014, we entered into securities purchase agreements with accredited investors pursuant to which we sold units to such accredited investors in private placement transactions (</w:t>
      </w:r>
      <w:r>
        <w:rPr>
          <w:rFonts w:ascii="Arial" w:cs="Arial" w:eastAsia="Arial" w:hAnsi="Arial"/>
          <w:sz w:val="14"/>
          <w:szCs w:val="14"/>
          <w:i w:val="1"/>
          <w:iCs w:val="1"/>
          <w:color w:val="auto"/>
        </w:rPr>
        <w:t>2013 Units</w:t>
      </w:r>
      <w:r>
        <w:rPr>
          <w:rFonts w:ascii="Arial" w:cs="Arial" w:eastAsia="Arial" w:hAnsi="Arial"/>
          <w:sz w:val="14"/>
          <w:szCs w:val="14"/>
          <w:color w:val="auto"/>
        </w:rPr>
        <w:t>), for aggregate cash proceeds of $1,007,500, including $50,000 in lieu of repayment of previous advances to us made by one of our executive officers. The 2013 Units consisted of (i) 10% convertible promissory notes in the aggregate face amount of $1,007,500 maturing on July 30, 2014 (</w:t>
      </w:r>
      <w:r>
        <w:rPr>
          <w:rFonts w:ascii="Arial" w:cs="Arial" w:eastAsia="Arial" w:hAnsi="Arial"/>
          <w:sz w:val="14"/>
          <w:szCs w:val="14"/>
          <w:i w:val="1"/>
          <w:iCs w:val="1"/>
          <w:color w:val="auto"/>
        </w:rPr>
        <w:t>2013 Unit Notes)</w:t>
      </w:r>
      <w:r>
        <w:rPr>
          <w:rFonts w:ascii="Arial" w:cs="Arial" w:eastAsia="Arial" w:hAnsi="Arial"/>
          <w:sz w:val="14"/>
          <w:szCs w:val="14"/>
          <w:color w:val="auto"/>
        </w:rPr>
        <w:t xml:space="preserve"> (ii) an aggregate 100,750 restricted shares of our common stock (</w:t>
      </w:r>
      <w:r>
        <w:rPr>
          <w:rFonts w:ascii="Arial" w:cs="Arial" w:eastAsia="Arial" w:hAnsi="Arial"/>
          <w:sz w:val="14"/>
          <w:szCs w:val="14"/>
          <w:i w:val="1"/>
          <w:iCs w:val="1"/>
          <w:color w:val="auto"/>
        </w:rPr>
        <w:t>2013</w:t>
      </w:r>
      <w:r>
        <w:rPr>
          <w:rFonts w:ascii="Arial" w:cs="Arial" w:eastAsia="Arial" w:hAnsi="Arial"/>
          <w:sz w:val="14"/>
          <w:szCs w:val="14"/>
          <w:color w:val="auto"/>
        </w:rPr>
        <w:t xml:space="preserve"> </w:t>
      </w:r>
      <w:r>
        <w:rPr>
          <w:rFonts w:ascii="Arial" w:cs="Arial" w:eastAsia="Arial" w:hAnsi="Arial"/>
          <w:sz w:val="14"/>
          <w:szCs w:val="14"/>
          <w:i w:val="1"/>
          <w:iCs w:val="1"/>
          <w:color w:val="auto"/>
        </w:rPr>
        <w:t>Unit Stock</w:t>
      </w:r>
      <w:r>
        <w:rPr>
          <w:rFonts w:ascii="Arial" w:cs="Arial" w:eastAsia="Arial" w:hAnsi="Arial"/>
          <w:sz w:val="14"/>
          <w:szCs w:val="14"/>
          <w:color w:val="auto"/>
        </w:rPr>
        <w:t>); and (iii) warrants exercisable through July 30, 2016 to purchase an aggregate of 100,750 restricted shares of our common stock at an exercise price of $20.00 per share (</w:t>
      </w:r>
      <w:r>
        <w:rPr>
          <w:rFonts w:ascii="Arial" w:cs="Arial" w:eastAsia="Arial" w:hAnsi="Arial"/>
          <w:sz w:val="14"/>
          <w:szCs w:val="14"/>
          <w:i w:val="1"/>
          <w:iCs w:val="1"/>
          <w:color w:val="auto"/>
        </w:rPr>
        <w:t>2013 Unit Warrants</w:t>
      </w:r>
      <w:r>
        <w:rPr>
          <w:rFonts w:ascii="Arial" w:cs="Arial" w:eastAsia="Arial" w:hAnsi="Arial"/>
          <w:sz w:val="14"/>
          <w:szCs w:val="14"/>
          <w:color w:val="auto"/>
        </w:rPr>
        <w:t>). The 2013 Unit Notes and related accrued interest were convertible into restricted shares of our common stock at a conversion price of $10.00 per share at or prior to maturity, at the option of</w:t>
      </w:r>
      <w:r>
        <w:rPr>
          <w:rFonts w:ascii="Arial" w:cs="Arial" w:eastAsia="Arial" w:hAnsi="Arial"/>
          <w:sz w:val="14"/>
          <w:szCs w:val="14"/>
          <w:i w:val="1"/>
          <w:iCs w:val="1"/>
          <w:color w:val="auto"/>
        </w:rPr>
        <w:t xml:space="preserve"> </w:t>
      </w:r>
      <w:r>
        <w:rPr>
          <w:rFonts w:ascii="Arial" w:cs="Arial" w:eastAsia="Arial" w:hAnsi="Arial"/>
          <w:sz w:val="14"/>
          <w:szCs w:val="14"/>
          <w:color w:val="auto"/>
        </w:rPr>
        <w:t>each investor.</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We allocated the proceeds from the sale of the 2013 Units to the various securities in each 2013 Unit based on their relative fair value on the dates of the sales. As described in Note 8, </w:t>
      </w:r>
      <w:r>
        <w:rPr>
          <w:rFonts w:ascii="Arial" w:cs="Arial" w:eastAsia="Arial" w:hAnsi="Arial"/>
          <w:sz w:val="14"/>
          <w:szCs w:val="14"/>
          <w:i w:val="1"/>
          <w:iCs w:val="1"/>
          <w:color w:val="auto"/>
        </w:rPr>
        <w:t>Convertible</w:t>
      </w:r>
      <w:r>
        <w:rPr>
          <w:rFonts w:ascii="Arial" w:cs="Arial" w:eastAsia="Arial" w:hAnsi="Arial"/>
          <w:sz w:val="14"/>
          <w:szCs w:val="14"/>
          <w:color w:val="auto"/>
        </w:rPr>
        <w:t xml:space="preserve"> </w:t>
      </w:r>
      <w:r>
        <w:rPr>
          <w:rFonts w:ascii="Arial" w:cs="Arial" w:eastAsia="Arial" w:hAnsi="Arial"/>
          <w:sz w:val="14"/>
          <w:szCs w:val="14"/>
          <w:i w:val="1"/>
          <w:iCs w:val="1"/>
          <w:color w:val="auto"/>
        </w:rPr>
        <w:t>PromissoryNotes and Other Notes Payable</w:t>
      </w:r>
      <w:r>
        <w:rPr>
          <w:rFonts w:ascii="Arial" w:cs="Arial" w:eastAsia="Arial" w:hAnsi="Arial"/>
          <w:sz w:val="14"/>
          <w:szCs w:val="14"/>
          <w:color w:val="auto"/>
        </w:rPr>
        <w:t>, based on the short-term nature of the 2013 Unit Notes, we determined that fair value of the 2013 Unit Notes was equal to their face value. We determined the</w:t>
      </w:r>
      <w:r>
        <w:rPr>
          <w:rFonts w:ascii="Arial" w:cs="Arial" w:eastAsia="Arial" w:hAnsi="Arial"/>
          <w:sz w:val="14"/>
          <w:szCs w:val="14"/>
          <w:i w:val="1"/>
          <w:iCs w:val="1"/>
          <w:color w:val="auto"/>
        </w:rPr>
        <w:t xml:space="preserve"> </w:t>
      </w:r>
      <w:r>
        <w:rPr>
          <w:rFonts w:ascii="Arial" w:cs="Arial" w:eastAsia="Arial" w:hAnsi="Arial"/>
          <w:sz w:val="14"/>
          <w:szCs w:val="14"/>
          <w:color w:val="auto"/>
        </w:rPr>
        <w:t>fair value of the 2013 Unit Stock based on the quoted market price of our common stock on the date of the 2013 Unit sale. We calculated the fair value of the 2013 Unit Warrants using the Black Scholes Option Pricing Model and the weighted average assumptions indicated in the table below. The table below also presents the aggregate allocation of the 2013 Unit sales proceeds based on the relative fair values of the 2013 Unit Stock, 2013 Unit Warrants and 2013 Unit Notes at the respective 2013 Unit sales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4"/>
                <w:szCs w:val="14"/>
                <w:color w:val="auto"/>
              </w:rPr>
              <w:t>2013Unit Warrants</w:t>
            </w: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1"/>
              </w:rPr>
              <w:t>Weighted Average Issuance Date Valuation Assumptions</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Per Share</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Aggregate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Aggregate</w:t>
            </w:r>
          </w:p>
        </w:tc>
        <w:tc>
          <w:tcPr>
            <w:tcW w:w="2900" w:type="dxa"/>
            <w:vAlign w:val="bottom"/>
            <w:gridSpan w:val="4"/>
          </w:tcPr>
          <w:p>
            <w:pPr>
              <w:ind w:left="420"/>
              <w:spacing w:after="0"/>
              <w:rPr>
                <w:sz w:val="20"/>
                <w:szCs w:val="20"/>
                <w:color w:val="auto"/>
              </w:rPr>
            </w:pPr>
            <w:r>
              <w:rPr>
                <w:rFonts w:ascii="Arial" w:cs="Arial" w:eastAsia="Arial" w:hAnsi="Arial"/>
                <w:sz w:val="14"/>
                <w:szCs w:val="14"/>
                <w:color w:val="auto"/>
              </w:rPr>
              <w:t>Aggregate Allocation of Proceeds</w:t>
            </w:r>
          </w:p>
        </w:tc>
        <w:tc>
          <w:tcPr>
            <w:tcW w:w="0" w:type="dxa"/>
            <w:vAlign w:val="bottom"/>
          </w:tcPr>
          <w:p>
            <w:pPr>
              <w:spacing w:after="0"/>
              <w:rPr>
                <w:sz w:val="1"/>
                <w:szCs w:val="1"/>
                <w:color w:val="auto"/>
              </w:rPr>
            </w:pPr>
          </w:p>
        </w:tc>
      </w:tr>
      <w:tr>
        <w:trPr>
          <w:trHeight w:val="150"/>
        </w:trPr>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Warrant</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4"/>
              </w:rPr>
              <w:t>Risk free</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Fair Value</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Proceeds</w:t>
            </w:r>
          </w:p>
        </w:tc>
        <w:tc>
          <w:tcPr>
            <w:tcW w:w="2900" w:type="dxa"/>
            <w:vAlign w:val="bottom"/>
            <w:gridSpan w:val="4"/>
          </w:tcPr>
          <w:p>
            <w:pPr>
              <w:ind w:left="460"/>
              <w:spacing w:after="0" w:line="149" w:lineRule="exact"/>
              <w:rPr>
                <w:sz w:val="20"/>
                <w:szCs w:val="20"/>
                <w:color w:val="auto"/>
              </w:rPr>
            </w:pPr>
            <w:r>
              <w:rPr>
                <w:rFonts w:ascii="Arial" w:cs="Arial" w:eastAsia="Arial" w:hAnsi="Arial"/>
                <w:sz w:val="14"/>
                <w:szCs w:val="14"/>
                <w:color w:val="auto"/>
              </w:rPr>
              <w:t>Based on Relative Fair Value of:</w:t>
            </w:r>
          </w:p>
        </w:tc>
        <w:tc>
          <w:tcPr>
            <w:tcW w:w="0" w:type="dxa"/>
            <w:vAlign w:val="bottom"/>
          </w:tcPr>
          <w:p>
            <w:pPr>
              <w:spacing w:after="0"/>
              <w:rPr>
                <w:sz w:val="1"/>
                <w:szCs w:val="1"/>
                <w:color w:val="auto"/>
              </w:rPr>
            </w:pPr>
          </w:p>
        </w:tc>
      </w:tr>
      <w:tr>
        <w:trPr>
          <w:trHeight w:val="160"/>
        </w:trPr>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8"/>
              </w:rPr>
              <w:t>Market</w:t>
            </w:r>
          </w:p>
        </w:tc>
        <w:tc>
          <w:tcPr>
            <w:tcW w:w="820" w:type="dxa"/>
            <w:vAlign w:val="bottom"/>
          </w:tcPr>
          <w:p>
            <w:pPr>
              <w:ind w:left="100"/>
              <w:spacing w:after="0" w:line="160" w:lineRule="exact"/>
              <w:rPr>
                <w:sz w:val="20"/>
                <w:szCs w:val="20"/>
                <w:color w:val="auto"/>
              </w:rPr>
            </w:pPr>
            <w:r>
              <w:rPr>
                <w:rFonts w:ascii="Arial" w:cs="Arial" w:eastAsia="Arial" w:hAnsi="Arial"/>
                <w:sz w:val="14"/>
                <w:szCs w:val="14"/>
                <w:color w:val="auto"/>
              </w:rPr>
              <w:t>Exercise</w:t>
            </w:r>
          </w:p>
        </w:tc>
        <w:tc>
          <w:tcPr>
            <w:tcW w:w="720" w:type="dxa"/>
            <w:vAlign w:val="bottom"/>
          </w:tcPr>
          <w:p>
            <w:pPr>
              <w:jc w:val="center"/>
              <w:ind w:right="69"/>
              <w:spacing w:after="0" w:line="160" w:lineRule="exact"/>
              <w:rPr>
                <w:sz w:val="20"/>
                <w:szCs w:val="20"/>
                <w:color w:val="auto"/>
              </w:rPr>
            </w:pPr>
            <w:r>
              <w:rPr>
                <w:rFonts w:ascii="Arial" w:cs="Arial" w:eastAsia="Arial" w:hAnsi="Arial"/>
                <w:sz w:val="14"/>
                <w:szCs w:val="14"/>
                <w:color w:val="auto"/>
                <w:w w:val="91"/>
              </w:rPr>
              <w:t>Term</w:t>
            </w:r>
          </w:p>
        </w:tc>
        <w:tc>
          <w:tcPr>
            <w:tcW w:w="90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89"/>
              </w:rPr>
              <w:t>Interest</w:t>
            </w:r>
          </w:p>
        </w:tc>
        <w:tc>
          <w:tcPr>
            <w:tcW w:w="940" w:type="dxa"/>
            <w:vAlign w:val="bottom"/>
          </w:tcPr>
          <w:p>
            <w:pPr>
              <w:spacing w:after="0"/>
              <w:rPr>
                <w:sz w:val="13"/>
                <w:szCs w:val="13"/>
                <w:color w:val="auto"/>
              </w:rPr>
            </w:pPr>
          </w:p>
        </w:tc>
        <w:tc>
          <w:tcPr>
            <w:tcW w:w="880" w:type="dxa"/>
            <w:vAlign w:val="bottom"/>
            <w:gridSpan w:val="2"/>
          </w:tcPr>
          <w:p>
            <w:pPr>
              <w:jc w:val="center"/>
              <w:ind w:right="200"/>
              <w:spacing w:after="0" w:line="160" w:lineRule="exact"/>
              <w:rPr>
                <w:sz w:val="20"/>
                <w:szCs w:val="20"/>
                <w:color w:val="auto"/>
              </w:rPr>
            </w:pPr>
            <w:r>
              <w:rPr>
                <w:rFonts w:ascii="Arial" w:cs="Arial" w:eastAsia="Arial" w:hAnsi="Arial"/>
                <w:sz w:val="14"/>
                <w:szCs w:val="14"/>
                <w:color w:val="auto"/>
                <w:w w:val="95"/>
              </w:rPr>
              <w:t>Dividend</w:t>
            </w:r>
          </w:p>
        </w:tc>
        <w:tc>
          <w:tcPr>
            <w:tcW w:w="780" w:type="dxa"/>
            <w:vAlign w:val="bottom"/>
          </w:tcPr>
          <w:p>
            <w:pPr>
              <w:jc w:val="center"/>
              <w:spacing w:after="0" w:line="160" w:lineRule="exact"/>
              <w:rPr>
                <w:sz w:val="20"/>
                <w:szCs w:val="20"/>
                <w:color w:val="auto"/>
              </w:rPr>
            </w:pPr>
            <w:r>
              <w:rPr>
                <w:rFonts w:ascii="Arial" w:cs="Arial" w:eastAsia="Arial" w:hAnsi="Arial"/>
                <w:sz w:val="14"/>
                <w:szCs w:val="14"/>
                <w:color w:val="auto"/>
                <w:w w:val="93"/>
              </w:rPr>
              <w:t>Value of</w:t>
            </w:r>
          </w:p>
        </w:tc>
        <w:tc>
          <w:tcPr>
            <w:tcW w:w="1020" w:type="dxa"/>
            <w:vAlign w:val="bottom"/>
            <w:gridSpan w:val="2"/>
          </w:tcPr>
          <w:p>
            <w:pPr>
              <w:jc w:val="center"/>
              <w:ind w:right="100"/>
              <w:spacing w:after="0" w:line="160" w:lineRule="exact"/>
              <w:rPr>
                <w:sz w:val="20"/>
                <w:szCs w:val="20"/>
                <w:color w:val="auto"/>
              </w:rPr>
            </w:pPr>
            <w:r>
              <w:rPr>
                <w:rFonts w:ascii="Arial" w:cs="Arial" w:eastAsia="Arial" w:hAnsi="Arial"/>
                <w:sz w:val="14"/>
                <w:szCs w:val="14"/>
                <w:color w:val="auto"/>
                <w:w w:val="98"/>
              </w:rPr>
              <w:t>of Unit</w:t>
            </w:r>
          </w:p>
        </w:tc>
        <w:tc>
          <w:tcPr>
            <w:tcW w:w="900" w:type="dxa"/>
            <w:vAlign w:val="bottom"/>
          </w:tcPr>
          <w:p>
            <w:pPr>
              <w:jc w:val="center"/>
              <w:ind w:right="29"/>
              <w:spacing w:after="0" w:line="160" w:lineRule="exact"/>
              <w:rPr>
                <w:sz w:val="20"/>
                <w:szCs w:val="20"/>
                <w:color w:val="auto"/>
              </w:rPr>
            </w:pPr>
            <w:r>
              <w:rPr>
                <w:rFonts w:ascii="Arial" w:cs="Arial" w:eastAsia="Arial" w:hAnsi="Arial"/>
                <w:sz w:val="14"/>
                <w:szCs w:val="14"/>
                <w:color w:val="auto"/>
                <w:w w:val="98"/>
              </w:rPr>
              <w:t>of Unit</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49"/>
              <w:spacing w:after="0" w:line="160" w:lineRule="exact"/>
              <w:rPr>
                <w:sz w:val="20"/>
                <w:szCs w:val="20"/>
                <w:color w:val="auto"/>
              </w:rPr>
            </w:pPr>
            <w:r>
              <w:rPr>
                <w:rFonts w:ascii="Arial" w:cs="Arial" w:eastAsia="Arial" w:hAnsi="Arial"/>
                <w:sz w:val="14"/>
                <w:szCs w:val="14"/>
                <w:color w:val="auto"/>
              </w:rPr>
              <w:t>Unit</w:t>
            </w: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20" w:type="dxa"/>
            <w:vAlign w:val="bottom"/>
          </w:tcPr>
          <w:p>
            <w:pPr>
              <w:jc w:val="center"/>
              <w:spacing w:after="0"/>
              <w:rPr>
                <w:sz w:val="20"/>
                <w:szCs w:val="20"/>
                <w:color w:val="auto"/>
              </w:rPr>
            </w:pPr>
            <w:r>
              <w:rPr>
                <w:rFonts w:ascii="Arial" w:cs="Arial" w:eastAsia="Arial" w:hAnsi="Arial"/>
                <w:sz w:val="14"/>
                <w:szCs w:val="14"/>
                <w:color w:val="auto"/>
                <w:w w:val="87"/>
              </w:rPr>
              <w:t>Issued</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3"/>
              </w:rPr>
              <w:t>Price</w:t>
            </w:r>
          </w:p>
        </w:tc>
        <w:tc>
          <w:tcPr>
            <w:tcW w:w="820" w:type="dxa"/>
            <w:vAlign w:val="bottom"/>
          </w:tcPr>
          <w:p>
            <w:pPr>
              <w:ind w:left="200"/>
              <w:spacing w:after="0"/>
              <w:rPr>
                <w:sz w:val="20"/>
                <w:szCs w:val="20"/>
                <w:color w:val="auto"/>
              </w:rPr>
            </w:pPr>
            <w:r>
              <w:rPr>
                <w:rFonts w:ascii="Arial" w:cs="Arial" w:eastAsia="Arial" w:hAnsi="Arial"/>
                <w:sz w:val="14"/>
                <w:szCs w:val="14"/>
                <w:color w:val="auto"/>
              </w:rPr>
              <w:t>Price</w:t>
            </w:r>
          </w:p>
        </w:tc>
        <w:tc>
          <w:tcPr>
            <w:tcW w:w="720" w:type="dxa"/>
            <w:vAlign w:val="bottom"/>
          </w:tcPr>
          <w:p>
            <w:pPr>
              <w:jc w:val="center"/>
              <w:ind w:right="89"/>
              <w:spacing w:after="0"/>
              <w:rPr>
                <w:sz w:val="20"/>
                <w:szCs w:val="20"/>
                <w:color w:val="auto"/>
              </w:rPr>
            </w:pPr>
            <w:r>
              <w:rPr>
                <w:rFonts w:ascii="Arial" w:cs="Arial" w:eastAsia="Arial" w:hAnsi="Arial"/>
                <w:sz w:val="14"/>
                <w:szCs w:val="14"/>
                <w:color w:val="auto"/>
                <w:w w:val="87"/>
              </w:rPr>
              <w:t>(Years)</w:t>
            </w:r>
          </w:p>
        </w:tc>
        <w:tc>
          <w:tcPr>
            <w:tcW w:w="900" w:type="dxa"/>
            <w:vAlign w:val="bottom"/>
          </w:tcPr>
          <w:p>
            <w:pPr>
              <w:jc w:val="center"/>
              <w:ind w:right="129"/>
              <w:spacing w:after="0"/>
              <w:rPr>
                <w:sz w:val="20"/>
                <w:szCs w:val="20"/>
                <w:color w:val="auto"/>
              </w:rPr>
            </w:pPr>
            <w:r>
              <w:rPr>
                <w:rFonts w:ascii="Arial" w:cs="Arial" w:eastAsia="Arial" w:hAnsi="Arial"/>
                <w:sz w:val="14"/>
                <w:szCs w:val="14"/>
                <w:color w:val="auto"/>
                <w:w w:val="87"/>
              </w:rPr>
              <w:t>Rate</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Volatility</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Rate</w:t>
            </w: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Warrant</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Warrants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Sales</w:t>
            </w:r>
          </w:p>
        </w:tc>
        <w:tc>
          <w:tcPr>
            <w:tcW w:w="1060" w:type="dxa"/>
            <w:vAlign w:val="bottom"/>
          </w:tcPr>
          <w:p>
            <w:pPr>
              <w:ind w:left="120"/>
              <w:spacing w:after="0"/>
              <w:rPr>
                <w:sz w:val="20"/>
                <w:szCs w:val="20"/>
                <w:color w:val="auto"/>
              </w:rPr>
            </w:pPr>
            <w:r>
              <w:rPr>
                <w:rFonts w:ascii="Arial" w:cs="Arial" w:eastAsia="Arial" w:hAnsi="Arial"/>
                <w:sz w:val="14"/>
                <w:szCs w:val="14"/>
                <w:color w:val="auto"/>
              </w:rPr>
              <w:t>Unit Stock</w:t>
            </w:r>
          </w:p>
        </w:tc>
        <w:tc>
          <w:tcPr>
            <w:tcW w:w="920" w:type="dxa"/>
            <w:vAlign w:val="bottom"/>
          </w:tcPr>
          <w:p>
            <w:pPr>
              <w:jc w:val="center"/>
              <w:ind w:right="149"/>
              <w:spacing w:after="0"/>
              <w:rPr>
                <w:sz w:val="20"/>
                <w:szCs w:val="20"/>
                <w:color w:val="auto"/>
              </w:rPr>
            </w:pPr>
            <w:r>
              <w:rPr>
                <w:rFonts w:ascii="Arial" w:cs="Arial" w:eastAsia="Arial" w:hAnsi="Arial"/>
                <w:sz w:val="14"/>
                <w:szCs w:val="14"/>
                <w:color w:val="auto"/>
                <w:w w:val="92"/>
              </w:rPr>
              <w:t>Warrant</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Unit Note</w:t>
            </w:r>
          </w:p>
        </w:tc>
        <w:tc>
          <w:tcPr>
            <w:tcW w:w="0" w:type="dxa"/>
            <w:vAlign w:val="bottom"/>
          </w:tcPr>
          <w:p>
            <w:pPr>
              <w:spacing w:after="0"/>
              <w:rPr>
                <w:sz w:val="1"/>
                <w:szCs w:val="1"/>
                <w:color w:val="auto"/>
              </w:rPr>
            </w:pPr>
          </w:p>
        </w:tc>
      </w:tr>
      <w:tr>
        <w:trPr>
          <w:trHeight w:val="170"/>
        </w:trPr>
        <w:tc>
          <w:tcPr>
            <w:tcW w:w="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86"/>
              </w:rPr>
              <w:t>100,750</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2.68</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0.58%</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76.29%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$254,700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$1,007,500</w:t>
            </w: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$415,000</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$111,400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of 2013 Unit Notes and 2013 Unit Warrants</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As indicated in Note 8</w:t>
      </w:r>
      <w:r>
        <w:rPr>
          <w:rFonts w:ascii="Arial" w:cs="Arial" w:eastAsia="Arial" w:hAnsi="Arial"/>
          <w:sz w:val="13"/>
          <w:szCs w:val="13"/>
          <w:i w:val="1"/>
          <w:iCs w:val="1"/>
          <w:color w:val="auto"/>
        </w:rPr>
        <w:t>, Convertible Promissory Notes and Other Notes Payable</w:t>
      </w:r>
      <w:r>
        <w:rPr>
          <w:rFonts w:ascii="Arial" w:cs="Arial" w:eastAsia="Arial" w:hAnsi="Arial"/>
          <w:sz w:val="13"/>
          <w:szCs w:val="13"/>
          <w:color w:val="auto"/>
        </w:rPr>
        <w:t>, effective May 31, 2014, we entered into note and warrant amendment agreements with substantially all holders of 2013 Unit Notes and 2013 Unit Warrants to (i) modify certain terms of their 2013 Unit Notes, including the maturity date and certain conversion features, to conform to the corresponding terms of the 2014 Unit Notes and (ii) to modify certain terms of the 2013 Unit Warrants, including the exercise price and expiration date, to conform to the corresponding terms of the 2014 Unit Warrants. Holders of 2013 Unit Notes having an aggregate initial face amount of $895,000 and warrants to purchase an aggregate of 93,250 restricted shares of our common stock agreed to the amendments.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4" w:name="page175"/>
    <w:bookmarkEnd w:id="17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333" w:lineRule="auto"/>
        <w:rPr>
          <w:sz w:val="20"/>
          <w:szCs w:val="20"/>
          <w:color w:val="auto"/>
        </w:rPr>
      </w:pPr>
      <w:r>
        <w:rPr>
          <w:rFonts w:ascii="Arial" w:cs="Arial" w:eastAsia="Arial" w:hAnsi="Arial"/>
          <w:sz w:val="12"/>
          <w:szCs w:val="12"/>
          <w:color w:val="auto"/>
        </w:rPr>
        <w:t>We calculated the fair value of the modified 2013 Unit Warrants immediately before and after the modifications and determined that the fair value of the warrants increased by an aggregate of $272,900, which we treated as a component of loss on extinguishment of debt in the accompanying Condensed Consolidated Statements of Operations and Comprehensive Loss with a corresponding credit to additional paid-in capital, an equity account. The warrants subject to the exercise price modifications were valued using the Black-Scholes Option Pricing Model and the following assumptions: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12.60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0.44%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0.62%</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Remaining contractual term in years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2.17</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2.59</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75.6%</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76.6%</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3.73</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6.65</w:t>
            </w:r>
          </w:p>
        </w:tc>
      </w:tr>
      <w:tr>
        <w:trPr>
          <w:trHeight w:val="347"/>
        </w:trPr>
        <w:tc>
          <w:tcPr>
            <w:tcW w:w="8720" w:type="dxa"/>
            <w:vAlign w:val="bottom"/>
          </w:tcPr>
          <w:p>
            <w:pPr>
              <w:spacing w:after="0"/>
              <w:rPr>
                <w:sz w:val="20"/>
                <w:szCs w:val="20"/>
                <w:color w:val="auto"/>
              </w:rPr>
            </w:pPr>
            <w:r>
              <w:rPr>
                <w:rFonts w:ascii="Arial" w:cs="Arial" w:eastAsia="Arial" w:hAnsi="Arial"/>
                <w:sz w:val="14"/>
                <w:szCs w:val="14"/>
                <w:b w:val="1"/>
                <w:bCs w:val="1"/>
                <w:color w:val="auto"/>
              </w:rPr>
              <w:t>Issuance of Securities in Satisfaction of Technology License and Maintenance Fees and Patent Expenses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2" w:lineRule="exact"/>
        <w:rPr>
          <w:sz w:val="20"/>
          <w:szCs w:val="20"/>
          <w:color w:val="auto"/>
        </w:rPr>
      </w:pPr>
    </w:p>
    <w:p>
      <w:pPr>
        <w:ind w:right="160"/>
        <w:spacing w:after="0" w:line="305" w:lineRule="auto"/>
        <w:rPr>
          <w:sz w:val="20"/>
          <w:szCs w:val="20"/>
          <w:color w:val="auto"/>
        </w:rPr>
      </w:pPr>
      <w:r>
        <w:rPr>
          <w:rFonts w:ascii="Arial" w:cs="Arial" w:eastAsia="Arial" w:hAnsi="Arial"/>
          <w:sz w:val="12"/>
          <w:szCs w:val="12"/>
          <w:color w:val="auto"/>
        </w:rPr>
        <w:t>In April 2014, we entered into an agreement with Icahn School of Medicine at Mount Sinai (</w:t>
      </w:r>
      <w:r>
        <w:rPr>
          <w:rFonts w:ascii="Arial" w:cs="Arial" w:eastAsia="Arial" w:hAnsi="Arial"/>
          <w:sz w:val="12"/>
          <w:szCs w:val="12"/>
          <w:i w:val="1"/>
          <w:iCs w:val="1"/>
          <w:color w:val="auto"/>
        </w:rPr>
        <w:t>Icahn School</w:t>
      </w:r>
      <w:r>
        <w:rPr>
          <w:rFonts w:ascii="Arial" w:cs="Arial" w:eastAsia="Arial" w:hAnsi="Arial"/>
          <w:sz w:val="12"/>
          <w:szCs w:val="12"/>
          <w:color w:val="auto"/>
        </w:rPr>
        <w:t>), one of our long-term stem cell technology licensors, pursuant to which we issued (i) a 10% promissory note in the face amount of $300,000 due on the earlier of December 31, 2014, or the completion of a qualified financing, as defined, (ii) 15,000 restricted shares of our common stock and</w:t>
      </w:r>
    </w:p>
    <w:p>
      <w:pPr>
        <w:ind w:firstLine="5"/>
        <w:spacing w:after="0" w:line="255" w:lineRule="auto"/>
        <w:tabs>
          <w:tab w:leader="none" w:pos="248"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4"/>
          <w:szCs w:val="14"/>
          <w:i w:val="1"/>
          <w:iCs w:val="1"/>
          <w:color w:val="auto"/>
        </w:rPr>
        <w:t>Icahn School Agreement</w:t>
      </w:r>
      <w:r>
        <w:rPr>
          <w:rFonts w:ascii="Arial" w:cs="Arial" w:eastAsia="Arial" w:hAnsi="Arial"/>
          <w:sz w:val="14"/>
          <w:szCs w:val="14"/>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Icahn School Agreement, an additional $35,800 of license maintenance fees and reimbursable patent prosecution costs were added to the principal amount of the promissory note through March 31, 2015. The note remains outstanding at March 31, 2015.</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Common Stock to Consultants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May 2014, we entered into a consulting agreement for strategic advisory and business development services pursuant to which we issued 10,000 restricted shares of our common stock as partial compensation for such professional services. We determined the fair value of stock to be $134,000, based on the $13.40 per share quoted market price of our common stock on the date of the agreement. Additionally, under the terms of the agreement, we paid an aggregate of $80,000 between May 2014 and December 31, 2014 as additional compensation for professional services rendered by the consultant. Effective January 12, 2015, we entered into a new consulting agreement with this consultant for similar services through December 31, 2015 pursuant to which we have issued 20,000 restricted shares of our common stock valued at $160,000, based on the $8.00 per share quoted market price of our common stock on the date of the agreement, and made cash payments of $20,000 as compensation for such professional services.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In March 2015, we entered into a consulting agreement with another consultant for additional advisory and business development services pursuant to which we issued 25,000 restricted shares of our common stock as compensation for such professional services. We determined the fair value of stock to be $175,000, based on the $7.50 per share quoted market price of our common stock on the date of the agreement.</w:t>
      </w:r>
    </w:p>
    <w:p>
      <w:pPr>
        <w:spacing w:after="0" w:line="163"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We recognized a loss of $16,700 with respect to this settlement, which is included in Loss on Extinguishment of Debt in the accompanying Statement of Operations and Comprehensive Loss for the year ended March 31, 2015.</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5" w:name="page176"/>
    <w:bookmarkEnd w:id="17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Warrants to Purchase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Grants and Exercises</w:t>
      </w:r>
    </w:p>
    <w:p>
      <w:pPr>
        <w:spacing w:after="0" w:line="201"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In January 2015, when the market price of our common stock was $8.00 per share, our Board of Directors (</w:t>
      </w:r>
      <w:r>
        <w:rPr>
          <w:rFonts w:ascii="Arial" w:cs="Arial" w:eastAsia="Arial" w:hAnsi="Arial"/>
          <w:sz w:val="13"/>
          <w:szCs w:val="13"/>
          <w:i w:val="1"/>
          <w:iCs w:val="1"/>
          <w:color w:val="auto"/>
        </w:rPr>
        <w:t>Board</w:t>
      </w:r>
      <w:r>
        <w:rPr>
          <w:rFonts w:ascii="Arial" w:cs="Arial" w:eastAsia="Arial" w:hAnsi="Arial"/>
          <w:sz w:val="13"/>
          <w:szCs w:val="13"/>
          <w:color w:val="auto"/>
        </w:rPr>
        <w:t>) authorized the grant of fully-vested five-year warrants to purchase an aggregate of 381,000 restricted shares of our common stock at an exercise price of $10.00 per share, including an aggregate of 340,000 such shares to company officers and independent members of the Board. The Board also granted one-year warrants to purchase 5,715 restricted shares of our common stock at an exercise price of $10.00 per share to consultants whose warrants had expired at December 31, 2014. Additionally, the Board extended by one year the expiration date of outstanding warrants to purchase 90,675 shares of our restricted common stock otherwise expiring during calendar 2015 and reduced the exercise price to $15.00 per share for such of those extended term warrants having exercise prices in excess of that amount.</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We valued the new warrant grants at $1,756,900 using the Black Scholes Option Pricing Model and the following assumptions: market price per share: $8.00; exercise price per share: $10.00; risk-free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interest rate: 1.45% for five-year warrants and 0.24% for one-year warrants; contractual term: 5 years or 1 year; volatility: 75.86% for five-year warrants and 69.74% for one-year warrants; expected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dividend rate: 0%.</w:t>
      </w:r>
    </w:p>
    <w:p>
      <w:pPr>
        <w:spacing w:after="0" w:line="19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We calculated the fair value of the modified warrants immediately before and after the modifications and determined that the fair value of the warrants increased by $98,400, which is reflected in general and administrative expense in the accompanying Consolidated Statements of Operations and Comprehensive Loss for the fiscal year ended March 31, 2015. The warrants subject to the exercise price modifications and term extensions were valued using the Black-Scholes Option Pricing Model and the following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23.13</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0.31%</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0.24</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1.24</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69.7%</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0.22</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1.31</w:t>
            </w:r>
          </w:p>
        </w:tc>
      </w:tr>
    </w:tbl>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On March 19, 2014, we granted five-year warrants to purchase an aggregate of 20,750 restricted shares of our unregistered common stock at an exercise price of $10.00 per share to the independent members of our Board and certain of our officers. The warrants became exercisable for 50% of the shares on April 1, 2014, and become exercisable for an additional 25% of the shares on April 1, 2015 and 25% of the shares on April 1, 2016, provided that the warrant will become fully vested upon a change in control of the Company, as defined, or the consummation between us and a third party of a license or sale transaction involving at least one new drug rescue variant. We valued the warrants at $120,800 using the Black Scholes Option Pricing Model and the following assumptions: market price per share: $9.20; exercise price per share: $10.00; risk-free interest rate: 1.75%; contractual term: 5 years; volatility: 80.57%; expected dividend rate: 0%. We recognized stock compensation expense of $54,100 related to the grants in the fourth quarter of the fiscal year ended March 31, 2014 and $27,000 during the fiscal year ended March 31, 2015.</w:t>
      </w:r>
    </w:p>
    <w:p>
      <w:pPr>
        <w:spacing w:after="0" w:line="156"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In October 2013, we issued new warrants to purchase an aggregate of 11,875 shares of our restricted common stock to certain former warrant holders whose warrants to purchase an equivalent number of shares of our restricted common stock at an exercise price of $30.00 per share had recently expired. We calculated the fair value of the new warrants as $0.63 per share, using the Black-Scholes Option Pricing Model and the following assumptions. market price per share: $10.00; exercise price per share: $30.00; risk-free interest rate: 0.20%; contractual term: 1.32 years; volatility: 73.5%; and expected dividend rate: 0%. We recorded the aggregate fair value of $7,400 for the new warrants in general and administrative expense in the accompanying Consolidated Statements of Operations and Comprehensive Loss for the fiscal year ended March 31, 2014.</w:t>
      </w:r>
    </w:p>
    <w:p>
      <w:pPr>
        <w:spacing w:after="0" w:line="168"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June 2013 and October 2013, our Chief Executive Officer partially exercised an outstanding warrant to purchase 2,500 and 500 restricted shares of the Company’s common stock, respectively, at an exercise price of $12.80 per share, and we received cash proceeds of $32,000 and $6,400, respectively, from the exercises.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6" w:name="page177"/>
    <w:bookmarkEnd w:id="17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Modification of Warrants Held by Platinum</w:t>
      </w:r>
    </w:p>
    <w:p>
      <w:pPr>
        <w:spacing w:after="0" w:line="20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As indicated earlier in this note, effective on May 24, 2013, we entered into an Amendment and Waiver Agreement (</w:t>
      </w:r>
      <w:r>
        <w:rPr>
          <w:rFonts w:ascii="Arial" w:cs="Arial" w:eastAsia="Arial" w:hAnsi="Arial"/>
          <w:sz w:val="13"/>
          <w:szCs w:val="13"/>
          <w:i w:val="1"/>
          <w:iCs w:val="1"/>
          <w:color w:val="auto"/>
        </w:rPr>
        <w:t>Amendment and Waiver</w:t>
      </w:r>
      <w:r>
        <w:rPr>
          <w:rFonts w:ascii="Arial" w:cs="Arial" w:eastAsia="Arial" w:hAnsi="Arial"/>
          <w:sz w:val="13"/>
          <w:szCs w:val="13"/>
          <w:color w:val="auto"/>
        </w:rPr>
        <w:t>) with Platinum pursuant to which we agreed to reduce the exercise price of the Exchange Warrant and the Investment Warrants issued to Platinum between October 2012 and March 2013 (collectively, the “</w:t>
      </w:r>
      <w:r>
        <w:rPr>
          <w:rFonts w:ascii="Arial" w:cs="Arial" w:eastAsia="Arial" w:hAnsi="Arial"/>
          <w:sz w:val="13"/>
          <w:szCs w:val="13"/>
          <w:i w:val="1"/>
          <w:iCs w:val="1"/>
          <w:color w:val="auto"/>
        </w:rPr>
        <w:t>Warrants</w:t>
      </w:r>
      <w:r>
        <w:rPr>
          <w:rFonts w:ascii="Arial" w:cs="Arial" w:eastAsia="Arial" w:hAnsi="Arial"/>
          <w:sz w:val="13"/>
          <w:szCs w:val="13"/>
          <w:color w:val="auto"/>
        </w:rPr>
        <w:t>”)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(i) our sale of shares of our common stock at a price of $10.00 per share in connection with the Autilion Financing; (ii) the March 2013 grant of warrants to certain of our officers and independent directors to purchase an aggregate of 150,000 restricted shares of common stock at an exercise price of $12.80 per share; and (iii) our issuance of restricted shares of our common stock resulting in gross proceeds not to exceed $1.5 million in connection with the exercise by warrant holders, by no later than June 30, 2013, subsequently extended to July 30, 2013, of previously outstanding warrants for which we may reduce the exercise price to not less than $10.00 per share. (See “</w:t>
      </w:r>
      <w:r>
        <w:rPr>
          <w:rFonts w:ascii="Arial" w:cs="Arial" w:eastAsia="Arial" w:hAnsi="Arial"/>
          <w:sz w:val="13"/>
          <w:szCs w:val="13"/>
          <w:i w:val="1"/>
          <w:iCs w:val="1"/>
          <w:color w:val="auto"/>
        </w:rPr>
        <w:t>Other Warrant Modifications and Exercises</w:t>
      </w:r>
      <w:r>
        <w:rPr>
          <w:rFonts w:ascii="Arial" w:cs="Arial" w:eastAsia="Arial" w:hAnsi="Arial"/>
          <w:sz w:val="13"/>
          <w:szCs w:val="13"/>
          <w:color w:val="auto"/>
        </w:rPr>
        <w:t>” below.)</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As described in Note 4,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and in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re-measure the fair value of the Platinum Warrants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We also re-measure at the end of each reporting period the fair value of the Series A Exchange Warrant which is contingently issuable to Platinum upon the exchange of its shares of our Series A Preferred Stock into shares of our restricted common stock. At March 31, 2015 and 2014, we determined the fair values of the Platinum Warrants and the Series A Preferred Exchange Warrant to be a weighted average of $ 5.09.and $5.40 per share, respectively, or an aggregate of $3,008,500 and 2,973,900, which amounts are reflected as Warrant Liability in the accompanying Consolidated Balance Sheets at March 31, 2015 and 2014, respectively. We determined the fair value of the warrants at March 31, 2015 and 2014 using the assumptions indicated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March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7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Market price of common stock</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9.20</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4"/>
                <w:szCs w:val="14"/>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9.80 to $10.00</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0.74% to 1.37%</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Volatility</w:t>
            </w:r>
          </w:p>
        </w:tc>
        <w:tc>
          <w:tcPr>
            <w:tcW w:w="36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73.3% to 75.9%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Term (years)</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 to 5.0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 to 5.0</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Dividend rate</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Probability of Series A Preferred exchange</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w:t>
            </w: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Fair value per share</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4.45 to $6.17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5.20 to $5.80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Warrant Modifications and Exercises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During the months of June and July 2013, we offered certain long-term warrant holders the opportunity to exercise warrants having an exercise price of $30.00 per share to purchase shares of our restricted common stock at a reduced exercise price of $10.00 per share through July 30, 2013. Warrant holders exercised warrants to purchase an aggregate of 26,419 restricted shares of our common stock and we received cash proceeds of $264,200. In addition, certain warrant holders exercised modified warrants to purchase 832 restricted shares of our common stock in lieu of our payment in satisfaction of amounts due for professional services in the aggregate amount of $8,300. We calculated the fair value of the warrants exercised immediately before and after the modifications and determined that the fair value of the warrants exercised decreased.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7" w:name="page178"/>
    <w:bookmarkEnd w:id="17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In October 2013, we modified certain outstanding warrants held by our long-term investors and consultants to purchase an aggregate of 64,639 restricted shares of our common stock to reduce the exercise price of the warrants to $10.00 per share and, for warrants scheduled to expire on December 31, 2013, extend the exercise term of the warrants until January 31, 2015, generally without modifying the exercise price. We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31.97</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24.68</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0.33%</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1.40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2.10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74.4%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1.08</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2.29</w:t>
            </w:r>
          </w:p>
        </w:tc>
      </w:tr>
    </w:tbl>
    <w:p>
      <w:pPr>
        <w:spacing w:after="0" w:line="146"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In December 2013, we modified additional outstanding warrants held by certain of our long-term investors, consultants, and members of management and our Board of Directors to purchase an aggregate of 63,013 restricted shares of our common stock to reduce the exercise price of the warrants to $10.00 per share and, in limited cases, extend the exercise term of the warrants. We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33.49</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0.51%</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2.06</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2.34</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73.6%</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0.91</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2.85</w:t>
            </w:r>
          </w:p>
        </w:tc>
      </w:tr>
    </w:tbl>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In making its fair value determinations for both warrant modifications and new grants using the Black Scholes Option Pricing Model, we utilize the following principles in selecting its input assumptions. The market price per share is based on the quoted market price of our common stock on the OTC Markets on the date of the modification or grant. Because of our relatively short history as a public company, we estimate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most closely corresponding with the contractual term or remaining term of the warrant. The dividend rate is zero as we have not paid and do not expect to pay dividends in the near future.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8" w:name="page179"/>
    <w:bookmarkEnd w:id="17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 Outstanding</w:t>
      </w:r>
    </w:p>
    <w:p>
      <w:pPr>
        <w:spacing w:after="0" w:line="170"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color w:val="auto"/>
        </w:rPr>
        <w:t>The following table summarizes outstanding warrants to purchase restricted shares of our common stock as of March 31, 2015. The weighted average exercise price of outstanding warrants at March 31, 2015 was $13.00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Subject</w:t>
            </w:r>
          </w:p>
        </w:tc>
      </w:t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 Purchase at</w:t>
            </w:r>
          </w:p>
        </w:tc>
      </w:t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r>
      <w:tr>
        <w:trPr>
          <w:trHeight w:val="186"/>
        </w:trPr>
        <w:tc>
          <w:tcPr>
            <w:tcW w:w="240" w:type="dxa"/>
            <w:vAlign w:val="bottom"/>
          </w:tcPr>
          <w:p>
            <w:pPr>
              <w:spacing w:after="0"/>
              <w:rPr>
                <w:sz w:val="16"/>
                <w:szCs w:val="16"/>
                <w:color w:val="auto"/>
              </w:rPr>
            </w:pPr>
          </w:p>
        </w:tc>
        <w:tc>
          <w:tcPr>
            <w:tcW w:w="2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Exercise Price per Share</w:t>
            </w:r>
          </w:p>
        </w:tc>
        <w:tc>
          <w:tcPr>
            <w:tcW w:w="648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2420" w:type="dxa"/>
            <w:vAlign w:val="bottom"/>
            <w:gridSpan w:val="2"/>
          </w:tcPr>
          <w:p>
            <w:pPr>
              <w:jc w:val="center"/>
              <w:ind w:left="69"/>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6"/>
                <w:szCs w:val="16"/>
                <w:color w:val="auto"/>
              </w:rPr>
            </w:pPr>
          </w:p>
        </w:tc>
      </w:tr>
      <w:tr>
        <w:trPr>
          <w:trHeight w:val="170"/>
        </w:trPr>
        <w:tc>
          <w:tcPr>
            <w:tcW w:w="24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1/31/2016 to 1/1/2020</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1,064,683</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12.80</w:t>
            </w:r>
          </w:p>
        </w:tc>
        <w:tc>
          <w:tcPr>
            <w:tcW w:w="6480" w:type="dxa"/>
            <w:vAlign w:val="bottom"/>
          </w:tcPr>
          <w:p>
            <w:pPr>
              <w:jc w:val="center"/>
              <w:spacing w:after="0"/>
              <w:rPr>
                <w:sz w:val="20"/>
                <w:szCs w:val="20"/>
                <w:color w:val="auto"/>
              </w:rPr>
            </w:pPr>
            <w:r>
              <w:rPr>
                <w:rFonts w:ascii="Arial" w:cs="Arial" w:eastAsia="Arial" w:hAnsi="Arial"/>
                <w:sz w:val="14"/>
                <w:szCs w:val="14"/>
                <w:color w:val="auto"/>
                <w:w w:val="91"/>
              </w:rPr>
              <w:t>3/3/2023</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147,000</w:t>
            </w: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1/31/2016 to 6/11/2016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54,477</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6480" w:type="dxa"/>
            <w:vAlign w:val="bottom"/>
          </w:tcPr>
          <w:p>
            <w:pPr>
              <w:jc w:val="center"/>
              <w:spacing w:after="0"/>
              <w:rPr>
                <w:sz w:val="20"/>
                <w:szCs w:val="20"/>
                <w:color w:val="auto"/>
              </w:rPr>
            </w:pPr>
            <w:r>
              <w:rPr>
                <w:rFonts w:ascii="Arial" w:cs="Arial" w:eastAsia="Arial" w:hAnsi="Arial"/>
                <w:sz w:val="14"/>
                <w:szCs w:val="14"/>
                <w:color w:val="auto"/>
                <w:w w:val="93"/>
              </w:rPr>
              <w:t>7/30/2016 to 9/30/2017</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186,388</w:t>
            </w: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2/13/2016 to 3/4/2018</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69,426</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40.00</w:t>
            </w:r>
          </w:p>
        </w:tc>
        <w:tc>
          <w:tcPr>
            <w:tcW w:w="6480" w:type="dxa"/>
            <w:vAlign w:val="bottom"/>
          </w:tcPr>
          <w:p>
            <w:pPr>
              <w:jc w:val="center"/>
              <w:spacing w:after="0"/>
              <w:rPr>
                <w:sz w:val="20"/>
                <w:szCs w:val="20"/>
                <w:color w:val="auto"/>
              </w:rPr>
            </w:pPr>
            <w:r>
              <w:rPr>
                <w:rFonts w:ascii="Arial" w:cs="Arial" w:eastAsia="Arial" w:hAnsi="Arial"/>
                <w:sz w:val="14"/>
                <w:szCs w:val="14"/>
                <w:color w:val="auto"/>
                <w:w w:val="93"/>
              </w:rPr>
              <w:t>9/15/2017</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21,250</w:t>
            </w:r>
          </w:p>
        </w:tc>
      </w:tr>
      <w:tr>
        <w:trPr>
          <w:trHeight w:val="172"/>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2/13/2016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1,250</w:t>
            </w:r>
          </w:p>
        </w:tc>
      </w:tr>
      <w:tr>
        <w:trPr>
          <w:trHeight w:val="170"/>
        </w:trPr>
        <w:tc>
          <w:tcPr>
            <w:tcW w:w="240" w:type="dxa"/>
            <w:vAlign w:val="bottom"/>
            <w:tcBorders>
              <w:top w:val="single" w:sz="8" w:color="CCEEFF"/>
            </w:tcBorders>
          </w:tcPr>
          <w:p>
            <w:pPr>
              <w:spacing w:after="0"/>
              <w:rPr>
                <w:sz w:val="14"/>
                <w:szCs w:val="14"/>
                <w:color w:val="auto"/>
              </w:rPr>
            </w:pPr>
          </w:p>
        </w:tc>
        <w:tc>
          <w:tcPr>
            <w:tcW w:w="20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190"/>
        </w:trPr>
        <w:tc>
          <w:tcPr>
            <w:tcW w:w="2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1,544,474</w:t>
            </w: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Receivable from Sale of Common Stock</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In May 2011, the Company accepted a $500,000 short-term note from an investor in payment for shares of the Company’s common stock sold to the investor in a private placement transaction. On October 2, 2014 we received a cash payment of $60,000 from the maker of the note. We have considered that payment to be in full satisfaction of the outstanding principal balance of the note and related accrued interest, aggregating $194,900, at the date of the payment and recognized a loss of $134,900 on the settlement of the note, which is reflected as a component of Other expenses, net in the accompanying Statement of Operations and Comprehensive Loss.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9" w:name="page180"/>
    <w:bookmarkEnd w:id="17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Reserved Shares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At March 31, 2015, the Company has reserved shares of its common stock for future issuance as follows: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Upon exchange of all shares of Series A Preferred Stock currently issued and outstanding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75830" cy="1079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10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75830" cy="2165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5830" cy="216535"/>
                    </a:xfrm>
                    <a:prstGeom prst="rect">
                      <a:avLst/>
                    </a:prstGeom>
                    <a:noFill/>
                  </pic:spPr>
                </pic:pic>
              </a:graphicData>
            </a:graphic>
          </wp:anchor>
        </w:drawing>
      </w:r>
    </w:p>
    <w:p>
      <w:pPr>
        <w:spacing w:after="0" w:line="111" w:lineRule="exact"/>
        <w:rPr>
          <w:sz w:val="20"/>
          <w:szCs w:val="20"/>
          <w:color w:val="auto"/>
        </w:rPr>
      </w:pPr>
    </w:p>
    <w:p>
      <w:pPr>
        <w:ind w:right="260"/>
        <w:spacing w:after="0" w:line="294" w:lineRule="auto"/>
        <w:rPr>
          <w:sz w:val="20"/>
          <w:szCs w:val="20"/>
          <w:color w:val="auto"/>
        </w:rPr>
      </w:pPr>
      <w:r>
        <w:rPr>
          <w:rFonts w:ascii="Arial" w:cs="Arial" w:eastAsia="Arial" w:hAnsi="Arial"/>
          <w:sz w:val="14"/>
          <w:szCs w:val="14"/>
          <w:color w:val="auto"/>
        </w:rPr>
        <w:t xml:space="preserve">110% of shares issuable upon conversion of 10% senior secured convertible notes issued to Platinum in October 2012, February 2013, March 2013 and July 2013, including interest accrued through maturity </w:t>
      </w:r>
      <w:r>
        <w:rPr>
          <w:rFonts w:ascii="Arial" w:cs="Arial" w:eastAsia="Arial" w:hAnsi="Arial"/>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-287655</wp:posOffset>
            </wp:positionV>
            <wp:extent cx="7275830" cy="2165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5830" cy="2165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75830" cy="1079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Subject to outstanding warrants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Issuable pursuant to accrued interest through maturity on outstanding promissory notes 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5830" cy="1079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58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-93980</wp:posOffset>
            </wp:positionV>
            <wp:extent cx="7275830" cy="1219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5830" cy="12192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Pursuant to stock incentive plans: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Subject to outstanding options under the 2008 and 1999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5830" cy="1079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Available for future grants under the 2008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275830" cy="1079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34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For additional issuances under the 2014 Private Placement of Units and upon conversion of notes and accrued interest pursuant to the 2013 Private Placement of Units and 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75830" cy="2165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5830" cy="2165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103505</wp:posOffset>
            </wp:positionV>
            <wp:extent cx="7275830" cy="1079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ind w:left="160" w:hanging="155"/>
        <w:spacing w:after="0" w:line="208" w:lineRule="auto"/>
        <w:tabs>
          <w:tab w:leader="none" w:pos="160" w:val="left"/>
        </w:tabs>
        <w:numPr>
          <w:ilvl w:val="0"/>
          <w:numId w:val="90"/>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90"/>
        </w:numPr>
        <w:rPr>
          <w:rFonts w:ascii="Arial" w:cs="Arial" w:eastAsia="Arial" w:hAnsi="Arial"/>
          <w:sz w:val="19"/>
          <w:szCs w:val="19"/>
          <w:color w:val="auto"/>
          <w:vertAlign w:val="superscript"/>
        </w:rPr>
      </w:pPr>
      <w:r>
        <w:rPr>
          <w:rFonts w:ascii="Arial" w:cs="Arial" w:eastAsia="Arial" w:hAnsi="Arial"/>
          <w:sz w:val="13"/>
          <w:szCs w:val="13"/>
          <w:color w:val="auto"/>
        </w:rPr>
        <w:t>assumes conversion under the terms of the October 11, 2012 Note Exchange and Purchase Agreement with Platinum and the terms of the individual notes</w:t>
      </w:r>
    </w:p>
    <w:p>
      <w:pPr>
        <w:spacing w:after="0" w:line="10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750,000</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375,000</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563,871</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1,544,474</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33,612</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1,578,086</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207,638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6350</wp:posOffset>
            </wp:positionV>
            <wp:extent cx="730250" cy="133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250" cy="1333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248,129</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807,800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120650</wp:posOffset>
            </wp:positionV>
            <wp:extent cx="730250" cy="13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250" cy="1333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4,322,886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20320</wp:posOffset>
            </wp:positionV>
            <wp:extent cx="73025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250" cy="698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40640</wp:posOffset>
            </wp:positionV>
            <wp:extent cx="73025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0250" cy="6985"/>
                    </a:xfrm>
                    <a:prstGeom prst="rect">
                      <a:avLst/>
                    </a:prstGeom>
                    <a:noFill/>
                  </pic:spPr>
                </pic:pic>
              </a:graphicData>
            </a:graphic>
          </wp:anchor>
        </w:drawing>
      </w:r>
    </w:p>
    <w:p>
      <w:pPr>
        <w:sectPr>
          <w:pgSz w:w="11900" w:h="16838" w:orient="portrait"/>
          <w:cols w:equalWidth="0" w:num="2">
            <w:col w:w="10060" w:space="720"/>
            <w:col w:w="580"/>
          </w:cols>
          <w:pgMar w:left="220" w:top="133" w:right="319" w:bottom="1440" w:gutter="0" w:footer="0" w:header="0"/>
        </w:sectPr>
      </w:pPr>
    </w:p>
    <w:bookmarkStart w:id="180" w:name="page181"/>
    <w:bookmarkEnd w:id="18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Research and Development Expenses</w:t>
      </w:r>
    </w:p>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The Company recorded research and development expenses of approximately $4.3 million and $2.5 million in the fiscal years ended March 31, 2015 and 2014,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Income Taxes</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provision for income taxes for the periods presented in the Consolidated Statements of Operations and Comprehensive Income represents minimum California franchise taxes. Income tax expense differed from the amounts computed by applying the U.S. federal income tax rate of 34% to pretax losses as a result of the following:</w:t>
      </w:r>
    </w:p>
    <w:p>
      <w:pPr>
        <w:spacing w:after="0" w:line="153"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Fiscal Years Ended 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5"/>
                <w:szCs w:val="15"/>
                <w:color w:val="auto"/>
              </w:rPr>
            </w:pPr>
          </w:p>
        </w:tc>
      </w:tr>
      <w:tr>
        <w:trPr>
          <w:trHeight w:val="170"/>
        </w:trPr>
        <w:tc>
          <w:tcPr>
            <w:tcW w:w="8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0"/>
        </w:trPr>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Computed expected tax benefit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(34.0)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 %</w:t>
            </w:r>
          </w:p>
        </w:tc>
      </w:tr>
      <w:tr>
        <w:trPr>
          <w:trHeight w:val="170"/>
        </w:trPr>
        <w:tc>
          <w:tcPr>
            <w:tcW w:w="9460" w:type="dxa"/>
            <w:vAlign w:val="bottom"/>
            <w:gridSpan w:val="2"/>
          </w:tcPr>
          <w:p>
            <w:pPr>
              <w:spacing w:after="0"/>
              <w:rPr>
                <w:sz w:val="20"/>
                <w:szCs w:val="20"/>
                <w:color w:val="auto"/>
              </w:rPr>
            </w:pPr>
            <w:r>
              <w:rPr>
                <w:rFonts w:ascii="Arial" w:cs="Arial" w:eastAsia="Arial" w:hAnsi="Arial"/>
                <w:sz w:val="14"/>
                <w:szCs w:val="14"/>
                <w:color w:val="auto"/>
              </w:rPr>
              <w:t>Tax effect of Warrant Liability mark to market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(0.1) %</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41.5%</w:t>
            </w:r>
          </w:p>
        </w:tc>
      </w:tr>
      <w:tr>
        <w:trPr>
          <w:trHeight w:val="170"/>
        </w:trPr>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losses not benefitted</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 %</w:t>
            </w:r>
          </w:p>
        </w:tc>
      </w:tr>
      <w:tr>
        <w:trPr>
          <w:trHeight w:val="172"/>
        </w:trPr>
        <w:tc>
          <w:tcPr>
            <w:tcW w:w="9460" w:type="dxa"/>
            <w:vAlign w:val="bottom"/>
            <w:gridSpan w:val="2"/>
          </w:tcPr>
          <w:p>
            <w:pPr>
              <w:spacing w:after="0"/>
              <w:rPr>
                <w:sz w:val="20"/>
                <w:szCs w:val="20"/>
                <w:color w:val="auto"/>
              </w:rPr>
            </w:pPr>
            <w:r>
              <w:rPr>
                <w:rFonts w:ascii="Arial" w:cs="Arial" w:eastAsia="Arial" w:hAnsi="Arial"/>
                <w:sz w:val="14"/>
                <w:szCs w:val="14"/>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0.1%</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r>
      <w:tr>
        <w:trPr>
          <w:trHeight w:val="170"/>
        </w:trPr>
        <w:tc>
          <w:tcPr>
            <w:tcW w:w="87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70"/>
        </w:trPr>
        <w:tc>
          <w:tcPr>
            <w:tcW w:w="946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0.0%</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r>
      <w:tr>
        <w:trPr>
          <w:trHeight w:val="20"/>
        </w:trPr>
        <w:tc>
          <w:tcPr>
            <w:tcW w:w="8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39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3940" w:type="dxa"/>
            <w:vAlign w:val="bottom"/>
          </w:tcPr>
          <w:p>
            <w:pPr>
              <w:spacing w:after="0"/>
              <w:rPr>
                <w:sz w:val="20"/>
                <w:szCs w:val="20"/>
                <w:color w:val="auto"/>
              </w:rPr>
            </w:pPr>
            <w:r>
              <w:rPr>
                <w:rFonts w:ascii="Arial" w:cs="Arial" w:eastAsia="Arial" w:hAnsi="Arial"/>
                <w:sz w:val="14"/>
                <w:szCs w:val="14"/>
                <w:color w:val="auto"/>
              </w:rPr>
              <w:t>Deferred tax assets:</w:t>
            </w: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operating loss carryovers</w:t>
            </w:r>
          </w:p>
        </w:tc>
        <w:tc>
          <w:tcPr>
            <w:tcW w:w="5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23,054</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19,733</w:t>
            </w:r>
          </w:p>
        </w:tc>
      </w:tr>
      <w:tr>
        <w:trPr>
          <w:trHeight w:val="170"/>
        </w:trPr>
        <w:tc>
          <w:tcPr>
            <w:tcW w:w="3940" w:type="dxa"/>
            <w:vAlign w:val="bottom"/>
          </w:tcPr>
          <w:p>
            <w:pPr>
              <w:ind w:left="460"/>
              <w:spacing w:after="0"/>
              <w:rPr>
                <w:sz w:val="20"/>
                <w:szCs w:val="20"/>
                <w:color w:val="auto"/>
              </w:rPr>
            </w:pPr>
            <w:r>
              <w:rPr>
                <w:rFonts w:ascii="Arial" w:cs="Arial" w:eastAsia="Arial" w:hAnsi="Arial"/>
                <w:sz w:val="14"/>
                <w:szCs w:val="14"/>
                <w:color w:val="auto"/>
              </w:rPr>
              <w:t>Basis differences in fixed assets</w:t>
            </w: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r>
      <w:tr>
        <w:trPr>
          <w:trHeight w:val="172"/>
        </w:trPr>
        <w:tc>
          <w:tcPr>
            <w:tcW w:w="3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Accruals and reserves</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2,694</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1,383</w:t>
            </w:r>
          </w:p>
        </w:tc>
      </w:tr>
      <w:tr>
        <w:trPr>
          <w:trHeight w:val="170"/>
        </w:trPr>
        <w:tc>
          <w:tcPr>
            <w:tcW w:w="3940" w:type="dxa"/>
            <w:vAlign w:val="bottom"/>
            <w:tcBorders>
              <w:top w:val="single" w:sz="8" w:color="CCEEFF"/>
            </w:tcBorders>
          </w:tcPr>
          <w:p>
            <w:pPr>
              <w:spacing w:after="0"/>
              <w:rPr>
                <w:sz w:val="14"/>
                <w:szCs w:val="14"/>
                <w:color w:val="auto"/>
              </w:rPr>
            </w:pPr>
          </w:p>
        </w:tc>
        <w:tc>
          <w:tcPr>
            <w:tcW w:w="49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assets</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25,772</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21,153</w:t>
            </w:r>
          </w:p>
        </w:tc>
      </w:tr>
      <w:tr>
        <w:trPr>
          <w:trHeight w:val="170"/>
        </w:trPr>
        <w:tc>
          <w:tcPr>
            <w:tcW w:w="39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(25,772)</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(21,153)</w:t>
            </w:r>
          </w:p>
        </w:tc>
      </w:tr>
      <w:tr>
        <w:trPr>
          <w:trHeight w:val="170"/>
        </w:trPr>
        <w:tc>
          <w:tcPr>
            <w:tcW w:w="3940" w:type="dxa"/>
            <w:vAlign w:val="bottom"/>
            <w:tcBorders>
              <w:top w:val="single" w:sz="8" w:color="CCEEFF"/>
            </w:tcBorders>
          </w:tcPr>
          <w:p>
            <w:pPr>
              <w:spacing w:after="0"/>
              <w:rPr>
                <w:sz w:val="14"/>
                <w:szCs w:val="14"/>
                <w:color w:val="auto"/>
              </w:rPr>
            </w:pPr>
          </w:p>
        </w:tc>
        <w:tc>
          <w:tcPr>
            <w:tcW w:w="49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deferred tax assets</w:t>
            </w:r>
          </w:p>
        </w:tc>
        <w:tc>
          <w:tcPr>
            <w:tcW w:w="5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461"/>
        </w:trPr>
        <w:tc>
          <w:tcPr>
            <w:tcW w:w="3940" w:type="dxa"/>
            <w:vAlign w:val="bottom"/>
            <w:tcBorders>
              <w:top w:val="single" w:sz="8" w:color="CCEEFF"/>
            </w:tcBorders>
          </w:tcPr>
          <w:p>
            <w:pPr>
              <w:spacing w:after="0"/>
              <w:rPr>
                <w:sz w:val="24"/>
                <w:szCs w:val="24"/>
                <w:color w:val="auto"/>
              </w:rPr>
            </w:pPr>
          </w:p>
        </w:tc>
        <w:tc>
          <w:tcPr>
            <w:tcW w:w="4900" w:type="dxa"/>
            <w:vAlign w:val="bottom"/>
            <w:tcBorders>
              <w:top w:val="single" w:sz="8" w:color="CCEEFF"/>
            </w:tcBorders>
          </w:tcPr>
          <w:p>
            <w:pPr>
              <w:ind w:left="1660"/>
              <w:spacing w:after="0"/>
              <w:rPr>
                <w:sz w:val="20"/>
                <w:szCs w:val="20"/>
                <w:color w:val="auto"/>
              </w:rPr>
            </w:pPr>
            <w:r>
              <w:rPr>
                <w:rFonts w:ascii="Arial" w:cs="Arial" w:eastAsia="Arial" w:hAnsi="Arial"/>
                <w:sz w:val="14"/>
                <w:szCs w:val="14"/>
                <w:color w:val="auto"/>
              </w:rPr>
              <w:t>F-38</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3940" w:type="dxa"/>
            <w:vAlign w:val="bottom"/>
            <w:tcBorders>
              <w:bottom w:val="single" w:sz="8" w:color="808080"/>
            </w:tcBorders>
          </w:tcPr>
          <w:p>
            <w:pPr>
              <w:spacing w:after="0"/>
              <w:rPr>
                <w:sz w:val="7"/>
                <w:szCs w:val="7"/>
                <w:color w:val="auto"/>
              </w:rPr>
            </w:pPr>
          </w:p>
        </w:tc>
        <w:tc>
          <w:tcPr>
            <w:tcW w:w="4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1" w:name="page182"/>
    <w:bookmarkEnd w:id="18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340"/>
        <w:spacing w:after="0" w:line="268" w:lineRule="auto"/>
        <w:rPr>
          <w:sz w:val="20"/>
          <w:szCs w:val="20"/>
          <w:color w:val="auto"/>
        </w:rPr>
      </w:pPr>
      <w:r>
        <w:rPr>
          <w:rFonts w:ascii="Arial" w:cs="Arial" w:eastAsia="Arial" w:hAnsi="Arial"/>
          <w:sz w:val="14"/>
          <w:szCs w:val="14"/>
          <w:color w:val="auto"/>
        </w:rPr>
        <w:t>Realization of deferred tax assets is dependent upon future earnings, if any, the timing and amount of which are uncertain. Accordingly, the deferred tax assets have been fully offset by a valuation allowance. The valuation allowance increased by $4,619,000 and $2,126,000 during the fiscal years ended March 31, 2015 and 2014, respectively. When realized, deferred tax assets related to employee stock options will be credited to additional paid-in capital.</w:t>
      </w:r>
    </w:p>
    <w:p>
      <w:pPr>
        <w:spacing w:after="0" w:line="163"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As of March 31, 2015, we had U.S. federal net operating loss carryforwards of $58.7 million, which will expire in fiscal years 2020 through 2035. As of March 31, 2015, we had state net operating loss carryforwards of $53.1 million, which will expire in fiscal years 2016 through 2035.</w:t>
      </w:r>
    </w:p>
    <w:p>
      <w:pPr>
        <w:spacing w:after="0" w:line="153" w:lineRule="exact"/>
        <w:rPr>
          <w:sz w:val="20"/>
          <w:szCs w:val="20"/>
          <w:color w:val="auto"/>
        </w:rPr>
      </w:pPr>
    </w:p>
    <w:p>
      <w:pPr>
        <w:ind w:right="400"/>
        <w:spacing w:after="0" w:line="323" w:lineRule="auto"/>
        <w:rPr>
          <w:sz w:val="20"/>
          <w:szCs w:val="20"/>
          <w:color w:val="auto"/>
        </w:rPr>
      </w:pPr>
      <w:r>
        <w:rPr>
          <w:rFonts w:ascii="Arial" w:cs="Arial" w:eastAsia="Arial" w:hAnsi="Arial"/>
          <w:sz w:val="13"/>
          <w:szCs w:val="13"/>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30"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The Company files income tax returns in the U.S. federal and Canadian jurisdictions and California and Maryland state jurisdictions. The Company is subject to U.S. federal and state income tax examinations by tax authorities for tax years 2000 through 2015 due to net operating losses that are being carried forward for tax purposes.</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Company does not have any uncertain tax positions or unrecognized tax benefits at March 31, 2015 and 2014. The Company’s policy is to recognize interest and penalties related to income taxes as components of interest expense and other expense,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Licensing and Collaborative Agreements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University Health Network</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September 17, 2007, we entered into a Sponsored Research Collaboration Agreement (</w:t>
      </w:r>
      <w:r>
        <w:rPr>
          <w:rFonts w:ascii="Arial" w:cs="Arial" w:eastAsia="Arial" w:hAnsi="Arial"/>
          <w:sz w:val="13"/>
          <w:szCs w:val="13"/>
          <w:i w:val="1"/>
          <w:iCs w:val="1"/>
          <w:color w:val="auto"/>
        </w:rPr>
        <w:t>SRCA</w:t>
      </w:r>
      <w:r>
        <w:rPr>
          <w:rFonts w:ascii="Arial" w:cs="Arial" w:eastAsia="Arial" w:hAnsi="Arial"/>
          <w:sz w:val="13"/>
          <w:szCs w:val="13"/>
          <w:color w:val="auto"/>
        </w:rPr>
        <w:t>) with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to develop certain stem cell technologies for drug discovery, development and rescue technologies. The SRCA was amended on April 19, 2010 to extend the term to five years and give us various options to extend the term for an additional three years. On December 15, 2010, we entered into a second amendment with UHN to expand the scope of work to include induced pluripotent stem cell technology and to further expand the scope of research and term extension options. On April 25, 2011, we and UHN amended the SRCA a third time to expand the scope to include therapeutic and stem cell therapy applications of induced pluripotent cells and to extend the date during which we may elect to fund additional projects to April 30, 2012. On October 24, 2011, we and UHN amended the SRCA a fourth time to identify five key programs to further support our core drug rescue initiatives and potential cell therapy applications. In October 2012, we issued a promissory note in the principal amount of $549,500 and a warrant to UHN as payment in full for services rendered under the fourth amendment. We also entered into Amendment No. 5 to the SRCA establishing the sponsored research projects and the sponsored research budgets under the SRCA from October 1, 2012 to September 30, 2013. During our fiscal year ended March 31, 2015, our financial condition precluded further sponsored research activities with UHN.</w:t>
      </w:r>
    </w:p>
    <w:p>
      <w:pPr>
        <w:spacing w:after="0" w:line="159" w:lineRule="exact"/>
        <w:rPr>
          <w:sz w:val="20"/>
          <w:szCs w:val="20"/>
          <w:color w:val="auto"/>
        </w:rPr>
      </w:pPr>
    </w:p>
    <w:p>
      <w:pPr>
        <w:ind w:right="240"/>
        <w:spacing w:after="0" w:line="290" w:lineRule="auto"/>
        <w:rPr>
          <w:sz w:val="20"/>
          <w:szCs w:val="20"/>
          <w:color w:val="auto"/>
        </w:rPr>
      </w:pPr>
      <w:r>
        <w:rPr>
          <w:rFonts w:ascii="Arial" w:cs="Arial" w:eastAsia="Arial" w:hAnsi="Arial"/>
          <w:sz w:val="13"/>
          <w:szCs w:val="13"/>
          <w:color w:val="auto"/>
        </w:rPr>
        <w:t>Concurrent with the execution of the fourth amendment to the SRCA, we also entered into a License Agreement with UHN under the terms of which UHN granted us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we have agreed to make payments to UHN totaling $3.9 million, if, and when, we achieves certain commercial milestones set forth in the License Agreement, and to pay UHN royalties based on our receipt of revenue attributable to the licensed patents.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82" w:name="page183"/>
    <w:bookmarkEnd w:id="18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National Institutes of Health</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During fiscal years 2006 through 2008,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xml:space="preserve"> awarded VistaGen California a $4.2 million grant to support preclinical development of AV-101, our lead drug candidate for treatment of neuropathic pain and other neurodegenerative diseases such as Huntington’s and Parkinson’s diseases. In June 2009, the NIH awarded VistaGen California a $4.2 million grant to support the Phase I clinical development of AV-101, which amount was subsequently increased to a total of $4.6 million in July 2010. The grant expired in the ordinary course on June 30, 2012 and all funds had been expended. In February 2015, we entered into a Cooperative Research and Development Agreement with the National Institute of Mental Health to collaborate on an NIH-sponsored Phase 2 clinical study of the efficacy and safety of AV-101 in subjects with MDD. The study is expected to commence late in the third quarter of 2015 and be completed in 2016.</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Research Ltd.</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We have built a strategic development relationship with Cato Research Ltd. (</w:t>
      </w:r>
      <w:r>
        <w:rPr>
          <w:rFonts w:ascii="Arial" w:cs="Arial" w:eastAsia="Arial" w:hAnsi="Arial"/>
          <w:sz w:val="14"/>
          <w:szCs w:val="14"/>
          <w:i w:val="1"/>
          <w:iCs w:val="1"/>
          <w:color w:val="auto"/>
        </w:rPr>
        <w:t>CRL)</w:t>
      </w:r>
      <w:r>
        <w:rPr>
          <w:rFonts w:ascii="Arial" w:cs="Arial" w:eastAsia="Arial" w:hAnsi="Arial"/>
          <w:sz w:val="14"/>
          <w:szCs w:val="14"/>
          <w:color w:val="auto"/>
        </w:rPr>
        <w:t>a global contract research and development organization, or CRO, and an affiliate of one of the Company’s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$38,100 and $52,500 for the fiscal years ended March 31, 2015 and 2014, respectively. In October 2012, we issued an unsecured promissory note in the principal amount of $1,009,000, and a warrant exercisable for 50,450 shares of our common stock, as payment in full of all amounts owed to CRL for CRO services rendered to us through December 31, 2012.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Option Plans and 401(k) Plan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We have the following share-based compensation plans.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2008 Stock Incentive Plan</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Our 2008 Stock Incentive Plan the (</w:t>
      </w:r>
      <w:r>
        <w:rPr>
          <w:rFonts w:ascii="Arial" w:cs="Arial" w:eastAsia="Arial" w:hAnsi="Arial"/>
          <w:sz w:val="14"/>
          <w:szCs w:val="14"/>
          <w:i w:val="1"/>
          <w:iCs w:val="1"/>
          <w:color w:val="auto"/>
        </w:rPr>
        <w:t>2008 Plan)</w:t>
      </w:r>
      <w:r>
        <w:rPr>
          <w:rFonts w:ascii="Arial" w:cs="Arial" w:eastAsia="Arial" w:hAnsi="Arial"/>
          <w:sz w:val="14"/>
          <w:szCs w:val="14"/>
          <w:color w:val="auto"/>
        </w:rPr>
        <w:t xml:space="preserve"> was adopted by the stockholders of VistaGen California on December 19, 2008 and assumed by the Company in connection with the Merger. The maximum number of shares of our common stock that may be granted pursuant to the 2008 Plan is 250,000 shares, subject to adjustments for stock splits, stock dividends or other similar changes in the common stock or capital structure.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1999 Stock Incentive Plan</w:t>
      </w:r>
    </w:p>
    <w:p>
      <w:pPr>
        <w:spacing w:after="0" w:line="201"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Our 1999 Stock Incentive Plan the (</w:t>
      </w:r>
      <w:r>
        <w:rPr>
          <w:rFonts w:ascii="Arial" w:cs="Arial" w:eastAsia="Arial" w:hAnsi="Arial"/>
          <w:sz w:val="14"/>
          <w:szCs w:val="14"/>
          <w:i w:val="1"/>
          <w:iCs w:val="1"/>
          <w:color w:val="auto"/>
        </w:rPr>
        <w:t>1999 Plan)</w:t>
      </w:r>
      <w:r>
        <w:rPr>
          <w:rFonts w:ascii="Arial" w:cs="Arial" w:eastAsia="Arial" w:hAnsi="Arial"/>
          <w:sz w:val="14"/>
          <w:szCs w:val="14"/>
          <w:color w:val="auto"/>
        </w:rPr>
        <w:t xml:space="preserve"> was adopted by the stockholders of VistaGen California on December 6, 1999 and assumed by the Company in connection with the Merger.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the 2008 Plan</w:t>
      </w:r>
    </w:p>
    <w:p>
      <w:pPr>
        <w:spacing w:after="0" w:line="201" w:lineRule="exact"/>
        <w:rPr>
          <w:sz w:val="20"/>
          <w:szCs w:val="20"/>
          <w:color w:val="auto"/>
        </w:rPr>
      </w:pPr>
    </w:p>
    <w:p>
      <w:pPr>
        <w:ind w:right="20"/>
        <w:spacing w:after="0" w:line="333" w:lineRule="auto"/>
        <w:rPr>
          <w:sz w:val="20"/>
          <w:szCs w:val="20"/>
          <w:color w:val="auto"/>
        </w:rPr>
      </w:pPr>
      <w:r>
        <w:rPr>
          <w:rFonts w:ascii="Arial" w:cs="Arial" w:eastAsia="Arial" w:hAnsi="Arial"/>
          <w:sz w:val="12"/>
          <w:szCs w:val="12"/>
          <w:color w:val="auto"/>
        </w:rPr>
        <w:t>Under the terms of the 2008 Plan, the Compensation Committee of our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3" w:name="page184"/>
    <w:bookmarkEnd w:id="18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The Compensation Committee may grant nonstatutory stock options under the 2008 Plan at a price of not less than 100% of the fair market value of our common stock on the date the option is granted. Incentive stock options under the 2008 Plan may be granted at a price of not less than 100% of the fair market value of our common stock on the date the option is granted. Incentive stock options granted to employees who, on the date of grant, own stock representing more than 10% of the voting power of all of our classes of stock are granted at an exercise price of not less than 110% of the fair market value of our common stock and the maximum term of such incentive stock options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 We currently have no performance-based awards outstanding.</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Unless terminated sooner, the 2008 Plan will automatically terminate in 2017. The Board of Directors may at any time amend, suspend or terminate our 2008 Plan.</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We did not grant any stock options during fiscal 2015. During the third quarter of fiscal 2014, when the quoted market price of our common stock was $8.00 per share, we reduced the exercise price of an aggregate of 196,213 outstanding options to purchase shares of its common stock at exercise prices between $15.00 per share and $59.80 per share held by certain employees, including the Company’s officers and directors, and by certain consultants to $8.00 per share or $10.00 per share. These reductions in exercise price were accounted for as a modification of the options and resulted in a charge of $252,000.</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 xml:space="preserve">The following table summarizes share-based compensation expense, including share-based expense related to the March 2015 and March 2014 grants of warrants to certain of our officers and to our independent directors as described in Note 9,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included in the accompanying Consolidated Statement of Operations and Comprehensive Loss for the years ended March 31, 2015 and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ind w:left="440"/>
              <w:spacing w:after="0"/>
              <w:rPr>
                <w:sz w:val="20"/>
                <w:szCs w:val="20"/>
                <w:color w:val="auto"/>
              </w:rPr>
            </w:pPr>
            <w:r>
              <w:rPr>
                <w:rFonts w:ascii="Arial" w:cs="Arial" w:eastAsia="Arial" w:hAnsi="Arial"/>
                <w:sz w:val="14"/>
                <w:szCs w:val="14"/>
                <w:b w:val="1"/>
                <w:bCs w:val="1"/>
                <w:color w:val="auto"/>
              </w:rPr>
              <w:t>Fiscal Years Ended</w:t>
            </w:r>
          </w:p>
        </w:tc>
      </w:tr>
      <w:tr>
        <w:trPr>
          <w:trHeight w:val="186"/>
        </w:trPr>
        <w:tc>
          <w:tcPr>
            <w:tcW w:w="44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4460" w:type="dxa"/>
            <w:vAlign w:val="bottom"/>
          </w:tcPr>
          <w:p>
            <w:pPr>
              <w:spacing w:after="0"/>
              <w:rPr>
                <w:sz w:val="20"/>
                <w:szCs w:val="20"/>
                <w:color w:val="auto"/>
              </w:rPr>
            </w:pPr>
            <w:r>
              <w:rPr>
                <w:rFonts w:ascii="Arial" w:cs="Arial" w:eastAsia="Arial" w:hAnsi="Arial"/>
                <w:sz w:val="14"/>
                <w:szCs w:val="14"/>
                <w:color w:val="auto"/>
              </w:rPr>
              <w:t>Research and development expense:</w:t>
            </w: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option grants</w:t>
            </w:r>
          </w:p>
        </w:tc>
        <w:tc>
          <w:tcPr>
            <w:tcW w:w="4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176,200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296,900</w:t>
            </w:r>
          </w:p>
        </w:tc>
      </w:tr>
      <w:tr>
        <w:trPr>
          <w:trHeight w:val="160"/>
        </w:trPr>
        <w:tc>
          <w:tcPr>
            <w:tcW w:w="4460" w:type="dxa"/>
            <w:vAlign w:val="bottom"/>
          </w:tcPr>
          <w:p>
            <w:pPr>
              <w:ind w:left="340"/>
              <w:spacing w:after="0" w:line="160" w:lineRule="exact"/>
              <w:rPr>
                <w:sz w:val="20"/>
                <w:szCs w:val="20"/>
                <w:color w:val="auto"/>
              </w:rPr>
            </w:pPr>
            <w:r>
              <w:rPr>
                <w:rFonts w:ascii="Arial" w:cs="Arial" w:eastAsia="Arial" w:hAnsi="Arial"/>
                <w:sz w:val="14"/>
                <w:szCs w:val="14"/>
                <w:color w:val="auto"/>
              </w:rPr>
              <w:t>Fully-vested warrants granted to officer and</w:t>
            </w: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4460" w:type="dxa"/>
            <w:vAlign w:val="bottom"/>
          </w:tcPr>
          <w:p>
            <w:pPr>
              <w:ind w:left="340"/>
              <w:spacing w:after="0"/>
              <w:rPr>
                <w:sz w:val="20"/>
                <w:szCs w:val="20"/>
                <w:color w:val="auto"/>
              </w:rPr>
            </w:pPr>
            <w:r>
              <w:rPr>
                <w:rFonts w:ascii="Arial" w:cs="Arial" w:eastAsia="Arial" w:hAnsi="Arial"/>
                <w:sz w:val="14"/>
                <w:szCs w:val="14"/>
                <w:color w:val="auto"/>
              </w:rPr>
              <w:t>consultants in January 2015</w:t>
            </w:r>
          </w:p>
        </w:tc>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527,500</w:t>
            </w: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Warrants granted to officer in March 2014 and 2013</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145,100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156,500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2"/>
        </w:trPr>
        <w:tc>
          <w:tcPr>
            <w:tcW w:w="446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848,800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453,400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 expense:</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option grants</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98,800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385,100</w:t>
            </w:r>
          </w:p>
        </w:tc>
      </w:tr>
      <w:tr>
        <w:trPr>
          <w:trHeight w:val="160"/>
        </w:trPr>
        <w:tc>
          <w:tcPr>
            <w:tcW w:w="4460" w:type="dxa"/>
            <w:vAlign w:val="bottom"/>
          </w:tcPr>
          <w:p>
            <w:pPr>
              <w:ind w:left="340"/>
              <w:spacing w:after="0" w:line="160" w:lineRule="exact"/>
              <w:rPr>
                <w:sz w:val="20"/>
                <w:szCs w:val="20"/>
                <w:color w:val="auto"/>
              </w:rPr>
            </w:pPr>
            <w:r>
              <w:rPr>
                <w:rFonts w:ascii="Arial" w:cs="Arial" w:eastAsia="Arial" w:hAnsi="Arial"/>
                <w:sz w:val="14"/>
                <w:szCs w:val="14"/>
                <w:color w:val="auto"/>
              </w:rPr>
              <w:t>Fully-vested warrants granted to officers, directors</w:t>
            </w: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4460" w:type="dxa"/>
            <w:vAlign w:val="bottom"/>
          </w:tcPr>
          <w:p>
            <w:pPr>
              <w:ind w:left="340"/>
              <w:spacing w:after="0"/>
              <w:rPr>
                <w:sz w:val="20"/>
                <w:szCs w:val="20"/>
                <w:color w:val="auto"/>
              </w:rPr>
            </w:pPr>
            <w:r>
              <w:rPr>
                <w:rFonts w:ascii="Arial" w:cs="Arial" w:eastAsia="Arial" w:hAnsi="Arial"/>
                <w:sz w:val="14"/>
                <w:szCs w:val="14"/>
                <w:color w:val="auto"/>
              </w:rPr>
              <w:t>and consultants in January 2015</w:t>
            </w:r>
          </w:p>
        </w:tc>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1,229,400</w:t>
            </w: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1"/>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Warrants granted to officers and directors in March</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2014 and 2013</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283,100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298,800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2"/>
        </w:trPr>
        <w:tc>
          <w:tcPr>
            <w:tcW w:w="446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1,611,300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683,900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 expense</w:t>
            </w:r>
          </w:p>
        </w:tc>
        <w:tc>
          <w:tcPr>
            <w:tcW w:w="4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2,460,100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1,137,300</w:t>
            </w:r>
          </w:p>
        </w:tc>
      </w:tr>
      <w:tr>
        <w:trPr>
          <w:trHeight w:val="461"/>
        </w:trPr>
        <w:tc>
          <w:tcPr>
            <w:tcW w:w="4460" w:type="dxa"/>
            <w:vAlign w:val="bottom"/>
            <w:tcBorders>
              <w:top w:val="single" w:sz="8" w:color="CCEEFF"/>
            </w:tcBorders>
          </w:tcPr>
          <w:p>
            <w:pPr>
              <w:spacing w:after="0"/>
              <w:rPr>
                <w:sz w:val="24"/>
                <w:szCs w:val="24"/>
                <w:color w:val="auto"/>
              </w:rPr>
            </w:pPr>
          </w:p>
        </w:tc>
        <w:tc>
          <w:tcPr>
            <w:tcW w:w="4380" w:type="dxa"/>
            <w:vAlign w:val="bottom"/>
            <w:tcBorders>
              <w:top w:val="single" w:sz="8" w:color="CCEEFF"/>
            </w:tcBorders>
          </w:tcPr>
          <w:p>
            <w:pPr>
              <w:ind w:left="1140"/>
              <w:spacing w:after="0"/>
              <w:rPr>
                <w:sz w:val="20"/>
                <w:szCs w:val="20"/>
                <w:color w:val="auto"/>
              </w:rPr>
            </w:pPr>
            <w:r>
              <w:rPr>
                <w:rFonts w:ascii="Arial" w:cs="Arial" w:eastAsia="Arial" w:hAnsi="Arial"/>
                <w:sz w:val="14"/>
                <w:szCs w:val="14"/>
                <w:color w:val="auto"/>
              </w:rPr>
              <w:t>F-41</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460" w:type="dxa"/>
            <w:vAlign w:val="bottom"/>
            <w:tcBorders>
              <w:bottom w:val="single" w:sz="8" w:color="808080"/>
            </w:tcBorders>
          </w:tcPr>
          <w:p>
            <w:pPr>
              <w:spacing w:after="0"/>
              <w:rPr>
                <w:sz w:val="7"/>
                <w:szCs w:val="7"/>
                <w:color w:val="auto"/>
              </w:rPr>
            </w:pPr>
          </w:p>
        </w:tc>
        <w:tc>
          <w:tcPr>
            <w:tcW w:w="43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4" w:name="page185"/>
    <w:bookmarkEnd w:id="18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We used the Black-Scholes option valuation model with the following assumptions to determine share-based compensation expense related to option grants during the fiscal years ended March 31, 2015 and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20" w:type="dxa"/>
            <w:vAlign w:val="bottom"/>
            <w:gridSpan w:val="4"/>
          </w:tcPr>
          <w:p>
            <w:pPr>
              <w:ind w:left="60"/>
              <w:spacing w:after="0"/>
              <w:rPr>
                <w:sz w:val="20"/>
                <w:szCs w:val="20"/>
                <w:color w:val="auto"/>
              </w:rPr>
            </w:pPr>
            <w:r>
              <w:rPr>
                <w:rFonts w:ascii="Arial" w:cs="Arial" w:eastAsia="Arial" w:hAnsi="Arial"/>
                <w:sz w:val="14"/>
                <w:szCs w:val="14"/>
                <w:b w:val="1"/>
                <w:bCs w:val="1"/>
                <w:color w:val="auto"/>
              </w:rPr>
              <w:t>Fiscal Years Ended March 31,</w:t>
            </w:r>
          </w:p>
        </w:tc>
      </w:tr>
      <w:tr>
        <w:trPr>
          <w:trHeight w:val="172"/>
        </w:trPr>
        <w:tc>
          <w:tcPr>
            <w:tcW w:w="5360" w:type="dxa"/>
            <w:vAlign w:val="bottom"/>
          </w:tcPr>
          <w:p>
            <w:pPr>
              <w:spacing w:after="0"/>
              <w:rPr>
                <w:sz w:val="14"/>
                <w:szCs w:val="14"/>
                <w:color w:val="auto"/>
              </w:rPr>
            </w:pPr>
          </w:p>
        </w:tc>
        <w:tc>
          <w:tcPr>
            <w:tcW w:w="1880" w:type="dxa"/>
            <w:vAlign w:val="bottom"/>
            <w:tcBorders>
              <w:top w:val="single" w:sz="8" w:color="auto"/>
            </w:tcBorders>
          </w:tcPr>
          <w:p>
            <w:pPr>
              <w:jc w:val="center"/>
              <w:ind w:left="889"/>
              <w:spacing w:after="0"/>
              <w:rPr>
                <w:sz w:val="20"/>
                <w:szCs w:val="20"/>
                <w:color w:val="auto"/>
              </w:rPr>
            </w:pPr>
            <w:r>
              <w:rPr>
                <w:rFonts w:ascii="Arial" w:cs="Arial" w:eastAsia="Arial" w:hAnsi="Arial"/>
                <w:sz w:val="14"/>
                <w:szCs w:val="14"/>
                <w:b w:val="1"/>
                <w:bCs w:val="1"/>
                <w:color w:val="auto"/>
                <w:w w:val="89"/>
              </w:rPr>
              <w:t>2015</w:t>
            </w:r>
          </w:p>
        </w:tc>
        <w:tc>
          <w:tcPr>
            <w:tcW w:w="3820" w:type="dxa"/>
            <w:vAlign w:val="bottom"/>
            <w:tcBorders>
              <w:top w:val="single" w:sz="8" w:color="auto"/>
            </w:tcBorders>
            <w:gridSpan w:val="3"/>
          </w:tcPr>
          <w:p>
            <w:pPr>
              <w:jc w:val="right"/>
              <w:ind w:right="1009"/>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Exercise price</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2"/>
              </w:rPr>
              <w:t>$8.00 to $16.40</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Market price on date of grant</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$8.00 to $16.40</w:t>
            </w: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1"/>
              </w:rPr>
              <w:t>1.08% to 2.53%</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Expected term (years)</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6.25 to 10.0</w:t>
            </w: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1"/>
              </w:rPr>
              <w:t>87.9% to 103.2%</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3820" w:type="dxa"/>
            <w:vAlign w:val="bottom"/>
            <w:gridSpan w:val="3"/>
          </w:tcPr>
          <w:p>
            <w:pPr>
              <w:jc w:val="right"/>
              <w:ind w:right="1069"/>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4"/>
                <w:szCs w:val="14"/>
                <w:color w:val="auto"/>
              </w:rPr>
            </w:pPr>
          </w:p>
        </w:tc>
      </w:tr>
      <w:tr>
        <w:trPr>
          <w:trHeight w:val="170"/>
        </w:trPr>
        <w:tc>
          <w:tcPr>
            <w:tcW w:w="53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80"/>
        </w:trPr>
        <w:tc>
          <w:tcPr>
            <w:tcW w:w="5360" w:type="dxa"/>
            <w:vAlign w:val="bottom"/>
          </w:tcPr>
          <w:p>
            <w:pPr>
              <w:spacing w:after="0"/>
              <w:rPr>
                <w:sz w:val="20"/>
                <w:szCs w:val="20"/>
                <w:color w:val="auto"/>
              </w:rPr>
            </w:pPr>
            <w:r>
              <w:rPr>
                <w:rFonts w:ascii="Arial" w:cs="Arial" w:eastAsia="Arial" w:hAnsi="Arial"/>
                <w:sz w:val="14"/>
                <w:szCs w:val="14"/>
                <w:color w:val="auto"/>
              </w:rPr>
              <w:t>Fair value per share at grant date</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$6.38 to $13.63</w:t>
            </w:r>
          </w:p>
        </w:tc>
      </w:tr>
    </w:tbl>
    <w:p>
      <w:pPr>
        <w:spacing w:after="0" w:line="150"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Arial" w:cs="Arial" w:eastAsia="Arial" w:hAnsi="Arial"/>
          <w:sz w:val="13"/>
          <w:szCs w:val="13"/>
          <w:i w:val="1"/>
          <w:iCs w:val="1"/>
          <w:color w:val="auto"/>
        </w:rPr>
        <w:t>SAB No. 107 and 110)</w:t>
      </w:r>
      <w:r>
        <w:rPr>
          <w:rFonts w:ascii="Arial" w:cs="Arial" w:eastAsia="Arial" w:hAnsi="Arial"/>
          <w:sz w:val="13"/>
          <w:szCs w:val="13"/>
          <w:color w:val="auto"/>
        </w:rPr>
        <w:t>. The utilization of SAB No. 107 and 110 was based on the lack of relevant historical data due to our limited historical experience as a publicly traded company as well as the lack of liquidity resulting from the limited number of freely-tradable shares of our common stock. Limited historical experience and lack of liquidity in our stock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activity for the fiscal years ended March 31, 2015 and 2014 under our stock option plans: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rPr>
              <w:t>Fiscal Years Ended March 31,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2015</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2014</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09"/>
              <w:spacing w:after="0" w:line="160" w:lineRule="exact"/>
              <w:rPr>
                <w:sz w:val="20"/>
                <w:szCs w:val="20"/>
                <w:color w:val="auto"/>
              </w:rPr>
            </w:pPr>
            <w:r>
              <w:rPr>
                <w:rFonts w:ascii="Arial" w:cs="Arial" w:eastAsia="Arial" w:hAnsi="Arial"/>
                <w:sz w:val="14"/>
                <w:szCs w:val="14"/>
                <w:color w:val="auto"/>
                <w:w w:val="91"/>
              </w:rPr>
              <w:t>Weighted</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Average</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Exercise</w:t>
            </w: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Price</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Options outstanding at beginning of period</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212,486</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245,653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170"/>
        </w:trPr>
        <w:tc>
          <w:tcPr>
            <w:tcW w:w="4020" w:type="dxa"/>
            <w:vAlign w:val="bottom"/>
          </w:tcPr>
          <w:p>
            <w:pPr>
              <w:ind w:left="580"/>
              <w:spacing w:after="0"/>
              <w:rPr>
                <w:sz w:val="20"/>
                <w:szCs w:val="20"/>
                <w:color w:val="auto"/>
              </w:rPr>
            </w:pPr>
            <w:r>
              <w:rPr>
                <w:rFonts w:ascii="Arial" w:cs="Arial" w:eastAsia="Arial" w:hAnsi="Arial"/>
                <w:sz w:val="14"/>
                <w:szCs w:val="14"/>
                <w:color w:val="auto"/>
              </w:rPr>
              <w:t>Options granted</w:t>
            </w:r>
          </w:p>
        </w:tc>
        <w:tc>
          <w:tcPr>
            <w:tcW w:w="3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19,050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Options exercised</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20" w:type="dxa"/>
            <w:vAlign w:val="bottom"/>
          </w:tcPr>
          <w:p>
            <w:pPr>
              <w:ind w:left="580"/>
              <w:spacing w:after="0"/>
              <w:rPr>
                <w:sz w:val="20"/>
                <w:szCs w:val="20"/>
                <w:color w:val="auto"/>
              </w:rPr>
            </w:pPr>
            <w:r>
              <w:rPr>
                <w:rFonts w:ascii="Arial" w:cs="Arial" w:eastAsia="Arial" w:hAnsi="Arial"/>
                <w:sz w:val="14"/>
                <w:szCs w:val="14"/>
                <w:color w:val="auto"/>
              </w:rPr>
              <w:t>Options forfeited</w:t>
            </w:r>
          </w:p>
        </w:tc>
        <w:tc>
          <w:tcPr>
            <w:tcW w:w="3360" w:type="dxa"/>
            <w:vAlign w:val="bottom"/>
            <w:gridSpan w:val="3"/>
          </w:tcPr>
          <w:p>
            <w:pPr>
              <w:jc w:val="right"/>
              <w:ind w:right="100"/>
              <w:spacing w:after="0"/>
              <w:rPr>
                <w:sz w:val="20"/>
                <w:szCs w:val="20"/>
                <w:color w:val="auto"/>
              </w:rPr>
            </w:pPr>
            <w:r>
              <w:rPr>
                <w:rFonts w:ascii="Arial" w:cs="Arial" w:eastAsia="Arial" w:hAnsi="Arial"/>
                <w:sz w:val="14"/>
                <w:szCs w:val="14"/>
                <w:color w:val="auto"/>
              </w:rPr>
              <w:t>(2,001)</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9.25</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(3,954)</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Options expired</w:t>
            </w:r>
          </w:p>
        </w:tc>
        <w:tc>
          <w:tcPr>
            <w:tcW w:w="3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(2,847)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(48,263)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170"/>
        </w:trPr>
        <w:tc>
          <w:tcPr>
            <w:tcW w:w="4020" w:type="dxa"/>
            <w:vAlign w:val="bottom"/>
            <w:tcBorders>
              <w:top w:val="single" w:sz="8" w:color="CCEEFF"/>
            </w:tcBorders>
          </w:tcPr>
          <w:p>
            <w:pPr>
              <w:spacing w:after="0"/>
              <w:rPr>
                <w:sz w:val="14"/>
                <w:szCs w:val="14"/>
                <w:color w:val="auto"/>
              </w:rPr>
            </w:pPr>
          </w:p>
        </w:tc>
        <w:tc>
          <w:tcPr>
            <w:tcW w:w="206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Options outstanding at end of period</w:t>
            </w:r>
          </w:p>
        </w:tc>
        <w:tc>
          <w:tcPr>
            <w:tcW w:w="20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207,638</w:t>
            </w:r>
          </w:p>
        </w:tc>
        <w:tc>
          <w:tcPr>
            <w:tcW w:w="1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10.09</w:t>
            </w:r>
          </w:p>
        </w:tc>
        <w:tc>
          <w:tcPr>
            <w:tcW w:w="12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212,486</w:t>
            </w:r>
          </w:p>
        </w:tc>
        <w:tc>
          <w:tcPr>
            <w:tcW w:w="28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tcPr>
          <w:p>
            <w:pPr>
              <w:spacing w:after="0" w:line="151" w:lineRule="exact"/>
              <w:rPr>
                <w:sz w:val="20"/>
                <w:szCs w:val="20"/>
                <w:color w:val="auto"/>
              </w:rPr>
            </w:pPr>
            <w:r>
              <w:rPr>
                <w:rFonts w:ascii="Arial" w:cs="Arial" w:eastAsia="Arial" w:hAnsi="Arial"/>
                <w:sz w:val="14"/>
                <w:szCs w:val="14"/>
                <w:color w:val="auto"/>
              </w:rPr>
              <w:t>Options exercisable at end of period</w:t>
            </w:r>
          </w:p>
        </w:tc>
        <w:tc>
          <w:tcPr>
            <w:tcW w:w="2060" w:type="dxa"/>
            <w:vAlign w:val="bottom"/>
          </w:tcPr>
          <w:p>
            <w:pPr>
              <w:spacing w:after="0"/>
              <w:rPr>
                <w:sz w:val="13"/>
                <w:szCs w:val="13"/>
                <w:color w:val="auto"/>
              </w:rPr>
            </w:pPr>
          </w:p>
        </w:tc>
        <w:tc>
          <w:tcPr>
            <w:tcW w:w="1160" w:type="dxa"/>
            <w:vAlign w:val="bottom"/>
          </w:tcPr>
          <w:p>
            <w:pPr>
              <w:jc w:val="right"/>
              <w:spacing w:after="0" w:line="151" w:lineRule="exact"/>
              <w:rPr>
                <w:sz w:val="20"/>
                <w:szCs w:val="20"/>
                <w:color w:val="auto"/>
              </w:rPr>
            </w:pPr>
            <w:r>
              <w:rPr>
                <w:rFonts w:ascii="Arial" w:cs="Arial" w:eastAsia="Arial" w:hAnsi="Arial"/>
                <w:sz w:val="14"/>
                <w:szCs w:val="14"/>
                <w:color w:val="auto"/>
              </w:rPr>
              <w:t>199,013</w:t>
            </w:r>
          </w:p>
        </w:tc>
        <w:tc>
          <w:tcPr>
            <w:tcW w:w="140" w:type="dxa"/>
            <w:vAlign w:val="bottom"/>
          </w:tcPr>
          <w:p>
            <w:pPr>
              <w:spacing w:after="0"/>
              <w:rPr>
                <w:sz w:val="13"/>
                <w:szCs w:val="13"/>
                <w:color w:val="auto"/>
              </w:rPr>
            </w:pPr>
          </w:p>
        </w:tc>
        <w:tc>
          <w:tcPr>
            <w:tcW w:w="2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10.09</w:t>
            </w:r>
          </w:p>
        </w:tc>
        <w:tc>
          <w:tcPr>
            <w:tcW w:w="128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182,775</w:t>
            </w:r>
          </w:p>
        </w:tc>
        <w:tc>
          <w:tcPr>
            <w:tcW w:w="2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line="160" w:lineRule="exact"/>
              <w:rPr>
                <w:sz w:val="20"/>
                <w:szCs w:val="20"/>
                <w:color w:val="auto"/>
              </w:rPr>
            </w:pPr>
            <w:r>
              <w:rPr>
                <w:rFonts w:ascii="Arial" w:cs="Arial" w:eastAsia="Arial" w:hAnsi="Arial"/>
                <w:sz w:val="14"/>
                <w:szCs w:val="14"/>
                <w:color w:val="auto"/>
              </w:rPr>
              <w:t>Weighted average grant-date fair value of</w:t>
            </w:r>
          </w:p>
        </w:tc>
        <w:tc>
          <w:tcPr>
            <w:tcW w:w="2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20"/>
                <w:szCs w:val="20"/>
                <w:color w:val="auto"/>
              </w:rPr>
            </w:pPr>
            <w:r>
              <w:rPr>
                <w:rFonts w:ascii="Arial" w:cs="Arial" w:eastAsia="Arial" w:hAnsi="Arial"/>
                <w:sz w:val="14"/>
                <w:szCs w:val="14"/>
                <w:color w:val="auto"/>
              </w:rPr>
              <w:t>options granted during the period</w:t>
            </w:r>
          </w:p>
        </w:tc>
        <w:tc>
          <w:tcPr>
            <w:tcW w:w="2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360" w:type="dxa"/>
            <w:vAlign w:val="bottom"/>
            <w:gridSpan w:val="3"/>
            <w:vMerge w:val="restart"/>
          </w:tcPr>
          <w:p>
            <w:pPr>
              <w:jc w:val="right"/>
              <w:ind w:right="1520"/>
              <w:spacing w:after="0"/>
              <w:rPr>
                <w:sz w:val="20"/>
                <w:szCs w:val="20"/>
                <w:color w:val="auto"/>
              </w:rPr>
            </w:pPr>
            <w:r>
              <w:rPr>
                <w:rFonts w:ascii="Arial" w:cs="Arial" w:eastAsia="Arial" w:hAnsi="Arial"/>
                <w:sz w:val="14"/>
                <w:szCs w:val="14"/>
                <w:color w:val="auto"/>
              </w:rPr>
              <w:t>F-42</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020" w:type="dxa"/>
            <w:vAlign w:val="bottom"/>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20" w:type="dxa"/>
            <w:vAlign w:val="bottom"/>
            <w:tcBorders>
              <w:bottom w:val="single" w:sz="8" w:color="808080"/>
            </w:tcBorders>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49"/>
        </w:trPr>
        <w:tc>
          <w:tcPr>
            <w:tcW w:w="1920" w:type="dxa"/>
            <w:vAlign w:val="bottom"/>
            <w:gridSpan w:val="4"/>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38"/>
        </w:trPr>
        <w:tc>
          <w:tcPr>
            <w:tcW w:w="3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0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rPr>
              <w:t>VISTAGEN THERAPEUTICS, INC.</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4"/>
        </w:trPr>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NOTES TO CONSOLIDATED FINANCIAL STATEMENTS</w:t>
            </w: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2"/>
        </w:trPr>
        <w:tc>
          <w:tcPr>
            <w:tcW w:w="8120" w:type="dxa"/>
            <w:vAlign w:val="bottom"/>
            <w:gridSpan w:val="13"/>
          </w:tcPr>
          <w:p>
            <w:pPr>
              <w:spacing w:after="0"/>
              <w:rPr>
                <w:sz w:val="20"/>
                <w:szCs w:val="20"/>
                <w:color w:val="auto"/>
              </w:rPr>
            </w:pPr>
            <w:r>
              <w:rPr>
                <w:rFonts w:ascii="Arial" w:cs="Arial" w:eastAsia="Arial" w:hAnsi="Arial"/>
                <w:sz w:val="14"/>
                <w:szCs w:val="14"/>
                <w:color w:val="auto"/>
                <w:w w:val="92"/>
              </w:rPr>
              <w:t>The following table summarizes information on stock options outstanding and exercisable under our stock option plans as of March 31, 2015:</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4"/>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2"/>
              </w:rPr>
              <w:t>Options Outstanding</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color w:val="auto"/>
              </w:rPr>
              <w:t>Options Exercisable</w:t>
            </w: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0"/>
        </w:trPr>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2"/>
          </w:tcPr>
          <w:p>
            <w:pPr>
              <w:jc w:val="center"/>
              <w:ind w:right="160"/>
              <w:spacing w:after="0" w:line="160" w:lineRule="exact"/>
              <w:rPr>
                <w:sz w:val="20"/>
                <w:szCs w:val="20"/>
                <w:color w:val="auto"/>
              </w:rPr>
            </w:pPr>
            <w:r>
              <w:rPr>
                <w:rFonts w:ascii="Arial" w:cs="Arial" w:eastAsia="Arial" w:hAnsi="Arial"/>
                <w:sz w:val="14"/>
                <w:szCs w:val="14"/>
                <w:color w:val="auto"/>
                <w:w w:val="91"/>
              </w:rPr>
              <w:t>Weighted</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0"/>
        </w:trPr>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Average</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80"/>
              <w:spacing w:after="0"/>
              <w:rPr>
                <w:sz w:val="20"/>
                <w:szCs w:val="20"/>
                <w:color w:val="auto"/>
              </w:rPr>
            </w:pPr>
            <w:r>
              <w:rPr>
                <w:rFonts w:ascii="Arial" w:cs="Arial" w:eastAsia="Arial" w:hAnsi="Arial"/>
                <w:sz w:val="14"/>
                <w:szCs w:val="14"/>
                <w:color w:val="auto"/>
                <w:w w:val="91"/>
              </w:rPr>
              <w:t>Weighted</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Weighted</w:t>
            </w:r>
          </w:p>
        </w:tc>
      </w:tr>
      <w:tr>
        <w:trPr>
          <w:trHeight w:val="170"/>
        </w:trPr>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Remaining</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91"/>
              </w:rPr>
              <w:t>Average</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88"/>
              </w:rPr>
              <w:t>Average</w:t>
            </w:r>
          </w:p>
        </w:tc>
      </w:tr>
      <w:tr>
        <w:trPr>
          <w:trHeight w:val="170"/>
        </w:trPr>
        <w:tc>
          <w:tcPr>
            <w:tcW w:w="320" w:type="dxa"/>
            <w:vAlign w:val="bottom"/>
          </w:tcPr>
          <w:p>
            <w:pPr>
              <w:spacing w:after="0"/>
              <w:rPr>
                <w:sz w:val="14"/>
                <w:szCs w:val="14"/>
                <w:color w:val="auto"/>
              </w:rPr>
            </w:pPr>
          </w:p>
        </w:tc>
        <w:tc>
          <w:tcPr>
            <w:tcW w:w="160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Exercise</w:t>
            </w:r>
          </w:p>
        </w:tc>
        <w:tc>
          <w:tcPr>
            <w:tcW w:w="1900" w:type="dxa"/>
            <w:vAlign w:val="bottom"/>
            <w:gridSpan w:val="2"/>
          </w:tcPr>
          <w:p>
            <w:pPr>
              <w:jc w:val="right"/>
              <w:ind w:right="860"/>
              <w:spacing w:after="0"/>
              <w:rPr>
                <w:sz w:val="20"/>
                <w:szCs w:val="20"/>
                <w:color w:val="auto"/>
              </w:rPr>
            </w:pPr>
            <w:r>
              <w:rPr>
                <w:rFonts w:ascii="Arial" w:cs="Arial" w:eastAsia="Arial" w:hAnsi="Arial"/>
                <w:sz w:val="14"/>
                <w:szCs w:val="14"/>
                <w:color w:val="auto"/>
              </w:rPr>
              <w:t>Number</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Years until</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89"/>
              </w:rPr>
              <w:t>Exercise</w:t>
            </w:r>
          </w:p>
        </w:tc>
        <w:tc>
          <w:tcPr>
            <w:tcW w:w="1520" w:type="dxa"/>
            <w:vAlign w:val="bottom"/>
            <w:gridSpan w:val="2"/>
          </w:tcPr>
          <w:p>
            <w:pPr>
              <w:jc w:val="right"/>
              <w:ind w:right="920"/>
              <w:spacing w:after="0"/>
              <w:rPr>
                <w:sz w:val="20"/>
                <w:szCs w:val="20"/>
                <w:color w:val="auto"/>
              </w:rPr>
            </w:pPr>
            <w:r>
              <w:rPr>
                <w:rFonts w:ascii="Arial" w:cs="Arial" w:eastAsia="Arial" w:hAnsi="Arial"/>
                <w:sz w:val="14"/>
                <w:szCs w:val="14"/>
                <w:color w:val="auto"/>
              </w:rPr>
              <w:t>Number</w:t>
            </w: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3"/>
              </w:rPr>
              <w:t>Exercise</w:t>
            </w:r>
          </w:p>
        </w:tc>
      </w:tr>
      <w:tr>
        <w:trPr>
          <w:trHeight w:val="182"/>
        </w:trPr>
        <w:tc>
          <w:tcPr>
            <w:tcW w:w="320" w:type="dxa"/>
            <w:vAlign w:val="bottom"/>
          </w:tcPr>
          <w:p>
            <w:pPr>
              <w:spacing w:after="0"/>
              <w:rPr>
                <w:sz w:val="15"/>
                <w:szCs w:val="15"/>
                <w:color w:val="auto"/>
              </w:rPr>
            </w:pPr>
          </w:p>
        </w:tc>
        <w:tc>
          <w:tcPr>
            <w:tcW w:w="160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Price</w:t>
            </w:r>
          </w:p>
        </w:tc>
        <w:tc>
          <w:tcPr>
            <w:tcW w:w="1900" w:type="dxa"/>
            <w:vAlign w:val="bottom"/>
            <w:gridSpan w:val="2"/>
          </w:tcPr>
          <w:p>
            <w:pPr>
              <w:jc w:val="right"/>
              <w:ind w:right="760"/>
              <w:spacing w:after="0"/>
              <w:rPr>
                <w:sz w:val="20"/>
                <w:szCs w:val="20"/>
                <w:color w:val="auto"/>
              </w:rPr>
            </w:pPr>
            <w:r>
              <w:rPr>
                <w:rFonts w:ascii="Arial" w:cs="Arial" w:eastAsia="Arial" w:hAnsi="Arial"/>
                <w:sz w:val="14"/>
                <w:szCs w:val="14"/>
                <w:color w:val="auto"/>
              </w:rPr>
              <w:t>Outstanding</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Expiration</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87"/>
              </w:rPr>
              <w:t>Price</w:t>
            </w:r>
          </w:p>
        </w:tc>
        <w:tc>
          <w:tcPr>
            <w:tcW w:w="1520" w:type="dxa"/>
            <w:vAlign w:val="bottom"/>
            <w:gridSpan w:val="2"/>
          </w:tcPr>
          <w:p>
            <w:pPr>
              <w:jc w:val="right"/>
              <w:ind w:right="820"/>
              <w:spacing w:after="0"/>
              <w:rPr>
                <w:sz w:val="20"/>
                <w:szCs w:val="20"/>
                <w:color w:val="auto"/>
              </w:rPr>
            </w:pPr>
            <w:r>
              <w:rPr>
                <w:rFonts w:ascii="Arial" w:cs="Arial" w:eastAsia="Arial" w:hAnsi="Arial"/>
                <w:sz w:val="14"/>
                <w:szCs w:val="14"/>
                <w:color w:val="auto"/>
                <w:w w:val="93"/>
              </w:rPr>
              <w:t>Exercisable</w:t>
            </w:r>
          </w:p>
        </w:tc>
        <w:tc>
          <w:tcPr>
            <w:tcW w:w="500" w:type="dxa"/>
            <w:vAlign w:val="bottom"/>
          </w:tcPr>
          <w:p>
            <w:pPr>
              <w:spacing w:after="0"/>
              <w:rPr>
                <w:sz w:val="15"/>
                <w:szCs w:val="15"/>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3"/>
              </w:rPr>
              <w:t>Price</w:t>
            </w:r>
          </w:p>
        </w:tc>
      </w:tr>
      <w:tr>
        <w:trPr>
          <w:trHeight w:val="170"/>
        </w:trPr>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8.00</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49,590</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8.00</w:t>
            </w:r>
          </w:p>
        </w:tc>
        <w:tc>
          <w:tcPr>
            <w:tcW w:w="4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46,466</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8.00</w:t>
            </w:r>
          </w:p>
        </w:tc>
      </w:tr>
      <w:tr>
        <w:trPr>
          <w:trHeight w:val="170"/>
        </w:trPr>
        <w:tc>
          <w:tcPr>
            <w:tcW w:w="320" w:type="dxa"/>
            <w:vAlign w:val="bottom"/>
          </w:tcPr>
          <w:p>
            <w:pPr>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300"/>
              <w:spacing w:after="0"/>
              <w:rPr>
                <w:sz w:val="20"/>
                <w:szCs w:val="20"/>
                <w:color w:val="auto"/>
              </w:rPr>
            </w:pPr>
            <w:r>
              <w:rPr>
                <w:rFonts w:ascii="Arial" w:cs="Arial" w:eastAsia="Arial" w:hAnsi="Arial"/>
                <w:sz w:val="14"/>
                <w:szCs w:val="14"/>
                <w:color w:val="auto"/>
              </w:rPr>
              <w:t>10.00</w:t>
            </w:r>
          </w:p>
        </w:tc>
        <w:tc>
          <w:tcPr>
            <w:tcW w:w="1900" w:type="dxa"/>
            <w:vAlign w:val="bottom"/>
            <w:gridSpan w:val="2"/>
          </w:tcPr>
          <w:p>
            <w:pPr>
              <w:jc w:val="right"/>
              <w:ind w:right="300"/>
              <w:spacing w:after="0"/>
              <w:rPr>
                <w:sz w:val="20"/>
                <w:szCs w:val="20"/>
                <w:color w:val="auto"/>
              </w:rPr>
            </w:pPr>
            <w:r>
              <w:rPr>
                <w:rFonts w:ascii="Arial" w:cs="Arial" w:eastAsia="Arial" w:hAnsi="Arial"/>
                <w:sz w:val="14"/>
                <w:szCs w:val="14"/>
                <w:color w:val="auto"/>
              </w:rPr>
              <w:t>147,939</w:t>
            </w: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4.88</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color w:val="auto"/>
              </w:rPr>
              <w:t>142,751</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r>
      <w:tr>
        <w:trPr>
          <w:trHeight w:val="172"/>
        </w:trPr>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14.40 to $36.00</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10,109</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9,796</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21.23</w:t>
            </w:r>
          </w:p>
        </w:tc>
      </w:tr>
      <w:tr>
        <w:trPr>
          <w:trHeight w:val="170"/>
        </w:trPr>
        <w:tc>
          <w:tcPr>
            <w:tcW w:w="3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0"/>
        </w:trPr>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300"/>
              <w:spacing w:after="0" w:line="151" w:lineRule="exact"/>
              <w:rPr>
                <w:sz w:val="20"/>
                <w:szCs w:val="20"/>
                <w:color w:val="auto"/>
              </w:rPr>
            </w:pPr>
            <w:r>
              <w:rPr>
                <w:rFonts w:ascii="Arial" w:cs="Arial" w:eastAsia="Arial" w:hAnsi="Arial"/>
                <w:sz w:val="14"/>
                <w:szCs w:val="14"/>
                <w:color w:val="auto"/>
              </w:rPr>
              <w:t>207,638</w:t>
            </w:r>
          </w:p>
        </w:tc>
        <w:tc>
          <w:tcPr>
            <w:tcW w:w="178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5.51</w:t>
            </w:r>
          </w:p>
        </w:tc>
        <w:tc>
          <w:tcPr>
            <w:tcW w:w="46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10.09</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20"/>
              <w:spacing w:after="0" w:line="151" w:lineRule="exact"/>
              <w:rPr>
                <w:sz w:val="20"/>
                <w:szCs w:val="20"/>
                <w:color w:val="auto"/>
              </w:rPr>
            </w:pPr>
            <w:r>
              <w:rPr>
                <w:rFonts w:ascii="Arial" w:cs="Arial" w:eastAsia="Arial" w:hAnsi="Arial"/>
                <w:sz w:val="14"/>
                <w:szCs w:val="14"/>
                <w:color w:val="auto"/>
              </w:rPr>
              <w:t>199,013</w:t>
            </w:r>
          </w:p>
        </w:tc>
        <w:tc>
          <w:tcPr>
            <w:tcW w:w="500" w:type="dxa"/>
            <w:vAlign w:val="bottom"/>
            <w:shd w:val="clear" w:color="auto" w:fill="CCEEFF"/>
          </w:tcPr>
          <w:p>
            <w:pPr>
              <w:jc w:val="right"/>
              <w:ind w:right="349"/>
              <w:spacing w:after="0" w:line="151"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10.09</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At March 31, 2015, there were 40,491 shares of our common stock remaining available for grant under the 2008 Plan. There were no option exercises during the years ended March 31, 2015 or 2014.</w:t>
      </w:r>
    </w:p>
    <w:p>
      <w:pPr>
        <w:spacing w:after="0" w:line="213" w:lineRule="exact"/>
        <w:rPr>
          <w:sz w:val="20"/>
          <w:szCs w:val="20"/>
          <w:color w:val="auto"/>
        </w:rPr>
      </w:pPr>
    </w:p>
    <w:p>
      <w:pPr>
        <w:jc w:val="both"/>
        <w:ind w:right="160"/>
        <w:spacing w:after="0" w:line="370" w:lineRule="auto"/>
        <w:rPr>
          <w:sz w:val="20"/>
          <w:szCs w:val="20"/>
          <w:color w:val="auto"/>
        </w:rPr>
      </w:pPr>
      <w:r>
        <w:rPr>
          <w:rFonts w:ascii="Arial" w:cs="Arial" w:eastAsia="Arial" w:hAnsi="Arial"/>
          <w:sz w:val="12"/>
          <w:szCs w:val="12"/>
          <w:color w:val="auto"/>
        </w:rPr>
        <w:t>Aggregate intrinsic value is the sum of the amounts by which the fair value of the underlying common stock exceeded the exercise price of the option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$10.00 per share quoted market price of our common stock on March 31, 2015, the aggregate intrinsic value of outstanding options at that date was $99,200, of which $92,900 related to exercisable options.</w:t>
      </w:r>
    </w:p>
    <w:p>
      <w:pPr>
        <w:spacing w:after="0" w:line="107" w:lineRule="exact"/>
        <w:rPr>
          <w:sz w:val="20"/>
          <w:szCs w:val="20"/>
          <w:color w:val="auto"/>
        </w:rPr>
      </w:pPr>
    </w:p>
    <w:p>
      <w:pPr>
        <w:ind w:right="280"/>
        <w:spacing w:after="0" w:line="298" w:lineRule="auto"/>
        <w:rPr>
          <w:sz w:val="20"/>
          <w:szCs w:val="20"/>
          <w:color w:val="auto"/>
        </w:rPr>
      </w:pPr>
      <w:r>
        <w:rPr>
          <w:rFonts w:ascii="Arial" w:cs="Arial" w:eastAsia="Arial" w:hAnsi="Arial"/>
          <w:sz w:val="13"/>
          <w:szCs w:val="13"/>
          <w:color w:val="auto"/>
        </w:rPr>
        <w:t>As of March 31, 2015, there was approximately $71,700 of unrecognized compensation cost related to non-vested share-based compensation awards from the 2008 Plan, which is expected to be recognized through May 2016. Additionally, at March 31, 2015 there was approximately $27,000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Related Party Transactions</w:t>
      </w:r>
    </w:p>
    <w:p>
      <w:pPr>
        <w:spacing w:after="0" w:line="205"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Cato Holding Company (</w:t>
      </w:r>
      <w:r>
        <w:rPr>
          <w:rFonts w:ascii="Arial" w:cs="Arial" w:eastAsia="Arial" w:hAnsi="Arial"/>
          <w:sz w:val="13"/>
          <w:szCs w:val="13"/>
          <w:i w:val="1"/>
          <w:iCs w:val="1"/>
          <w:color w:val="auto"/>
        </w:rPr>
        <w:t>CHC</w:t>
      </w:r>
      <w:r>
        <w:rPr>
          <w:rFonts w:ascii="Arial" w:cs="Arial" w:eastAsia="Arial" w:hAnsi="Arial"/>
          <w:sz w:val="13"/>
          <w:szCs w:val="13"/>
          <w:color w:val="auto"/>
        </w:rPr>
        <w:t>), doing business as Cato BioVentures (</w:t>
      </w:r>
      <w:r>
        <w:rPr>
          <w:rFonts w:ascii="Arial" w:cs="Arial" w:eastAsia="Arial" w:hAnsi="Arial"/>
          <w:sz w:val="13"/>
          <w:szCs w:val="13"/>
          <w:i w:val="1"/>
          <w:iCs w:val="1"/>
          <w:color w:val="auto"/>
        </w:rPr>
        <w:t>CBV</w:t>
      </w:r>
      <w:r>
        <w:rPr>
          <w:rFonts w:ascii="Arial" w:cs="Arial" w:eastAsia="Arial" w:hAnsi="Arial"/>
          <w:sz w:val="13"/>
          <w:szCs w:val="13"/>
          <w:color w:val="auto"/>
        </w:rPr>
        <w:t xml:space="preserve">), the parent of CRL,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$310,400 (the </w:t>
      </w:r>
      <w:r>
        <w:rPr>
          <w:rFonts w:ascii="Arial" w:cs="Arial" w:eastAsia="Arial" w:hAnsi="Arial"/>
          <w:sz w:val="13"/>
          <w:szCs w:val="13"/>
          <w:i w:val="1"/>
          <w:iCs w:val="1"/>
          <w:color w:val="auto"/>
        </w:rPr>
        <w:t>2012 CHC Note</w:t>
      </w:r>
      <w:r>
        <w:rPr>
          <w:rFonts w:ascii="Arial" w:cs="Arial" w:eastAsia="Arial" w:hAnsi="Arial"/>
          <w:sz w:val="13"/>
          <w:szCs w:val="13"/>
          <w:color w:val="auto"/>
        </w:rPr>
        <w:t xml:space="preserve">) and a five-year warrant to purchase 12,500 restricted shares of our common stock at a price of $30.00 per share (the </w:t>
      </w:r>
      <w:r>
        <w:rPr>
          <w:rFonts w:ascii="Arial" w:cs="Arial" w:eastAsia="Arial" w:hAnsi="Arial"/>
          <w:sz w:val="13"/>
          <w:szCs w:val="13"/>
          <w:i w:val="1"/>
          <w:iCs w:val="1"/>
          <w:color w:val="auto"/>
        </w:rPr>
        <w:t>CHC Warrant</w:t>
      </w:r>
      <w:r>
        <w:rPr>
          <w:rFonts w:ascii="Arial" w:cs="Arial" w:eastAsia="Arial" w:hAnsi="Arial"/>
          <w:sz w:val="13"/>
          <w:szCs w:val="13"/>
          <w:color w:val="auto"/>
        </w:rPr>
        <w:t xml:space="preserve">). 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3"/>
          <w:szCs w:val="13"/>
          <w:i w:val="1"/>
          <w:iCs w:val="1"/>
          <w:color w:val="auto"/>
        </w:rPr>
        <w:t>CRL Note</w:t>
      </w:r>
      <w:r>
        <w:rPr>
          <w:rFonts w:ascii="Arial" w:cs="Arial" w:eastAsia="Arial" w:hAnsi="Arial"/>
          <w:sz w:val="13"/>
          <w:szCs w:val="13"/>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86" w:name="page187"/>
    <w:bookmarkEnd w:id="18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During fiscal year 2007, VistaGen California entered into a contract research organization arrangement with CRL related to the development of AV-101, under which we incurred expenses of $38,100 and $52,500 for the fiscal years ended March 31, 2015 and 2014, respectively. Total interest expense on notes payable to CHC and CRL was $174,800 and $167,900 for the fiscal years ended March 31, 2015 and 2014, respectively.</w:t>
      </w:r>
    </w:p>
    <w:p>
      <w:pPr>
        <w:spacing w:after="0" w:line="163" w:lineRule="exact"/>
        <w:rPr>
          <w:sz w:val="20"/>
          <w:szCs w:val="20"/>
          <w:color w:val="auto"/>
        </w:rPr>
      </w:pPr>
    </w:p>
    <w:p>
      <w:pPr>
        <w:ind w:right="120"/>
        <w:spacing w:after="0" w:line="311" w:lineRule="auto"/>
        <w:rPr>
          <w:sz w:val="20"/>
          <w:szCs w:val="20"/>
          <w:color w:val="auto"/>
        </w:rPr>
      </w:pPr>
      <w:r>
        <w:rPr>
          <w:rFonts w:ascii="Arial" w:cs="Arial" w:eastAsia="Arial" w:hAnsi="Arial"/>
          <w:sz w:val="12"/>
          <w:szCs w:val="12"/>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 (ii) ten days prior to VistaGen California becoming subject to the requirements of the Securities Exchange Act of 1934, as amended (</w:t>
      </w:r>
      <w:r>
        <w:rPr>
          <w:rFonts w:ascii="Arial" w:cs="Arial" w:eastAsia="Arial" w:hAnsi="Arial"/>
          <w:sz w:val="12"/>
          <w:szCs w:val="12"/>
          <w:i w:val="1"/>
          <w:iCs w:val="1"/>
          <w:color w:val="auto"/>
        </w:rPr>
        <w:t>Exchange Act</w:t>
      </w:r>
      <w:r>
        <w:rPr>
          <w:rFonts w:ascii="Arial" w:cs="Arial" w:eastAsia="Arial" w:hAnsi="Arial"/>
          <w:sz w:val="12"/>
          <w:szCs w:val="12"/>
          <w:color w:val="auto"/>
        </w:rPr>
        <w: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2015, we have completely repaid the balance of the advances and the $50,000 promissory note issued in connection with his investment in the 2013 Unit Private Placement to Mr. Singh.</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Commitments, Contingencies, Guarantees and Indemnifications</w:t>
      </w:r>
    </w:p>
    <w:p>
      <w:pPr>
        <w:spacing w:after="0" w:line="20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53"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2015 or 2014.</w:t>
      </w:r>
    </w:p>
    <w:p>
      <w:pPr>
        <w:spacing w:after="0" w:line="147" w:lineRule="exact"/>
        <w:rPr>
          <w:sz w:val="20"/>
          <w:szCs w:val="20"/>
          <w:color w:val="auto"/>
        </w:rPr>
      </w:pPr>
    </w:p>
    <w:p>
      <w:pPr>
        <w:jc w:val="both"/>
        <w:ind w:right="80"/>
        <w:spacing w:after="0" w:line="302" w:lineRule="auto"/>
        <w:rPr>
          <w:sz w:val="20"/>
          <w:szCs w:val="20"/>
          <w:color w:val="auto"/>
        </w:rPr>
      </w:pPr>
      <w:r>
        <w:rPr>
          <w:rFonts w:ascii="Arial" w:cs="Arial" w:eastAsia="Arial" w:hAnsi="Arial"/>
          <w:sz w:val="12"/>
          <w:szCs w:val="12"/>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w:t>
      </w:r>
    </w:p>
    <w:p>
      <w:pPr>
        <w:ind w:right="40"/>
        <w:spacing w:after="0" w:line="260" w:lineRule="auto"/>
        <w:rPr>
          <w:sz w:val="20"/>
          <w:szCs w:val="20"/>
          <w:color w:val="auto"/>
        </w:rPr>
      </w:pPr>
      <w:r>
        <w:rPr>
          <w:rFonts w:ascii="Arial" w:cs="Arial" w:eastAsia="Arial" w:hAnsi="Arial"/>
          <w:sz w:val="14"/>
          <w:szCs w:val="14"/>
          <w:color w:val="auto"/>
        </w:rPr>
        <w:t>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2015 or 2014.</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VISTAGEN THERAPEUTICS,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900" w:type="dxa"/>
            <w:vAlign w:val="bottom"/>
          </w:tcPr>
          <w:p>
            <w:pPr>
              <w:spacing w:after="0"/>
              <w:rPr>
                <w:sz w:val="16"/>
                <w:szCs w:val="16"/>
                <w:color w:val="auto"/>
              </w:rPr>
            </w:pPr>
          </w:p>
        </w:tc>
        <w:tc>
          <w:tcPr>
            <w:tcW w:w="7940" w:type="dxa"/>
            <w:vAlign w:val="bottom"/>
          </w:tcPr>
          <w:p>
            <w:pPr>
              <w:jc w:val="center"/>
              <w:ind w:left="1669"/>
              <w:spacing w:after="0"/>
              <w:rPr>
                <w:sz w:val="20"/>
                <w:szCs w:val="20"/>
                <w:color w:val="auto"/>
              </w:rPr>
            </w:pPr>
            <w:r>
              <w:rPr>
                <w:rFonts w:ascii="Arial" w:cs="Arial" w:eastAsia="Arial" w:hAnsi="Arial"/>
                <w:sz w:val="14"/>
                <w:szCs w:val="14"/>
                <w:b w:val="1"/>
                <w:bCs w:val="1"/>
                <w:color w:val="auto"/>
              </w:rPr>
              <w:t>NOTES TO CONSOLIDATED FINANCIAL STATEMENTS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Leases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color w:val="auto"/>
              </w:rPr>
              <w:t>As of March 31, 2015 and 2014, the following assets are under capital lease obligations and included in property and equipment: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19,000</w:t>
            </w:r>
          </w:p>
        </w:tc>
      </w:tr>
      <w:tr>
        <w:trPr>
          <w:trHeight w:val="172"/>
        </w:trPr>
        <w:tc>
          <w:tcPr>
            <w:tcW w:w="8840" w:type="dxa"/>
            <w:vAlign w:val="bottom"/>
            <w:gridSpan w:val="2"/>
          </w:tcPr>
          <w:p>
            <w:pPr>
              <w:spacing w:after="0"/>
              <w:rPr>
                <w:sz w:val="20"/>
                <w:szCs w:val="20"/>
                <w:color w:val="auto"/>
              </w:rPr>
            </w:pPr>
            <w:r>
              <w:rPr>
                <w:rFonts w:ascii="Arial" w:cs="Arial" w:eastAsia="Arial" w:hAnsi="Arial"/>
                <w:sz w:val="14"/>
                <w:szCs w:val="14"/>
                <w:color w:val="auto"/>
              </w:rPr>
              <w:t>Office equipment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14"/>
                <w:szCs w:val="14"/>
                <w:color w:val="auto"/>
              </w:rPr>
            </w:pPr>
          </w:p>
        </w:tc>
      </w:tr>
      <w:tr>
        <w:trPr>
          <w:trHeight w:val="170"/>
        </w:trPr>
        <w:tc>
          <w:tcPr>
            <w:tcW w:w="900" w:type="dxa"/>
            <w:vAlign w:val="bottom"/>
            <w:shd w:val="clear" w:color="auto" w:fill="CCEEFF"/>
          </w:tcPr>
          <w:p>
            <w:pPr>
              <w:spacing w:after="0"/>
              <w:rPr>
                <w:sz w:val="14"/>
                <w:szCs w:val="14"/>
                <w:color w:val="auto"/>
              </w:rPr>
            </w:pPr>
          </w:p>
        </w:tc>
        <w:tc>
          <w:tcPr>
            <w:tcW w:w="7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23,500</w:t>
            </w:r>
          </w:p>
        </w:tc>
      </w:tr>
      <w:tr>
        <w:trPr>
          <w:trHeight w:val="172"/>
        </w:trPr>
        <w:tc>
          <w:tcPr>
            <w:tcW w:w="8840" w:type="dxa"/>
            <w:vAlign w:val="bottom"/>
            <w:gridSpan w:val="2"/>
          </w:tcPr>
          <w:p>
            <w:pPr>
              <w:spacing w:after="0"/>
              <w:rPr>
                <w:sz w:val="20"/>
                <w:szCs w:val="20"/>
                <w:color w:val="auto"/>
              </w:rPr>
            </w:pPr>
            <w:r>
              <w:rPr>
                <w:rFonts w:ascii="Arial" w:cs="Arial" w:eastAsia="Arial" w:hAnsi="Arial"/>
                <w:sz w:val="14"/>
                <w:szCs w:val="14"/>
                <w:color w:val="auto"/>
              </w:rPr>
              <w:t>Accumulated depreciation</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(2,500)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(11,100)</w:t>
            </w:r>
          </w:p>
        </w:tc>
      </w:tr>
      <w:tr>
        <w:trPr>
          <w:trHeight w:val="170"/>
        </w:trPr>
        <w:tc>
          <w:tcPr>
            <w:tcW w:w="900" w:type="dxa"/>
            <w:vAlign w:val="bottom"/>
            <w:shd w:val="clear" w:color="auto" w:fill="CCEEFF"/>
          </w:tcPr>
          <w:p>
            <w:pPr>
              <w:spacing w:after="0"/>
              <w:rPr>
                <w:sz w:val="14"/>
                <w:szCs w:val="14"/>
                <w:color w:val="auto"/>
              </w:rPr>
            </w:pPr>
          </w:p>
        </w:tc>
        <w:tc>
          <w:tcPr>
            <w:tcW w:w="79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Net book value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12,400</w:t>
            </w: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Amortization expense for assets recorded under capital leases is included in depreciation expense. Future minimum payments, by year and in the aggregate, required under capital leases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82"/>
        </w:trPr>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color w:val="auto"/>
                <w:w w:val="88"/>
              </w:rPr>
              <w:t>Leases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Future minimum lease payments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Less imputed interest included in minimum lease payments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Present value of minimum lease payments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Less current portion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Non-current capital lease obligation</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80" w:type="dxa"/>
            <w:vAlign w:val="bottom"/>
            <w:vMerge w:val="restart"/>
          </w:tcPr>
          <w:p>
            <w:pPr>
              <w:spacing w:after="0"/>
              <w:rPr>
                <w:sz w:val="20"/>
                <w:szCs w:val="20"/>
                <w:color w:val="auto"/>
              </w:rPr>
            </w:pPr>
            <w:r>
              <w:rPr>
                <w:rFonts w:ascii="Arial" w:cs="Arial" w:eastAsia="Arial" w:hAnsi="Arial"/>
                <w:sz w:val="14"/>
                <w:szCs w:val="14"/>
                <w:color w:val="auto"/>
                <w:w w:val="94"/>
              </w:rPr>
              <w:t>At March 31, 2015, future minimum payments under operating leases relate to our facility lease in South San Francisco, California through July 31, 2017 and are as follows:</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10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080" w:type="dxa"/>
            <w:vAlign w:val="bottom"/>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70"/>
        </w:trPr>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634,900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We incurred total facility rent expense for the fiscal years ended March 31, 2015 and 2014 of $337,000 and $284,100 , respectively.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88" w:name="page189"/>
    <w:bookmarkEnd w:id="18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Long-Term Debt Repayment</w:t>
      </w:r>
    </w:p>
    <w:p>
      <w:pPr>
        <w:spacing w:after="0" w:line="180"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 xml:space="preserve">At March 31, 2015, assuming that all outstanding convertible notes are converted into shares of common stock in accordance with their respective conversion provisions and that Replacement Note B issued to Morrison &amp; Foerster, the CRL Note and the UHN Note, each as described further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are repaid through the issuance of restricted common stock upon the exercise of the warrants associated with such notes, future minimum principal payments related to long-term debt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2,185,700</w:t>
            </w: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9,800</w:t>
            </w: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10,500</w:t>
            </w: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11,300</w:t>
            </w:r>
          </w:p>
        </w:tc>
      </w:tr>
      <w:tr>
        <w:trPr>
          <w:trHeight w:val="172"/>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Thereafter through June 2019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4,000</w:t>
            </w:r>
          </w:p>
        </w:tc>
      </w:tr>
      <w:tr>
        <w:trPr>
          <w:trHeight w:val="170"/>
        </w:trPr>
        <w:tc>
          <w:tcPr>
            <w:tcW w:w="100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10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2,221,300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have evaluated subsequent events through the date of this report and have identified the following material events and transactions that occurred after March 31, 2015.</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Unit Private Placement</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From April 1, 2015 through May 14, 2015, we entered into securities purchase agreements with accredited investors pursuant to which we sold to such accredited investors Units, for aggregate cash proceeds of $280,000, consisting of (i) 10% convertible notes in the aggregate face amount of $280,000 due between April 30, 2015 and May 15, 2015 or automatically convertible into securities we may issue upon the consummation of a Qualified Financing, as defined in the note (ii) an aggregate of 33,000 restricted shares of our common stock; and (iii) warrants exercisable through December 31, 2016 to purchase an aggregate of 24,250 restricted shares of our common stock at an exercise price of $10.00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Creation of Series B Preferred Stock</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On May 7, 2015, we filed a Certificate of Designation of the Relative Rights and Preferences of the Series B 10% Preferred Stock of VistaGen Therapeutics, Inc. (</w:t>
      </w:r>
      <w:r>
        <w:rPr>
          <w:rFonts w:ascii="Arial" w:cs="Arial" w:eastAsia="Arial" w:hAnsi="Arial"/>
          <w:sz w:val="14"/>
          <w:szCs w:val="14"/>
          <w:i w:val="1"/>
          <w:iCs w:val="1"/>
          <w:color w:val="auto"/>
        </w:rPr>
        <w:t>Certificate of Designation</w:t>
      </w:r>
      <w:r>
        <w:rPr>
          <w:rFonts w:ascii="Arial" w:cs="Arial" w:eastAsia="Arial" w:hAnsi="Arial"/>
          <w:sz w:val="14"/>
          <w:szCs w:val="14"/>
          <w:color w:val="auto"/>
        </w:rPr>
        <w:t>) with the Nevada Secretary of State to designate 4.0 million shares of our authorized preferred stock as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w:t>
      </w:r>
    </w:p>
    <w:p>
      <w:pPr>
        <w:spacing w:after="0" w:line="153" w:lineRule="exact"/>
        <w:rPr>
          <w:sz w:val="20"/>
          <w:szCs w:val="20"/>
          <w:color w:val="auto"/>
        </w:rPr>
      </w:pPr>
    </w:p>
    <w:p>
      <w:pPr>
        <w:ind w:right="40"/>
        <w:spacing w:after="0" w:line="302" w:lineRule="auto"/>
        <w:rPr>
          <w:sz w:val="20"/>
          <w:szCs w:val="20"/>
          <w:color w:val="auto"/>
        </w:rPr>
      </w:pPr>
      <w:r>
        <w:rPr>
          <w:rFonts w:ascii="Arial" w:cs="Arial" w:eastAsia="Arial" w:hAnsi="Arial"/>
          <w:sz w:val="12"/>
          <w:szCs w:val="12"/>
          <w:color w:val="auto"/>
        </w:rPr>
        <w:t>Each share of Series B Preferred is convertible, at the option of the holder (</w:t>
      </w:r>
      <w:r>
        <w:rPr>
          <w:rFonts w:ascii="Arial" w:cs="Arial" w:eastAsia="Arial" w:hAnsi="Arial"/>
          <w:sz w:val="12"/>
          <w:szCs w:val="12"/>
          <w:i w:val="1"/>
          <w:iCs w:val="1"/>
          <w:color w:val="auto"/>
        </w:rPr>
        <w:t>Voluntary Conversion</w:t>
      </w:r>
      <w:r>
        <w:rPr>
          <w:rFonts w:ascii="Arial" w:cs="Arial" w:eastAsia="Arial" w:hAnsi="Arial"/>
          <w:sz w:val="12"/>
          <w:szCs w:val="12"/>
          <w:color w:val="auto"/>
        </w:rPr>
        <w:t>), into one (1) share of our common stock at a fixed conversion price of $7.00 per share (</w:t>
      </w:r>
      <w:r>
        <w:rPr>
          <w:rFonts w:ascii="Arial" w:cs="Arial" w:eastAsia="Arial" w:hAnsi="Arial"/>
          <w:sz w:val="12"/>
          <w:szCs w:val="12"/>
          <w:i w:val="1"/>
          <w:iCs w:val="1"/>
          <w:color w:val="auto"/>
        </w:rPr>
        <w:t>Conversion</w:t>
      </w:r>
      <w:r>
        <w:rPr>
          <w:rFonts w:ascii="Arial" w:cs="Arial" w:eastAsia="Arial" w:hAnsi="Arial"/>
          <w:sz w:val="12"/>
          <w:szCs w:val="12"/>
          <w:color w:val="auto"/>
        </w:rPr>
        <w:t xml:space="preserve"> </w:t>
      </w:r>
      <w:r>
        <w:rPr>
          <w:rFonts w:ascii="Arial" w:cs="Arial" w:eastAsia="Arial" w:hAnsi="Arial"/>
          <w:sz w:val="12"/>
          <w:szCs w:val="12"/>
          <w:i w:val="1"/>
          <w:iCs w:val="1"/>
          <w:color w:val="auto"/>
        </w:rPr>
        <w:t>Price</w:t>
      </w:r>
      <w:r>
        <w:rPr>
          <w:rFonts w:ascii="Arial" w:cs="Arial" w:eastAsia="Arial" w:hAnsi="Arial"/>
          <w:sz w:val="12"/>
          <w:szCs w:val="12"/>
          <w:color w:val="auto"/>
        </w:rPr>
        <w:t>). The Conversion Price is subject to adjustment only for customary stock dividends, reclassifications, splits and similar transactions set forth in the Certificate of Designation. All outstanding</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Series B Preferred are also convertible automatically into shares of our common stock (</w:t>
      </w:r>
      <w:r>
        <w:rPr>
          <w:rFonts w:ascii="Arial" w:cs="Arial" w:eastAsia="Arial" w:hAnsi="Arial"/>
          <w:sz w:val="12"/>
          <w:szCs w:val="12"/>
          <w:i w:val="1"/>
          <w:iCs w:val="1"/>
          <w:color w:val="auto"/>
        </w:rPr>
        <w:t>Automatic Conversion)</w:t>
      </w:r>
      <w:r>
        <w:rPr>
          <w:rFonts w:ascii="Arial" w:cs="Arial" w:eastAsia="Arial" w:hAnsi="Arial"/>
          <w:sz w:val="12"/>
          <w:szCs w:val="12"/>
          <w:color w:val="auto"/>
        </w:rPr>
        <w:t xml:space="preserve"> upon the closing or effective date of any of the following transactions or events:</w:t>
      </w:r>
    </w:p>
    <w:p>
      <w:pPr>
        <w:ind w:right="40" w:firstLine="5"/>
        <w:spacing w:after="0" w:line="290" w:lineRule="auto"/>
        <w:tabs>
          <w:tab w:leader="none" w:pos="169" w:val="left"/>
        </w:tabs>
        <w:numPr>
          <w:ilvl w:val="0"/>
          <w:numId w:val="91"/>
        </w:numPr>
        <w:rPr>
          <w:rFonts w:ascii="Arial" w:cs="Arial" w:eastAsia="Arial" w:hAnsi="Arial"/>
          <w:sz w:val="13"/>
          <w:szCs w:val="13"/>
          <w:color w:val="auto"/>
        </w:rPr>
      </w:pPr>
      <w:r>
        <w:rPr>
          <w:rFonts w:ascii="Arial" w:cs="Arial" w:eastAsia="Arial" w:hAnsi="Arial"/>
          <w:sz w:val="13"/>
          <w:szCs w:val="13"/>
          <w:color w:val="auto"/>
        </w:rPr>
        <w:t xml:space="preserve">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3"/>
          <w:szCs w:val="13"/>
          <w:i w:val="1"/>
          <w:iCs w:val="1"/>
          <w:color w:val="auto"/>
        </w:rPr>
        <w:t>Conversion</w:t>
      </w:r>
      <w:r>
        <w:rPr>
          <w:rFonts w:ascii="Arial" w:cs="Arial" w:eastAsia="Arial" w:hAnsi="Arial"/>
          <w:sz w:val="13"/>
          <w:szCs w:val="13"/>
          <w:color w:val="auto"/>
        </w:rPr>
        <w:t>) are subject to certain beneficial ownership blockers as set forth in the Certificate of Designation.</w:t>
      </w:r>
    </w:p>
    <w:p>
      <w:pPr>
        <w:spacing w:after="0" w:line="151" w:lineRule="exact"/>
        <w:rPr>
          <w:sz w:val="20"/>
          <w:szCs w:val="20"/>
          <w:color w:val="auto"/>
        </w:rPr>
      </w:pPr>
    </w:p>
    <w:p>
      <w:pPr>
        <w:spacing w:after="0" w:line="323" w:lineRule="auto"/>
        <w:rPr>
          <w:sz w:val="20"/>
          <w:szCs w:val="20"/>
          <w:color w:val="auto"/>
        </w:rPr>
      </w:pPr>
      <w:r>
        <w:rPr>
          <w:rFonts w:ascii="Arial" w:cs="Arial" w:eastAsia="Arial" w:hAnsi="Arial"/>
          <w:sz w:val="13"/>
          <w:szCs w:val="13"/>
          <w:color w:val="auto"/>
        </w:rPr>
        <w:t>Prior to Conversion, shares of Series B Preferred will accrue dividends, payable only in shares of our common stock, at a rate of 10% per annum (</w:t>
      </w:r>
      <w:r>
        <w:rPr>
          <w:rFonts w:ascii="Arial" w:cs="Arial" w:eastAsia="Arial" w:hAnsi="Arial"/>
          <w:sz w:val="13"/>
          <w:szCs w:val="13"/>
          <w:i w:val="1"/>
          <w:iCs w:val="1"/>
          <w:color w:val="auto"/>
        </w:rPr>
        <w:t>Accrued Dividend</w:t>
      </w:r>
      <w:r>
        <w:rPr>
          <w:rFonts w:ascii="Arial" w:cs="Arial" w:eastAsia="Arial" w:hAnsi="Arial"/>
          <w:sz w:val="13"/>
          <w:szCs w:val="13"/>
          <w:color w:val="auto"/>
        </w:rPr>
        <w:t>). The Accrued Dividend will be payable on the date of either a Voluntary Conversion or Automatic Conversion solely in that number of shares of common stock equal to the Accrued Dividend, divided by the Conversion Price.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9" w:name="page190"/>
    <w:bookmarkEnd w:id="18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Agreement with Platinum</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On May 5, 2015, we entered into an Agreement with Platinum, which, as modified by an Acknowledgement and Agreement, became effective on May 12, 2015 (</w:t>
      </w:r>
      <w:r>
        <w:rPr>
          <w:rFonts w:ascii="Arial" w:cs="Arial" w:eastAsia="Arial" w:hAnsi="Arial"/>
          <w:sz w:val="13"/>
          <w:szCs w:val="13"/>
          <w:i w:val="1"/>
          <w:iCs w:val="1"/>
          <w:color w:val="auto"/>
        </w:rPr>
        <w:t>Platinum Agreement</w:t>
      </w:r>
      <w:r>
        <w:rPr>
          <w:rFonts w:ascii="Arial" w:cs="Arial" w:eastAsia="Arial" w:hAnsi="Arial"/>
          <w:sz w:val="13"/>
          <w:szCs w:val="13"/>
          <w:color w:val="auto"/>
        </w:rPr>
        <w:t>). Under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Platinum Agreement, Platinum:</w:t>
      </w:r>
    </w:p>
    <w:p>
      <w:pPr>
        <w:spacing w:after="0" w:line="191" w:lineRule="exact"/>
        <w:rPr>
          <w:sz w:val="20"/>
          <w:szCs w:val="20"/>
          <w:color w:val="auto"/>
        </w:rPr>
      </w:pPr>
    </w:p>
    <w:p>
      <w:pPr>
        <w:ind w:left="160" w:right="120" w:hanging="155"/>
        <w:spacing w:after="0" w:line="215"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Converted all of the approximately $4.5 million outstanding balance (principal and accrued but unpaid interest) of the Senior Notes we issued to Platinum into 641,335 shares of Series B Preferred, thereby cancelling approximately $4.5 million of our outstanding indebtedness;</w:t>
      </w:r>
    </w:p>
    <w:p>
      <w:pPr>
        <w:spacing w:after="0" w:line="160" w:lineRule="exact"/>
        <w:rPr>
          <w:rFonts w:ascii="Arial" w:cs="Arial" w:eastAsia="Arial" w:hAnsi="Arial"/>
          <w:sz w:val="20"/>
          <w:szCs w:val="20"/>
          <w:color w:val="auto"/>
          <w:vertAlign w:val="superscript"/>
        </w:rPr>
      </w:pPr>
    </w:p>
    <w:p>
      <w:pPr>
        <w:ind w:left="160" w:right="200" w:hanging="155"/>
        <w:spacing w:after="0" w:line="215"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each dated October 11, 2012 between us and Platinum; and</w:t>
      </w:r>
    </w:p>
    <w:p>
      <w:pPr>
        <w:spacing w:after="0" w:line="182" w:lineRule="exact"/>
        <w:rPr>
          <w:rFonts w:ascii="Arial" w:cs="Arial" w:eastAsia="Arial" w:hAnsi="Arial"/>
          <w:sz w:val="20"/>
          <w:szCs w:val="20"/>
          <w:color w:val="auto"/>
          <w:vertAlign w:val="superscript"/>
        </w:rPr>
      </w:pPr>
    </w:p>
    <w:p>
      <w:pPr>
        <w:ind w:left="160" w:right="160" w:hanging="155"/>
        <w:spacing w:after="0" w:line="226"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 Warrants</w:t>
      </w:r>
      <w:r>
        <w:rPr>
          <w:rFonts w:ascii="Arial" w:cs="Arial" w:eastAsia="Arial" w:hAnsi="Arial"/>
          <w:sz w:val="14"/>
          <w:szCs w:val="14"/>
          <w:color w:val="auto"/>
        </w:rPr>
        <w:t>), thereby cancelling approximately $1.3 million of our outstanding indebtedness; and</w:t>
      </w:r>
    </w:p>
    <w:p>
      <w:pPr>
        <w:spacing w:after="0" w:line="183" w:lineRule="exact"/>
        <w:rPr>
          <w:rFonts w:ascii="Arial" w:cs="Arial" w:eastAsia="Arial" w:hAnsi="Arial"/>
          <w:sz w:val="20"/>
          <w:szCs w:val="20"/>
          <w:color w:val="auto"/>
          <w:vertAlign w:val="superscript"/>
        </w:rPr>
      </w:pPr>
    </w:p>
    <w:p>
      <w:pPr>
        <w:jc w:val="both"/>
        <w:ind w:left="160" w:right="220" w:hanging="155"/>
        <w:spacing w:after="0" w:line="226"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4"/>
          <w:szCs w:val="14"/>
          <w:i w:val="1"/>
          <w:iCs w:val="1"/>
          <w:color w:val="auto"/>
        </w:rPr>
        <w:t>Investor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2014 Unit Notes </w:t>
      </w:r>
      <w:r>
        <w:rPr>
          <w:rFonts w:ascii="Arial" w:cs="Arial" w:eastAsia="Arial" w:hAnsi="Arial"/>
          <w:sz w:val="14"/>
          <w:szCs w:val="14"/>
          <w:color w:val="auto"/>
        </w:rPr>
        <w:t>) and converted the entire outstanding balance of the Investor 2014 Unit Notes into 265,699 shares of Series B Preferred and Series B Warrants to purchase 265,699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thereby cancelling approximately $1.5 million of our outstanding indebtedness; and</w:t>
      </w:r>
    </w:p>
    <w:p>
      <w:pPr>
        <w:spacing w:after="0" w:line="183" w:lineRule="exact"/>
        <w:rPr>
          <w:rFonts w:ascii="Arial" w:cs="Arial" w:eastAsia="Arial" w:hAnsi="Arial"/>
          <w:sz w:val="20"/>
          <w:szCs w:val="20"/>
          <w:color w:val="auto"/>
          <w:vertAlign w:val="superscript"/>
        </w:rPr>
      </w:pPr>
    </w:p>
    <w:p>
      <w:pPr>
        <w:ind w:left="160" w:right="140" w:hanging="155"/>
        <w:spacing w:after="0" w:line="215"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Entered into a Securities Purchase Agreement (</w:t>
      </w:r>
      <w:r>
        <w:rPr>
          <w:rFonts w:ascii="Arial" w:cs="Arial" w:eastAsia="Arial" w:hAnsi="Arial"/>
          <w:sz w:val="14"/>
          <w:szCs w:val="14"/>
          <w:i w:val="1"/>
          <w:iCs w:val="1"/>
          <w:color w:val="auto"/>
        </w:rPr>
        <w:t>SPA</w:t>
      </w:r>
      <w:r>
        <w:rPr>
          <w:rFonts w:ascii="Arial" w:cs="Arial" w:eastAsia="Arial" w:hAnsi="Arial"/>
          <w:sz w:val="14"/>
          <w:szCs w:val="14"/>
          <w:color w:val="auto"/>
        </w:rPr>
        <w:t>) to purchase, for $1.0 million, a total of 142,857 shares of Series B Preferred and a Series B Warrant to purchase 142,857 shares of our common stock, on or before June 11, 2015 (a portion of which purchase was completed on June 19, 2015); and</w:t>
      </w:r>
    </w:p>
    <w:p>
      <w:pPr>
        <w:spacing w:after="0" w:line="132" w:lineRule="exact"/>
        <w:rPr>
          <w:rFonts w:ascii="Arial" w:cs="Arial" w:eastAsia="Arial" w:hAnsi="Arial"/>
          <w:sz w:val="20"/>
          <w:szCs w:val="20"/>
          <w:color w:val="auto"/>
          <w:vertAlign w:val="superscript"/>
        </w:rPr>
      </w:pPr>
    </w:p>
    <w:p>
      <w:pPr>
        <w:ind w:left="160" w:hanging="155"/>
        <w:spacing w:after="0"/>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Amended the Platinum Warrants (all warrants previously issued by us to Platinum in connection with the Senior Notes) and the Series A Exchange Warrant to:</w:t>
      </w:r>
    </w:p>
    <w:p>
      <w:pPr>
        <w:spacing w:after="0" w:line="182" w:lineRule="exact"/>
        <w:rPr>
          <w:sz w:val="20"/>
          <w:szCs w:val="20"/>
          <w:color w:val="auto"/>
        </w:rPr>
      </w:pPr>
    </w:p>
    <w:p>
      <w:pPr>
        <w:ind w:left="560" w:hanging="243"/>
        <w:spacing w:after="0"/>
        <w:tabs>
          <w:tab w:leader="none" w:pos="5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fix the exercise price thereof at $7.00 per share;</w:t>
      </w:r>
    </w:p>
    <w:p>
      <w:pPr>
        <w:spacing w:after="0" w:line="19" w:lineRule="exact"/>
        <w:rPr>
          <w:rFonts w:ascii="Arial" w:cs="Arial" w:eastAsia="Arial" w:hAnsi="Arial"/>
          <w:sz w:val="14"/>
          <w:szCs w:val="14"/>
          <w:color w:val="auto"/>
        </w:rPr>
      </w:pPr>
    </w:p>
    <w:p>
      <w:pPr>
        <w:ind w:left="420" w:hanging="103"/>
        <w:spacing w:after="0"/>
        <w:tabs>
          <w:tab w:leader="none" w:pos="420" w:val="left"/>
        </w:tabs>
        <w:numPr>
          <w:ilvl w:val="1"/>
          <w:numId w:val="93"/>
        </w:numPr>
        <w:rPr>
          <w:rFonts w:ascii="Arial" w:cs="Arial" w:eastAsia="Arial" w:hAnsi="Arial"/>
          <w:sz w:val="14"/>
          <w:szCs w:val="14"/>
          <w:color w:val="auto"/>
        </w:rPr>
      </w:pPr>
      <w:r>
        <w:rPr>
          <w:rFonts w:ascii="Arial" w:cs="Arial" w:eastAsia="Arial" w:hAnsi="Arial"/>
          <w:sz w:val="14"/>
          <w:szCs w:val="14"/>
          <w:color w:val="auto"/>
        </w:rPr>
        <w:t>eliminate the exercise price reset features and fix the number of shares of our common stock issuable thereunder; and</w:t>
      </w:r>
    </w:p>
    <w:p>
      <w:pPr>
        <w:spacing w:after="0" w:line="9" w:lineRule="exact"/>
        <w:rPr>
          <w:rFonts w:ascii="Arial" w:cs="Arial" w:eastAsia="Arial" w:hAnsi="Arial"/>
          <w:sz w:val="14"/>
          <w:szCs w:val="14"/>
          <w:color w:val="auto"/>
        </w:rPr>
      </w:pPr>
    </w:p>
    <w:p>
      <w:pPr>
        <w:ind w:left="560" w:hanging="243"/>
        <w:spacing w:after="0"/>
        <w:tabs>
          <w:tab w:leader="none" w:pos="5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eliminate the cashless exercise provisions from the Platinum Warrants and the Series A Exchange Warrant; and</w:t>
      </w:r>
    </w:p>
    <w:p>
      <w:pPr>
        <w:spacing w:after="0" w:line="190" w:lineRule="exact"/>
        <w:rPr>
          <w:rFonts w:ascii="Arial" w:cs="Arial" w:eastAsia="Arial" w:hAnsi="Arial"/>
          <w:sz w:val="14"/>
          <w:szCs w:val="14"/>
          <w:color w:val="auto"/>
        </w:rPr>
      </w:pPr>
    </w:p>
    <w:p>
      <w:pPr>
        <w:ind w:left="160" w:hanging="155"/>
        <w:spacing w:after="0" w:line="215" w:lineRule="auto"/>
        <w:tabs>
          <w:tab w:leader="none" w:pos="160" w:val="left"/>
        </w:tabs>
        <w:numPr>
          <w:ilvl w:val="0"/>
          <w:numId w:val="93"/>
        </w:numPr>
        <w:rPr>
          <w:rFonts w:ascii="Arial" w:cs="Arial" w:eastAsia="Arial" w:hAnsi="Arial"/>
          <w:sz w:val="20"/>
          <w:szCs w:val="20"/>
          <w:color w:val="auto"/>
          <w:vertAlign w:val="superscript"/>
        </w:rPr>
      </w:pPr>
      <w:r>
        <w:rPr>
          <w:rFonts w:ascii="Arial" w:cs="Arial" w:eastAsia="Arial" w:hAnsi="Arial"/>
          <w:sz w:val="14"/>
          <w:szCs w:val="14"/>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61" w:lineRule="exact"/>
        <w:rPr>
          <w:sz w:val="20"/>
          <w:szCs w:val="20"/>
          <w:color w:val="auto"/>
        </w:rPr>
      </w:pPr>
    </w:p>
    <w:p>
      <w:pPr>
        <w:ind w:right="200"/>
        <w:spacing w:after="0" w:line="323" w:lineRule="auto"/>
        <w:rPr>
          <w:sz w:val="20"/>
          <w:szCs w:val="20"/>
          <w:color w:val="auto"/>
        </w:rPr>
      </w:pPr>
      <w:r>
        <w:rPr>
          <w:rFonts w:ascii="Arial" w:cs="Arial" w:eastAsia="Arial" w:hAnsi="Arial"/>
          <w:sz w:val="13"/>
          <w:szCs w:val="13"/>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2014 Unit Notes</w:t>
      </w:r>
    </w:p>
    <w:p>
      <w:pPr>
        <w:spacing w:after="0" w:line="201" w:lineRule="exact"/>
        <w:rPr>
          <w:sz w:val="20"/>
          <w:szCs w:val="20"/>
          <w:color w:val="auto"/>
        </w:rPr>
      </w:pPr>
    </w:p>
    <w:p>
      <w:pPr>
        <w:ind w:right="300"/>
        <w:spacing w:after="0" w:line="370" w:lineRule="auto"/>
        <w:rPr>
          <w:sz w:val="20"/>
          <w:szCs w:val="20"/>
          <w:color w:val="auto"/>
        </w:rPr>
      </w:pPr>
      <w:r>
        <w:rPr>
          <w:rFonts w:ascii="Arial" w:cs="Arial" w:eastAsia="Arial" w:hAnsi="Arial"/>
          <w:sz w:val="12"/>
          <w:szCs w:val="12"/>
          <w:color w:val="auto"/>
        </w:rPr>
        <w:t>Effective May 20, 2015, holders of the remaining approximately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90" w:name="page191"/>
    <w:bookmarkEnd w:id="19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Series B Preferred Units</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Between May 26, 2015 and June 25, 2015, we sold to accredited investors and institutions an aggregate of $557,500 of units in our Series B Preferred Unit offering, which units consist of Series B Preferred and Series B Warrants (together Series B Preferred Units),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Notes and Accounts Payable</w:t>
      </w:r>
    </w:p>
    <w:p>
      <w:pPr>
        <w:spacing w:after="0" w:line="180" w:lineRule="exact"/>
        <w:rPr>
          <w:sz w:val="20"/>
          <w:szCs w:val="20"/>
          <w:color w:val="auto"/>
        </w:rPr>
      </w:pPr>
    </w:p>
    <w:p>
      <w:pPr>
        <w:jc w:val="both"/>
        <w:ind w:right="180"/>
        <w:spacing w:after="0" w:line="298" w:lineRule="auto"/>
        <w:rPr>
          <w:sz w:val="20"/>
          <w:szCs w:val="20"/>
          <w:color w:val="auto"/>
        </w:rPr>
      </w:pPr>
      <w:r>
        <w:rPr>
          <w:rFonts w:ascii="Arial" w:cs="Arial" w:eastAsia="Arial" w:hAnsi="Arial"/>
          <w:sz w:val="13"/>
          <w:szCs w:val="13"/>
          <w:color w:val="auto"/>
        </w:rPr>
        <w:t>During May and June 2015,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adjustments thereto) into 831,577 shares of Series B Preferred, thereby cancelling an additional approximately $5.8 million of our outstanding debt.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Supplemental Financial Information</w:t>
      </w:r>
    </w:p>
    <w:p>
      <w:pPr>
        <w:spacing w:after="0" w:line="205" w:lineRule="exact"/>
        <w:rPr>
          <w:sz w:val="20"/>
          <w:szCs w:val="20"/>
          <w:color w:val="auto"/>
        </w:rPr>
      </w:pPr>
    </w:p>
    <w:p>
      <w:pPr>
        <w:ind w:right="60"/>
        <w:spacing w:after="0" w:line="33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2015.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4120" w:type="dxa"/>
            <w:vAlign w:val="bottom"/>
            <w:gridSpan w:val="8"/>
          </w:tcPr>
          <w:p>
            <w:pPr>
              <w:jc w:val="center"/>
              <w:ind w:left="569"/>
              <w:spacing w:after="0"/>
              <w:rPr>
                <w:sz w:val="20"/>
                <w:szCs w:val="20"/>
                <w:color w:val="auto"/>
              </w:rPr>
            </w:pPr>
            <w:r>
              <w:rPr>
                <w:rFonts w:ascii="Arial" w:cs="Arial" w:eastAsia="Arial" w:hAnsi="Arial"/>
                <w:sz w:val="14"/>
                <w:szCs w:val="14"/>
                <w:b w:val="1"/>
                <w:bCs w:val="1"/>
                <w:color w:val="auto"/>
                <w:w w:val="92"/>
              </w:rPr>
              <w:t>Quarterly Results of Operations (Unaudited)</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3360" w:type="dxa"/>
            <w:vAlign w:val="bottom"/>
          </w:tcPr>
          <w:p>
            <w:pPr>
              <w:spacing w:after="0"/>
              <w:rPr>
                <w:sz w:val="24"/>
                <w:szCs w:val="24"/>
                <w:color w:val="auto"/>
              </w:rPr>
            </w:pPr>
          </w:p>
        </w:tc>
        <w:tc>
          <w:tcPr>
            <w:tcW w:w="4120" w:type="dxa"/>
            <w:vAlign w:val="bottom"/>
            <w:gridSpan w:val="8"/>
          </w:tcPr>
          <w:p>
            <w:pPr>
              <w:jc w:val="center"/>
              <w:ind w:left="549"/>
              <w:spacing w:after="0"/>
              <w:rPr>
                <w:sz w:val="20"/>
                <w:szCs w:val="20"/>
                <w:color w:val="auto"/>
              </w:rPr>
            </w:pPr>
            <w:r>
              <w:rPr>
                <w:rFonts w:ascii="Arial" w:cs="Arial" w:eastAsia="Arial" w:hAnsi="Arial"/>
                <w:sz w:val="14"/>
                <w:szCs w:val="14"/>
                <w:b w:val="1"/>
                <w:bCs w:val="1"/>
                <w:color w:val="auto"/>
                <w:w w:val="89"/>
              </w:rPr>
              <w:t>(in thousands, except share and per share amounts)</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3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3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June 30, 2014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2015</w:t>
            </w:r>
          </w:p>
        </w:tc>
        <w:tc>
          <w:tcPr>
            <w:tcW w:w="80" w:type="dxa"/>
            <w:vAlign w:val="bottom"/>
          </w:tcPr>
          <w:p>
            <w:pPr>
              <w:spacing w:after="0"/>
              <w:rPr>
                <w:sz w:val="16"/>
                <w:szCs w:val="16"/>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Fiscal Year 2015</w:t>
            </w:r>
          </w:p>
        </w:tc>
      </w:tr>
      <w:tr>
        <w:trPr>
          <w:trHeight w:val="341"/>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336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558</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956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2,433</w:t>
            </w:r>
          </w:p>
        </w:tc>
      </w:tr>
      <w:tr>
        <w:trPr>
          <w:trHeight w:val="17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556</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4,344</w:t>
            </w:r>
          </w:p>
        </w:tc>
      </w:tr>
      <w:tr>
        <w:trPr>
          <w:trHeight w:val="21"/>
        </w:trPr>
        <w:tc>
          <w:tcPr>
            <w:tcW w:w="3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6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1,114</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6,777</w:t>
            </w:r>
          </w:p>
        </w:tc>
      </w:tr>
      <w:tr>
        <w:trPr>
          <w:trHeight w:val="21"/>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(1,114)</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(6,777)</w:t>
            </w:r>
          </w:p>
        </w:tc>
      </w:tr>
      <w:tr>
        <w:trPr>
          <w:trHeight w:val="170"/>
        </w:trPr>
        <w:tc>
          <w:tcPr>
            <w:tcW w:w="3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(606)</w:t>
            </w:r>
          </w:p>
        </w:tc>
        <w:tc>
          <w:tcPr>
            <w:tcW w:w="5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(2,366)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(4,549)</w:t>
            </w:r>
          </w:p>
        </w:tc>
      </w:tr>
      <w:tr>
        <w:trPr>
          <w:trHeight w:val="17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warrant liabilities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1,302</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(1,603)</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(2,388)</w:t>
            </w:r>
          </w:p>
        </w:tc>
      </w:tr>
      <w:tr>
        <w:trPr>
          <w:trHeight w:val="172"/>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expense, net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r>
      <w:tr>
        <w:trPr>
          <w:trHeight w:val="170"/>
        </w:trPr>
        <w:tc>
          <w:tcPr>
            <w:tcW w:w="336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(2,021)</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(13,884)</w:t>
            </w: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Income taxes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r>
      <w:tr>
        <w:trPr>
          <w:trHeight w:val="21"/>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(2,021)</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(6,222)</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(13,886)</w:t>
            </w:r>
          </w:p>
        </w:tc>
      </w:tr>
      <w:tr>
        <w:trPr>
          <w:trHeight w:val="153"/>
        </w:trPr>
        <w:tc>
          <w:tcPr>
            <w:tcW w:w="336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33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Basic net (loss) per common share</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(3.70)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(1.58)</w:t>
            </w:r>
          </w:p>
        </w:tc>
        <w:tc>
          <w:tcPr>
            <w:tcW w:w="5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(0.84)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(4.24)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(10.53)</w:t>
            </w:r>
          </w:p>
        </w:tc>
      </w:tr>
      <w:tr>
        <w:trPr>
          <w:trHeight w:val="20"/>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Diluted net loss per common share</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(3.70)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(1.90)</w:t>
            </w:r>
          </w:p>
        </w:tc>
        <w:tc>
          <w:tcPr>
            <w:tcW w:w="5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(4.24)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(10.61)</w:t>
            </w:r>
          </w:p>
        </w:tc>
      </w:tr>
      <w:tr>
        <w:trPr>
          <w:trHeight w:val="20"/>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Weighted average shares used in computing:</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 net (loss) per common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1,229,488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1,279,251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1,302,300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1,466,386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1,318,797</w:t>
            </w:r>
          </w:p>
        </w:tc>
      </w:tr>
      <w:tr>
        <w:trPr>
          <w:trHeight w:val="153"/>
        </w:trPr>
        <w:tc>
          <w:tcPr>
            <w:tcW w:w="336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 net loss per common share</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1,229,488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1,299,099</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1,302,300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1,466,386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1,318,797</w:t>
            </w: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1"/>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left="569"/>
              <w:spacing w:after="0"/>
              <w:rPr>
                <w:sz w:val="20"/>
                <w:szCs w:val="20"/>
                <w:color w:val="auto"/>
              </w:rPr>
            </w:pPr>
            <w:r>
              <w:rPr>
                <w:rFonts w:ascii="Arial" w:cs="Arial" w:eastAsia="Arial" w:hAnsi="Arial"/>
                <w:sz w:val="14"/>
                <w:szCs w:val="14"/>
                <w:color w:val="auto"/>
                <w:w w:val="90"/>
              </w:rPr>
              <w:t>F-48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2"/>
        </w:trPr>
        <w:tc>
          <w:tcPr>
            <w:tcW w:w="336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49"/>
        </w:trPr>
        <w:tc>
          <w:tcPr>
            <w:tcW w:w="472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5"/>
        </w:trPr>
        <w:tc>
          <w:tcPr>
            <w:tcW w:w="900" w:type="dxa"/>
            <w:vAlign w:val="bottom"/>
            <w:tcBorders>
              <w:top w:val="single" w:sz="8" w:color="0000EE"/>
            </w:tcBorders>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9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9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49"/>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2014</w:t>
            </w:r>
          </w:p>
        </w:tc>
        <w:tc>
          <w:tcPr>
            <w:tcW w:w="80" w:type="dxa"/>
            <w:vAlign w:val="bottom"/>
          </w:tcPr>
          <w:p>
            <w:pPr>
              <w:spacing w:after="0"/>
              <w:rPr>
                <w:sz w:val="16"/>
                <w:szCs w:val="16"/>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Fiscal Year 2014</w:t>
            </w:r>
          </w:p>
        </w:tc>
      </w:tr>
      <w:tr>
        <w:trPr>
          <w:trHeight w:val="341"/>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900" w:type="dxa"/>
            <w:vAlign w:val="bottom"/>
            <w:tcBorders>
              <w:top w:val="single" w:sz="8" w:color="CCEEFF"/>
            </w:tcBorders>
          </w:tcPr>
          <w:p>
            <w:pPr>
              <w:spacing w:after="0"/>
              <w:rPr>
                <w:sz w:val="14"/>
                <w:szCs w:val="14"/>
                <w:color w:val="auto"/>
              </w:rPr>
            </w:pPr>
          </w:p>
        </w:tc>
        <w:tc>
          <w:tcPr>
            <w:tcW w:w="38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669</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2,481</w:t>
            </w:r>
          </w:p>
        </w:tc>
      </w:tr>
      <w:tr>
        <w:trPr>
          <w:trHeight w:val="170"/>
        </w:trPr>
        <w:tc>
          <w:tcPr>
            <w:tcW w:w="4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546</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2,548</w:t>
            </w:r>
          </w:p>
        </w:tc>
      </w:tr>
      <w:tr>
        <w:trPr>
          <w:trHeight w:val="21"/>
        </w:trPr>
        <w:tc>
          <w:tcPr>
            <w:tcW w:w="90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4720" w:type="dxa"/>
            <w:vAlign w:val="bottom"/>
            <w:gridSpan w:val="2"/>
          </w:tcPr>
          <w:p>
            <w:pPr>
              <w:ind w:left="380"/>
              <w:spacing w:after="0"/>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1,215</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1,448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5,029</w:t>
            </w:r>
          </w:p>
        </w:tc>
      </w:tr>
      <w:tr>
        <w:trPr>
          <w:trHeight w:val="21"/>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(1,215)</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(5,029)</w:t>
            </w:r>
          </w:p>
        </w:tc>
      </w:tr>
      <w:tr>
        <w:trPr>
          <w:trHeight w:val="170"/>
        </w:trPr>
        <w:tc>
          <w:tcPr>
            <w:tcW w:w="9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(323)</w:t>
            </w:r>
          </w:p>
        </w:tc>
        <w:tc>
          <w:tcPr>
            <w:tcW w:w="5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r>
      <w:tr>
        <w:trPr>
          <w:trHeight w:val="172"/>
        </w:trPr>
        <w:tc>
          <w:tcPr>
            <w:tcW w:w="4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Change in warrant liabilities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3,567</w:t>
            </w:r>
          </w:p>
        </w:tc>
      </w:tr>
      <w:tr>
        <w:trPr>
          <w:trHeight w:val="170"/>
        </w:trPr>
        <w:tc>
          <w:tcPr>
            <w:tcW w:w="900" w:type="dxa"/>
            <w:vAlign w:val="bottom"/>
            <w:tcBorders>
              <w:top w:val="single" w:sz="8" w:color="CCEEFF"/>
            </w:tcBorders>
          </w:tcPr>
          <w:p>
            <w:pPr>
              <w:spacing w:after="0"/>
              <w:rPr>
                <w:sz w:val="14"/>
                <w:szCs w:val="14"/>
                <w:color w:val="auto"/>
              </w:rPr>
            </w:pPr>
          </w:p>
        </w:tc>
        <w:tc>
          <w:tcPr>
            <w:tcW w:w="38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(1,459)</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(2,965)</w:t>
            </w:r>
          </w:p>
        </w:tc>
      </w:tr>
      <w:tr>
        <w:trPr>
          <w:trHeight w:val="170"/>
        </w:trPr>
        <w:tc>
          <w:tcPr>
            <w:tcW w:w="472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r>
      <w:tr>
        <w:trPr>
          <w:trHeight w:val="21"/>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(1,459)</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(1,826)</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(2,968)</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(1.37)</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Basic net income (loss) per common share</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1,042,081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1,081,529</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1,110,529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1,162,636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1,098,742</w:t>
            </w:r>
          </w:p>
        </w:tc>
      </w:tr>
      <w:tr>
        <w:trPr>
          <w:trHeight w:val="20"/>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3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Diluted net loss per common share</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1,061,544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1,128,152</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1,110,529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1,162,636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1,099,216</w:t>
            </w:r>
          </w:p>
        </w:tc>
        <w:tc>
          <w:tcPr>
            <w:tcW w:w="10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1"/>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F-49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38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10" w:right="2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900" w:type="dxa"/>
            <w:vAlign w:val="bottom"/>
            <w:tcBorders>
              <w:top w:val="single" w:sz="8" w:color="0000EE"/>
            </w:tcBorders>
          </w:tcPr>
          <w:p>
            <w:pPr>
              <w:spacing w:after="0"/>
              <w:rPr>
                <w:sz w:val="24"/>
                <w:szCs w:val="24"/>
                <w:color w:val="auto"/>
              </w:rPr>
            </w:pPr>
          </w:p>
        </w:tc>
        <w:tc>
          <w:tcPr>
            <w:tcW w:w="7940" w:type="dxa"/>
            <w:vAlign w:val="bottom"/>
          </w:tcPr>
          <w:p>
            <w:pPr>
              <w:jc w:val="center"/>
              <w:ind w:left="1669"/>
              <w:spacing w:after="0"/>
              <w:rPr>
                <w:sz w:val="20"/>
                <w:szCs w:val="20"/>
                <w:color w:val="auto"/>
              </w:rPr>
            </w:pPr>
            <w:r>
              <w:rPr>
                <w:rFonts w:ascii="Arial" w:cs="Arial" w:eastAsia="Arial" w:hAnsi="Arial"/>
                <w:sz w:val="14"/>
                <w:szCs w:val="14"/>
                <w:b w:val="1"/>
                <w:bCs w:val="1"/>
                <w:color w:val="auto"/>
                <w:w w:val="91"/>
              </w:rPr>
              <w:t>Financial statements for the nine-month periods ended December 31, 2015 and 2014 (Unaudited)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900" w:type="dxa"/>
            <w:vAlign w:val="bottom"/>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VISTAGEN THERAPEUTICS,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CONDENSED CONSOLIDATED BALANCE SHEETS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w w:val="90"/>
              </w:rPr>
              <w:t>(Amounts in Dollars, except share amounts)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940" w:type="dxa"/>
            <w:vAlign w:val="bottom"/>
            <w:vMerge w:val="restart"/>
          </w:tcPr>
          <w:p>
            <w:pPr>
              <w:jc w:val="center"/>
              <w:ind w:right="949"/>
              <w:spacing w:after="0"/>
              <w:rPr>
                <w:sz w:val="20"/>
                <w:szCs w:val="20"/>
                <w:color w:val="auto"/>
              </w:rPr>
            </w:pPr>
            <w:r>
              <w:rPr>
                <w:rFonts w:ascii="Arial" w:cs="Arial" w:eastAsia="Arial" w:hAnsi="Arial"/>
                <w:sz w:val="14"/>
                <w:szCs w:val="14"/>
                <w:b w:val="1"/>
                <w:bCs w:val="1"/>
                <w:color w:val="auto"/>
                <w:w w:val="92"/>
              </w:rPr>
              <w:t>ASSETS</w:t>
            </w:r>
          </w:p>
        </w:tc>
        <w:tc>
          <w:tcPr>
            <w:tcW w:w="14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(Note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7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1,158,400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72"/>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728,300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1,886,700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105,700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78,600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117,100</w:t>
            </w:r>
          </w:p>
        </w:tc>
        <w:tc>
          <w:tcPr>
            <w:tcW w:w="0" w:type="dxa"/>
            <w:vAlign w:val="bottom"/>
          </w:tcPr>
          <w:p>
            <w:pPr>
              <w:spacing w:after="0"/>
              <w:rPr>
                <w:sz w:val="1"/>
                <w:szCs w:val="1"/>
                <w:color w:val="auto"/>
              </w:rPr>
            </w:pPr>
          </w:p>
        </w:tc>
      </w:tr>
      <w:tr>
        <w:trPr>
          <w:trHeight w:val="172"/>
        </w:trPr>
        <w:tc>
          <w:tcPr>
            <w:tcW w:w="8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Security deposits and other assets</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46,900</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32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2,012,200</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269,700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940" w:type="dxa"/>
            <w:vAlign w:val="bottom"/>
          </w:tcPr>
          <w:p>
            <w:pPr>
              <w:jc w:val="center"/>
              <w:ind w:right="949"/>
              <w:spacing w:after="0"/>
              <w:rPr>
                <w:sz w:val="20"/>
                <w:szCs w:val="20"/>
                <w:color w:val="auto"/>
              </w:rPr>
            </w:pPr>
            <w:r>
              <w:rPr>
                <w:rFonts w:ascii="Arial" w:cs="Arial" w:eastAsia="Arial" w:hAnsi="Arial"/>
                <w:sz w:val="14"/>
                <w:szCs w:val="14"/>
                <w:b w:val="1"/>
                <w:bCs w:val="1"/>
                <w:color w:val="auto"/>
              </w:rPr>
              <w:t>LIABILITIES AND STOCKHOLDERS’ DEFICIT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1,097,600</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2,251,100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 expenses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929,100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1,206,500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Current maturities of senior secured convertible promissory notes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4,146,100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Current portion of notes payable, net of discount of $0 at December 31, 2015 and $474,500 at March 31, 2015, and accrued interest</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73,800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4,117,000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w w:val="94"/>
              </w:rPr>
              <w:t>Current portion of notes payable to related parties, net of discount of $0 at December 31, 2015 and $54,500 at March 31, 2015,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1,508,800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8"/>
              </w:rPr>
              <w:t>Convertible promissory notes and accrued interest, net of discount of $0 at December 31, 2015 and $180,000 at March 31, 2015, respectively</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4,157,600</w:t>
            </w:r>
          </w:p>
        </w:tc>
        <w:tc>
          <w:tcPr>
            <w:tcW w:w="0" w:type="dxa"/>
            <w:vAlign w:val="bottom"/>
          </w:tcPr>
          <w:p>
            <w:pPr>
              <w:spacing w:after="0"/>
              <w:rPr>
                <w:sz w:val="1"/>
                <w:szCs w:val="1"/>
                <w:color w:val="auto"/>
              </w:rPr>
            </w:pPr>
          </w:p>
        </w:tc>
      </w:tr>
      <w:tr>
        <w:trPr>
          <w:trHeight w:val="172"/>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Capital lease obligations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2,101,600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17,388,100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79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Senior secured convertible promissory notes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296,200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Notes payable</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29,300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Warrant liability</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3,008,500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 dividends on Series B Preferred Stock</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1,415,800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Deferred rent liability</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63,500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172"/>
        </w:trPr>
        <w:tc>
          <w:tcPr>
            <w:tcW w:w="8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Capital lease obligations</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tcPr>
          <w:p>
            <w:pPr>
              <w:ind w:left="320"/>
              <w:spacing w:after="0"/>
              <w:rPr>
                <w:sz w:val="20"/>
                <w:szCs w:val="20"/>
                <w:color w:val="auto"/>
              </w:rPr>
            </w:pPr>
            <w:r>
              <w:rPr>
                <w:rFonts w:ascii="Arial" w:cs="Arial" w:eastAsia="Arial" w:hAnsi="Arial"/>
                <w:sz w:val="14"/>
                <w:szCs w:val="14"/>
                <w:color w:val="auto"/>
              </w:rPr>
              <w:t>Total non-current liabilities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1,508,900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3,424,400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3,610,500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20,812,500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79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Preferred stock, $0.001 par value; 10,000,000 shares authorized at December 31, 2015 and March 31, 2015: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Series A Preferred, 500,000 shares authorized and outstanding at December 31, 2015 and March 31, 2015</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0"/>
        </w:trPr>
        <w:tc>
          <w:tcPr>
            <w:tcW w:w="8840" w:type="dxa"/>
            <w:vAlign w:val="bottom"/>
            <w:gridSpan w:val="2"/>
          </w:tcPr>
          <w:p>
            <w:pPr>
              <w:ind w:left="320"/>
              <w:spacing w:after="0" w:line="160" w:lineRule="exact"/>
              <w:rPr>
                <w:sz w:val="20"/>
                <w:szCs w:val="20"/>
                <w:color w:val="auto"/>
              </w:rPr>
            </w:pPr>
            <w:r>
              <w:rPr>
                <w:rFonts w:ascii="Arial" w:cs="Arial" w:eastAsia="Arial" w:hAnsi="Arial"/>
                <w:sz w:val="14"/>
                <w:szCs w:val="14"/>
                <w:color w:val="auto"/>
                <w:w w:val="93"/>
              </w:rPr>
              <w:t>Series B Preferred, 4,000,000 shares and no shares authorized at December 31, 2015 and March 31, 2015, respectively; 3,588,863 shares and no</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40" w:type="dxa"/>
            <w:vAlign w:val="bottom"/>
            <w:gridSpan w:val="2"/>
          </w:tcPr>
          <w:p>
            <w:pPr>
              <w:ind w:left="480"/>
              <w:spacing w:after="0"/>
              <w:rPr>
                <w:sz w:val="20"/>
                <w:szCs w:val="20"/>
                <w:color w:val="auto"/>
              </w:rPr>
            </w:pPr>
            <w:r>
              <w:rPr>
                <w:rFonts w:ascii="Arial" w:cs="Arial" w:eastAsia="Arial" w:hAnsi="Arial"/>
                <w:sz w:val="14"/>
                <w:szCs w:val="14"/>
                <w:color w:val="auto"/>
              </w:rPr>
              <w:t>shares issued and outstanding at December 31, 2015 and March 31, 2015, respectively</w:t>
            </w:r>
          </w:p>
        </w:tc>
        <w:tc>
          <w:tcPr>
            <w:tcW w:w="1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3,600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8840" w:type="dxa"/>
            <w:vAlign w:val="bottom"/>
            <w:gridSpan w:val="2"/>
            <w:shd w:val="clear" w:color="auto" w:fill="CCEEFF"/>
          </w:tcPr>
          <w:p>
            <w:pPr>
              <w:ind w:left="160"/>
              <w:spacing w:after="0" w:line="160" w:lineRule="exact"/>
              <w:rPr>
                <w:sz w:val="20"/>
                <w:szCs w:val="20"/>
                <w:color w:val="auto"/>
              </w:rPr>
            </w:pPr>
            <w:r>
              <w:rPr>
                <w:rFonts w:ascii="Arial" w:cs="Arial" w:eastAsia="Arial" w:hAnsi="Arial"/>
                <w:sz w:val="14"/>
                <w:szCs w:val="14"/>
                <w:color w:val="auto"/>
                <w:w w:val="96"/>
              </w:rPr>
              <w:t>Common stock, $0.001 par value; 30,000,000 shares and 10,000,000 shares authorized at December 31, 2015 and March 31, 2015, respectively;</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1,965,170 shares and 1,677,110 shares issued at December 31, 2015 and March 31, 2015 respectively</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125,605,200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67,945,800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Treasury stock, at cost, 135,665 shares of common stock held at December 31, 2015 and March 31, 2015, respectively</w:t>
            </w:r>
          </w:p>
        </w:tc>
        <w:tc>
          <w:tcPr>
            <w:tcW w:w="14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(3,968,100)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(3,968,100)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color w:val="auto"/>
              </w:rPr>
              <w:t>(123,241,500)</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(84,522,700)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stockholders’ deficit</w:t>
            </w:r>
          </w:p>
        </w:tc>
        <w:tc>
          <w:tcPr>
            <w:tcW w:w="14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(1,598,300)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(20,542,800)</w:t>
            </w:r>
          </w:p>
        </w:tc>
        <w:tc>
          <w:tcPr>
            <w:tcW w:w="0" w:type="dxa"/>
            <w:vAlign w:val="bottom"/>
          </w:tcPr>
          <w:p>
            <w:pPr>
              <w:spacing w:after="0"/>
              <w:rPr>
                <w:sz w:val="1"/>
                <w:szCs w:val="1"/>
                <w:color w:val="auto"/>
              </w:rPr>
            </w:pPr>
          </w:p>
        </w:tc>
      </w:tr>
      <w:tr>
        <w:trPr>
          <w:trHeight w:val="170"/>
        </w:trPr>
        <w:tc>
          <w:tcPr>
            <w:tcW w:w="8840" w:type="dxa"/>
            <w:vAlign w:val="bottom"/>
            <w:tcBorders>
              <w:top w:val="single" w:sz="8" w:color="CCEEFF"/>
            </w:tcBorders>
            <w:gridSpan w:val="2"/>
          </w:tcPr>
          <w:p>
            <w:pPr>
              <w:ind w:left="320"/>
              <w:spacing w:after="0"/>
              <w:rPr>
                <w:sz w:val="20"/>
                <w:szCs w:val="20"/>
                <w:color w:val="auto"/>
              </w:rPr>
            </w:pPr>
            <w:r>
              <w:rPr>
                <w:rFonts w:ascii="Arial" w:cs="Arial" w:eastAsia="Arial" w:hAnsi="Arial"/>
                <w:sz w:val="14"/>
                <w:szCs w:val="14"/>
                <w:color w:val="auto"/>
              </w:rPr>
              <w:t>Total liabilities and stockholders’ deficit</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2,012,200</w:t>
            </w:r>
          </w:p>
        </w:tc>
        <w:tc>
          <w:tcPr>
            <w:tcW w:w="20" w:type="dxa"/>
            <w:vAlign w:val="bottom"/>
            <w:tcBorders>
              <w:top w:val="single" w:sz="8" w:color="CCEEFF"/>
              <w:bottom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269,700</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93" w:name="page194"/>
    <w:bookmarkEnd w:id="19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dollars,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6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340"/>
        </w:trPr>
        <w:tc>
          <w:tcPr>
            <w:tcW w:w="6080" w:type="dxa"/>
            <w:vAlign w:val="bottom"/>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445,400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2,835,000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1,476,600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1,335,500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671,300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6,514,500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2,024,600</w:t>
            </w:r>
          </w:p>
        </w:tc>
      </w:tr>
      <w:tr>
        <w:trPr>
          <w:trHeight w:val="21"/>
        </w:trPr>
        <w:tc>
          <w:tcPr>
            <w:tcW w:w="6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2,141,800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1,116,700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9,349,500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3,501,200</w:t>
            </w:r>
          </w:p>
        </w:tc>
      </w:tr>
      <w:tr>
        <w:trPr>
          <w:trHeight w:val="21"/>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from operations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(2,141,800)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(1,116,700)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(9,349,500)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(3,501,200)</w:t>
            </w: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(792,400)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(769,800)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(2,182,900)</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 in warrant liability</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953,700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(1,894,700)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528,300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(26,700,200)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(2,371,400)</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expense</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(134,900)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(134,900)</w:t>
            </w:r>
          </w:p>
        </w:tc>
      </w:tr>
      <w:tr>
        <w:trPr>
          <w:trHeight w:val="21"/>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before income taxes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(2,146,600)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(38,716,500)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(7,662,100)</w:t>
            </w:r>
          </w:p>
        </w:tc>
      </w:tr>
      <w:tr>
        <w:trPr>
          <w:trHeight w:val="17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(2,400)</w:t>
            </w:r>
          </w:p>
        </w:tc>
      </w:tr>
      <w:tr>
        <w:trPr>
          <w:trHeight w:val="170"/>
        </w:trPr>
        <w:tc>
          <w:tcPr>
            <w:tcW w:w="60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loss and comprehensive loss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(2,146,600)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(38,718,800)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6080" w:type="dxa"/>
            <w:vAlign w:val="bottom"/>
          </w:tcPr>
          <w:p>
            <w:pPr>
              <w:spacing w:after="0"/>
              <w:rPr>
                <w:sz w:val="20"/>
                <w:szCs w:val="20"/>
                <w:color w:val="auto"/>
              </w:rPr>
            </w:pPr>
            <w:r>
              <w:rPr>
                <w:rFonts w:ascii="Arial" w:cs="Arial" w:eastAsia="Arial" w:hAnsi="Arial"/>
                <w:sz w:val="14"/>
                <w:szCs w:val="14"/>
                <w:color w:val="auto"/>
              </w:rPr>
              <w:t>Accrued dividends on Series B Preferred stock</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(631,300)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(1,459,300)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on Series B Preferred Units</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(668,700)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(1,811,800)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60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0"/>
        </w:trPr>
        <w:tc>
          <w:tcPr>
            <w:tcW w:w="60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Basic net loss attributable to common stockholders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21"/>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(0.84)</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0"/>
        </w:trPr>
        <w:tc>
          <w:tcPr>
            <w:tcW w:w="60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Diluted net loss attributable to common stockholders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21"/>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6080" w:type="dxa"/>
            <w:vAlign w:val="bottom"/>
          </w:tcPr>
          <w:p>
            <w:pPr>
              <w:spacing w:after="0" w:line="160" w:lineRule="exact"/>
              <w:rPr>
                <w:sz w:val="20"/>
                <w:szCs w:val="20"/>
                <w:color w:val="auto"/>
              </w:rPr>
            </w:pPr>
            <w:r>
              <w:rPr>
                <w:rFonts w:ascii="Arial" w:cs="Arial" w:eastAsia="Arial" w:hAnsi="Arial"/>
                <w:sz w:val="14"/>
                <w:szCs w:val="14"/>
                <w:color w:val="auto"/>
              </w:rPr>
              <w:t>Basic net loss attributable to common stockholders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6080" w:type="dxa"/>
            <w:vAlign w:val="bottom"/>
          </w:tcPr>
          <w:p>
            <w:pPr>
              <w:spacing w:after="0"/>
              <w:rPr>
                <w:sz w:val="20"/>
                <w:szCs w:val="20"/>
                <w:color w:val="auto"/>
              </w:rPr>
            </w:pPr>
            <w:r>
              <w:rPr>
                <w:rFonts w:ascii="Arial" w:cs="Arial" w:eastAsia="Arial" w:hAnsi="Arial"/>
                <w:sz w:val="14"/>
                <w:szCs w:val="14"/>
                <w:color w:val="auto"/>
              </w:rPr>
              <w:t>per common share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1,302,300</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6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460"/>
          </w:cols>
          <w:pgMar w:left="220" w:top="133" w:right="219" w:bottom="1440" w:gutter="0" w:footer="0" w:header="0"/>
        </w:sectPr>
      </w:pPr>
    </w:p>
    <w:p>
      <w:pPr>
        <w:spacing w:after="0" w:line="267" w:lineRule="auto"/>
        <w:rPr>
          <w:sz w:val="20"/>
          <w:szCs w:val="20"/>
          <w:color w:val="auto"/>
        </w:rPr>
      </w:pPr>
      <w:r>
        <w:rPr>
          <w:rFonts w:ascii="Arial" w:cs="Arial" w:eastAsia="Arial" w:hAnsi="Arial"/>
          <w:sz w:val="14"/>
          <w:szCs w:val="14"/>
          <w:color w:val="auto"/>
        </w:rPr>
        <w:t>Diluted net loss attributable to common stockholders per common share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ind w:left="3060"/>
        <w:spacing w:after="0"/>
        <w:tabs>
          <w:tab w:leader="none" w:pos="4440" w:val="left"/>
          <w:tab w:leader="none" w:pos="5820" w:val="left"/>
          <w:tab w:leader="none" w:pos="7160" w:val="left"/>
        </w:tabs>
        <w:rPr>
          <w:sz w:val="20"/>
          <w:szCs w:val="20"/>
          <w:color w:val="auto"/>
        </w:rPr>
      </w:pPr>
      <w:r>
        <w:rPr>
          <w:rFonts w:ascii="Arial" w:cs="Arial" w:eastAsia="Arial" w:hAnsi="Arial"/>
          <w:sz w:val="14"/>
          <w:szCs w:val="14"/>
          <w:color w:val="auto"/>
        </w:rPr>
        <w:t>1,765,641</w:t>
      </w:r>
      <w:r>
        <w:rPr>
          <w:sz w:val="20"/>
          <w:szCs w:val="20"/>
          <w:color w:val="auto"/>
        </w:rPr>
        <w:tab/>
      </w:r>
      <w:r>
        <w:rPr>
          <w:rFonts w:ascii="Arial" w:cs="Arial" w:eastAsia="Arial" w:hAnsi="Arial"/>
          <w:sz w:val="14"/>
          <w:szCs w:val="14"/>
          <w:color w:val="auto"/>
        </w:rPr>
        <w:t>1,302,300</w:t>
      </w:r>
      <w:r>
        <w:rPr>
          <w:sz w:val="20"/>
          <w:szCs w:val="20"/>
          <w:color w:val="auto"/>
        </w:rPr>
        <w:tab/>
      </w:r>
      <w:r>
        <w:rPr>
          <w:rFonts w:ascii="Arial" w:cs="Arial" w:eastAsia="Arial" w:hAnsi="Arial"/>
          <w:sz w:val="14"/>
          <w:szCs w:val="14"/>
          <w:color w:val="auto"/>
        </w:rPr>
        <w:t>1,650,160</w:t>
      </w:r>
      <w:r>
        <w:rPr>
          <w:sz w:val="20"/>
          <w:szCs w:val="20"/>
          <w:color w:val="auto"/>
        </w:rPr>
        <w:tab/>
      </w:r>
      <w:r>
        <w:rPr>
          <w:rFonts w:ascii="Arial" w:cs="Arial" w:eastAsia="Arial" w:hAnsi="Arial"/>
          <w:sz w:val="13"/>
          <w:szCs w:val="13"/>
          <w:color w:val="auto"/>
        </w:rPr>
        <w:t>1,288,674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12700</wp:posOffset>
            </wp:positionV>
            <wp:extent cx="3347085" cy="27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47085" cy="2730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64135</wp:posOffset>
            </wp:positionV>
            <wp:extent cx="7281545" cy="19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2">
            <w:col w:w="3000" w:space="600"/>
            <w:col w:w="7860"/>
          </w:cols>
          <w:pgMar w:left="220" w:top="133" w:right="219" w:bottom="144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149"/>
        </w:trPr>
        <w:tc>
          <w:tcPr>
            <w:tcW w:w="870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59"/>
        </w:trPr>
        <w:tc>
          <w:tcPr>
            <w:tcW w:w="900" w:type="dxa"/>
            <w:vAlign w:val="bottom"/>
            <w:tcBorders>
              <w:top w:val="single" w:sz="8" w:color="0000EE"/>
            </w:tcBorders>
          </w:tcPr>
          <w:p>
            <w:pPr>
              <w:spacing w:after="0"/>
              <w:rPr>
                <w:sz w:val="24"/>
                <w:szCs w:val="2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rPr>
              <w:t>VISTAGEN THERAPEUTICS,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900" w:type="dxa"/>
            <w:vAlign w:val="bottom"/>
          </w:tcPr>
          <w:p>
            <w:pPr>
              <w:spacing w:after="0"/>
              <w:rPr>
                <w:sz w:val="14"/>
                <w:szCs w:val="1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900" w:type="dxa"/>
            <w:vAlign w:val="bottom"/>
          </w:tcPr>
          <w:p>
            <w:pPr>
              <w:spacing w:after="0"/>
              <w:rPr>
                <w:sz w:val="16"/>
                <w:szCs w:val="16"/>
                <w:color w:val="auto"/>
              </w:rPr>
            </w:pPr>
          </w:p>
        </w:tc>
        <w:tc>
          <w:tcPr>
            <w:tcW w:w="7800" w:type="dxa"/>
            <w:vAlign w:val="bottom"/>
          </w:tcPr>
          <w:p>
            <w:pPr>
              <w:jc w:val="center"/>
              <w:ind w:left="1809"/>
              <w:spacing w:after="0"/>
              <w:rPr>
                <w:sz w:val="20"/>
                <w:szCs w:val="20"/>
                <w:color w:val="auto"/>
              </w:rPr>
            </w:pPr>
            <w:r>
              <w:rPr>
                <w:rFonts w:ascii="Arial" w:cs="Arial" w:eastAsia="Arial" w:hAnsi="Arial"/>
                <w:sz w:val="14"/>
                <w:szCs w:val="14"/>
                <w:b w:val="1"/>
                <w:bCs w:val="1"/>
                <w:color w:val="auto"/>
                <w:w w:val="92"/>
              </w:rPr>
              <w:t>(Amounts in Dollars)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4"/>
        </w:trPr>
        <w:tc>
          <w:tcPr>
            <w:tcW w:w="9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December 31,</w:t>
            </w:r>
          </w:p>
        </w:tc>
      </w:tr>
      <w:tr>
        <w:trPr>
          <w:trHeight w:val="172"/>
        </w:trPr>
        <w:tc>
          <w:tcPr>
            <w:tcW w:w="9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(38,718,800)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Amortization of discounts on convertible and promissory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564,800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1,294,700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Change in warrant liability</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1,894,700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(528,300)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3,868,300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564,000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Expense related to modification of warrants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614,900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Non-cash rent expense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(19,500)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(9,700)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income on note receivable for common stock purchase</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Loss on settlement of note receivable for common stock purchase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134,900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Fair value of common stock granted for services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606,300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134,000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Fair value of Series B Preferred stock granted for services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1,045,000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Fair value of warrants granted for services and interest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111,200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Foreign currency transaction gain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(6,400)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(22,000)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26,700,200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2,371,400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Loss on disposition of fixed assets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2,300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61,800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74,300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Accounts payable and accrued expenses, including accrued interest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(264,500)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1,696,100</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00" w:type="dxa"/>
            <w:vAlign w:val="bottom"/>
            <w:gridSpan w:val="2"/>
          </w:tcPr>
          <w:p>
            <w:pPr>
              <w:ind w:left="320"/>
              <w:spacing w:after="0"/>
              <w:rPr>
                <w:sz w:val="20"/>
                <w:szCs w:val="20"/>
                <w:color w:val="auto"/>
              </w:rPr>
            </w:pPr>
            <w:r>
              <w:rPr>
                <w:rFonts w:ascii="Arial" w:cs="Arial" w:eastAsia="Arial" w:hAnsi="Arial"/>
                <w:sz w:val="14"/>
                <w:szCs w:val="14"/>
                <w:color w:val="auto"/>
              </w:rPr>
              <w:t>Net cash used in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(3,498,900)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(1,874,400)</w:t>
            </w:r>
          </w:p>
        </w:tc>
      </w:tr>
      <w:tr>
        <w:trPr>
          <w:trHeight w:val="170"/>
        </w:trPr>
        <w:tc>
          <w:tcPr>
            <w:tcW w:w="900" w:type="dxa"/>
            <w:vAlign w:val="bottom"/>
            <w:shd w:val="clear" w:color="auto" w:fill="CCEEFF"/>
          </w:tcPr>
          <w:p>
            <w:pPr>
              <w:spacing w:after="0"/>
              <w:rPr>
                <w:sz w:val="14"/>
                <w:szCs w:val="14"/>
                <w:color w:val="auto"/>
              </w:rPr>
            </w:pPr>
          </w:p>
        </w:tc>
        <w:tc>
          <w:tcPr>
            <w:tcW w:w="7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Purchases of equipment, net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00" w:type="dxa"/>
            <w:vAlign w:val="bottom"/>
            <w:gridSpan w:val="2"/>
          </w:tcPr>
          <w:p>
            <w:pPr>
              <w:ind w:left="32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(4,600)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900" w:type="dxa"/>
            <w:vAlign w:val="bottom"/>
            <w:shd w:val="clear" w:color="auto" w:fill="CCEEFF"/>
          </w:tcPr>
          <w:p>
            <w:pPr>
              <w:spacing w:after="0"/>
              <w:rPr>
                <w:sz w:val="14"/>
                <w:szCs w:val="14"/>
                <w:color w:val="auto"/>
              </w:rPr>
            </w:pPr>
          </w:p>
        </w:tc>
        <w:tc>
          <w:tcPr>
            <w:tcW w:w="7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proceeds from issuance of common stock and warrants, including Units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2,128,200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Net proceeds from issuance of Series B Preferred Units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4,397,800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Repayment of capital lease obligations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Repayment of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(85,200)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(236,900)</w:t>
            </w:r>
          </w:p>
        </w:tc>
      </w:tr>
      <w:tr>
        <w:trPr>
          <w:trHeight w:val="21"/>
        </w:trPr>
        <w:tc>
          <w:tcPr>
            <w:tcW w:w="9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Net cash provided by financing activities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4,591,900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1,887,600</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1,088,400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13,200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1,158,400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13,200</w:t>
            </w:r>
          </w:p>
        </w:tc>
      </w:tr>
      <w:tr>
        <w:trPr>
          <w:trHeight w:val="20"/>
        </w:trPr>
        <w:tc>
          <w:tcPr>
            <w:tcW w:w="9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Supplemental disclosure of noncash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8700" w:type="dxa"/>
            <w:vAlign w:val="bottom"/>
            <w:gridSpan w:val="2"/>
            <w:shd w:val="clear" w:color="auto" w:fill="CCEEFF"/>
          </w:tcPr>
          <w:p>
            <w:pPr>
              <w:ind w:left="160"/>
              <w:spacing w:after="0" w:line="160" w:lineRule="exact"/>
              <w:rPr>
                <w:sz w:val="20"/>
                <w:szCs w:val="20"/>
                <w:color w:val="auto"/>
              </w:rPr>
            </w:pPr>
            <w:r>
              <w:rPr>
                <w:rFonts w:ascii="Arial" w:cs="Arial" w:eastAsia="Arial" w:hAnsi="Arial"/>
                <w:sz w:val="14"/>
                <w:szCs w:val="14"/>
                <w:color w:val="auto"/>
                <w:w w:val="92"/>
              </w:rPr>
              <w:t>Senior Secured Notes, 2014 Unit Notes, other promissory notes and related accrued interest, and accounts payable, including conversion premiums,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8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converted into Series B Preferred stock</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18,891,400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95" w:name="page196"/>
    <w:bookmarkEnd w:id="19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Description of Business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5" w:lineRule="exact"/>
        <w:rPr>
          <w:sz w:val="20"/>
          <w:szCs w:val="20"/>
          <w:color w:val="auto"/>
        </w:rPr>
      </w:pPr>
    </w:p>
    <w:p>
      <w:pPr>
        <w:ind w:right="140" w:firstLine="511"/>
        <w:spacing w:after="0" w:line="263" w:lineRule="auto"/>
        <w:rPr>
          <w:sz w:val="20"/>
          <w:szCs w:val="20"/>
          <w:color w:val="auto"/>
        </w:rPr>
      </w:pPr>
      <w:r>
        <w:rPr>
          <w:rFonts w:ascii="Arial" w:cs="Arial" w:eastAsia="Arial" w:hAnsi="Arial"/>
          <w:sz w:val="14"/>
          <w:szCs w:val="14"/>
          <w:color w:val="auto"/>
        </w:rPr>
        <w:t>VistaGen Therapeutics, Inc. (OTCQB: VSTA), a Nevada corporation, is a clinical-stage biopharmaceutical company committed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xml:space="preserve">). Our principal executive offices are located at 343 Allerton Avenue, South San Francisco, California 94080, and our telephone number is (650) 577-3600. Our website address is </w:t>
      </w:r>
      <w:r>
        <w:rPr>
          <w:rFonts w:ascii="Arial" w:cs="Arial" w:eastAsia="Arial" w:hAnsi="Arial"/>
          <w:sz w:val="14"/>
          <w:szCs w:val="14"/>
          <w:i w:val="1"/>
          <w:iCs w:val="1"/>
          <w:color w:val="auto"/>
        </w:rPr>
        <w:t>www.vistagen.com</w:t>
      </w:r>
      <w:r>
        <w:rPr>
          <w:rFonts w:ascii="Arial" w:cs="Arial" w:eastAsia="Arial" w:hAnsi="Arial"/>
          <w:sz w:val="14"/>
          <w:szCs w:val="14"/>
          <w:color w:val="auto"/>
        </w:rPr>
        <w:t>. Unless the context otherwise requires, the words “</w:t>
      </w:r>
      <w:r>
        <w:rPr>
          <w:rFonts w:ascii="Arial" w:cs="Arial" w:eastAsia="Arial" w:hAnsi="Arial"/>
          <w:sz w:val="14"/>
          <w:szCs w:val="14"/>
          <w:i w:val="1"/>
          <w:iCs w:val="1"/>
          <w:color w:val="auto"/>
        </w:rPr>
        <w:t>VistaGen Therapeutics, Inc.</w:t>
      </w:r>
      <w:r>
        <w:rPr>
          <w:rFonts w:ascii="Arial" w:cs="Arial" w:eastAsia="Arial" w:hAnsi="Arial"/>
          <w:sz w:val="14"/>
          <w:szCs w:val="14"/>
          <w:color w:val="auto"/>
        </w:rPr>
        <w:t>” “</w:t>
      </w:r>
      <w:r>
        <w:rPr>
          <w:rFonts w:ascii="Arial" w:cs="Arial" w:eastAsia="Arial" w:hAnsi="Arial"/>
          <w:sz w:val="14"/>
          <w:szCs w:val="14"/>
          <w:i w:val="1"/>
          <w:iCs w:val="1"/>
          <w:color w:val="auto"/>
        </w:rPr>
        <w:t>VistaGen</w:t>
      </w:r>
      <w:r>
        <w:rPr>
          <w:rFonts w:ascii="Arial" w:cs="Arial" w:eastAsia="Arial" w:hAnsi="Arial"/>
          <w:sz w:val="14"/>
          <w:szCs w:val="14"/>
          <w:color w:val="auto"/>
        </w:rPr>
        <w:t>,” “</w:t>
      </w:r>
      <w:r>
        <w:rPr>
          <w:rFonts w:ascii="Arial" w:cs="Arial" w:eastAsia="Arial" w:hAnsi="Arial"/>
          <w:sz w:val="14"/>
          <w:szCs w:val="14"/>
          <w:i w:val="1"/>
          <w:iCs w:val="1"/>
          <w:color w:val="auto"/>
        </w:rPr>
        <w:t>we</w:t>
      </w:r>
      <w:r>
        <w:rPr>
          <w:rFonts w:ascii="Arial" w:cs="Arial" w:eastAsia="Arial" w:hAnsi="Arial"/>
          <w:sz w:val="14"/>
          <w:szCs w:val="14"/>
          <w:color w:val="auto"/>
        </w:rPr>
        <w:t>,” “</w:t>
      </w:r>
      <w:r>
        <w:rPr>
          <w:rFonts w:ascii="Arial" w:cs="Arial" w:eastAsia="Arial" w:hAnsi="Arial"/>
          <w:sz w:val="14"/>
          <w:szCs w:val="14"/>
          <w:i w:val="1"/>
          <w:iCs w:val="1"/>
          <w:color w:val="auto"/>
        </w:rPr>
        <w:t>the</w:t>
      </w:r>
      <w:r>
        <w:rPr>
          <w:rFonts w:ascii="Arial" w:cs="Arial" w:eastAsia="Arial" w:hAnsi="Arial"/>
          <w:sz w:val="14"/>
          <w:szCs w:val="14"/>
          <w:color w:val="auto"/>
        </w:rPr>
        <w:t xml:space="preserve"> </w:t>
      </w:r>
      <w:r>
        <w:rPr>
          <w:rFonts w:ascii="Arial" w:cs="Arial" w:eastAsia="Arial" w:hAnsi="Arial"/>
          <w:sz w:val="14"/>
          <w:szCs w:val="14"/>
          <w:i w:val="1"/>
          <w:iCs w:val="1"/>
          <w:color w:val="auto"/>
        </w:rPr>
        <w:t>Company</w:t>
      </w:r>
      <w:r>
        <w:rPr>
          <w:rFonts w:ascii="Arial" w:cs="Arial" w:eastAsia="Arial" w:hAnsi="Arial"/>
          <w:sz w:val="14"/>
          <w:szCs w:val="14"/>
          <w:color w:val="auto"/>
        </w:rPr>
        <w:t>,” “</w:t>
      </w:r>
      <w:r>
        <w:rPr>
          <w:rFonts w:ascii="Arial" w:cs="Arial" w:eastAsia="Arial" w:hAnsi="Arial"/>
          <w:sz w:val="14"/>
          <w:szCs w:val="14"/>
          <w:i w:val="1"/>
          <w:iCs w:val="1"/>
          <w:color w:val="auto"/>
        </w:rPr>
        <w:t>us</w:t>
      </w:r>
      <w:r>
        <w:rPr>
          <w:rFonts w:ascii="Arial" w:cs="Arial" w:eastAsia="Arial" w:hAnsi="Arial"/>
          <w:sz w:val="14"/>
          <w:szCs w:val="14"/>
          <w:color w:val="auto"/>
        </w:rPr>
        <w:t>” and “</w:t>
      </w:r>
      <w:r>
        <w:rPr>
          <w:rFonts w:ascii="Arial" w:cs="Arial" w:eastAsia="Arial" w:hAnsi="Arial"/>
          <w:sz w:val="14"/>
          <w:szCs w:val="14"/>
          <w:i w:val="1"/>
          <w:iCs w:val="1"/>
          <w:color w:val="auto"/>
        </w:rPr>
        <w:t>our</w:t>
      </w:r>
      <w:r>
        <w:rPr>
          <w:rFonts w:ascii="Arial" w:cs="Arial" w:eastAsia="Arial" w:hAnsi="Arial"/>
          <w:sz w:val="14"/>
          <w:szCs w:val="14"/>
          <w:color w:val="auto"/>
        </w:rPr>
        <w:t>” refer to VistaGen Therapeutics, Inc., a Nevada corporation.</w:t>
      </w:r>
    </w:p>
    <w:p>
      <w:pPr>
        <w:spacing w:after="0" w:line="167" w:lineRule="exact"/>
        <w:rPr>
          <w:sz w:val="20"/>
          <w:szCs w:val="20"/>
          <w:color w:val="auto"/>
        </w:rPr>
      </w:pPr>
    </w:p>
    <w:p>
      <w:pPr>
        <w:ind w:right="80" w:firstLine="511"/>
        <w:spacing w:after="0" w:line="281" w:lineRule="auto"/>
        <w:rPr>
          <w:sz w:val="20"/>
          <w:szCs w:val="20"/>
          <w:color w:val="auto"/>
        </w:rPr>
      </w:pPr>
      <w:r>
        <w:rPr>
          <w:rFonts w:ascii="Arial" w:cs="Arial" w:eastAsia="Arial" w:hAnsi="Arial"/>
          <w:sz w:val="13"/>
          <w:szCs w:val="13"/>
          <w:color w:val="auto"/>
        </w:rPr>
        <w:t>Our lead drug candidate, AV-101, is a next generation, orally available prodrug candidate in Phase 2A development, initially for the adjunctive treatment of Major Depressive Disorder (</w:t>
      </w:r>
      <w:r>
        <w:rPr>
          <w:rFonts w:ascii="Arial" w:cs="Arial" w:eastAsia="Arial" w:hAnsi="Arial"/>
          <w:sz w:val="13"/>
          <w:szCs w:val="13"/>
          <w:i w:val="1"/>
          <w:iCs w:val="1"/>
          <w:color w:val="auto"/>
        </w:rPr>
        <w:t>MDD</w:t>
      </w:r>
      <w:r>
        <w:rPr>
          <w:rFonts w:ascii="Arial" w:cs="Arial" w:eastAsia="Arial" w:hAnsi="Arial"/>
          <w:sz w:val="13"/>
          <w:szCs w:val="13"/>
          <w:color w:val="auto"/>
        </w:rPr>
        <w:t>) in patients with an inadequate response to standard antidepressants. AV-101’s novel mechanism of action, as an N-methyl D aspartate receptor (</w:t>
      </w:r>
      <w:r>
        <w:rPr>
          <w:rFonts w:ascii="Arial" w:cs="Arial" w:eastAsia="Arial" w:hAnsi="Arial"/>
          <w:sz w:val="13"/>
          <w:szCs w:val="13"/>
          <w:i w:val="1"/>
          <w:iCs w:val="1"/>
          <w:color w:val="auto"/>
        </w:rPr>
        <w:t>NMDAR</w:t>
      </w:r>
      <w:r>
        <w:rPr>
          <w:rFonts w:ascii="Arial" w:cs="Arial" w:eastAsia="Arial" w:hAnsi="Arial"/>
          <w:sz w:val="13"/>
          <w:szCs w:val="13"/>
          <w:color w:val="auto"/>
        </w:rPr>
        <w:t>) antagonist binding selectively at the glycine binding (</w:t>
      </w:r>
      <w:r>
        <w:rPr>
          <w:rFonts w:ascii="Arial" w:cs="Arial" w:eastAsia="Arial" w:hAnsi="Arial"/>
          <w:sz w:val="13"/>
          <w:szCs w:val="13"/>
          <w:i w:val="1"/>
          <w:iCs w:val="1"/>
          <w:color w:val="auto"/>
        </w:rPr>
        <w:t>GlyB</w:t>
      </w:r>
      <w:r>
        <w:rPr>
          <w:rFonts w:ascii="Arial" w:cs="Arial" w:eastAsia="Arial" w:hAnsi="Arial"/>
          <w:sz w:val="13"/>
          <w:szCs w:val="13"/>
          <w:color w:val="auto"/>
        </w:rPr>
        <w:t>) co-agonist site of the NMDAR, is fundamentally differentiated from all antidepressants currently approved by the U.S. Food and Drug Administration (</w:t>
      </w:r>
      <w:r>
        <w:rPr>
          <w:rFonts w:ascii="Arial" w:cs="Arial" w:eastAsia="Arial" w:hAnsi="Arial"/>
          <w:sz w:val="13"/>
          <w:szCs w:val="13"/>
          <w:i w:val="1"/>
          <w:iCs w:val="1"/>
          <w:color w:val="auto"/>
        </w:rPr>
        <w:t>FDA</w:t>
      </w:r>
      <w:r>
        <w:rPr>
          <w:rFonts w:ascii="Arial" w:cs="Arial" w:eastAsia="Arial" w:hAnsi="Arial"/>
          <w:sz w:val="13"/>
          <w:szCs w:val="13"/>
          <w:color w:val="auto"/>
        </w:rPr>
        <w:t>). Our Phase 2A clinical study of AV-101 in subjects with treatment-resistant MDD is being conducted and funded by the U.S. National Institutes of Mental Health (</w:t>
      </w:r>
      <w:r>
        <w:rPr>
          <w:rFonts w:ascii="Arial" w:cs="Arial" w:eastAsia="Arial" w:hAnsi="Arial"/>
          <w:sz w:val="13"/>
          <w:szCs w:val="13"/>
          <w:i w:val="1"/>
          <w:iCs w:val="1"/>
          <w:color w:val="auto"/>
        </w:rPr>
        <w:t>NIMH</w:t>
      </w:r>
      <w:r>
        <w:rPr>
          <w:rFonts w:ascii="Arial" w:cs="Arial" w:eastAsia="Arial" w:hAnsi="Arial"/>
          <w:sz w:val="13"/>
          <w:szCs w:val="13"/>
          <w:color w:val="auto"/>
        </w:rPr>
        <w:t>) under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NIMH. The Principal Investigator of this NIMH-funded Phase 2A study, which was initiated in late-2015, is Dr. Carlos Zarate, Jr., Chief of the NIMH’s Experimental Therapeutics &amp; Pathophysiology Branch and its Section on Neurobiology and Treatment of Mood and Anxiety Disorders. Dr. Zarate is an internationally recognized expert in the field of depression and was among the first clinical researchers in the world to discover the therapeutic potential of the NMDAR antagonist ketamine in treatment-resistant MDD.</w:t>
      </w:r>
    </w:p>
    <w:p>
      <w:pPr>
        <w:spacing w:after="0" w:line="159" w:lineRule="exact"/>
        <w:rPr>
          <w:sz w:val="20"/>
          <w:szCs w:val="20"/>
          <w:color w:val="auto"/>
        </w:rPr>
      </w:pPr>
    </w:p>
    <w:p>
      <w:pPr>
        <w:ind w:right="20" w:firstLine="511"/>
        <w:spacing w:after="0" w:line="283" w:lineRule="auto"/>
        <w:rPr>
          <w:sz w:val="20"/>
          <w:szCs w:val="20"/>
          <w:color w:val="auto"/>
        </w:rPr>
      </w:pPr>
      <w:r>
        <w:rPr>
          <w:rFonts w:ascii="Arial" w:cs="Arial" w:eastAsia="Arial" w:hAnsi="Arial"/>
          <w:sz w:val="14"/>
          <w:szCs w:val="14"/>
          <w:color w:val="auto"/>
        </w:rPr>
        <w:t>We believe AV-101 has therapeutic potential in multiple additional CNS indications, including neuropathic pain and epilepsy, and in neurodegenerative diseases such as Parkinson’s disease and Huntington’s disease.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addition to our focus on CNS and neurology, we are applying our proprietary, human pluripotent stem cell (</w:t>
      </w:r>
      <w:r>
        <w:rPr>
          <w:rFonts w:ascii="Arial" w:cs="Arial" w:eastAsia="Arial" w:hAnsi="Arial"/>
          <w:sz w:val="13"/>
          <w:szCs w:val="13"/>
          <w:i w:val="1"/>
          <w:iCs w:val="1"/>
          <w:color w:val="auto"/>
        </w:rPr>
        <w:t>hPSC</w:t>
      </w:r>
      <w:r>
        <w:rPr>
          <w:rFonts w:ascii="Arial" w:cs="Arial" w:eastAsia="Arial" w:hAnsi="Arial"/>
          <w:sz w:val="13"/>
          <w:szCs w:val="13"/>
          <w:color w:val="auto"/>
        </w:rPr>
        <w:t>) technology for drug rescue to develop proprietary new chemical entities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NCEs</w:t>
      </w:r>
      <w:r>
        <w:rPr>
          <w:rFonts w:ascii="Arial" w:cs="Arial" w:eastAsia="Arial" w:hAnsi="Arial"/>
          <w:sz w:val="12"/>
          <w:szCs w:val="12"/>
          <w:color w:val="auto"/>
        </w:rPr>
        <w:t>) for our internal drug candidate pipeline. Initial drug rescue programs are focused on NCEs for the treatment of cancer. We are also considering potential therapeutic and commercial applications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of our stem cell technology platform for regenerative medicine (</w:t>
      </w:r>
      <w:r>
        <w:rPr>
          <w:rFonts w:ascii="Arial" w:cs="Arial" w:eastAsia="Arial" w:hAnsi="Arial"/>
          <w:sz w:val="14"/>
          <w:szCs w:val="14"/>
          <w:i w:val="1"/>
          <w:iCs w:val="1"/>
          <w:color w:val="auto"/>
        </w:rPr>
        <w:t>RM</w:t>
      </w:r>
      <w:r>
        <w:rPr>
          <w:rFonts w:ascii="Arial" w:cs="Arial" w:eastAsia="Arial" w:hAnsi="Arial"/>
          <w:sz w:val="14"/>
          <w:szCs w:val="14"/>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and Major Depressive Disorder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Background</w:t>
      </w:r>
    </w:p>
    <w:p>
      <w:pPr>
        <w:spacing w:after="0" w:line="201" w:lineRule="exact"/>
        <w:rPr>
          <w:sz w:val="20"/>
          <w:szCs w:val="20"/>
          <w:color w:val="auto"/>
        </w:rPr>
      </w:pPr>
    </w:p>
    <w:p>
      <w:pPr>
        <w:jc w:val="both"/>
        <w:ind w:right="160" w:firstLine="511"/>
        <w:spacing w:after="0" w:line="298" w:lineRule="auto"/>
        <w:rPr>
          <w:sz w:val="20"/>
          <w:szCs w:val="20"/>
          <w:color w:val="auto"/>
        </w:rPr>
      </w:pPr>
      <w:r>
        <w:rPr>
          <w:rFonts w:ascii="Arial" w:cs="Arial" w:eastAsia="Arial" w:hAnsi="Arial"/>
          <w:sz w:val="13"/>
          <w:szCs w:val="13"/>
          <w:color w:val="auto"/>
        </w:rPr>
        <w:t>The World Health Organization estimates that 350 million people worldwide are affected by depression. According to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3"/>
          <w:szCs w:val="13"/>
          <w:i w:val="1"/>
          <w:iCs w:val="1"/>
          <w:color w:val="auto"/>
        </w:rPr>
        <w:t>CDC</w:t>
      </w:r>
      <w:r>
        <w:rPr>
          <w:rFonts w:ascii="Arial" w:cs="Arial" w:eastAsia="Arial" w:hAnsi="Arial"/>
          <w:sz w:val="13"/>
          <w:szCs w:val="13"/>
          <w:color w:val="auto"/>
        </w:rPr>
        <w:t>), one in 10 Americans takes an antidepressant medication.</w:t>
      </w:r>
    </w:p>
    <w:p>
      <w:pPr>
        <w:spacing w:after="0" w:line="146" w:lineRule="exact"/>
        <w:rPr>
          <w:sz w:val="20"/>
          <w:szCs w:val="20"/>
          <w:color w:val="auto"/>
        </w:rPr>
      </w:pPr>
    </w:p>
    <w:p>
      <w:pPr>
        <w:ind w:right="20" w:firstLine="511"/>
        <w:spacing w:after="0" w:line="285" w:lineRule="auto"/>
        <w:rPr>
          <w:sz w:val="20"/>
          <w:szCs w:val="20"/>
          <w:color w:val="auto"/>
        </w:rPr>
      </w:pPr>
      <w:r>
        <w:rPr>
          <w:rFonts w:ascii="Arial" w:cs="Arial" w:eastAsia="Arial" w:hAnsi="Arial"/>
          <w:sz w:val="13"/>
          <w:szCs w:val="13"/>
          <w:color w:val="auto"/>
        </w:rPr>
        <w:t>Unfortunately, millions of depression sufferers (more than 30%) do not benefit from initial treatment with standard antidepressants, generally a selective serotonin reuptake inhibitor (</w:t>
      </w:r>
      <w:r>
        <w:rPr>
          <w:rFonts w:ascii="Arial" w:cs="Arial" w:eastAsia="Arial" w:hAnsi="Arial"/>
          <w:sz w:val="13"/>
          <w:szCs w:val="13"/>
          <w:i w:val="1"/>
          <w:iCs w:val="1"/>
          <w:color w:val="auto"/>
        </w:rPr>
        <w:t>SSRI</w:t>
      </w:r>
      <w:r>
        <w:rPr>
          <w:rFonts w:ascii="Arial" w:cs="Arial" w:eastAsia="Arial" w:hAnsi="Arial"/>
          <w:sz w:val="13"/>
          <w:szCs w:val="13"/>
          <w:color w:val="auto"/>
        </w:rPr>
        <w:t>) or a serotonin-norepinephrine reuptake inhibitor (</w:t>
      </w:r>
      <w:r>
        <w:rPr>
          <w:rFonts w:ascii="Arial" w:cs="Arial" w:eastAsia="Arial" w:hAnsi="Arial"/>
          <w:sz w:val="13"/>
          <w:szCs w:val="13"/>
          <w:i w:val="1"/>
          <w:iCs w:val="1"/>
          <w:color w:val="auto"/>
        </w:rPr>
        <w:t>SNRI</w:t>
      </w:r>
      <w:r>
        <w:rPr>
          <w:rFonts w:ascii="Arial" w:cs="Arial" w:eastAsia="Arial" w:hAnsi="Arial"/>
          <w:sz w:val="13"/>
          <w:szCs w:val="13"/>
          <w:color w:val="auto"/>
        </w:rPr>
        <w:t>). Moreover, even when they do relieve depressive symptoms and induce remission of a major depressive episode, SSRIs and SNRIs take many weeks to achieve therapeutic benefits because of their mechanism of action. During the weeks to months before onset of antidepressant effects, side effects of SSRIs and SNRIs, including anxiety, metabolic syndrome, sleep disturbance, sexual dysfunction and suicidal thoughts and behaviors, may be considerable. Unfortunately, even after treatment with as many as four different standard antidepressants, millions of patients (more than 30% of drug-treated patients) do not achieve an adequate therapeutic response to their standard antidepressant therapies.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AV-101</w:t>
      </w:r>
    </w:p>
    <w:p>
      <w:pPr>
        <w:spacing w:after="0" w:line="180"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 xml:space="preserve">AV-101, our orally available prodrug candidate, is in Phase 2 clinical development, initially for the adjunctive treatment of MDD patients with an inadequate response to standard antidepressant therapies. As published in the October 2015 issue of the peer-reviewed, </w:t>
      </w:r>
      <w:r>
        <w:rPr>
          <w:rFonts w:ascii="Arial" w:cs="Arial" w:eastAsia="Arial" w:hAnsi="Arial"/>
          <w:sz w:val="13"/>
          <w:szCs w:val="13"/>
          <w:i w:val="1"/>
          <w:iCs w:val="1"/>
          <w:color w:val="auto"/>
        </w:rPr>
        <w:t>Journal of Pharmacology and Experimental Therapeutics,</w:t>
      </w:r>
      <w:r>
        <w:rPr>
          <w:rFonts w:ascii="Arial" w:cs="Arial" w:eastAsia="Arial" w:hAnsi="Arial"/>
          <w:sz w:val="13"/>
          <w:szCs w:val="13"/>
          <w:color w:val="auto"/>
        </w:rPr>
        <w:t xml:space="preserve"> in an article entitled, </w:t>
      </w:r>
      <w:r>
        <w:rPr>
          <w:rFonts w:ascii="Arial" w:cs="Arial" w:eastAsia="Arial" w:hAnsi="Arial"/>
          <w:sz w:val="13"/>
          <w:szCs w:val="13"/>
          <w:i w:val="1"/>
          <w:iCs w:val="1"/>
          <w:color w:val="auto"/>
        </w:rPr>
        <w:t>The prodrug 4-chlorokynurenine causes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ketamine-like antidepressant effects, but not side effects, by NMDA/glycineB-site inhibition, </w:t>
      </w:r>
      <w:r>
        <w:rPr>
          <w:rFonts w:ascii="Arial" w:cs="Arial" w:eastAsia="Arial" w:hAnsi="Arial"/>
          <w:sz w:val="13"/>
          <w:szCs w:val="13"/>
          <w:color w:val="auto"/>
        </w:rPr>
        <w:t>in well-established preclinical models of depression, AV-101 was shown to induce fast-acting, dose-dependent, persistent and statistically significant antidepressant-like responses, following a single treatment, which responses were equivalent to responses seen with a control single sub-anesthetic dose of the NMDAR antagonist ketamine, an FDA-approved anesthetic administered intravenously by clinicians in a medical setting to treat MDD patients who have not responded adequately to standard antidepressant therapies). In the same preclinical studies, the SSRI fluoxetine did not induce rapid onset antidepressant-like responses.</w:t>
      </w:r>
    </w:p>
    <w:p>
      <w:pPr>
        <w:spacing w:after="0" w:line="156" w:lineRule="exact"/>
        <w:rPr>
          <w:sz w:val="20"/>
          <w:szCs w:val="20"/>
          <w:color w:val="auto"/>
        </w:rPr>
      </w:pPr>
    </w:p>
    <w:p>
      <w:pPr>
        <w:ind w:right="100" w:firstLine="511"/>
        <w:spacing w:after="0" w:line="268" w:lineRule="auto"/>
        <w:rPr>
          <w:sz w:val="20"/>
          <w:szCs w:val="20"/>
          <w:color w:val="auto"/>
        </w:rPr>
      </w:pPr>
      <w:r>
        <w:rPr>
          <w:rFonts w:ascii="Arial" w:cs="Arial" w:eastAsia="Arial" w:hAnsi="Arial"/>
          <w:sz w:val="14"/>
          <w:szCs w:val="14"/>
          <w:color w:val="auto"/>
        </w:rPr>
        <w:t>Following two successful randomized, double-blind, placebo-controlled Phase 1A and Phase 1B safety studies funded by the NIH, we are now collaborating with the NIMH on a Phase 2A efficacy and safety study of AV-101 in subjects with treatment-resistant MDD. This NIMH-funded Phase 2A study began in late-2015, and is expected to enroll from 24 to 28 patients. As noted above, Dr. Carlos Zarate, Jr. of the NIMH is the Principal Investigator of the study.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96" w:name="page197"/>
    <w:bookmarkEnd w:id="19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380" w:firstLine="511"/>
        <w:spacing w:after="0" w:line="283" w:lineRule="auto"/>
        <w:rPr>
          <w:sz w:val="20"/>
          <w:szCs w:val="20"/>
          <w:color w:val="auto"/>
        </w:rPr>
      </w:pPr>
      <w:r>
        <w:rPr>
          <w:rFonts w:ascii="Arial" w:cs="Arial" w:eastAsia="Arial" w:hAnsi="Arial"/>
          <w:sz w:val="14"/>
          <w:szCs w:val="14"/>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have therapeutic benefit.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NCE Drug Rescue and Regenerative Medicine</w:t>
      </w:r>
    </w:p>
    <w:p>
      <w:pPr>
        <w:spacing w:after="0" w:line="205" w:lineRule="exact"/>
        <w:rPr>
          <w:sz w:val="20"/>
          <w:szCs w:val="20"/>
          <w:color w:val="auto"/>
        </w:rPr>
      </w:pPr>
    </w:p>
    <w:p>
      <w:pPr>
        <w:ind w:right="60" w:firstLine="511"/>
        <w:spacing w:after="0" w:line="263" w:lineRule="auto"/>
        <w:rPr>
          <w:sz w:val="20"/>
          <w:szCs w:val="20"/>
          <w:color w:val="auto"/>
        </w:rPr>
      </w:pPr>
      <w:r>
        <w:rPr>
          <w:rFonts w:ascii="Arial" w:cs="Arial" w:eastAsia="Arial" w:hAnsi="Arial"/>
          <w:sz w:val="14"/>
          <w:szCs w:val="14"/>
          <w:color w:val="auto"/>
        </w:rPr>
        <w:t xml:space="preserve">Our drug rescue programs involve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3D(TM)</w:t>
      </w:r>
      <w:r>
        <w:rPr>
          <w:rFonts w:ascii="Arial" w:cs="Arial" w:eastAsia="Arial" w:hAnsi="Arial"/>
          <w:sz w:val="14"/>
          <w:szCs w:val="14"/>
          <w:i w:val="1"/>
          <w:iCs w:val="1"/>
          <w:color w:val="auto"/>
        </w:rPr>
        <w:t>,</w:t>
      </w:r>
      <w:r>
        <w:rPr>
          <w:rFonts w:ascii="Arial" w:cs="Arial" w:eastAsia="Arial" w:hAnsi="Arial"/>
          <w:sz w:val="14"/>
          <w:szCs w:val="14"/>
          <w:color w:val="auto"/>
        </w:rPr>
        <w:t xml:space="preserve"> our customized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bioassay system, to predict potential human heart toxicity of NCEs, long before they are ever tested in animal and human studies. We are are focused on leveraging our stem cell technology platform to recapture value from substantial prior investments by pharmaceutical companies and others related to screening large-scale compound libraries, optimizing and testing for efficacy NCEs that were terminated before FDA approval due to heart toxicity risks and are now available in the public domain and amenable to drug rescue.</w:t>
      </w:r>
    </w:p>
    <w:p>
      <w:pPr>
        <w:spacing w:after="0" w:line="167" w:lineRule="exact"/>
        <w:rPr>
          <w:sz w:val="20"/>
          <w:szCs w:val="20"/>
          <w:color w:val="auto"/>
        </w:rPr>
      </w:pPr>
    </w:p>
    <w:p>
      <w:pPr>
        <w:ind w:right="180" w:firstLine="511"/>
        <w:spacing w:after="0" w:line="283" w:lineRule="auto"/>
        <w:rPr>
          <w:sz w:val="20"/>
          <w:szCs w:val="20"/>
          <w:color w:val="auto"/>
        </w:rPr>
      </w:pPr>
      <w:r>
        <w:rPr>
          <w:rFonts w:ascii="Arial" w:cs="Arial" w:eastAsia="Arial" w:hAnsi="Arial"/>
          <w:sz w:val="14"/>
          <w:szCs w:val="14"/>
          <w:color w:val="auto"/>
        </w:rPr>
        <w:t>Our current interests in the regenerative medicine arena include collaborative nonclinical proof of concept studies with academic research partners to explore potential regenerative medicine applications involving hPSC-derived blood, bone, cartilage, heart, and liver cells.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and Stock Consolidation</w:t>
      </w:r>
    </w:p>
    <w:p>
      <w:pPr>
        <w:spacing w:after="0" w:line="205" w:lineRule="exact"/>
        <w:rPr>
          <w:sz w:val="20"/>
          <w:szCs w:val="20"/>
          <w:color w:val="auto"/>
        </w:rPr>
      </w:pPr>
    </w:p>
    <w:p>
      <w:pPr>
        <w:jc w:val="both"/>
        <w:ind w:right="80" w:firstLine="511"/>
        <w:spacing w:after="0" w:line="268" w:lineRule="auto"/>
        <w:rPr>
          <w:sz w:val="20"/>
          <w:szCs w:val="20"/>
          <w:color w:val="auto"/>
        </w:rPr>
      </w:pPr>
      <w:r>
        <w:rPr>
          <w:rFonts w:ascii="Arial" w:cs="Arial" w:eastAsia="Arial" w:hAnsi="Arial"/>
          <w:sz w:val="14"/>
          <w:szCs w:val="14"/>
          <w:color w:val="auto"/>
        </w:rPr>
        <w:t>VistaGen Therapeutics, Inc., a California corporation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wholly-owned subsidiary.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63" w:lineRule="exact"/>
        <w:rPr>
          <w:sz w:val="20"/>
          <w:szCs w:val="20"/>
          <w:color w:val="auto"/>
        </w:rPr>
      </w:pPr>
    </w:p>
    <w:p>
      <w:pPr>
        <w:ind w:right="120" w:firstLine="511"/>
        <w:spacing w:after="0" w:line="370" w:lineRule="auto"/>
        <w:rPr>
          <w:sz w:val="20"/>
          <w:szCs w:val="20"/>
          <w:color w:val="auto"/>
        </w:rPr>
      </w:pPr>
      <w:r>
        <w:rPr>
          <w:rFonts w:ascii="Arial" w:cs="Arial" w:eastAsia="Arial" w:hAnsi="Arial"/>
          <w:sz w:val="12"/>
          <w:szCs w:val="12"/>
          <w:color w:val="auto"/>
        </w:rPr>
        <w:t>Effective August 14, 2014, we consummated a 1-for-20 reverse split of our authorized, and issued and outstanding shares of common stock (</w:t>
      </w:r>
      <w:r>
        <w:rPr>
          <w:rFonts w:ascii="Arial" w:cs="Arial" w:eastAsia="Arial" w:hAnsi="Arial"/>
          <w:sz w:val="12"/>
          <w:szCs w:val="12"/>
          <w:i w:val="1"/>
          <w:iCs w:val="1"/>
          <w:color w:val="auto"/>
        </w:rPr>
        <w:t>Stock Consolidation</w:t>
      </w:r>
      <w:r>
        <w:rPr>
          <w:rFonts w:ascii="Arial" w:cs="Arial" w:eastAsia="Arial" w:hAnsi="Arial"/>
          <w:sz w:val="12"/>
          <w:szCs w:val="12"/>
          <w:color w:val="auto"/>
        </w:rPr>
        <w:t>). Each reference to shares of common stock or the price per share of common stock in these financial statements is post-Stock Consolidation, and reflects the 1-for-20 adjustment as a result of the Stock Consolidation.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Basis of Presentation and Going Concern</w:t>
      </w:r>
    </w:p>
    <w:p>
      <w:pPr>
        <w:spacing w:after="0" w:line="205" w:lineRule="exact"/>
        <w:rPr>
          <w:sz w:val="20"/>
          <w:szCs w:val="20"/>
          <w:color w:val="auto"/>
        </w:rPr>
      </w:pPr>
    </w:p>
    <w:p>
      <w:pPr>
        <w:ind w:right="60" w:firstLine="511"/>
        <w:spacing w:after="0" w:line="283" w:lineRule="auto"/>
        <w:rPr>
          <w:sz w:val="20"/>
          <w:szCs w:val="20"/>
          <w:color w:val="auto"/>
        </w:rPr>
      </w:pPr>
      <w:r>
        <w:rPr>
          <w:rFonts w:ascii="Arial" w:cs="Arial" w:eastAsia="Arial" w:hAnsi="Arial"/>
          <w:sz w:val="13"/>
          <w:szCs w:val="13"/>
          <w:color w:val="auto"/>
        </w:rPr>
        <w:t>The accompanying unaudited Condensed Consolidated Financial Statements have been prepared in accordance with accounting principles generally accepted in the United States (</w:t>
      </w:r>
      <w:r>
        <w:rPr>
          <w:rFonts w:ascii="Arial" w:cs="Arial" w:eastAsia="Arial" w:hAnsi="Arial"/>
          <w:sz w:val="13"/>
          <w:szCs w:val="13"/>
          <w:i w:val="1"/>
          <w:iCs w:val="1"/>
          <w:color w:val="auto"/>
        </w:rPr>
        <w:t>U.S. GAAP</w:t>
      </w:r>
      <w:r>
        <w:rPr>
          <w:rFonts w:ascii="Arial" w:cs="Arial" w:eastAsia="Arial" w:hAnsi="Arial"/>
          <w:sz w:val="13"/>
          <w:szCs w:val="13"/>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2015 has been derived from our audited consolidated financial statements at that date but does not include all disclosures required by U.S. GAAP. The operating results for the nine months ended December 31, 2015 are not necessarily indicative of the operating results to be expected for our fiscal year ending March 31, 2016 or for any other interim period or any other future period.</w:t>
      </w:r>
    </w:p>
    <w:p>
      <w:pPr>
        <w:spacing w:after="0" w:line="135" w:lineRule="exact"/>
        <w:rPr>
          <w:sz w:val="20"/>
          <w:szCs w:val="20"/>
          <w:color w:val="auto"/>
        </w:rPr>
      </w:pPr>
    </w:p>
    <w:p>
      <w:pPr>
        <w:ind w:right="200" w:firstLine="511"/>
        <w:spacing w:after="0" w:line="268" w:lineRule="auto"/>
        <w:rPr>
          <w:sz w:val="20"/>
          <w:szCs w:val="20"/>
          <w:color w:val="auto"/>
        </w:rPr>
      </w:pPr>
      <w:r>
        <w:rPr>
          <w:rFonts w:ascii="Arial" w:cs="Arial" w:eastAsia="Arial" w:hAnsi="Arial"/>
          <w:sz w:val="14"/>
          <w:szCs w:val="14"/>
          <w:color w:val="auto"/>
        </w:rPr>
        <w:t>The accompanying unaudited Condensed Consolidated Financial Statements and notes to Condensed Consolidated Financial Statements should be read in conjunction with our audited Consolidated Financial Statements for the fiscal year ended March 31, 2015 contained in our Annual Report on Form 10-K, as filed with the Securities and Exchange Commission (</w:t>
      </w:r>
      <w:r>
        <w:rPr>
          <w:rFonts w:ascii="Arial" w:cs="Arial" w:eastAsia="Arial" w:hAnsi="Arial"/>
          <w:sz w:val="14"/>
          <w:szCs w:val="14"/>
          <w:i w:val="1"/>
          <w:iCs w:val="1"/>
          <w:color w:val="auto"/>
        </w:rPr>
        <w:t>SEC</w:t>
      </w:r>
      <w:r>
        <w:rPr>
          <w:rFonts w:ascii="Arial" w:cs="Arial" w:eastAsia="Arial" w:hAnsi="Arial"/>
          <w:sz w:val="14"/>
          <w:szCs w:val="14"/>
          <w:color w:val="auto"/>
        </w:rPr>
        <w:t>) on June 29, 2015.</w:t>
      </w:r>
    </w:p>
    <w:p>
      <w:pPr>
        <w:spacing w:after="0" w:line="163"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$123.2 million accumulated from inception in May 1998 through December 31, 2015. We expect losses and negative cash flows from operations to continue for the foreseeable future as we continue to develop AV-101 for Major Depressive Disorder and additional CNS indications, and engage in drug rescue, drug development and exploratory regenerative medicine programs.</w:t>
      </w:r>
    </w:p>
    <w:p>
      <w:pPr>
        <w:spacing w:after="0" w:line="146" w:lineRule="exact"/>
        <w:rPr>
          <w:sz w:val="20"/>
          <w:szCs w:val="20"/>
          <w:color w:val="auto"/>
        </w:rPr>
      </w:pPr>
    </w:p>
    <w:p>
      <w:pPr>
        <w:ind w:right="100" w:firstLine="511"/>
        <w:spacing w:after="0" w:line="261" w:lineRule="auto"/>
        <w:rPr>
          <w:sz w:val="20"/>
          <w:szCs w:val="20"/>
          <w:color w:val="auto"/>
        </w:rPr>
      </w:pPr>
      <w:r>
        <w:rPr>
          <w:rFonts w:ascii="Arial" w:cs="Arial" w:eastAsia="Arial" w:hAnsi="Arial"/>
          <w:sz w:val="14"/>
          <w:szCs w:val="14"/>
          <w:color w:val="auto"/>
        </w:rPr>
        <w:t>Since our inception in May 1998 through December 31, 2015, we have financed our operations through (1) the issuance and sale of our common stock, preferred stock, warrants for common stock, and promissory notes for aggregate cash proceeds of approximately $33.8 million; (2) issuance of common stock and preferred stock with an approximate value at issuance of $28.9 million as consideration for, among other things, technology license fees and patent prosecution, sponsored research, contract research, drug development, drug manufacturing, U.S. and foreign regulatory services, as well as legal, corporate development and financial advisory services; and (3) receipt of aggregate non-dilutive cash proceeds of approximately $16.4 million from government research and development grant awards and strategic collaboration transactions.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7" w:name="page198"/>
    <w:bookmarkEnd w:id="19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00" w:firstLine="511"/>
        <w:spacing w:after="0" w:line="279" w:lineRule="auto"/>
        <w:rPr>
          <w:sz w:val="20"/>
          <w:szCs w:val="20"/>
          <w:color w:val="auto"/>
        </w:rPr>
      </w:pPr>
      <w:r>
        <w:rPr>
          <w:rFonts w:ascii="Arial" w:cs="Arial" w:eastAsia="Arial" w:hAnsi="Arial"/>
          <w:sz w:val="13"/>
          <w:szCs w:val="13"/>
          <w:color w:val="auto"/>
        </w:rPr>
        <w:t xml:space="preserve">As described more completely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8, </w:t>
      </w:r>
      <w:r>
        <w:rPr>
          <w:rFonts w:ascii="Arial" w:cs="Arial" w:eastAsia="Arial" w:hAnsi="Arial"/>
          <w:sz w:val="13"/>
          <w:szCs w:val="13"/>
          <w:i w:val="1"/>
          <w:iCs w:val="1"/>
          <w:color w:val="auto"/>
        </w:rPr>
        <w:t>Capital Stock</w:t>
      </w:r>
      <w:r>
        <w:rPr>
          <w:rFonts w:ascii="Arial" w:cs="Arial" w:eastAsia="Arial" w:hAnsi="Arial"/>
          <w:sz w:val="13"/>
          <w:szCs w:val="13"/>
          <w:color w:val="auto"/>
        </w:rPr>
        <w:t>, in May 2015, we created our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Between March 31, 2015 and December 31, 2015, we extinguished approximately $17.2 million of indebtedness through conversion of such indebtedness into our Series B Preferred and, with respect to a portion of the indebtedness converted, warrants to purchase our common stock. More specifically, we converted (i) all Senior Secured Convertible Promissory Notes originally issued to Platinum Long Term Growth VII, LLC (</w:t>
      </w:r>
      <w:r>
        <w:rPr>
          <w:rFonts w:ascii="Arial" w:cs="Arial" w:eastAsia="Arial" w:hAnsi="Arial"/>
          <w:sz w:val="13"/>
          <w:szCs w:val="13"/>
          <w:i w:val="1"/>
          <w:iCs w:val="1"/>
          <w:color w:val="auto"/>
        </w:rPr>
        <w:t>Platinum</w:t>
      </w:r>
      <w:r>
        <w:rPr>
          <w:rFonts w:ascii="Arial" w:cs="Arial" w:eastAsia="Arial" w:hAnsi="Arial"/>
          <w:sz w:val="13"/>
          <w:szCs w:val="13"/>
          <w:color w:val="auto"/>
        </w:rPr>
        <w:t xml:space="preserve">), (ii) all 2014 Unit Notes outstanding at March 31, 2015 and those issued subsequently, and (iii) certain other outstanding promissory notes, including promissory notes issued to Cato Research Ltd., Cato Holding Company, Morrison &amp; Foerster LLP (Note A and Note B), McCarthy Tetrault, Burr Pilger &amp; Mayer, University Health Network (Toronto), the Icahn School of Medicine at Mount Sinai, National Jewish Health and others, into an aggregate of 2,618,917 shares of our Series B Preferred. Additionally, through December 31, 2015, we issued in self-placed private placement transactions with Platinum and other accredited investors, Series B Preferred Units consisting of an aggregate of 628,264 unregistered shares of Series B Preferred and five-year warrants to purchase 628,264 shares of our common stock, and we received cash proceeds of $4,397,800 therefrom. See Note 10, </w:t>
      </w:r>
      <w:r>
        <w:rPr>
          <w:rFonts w:ascii="Arial" w:cs="Arial" w:eastAsia="Arial" w:hAnsi="Arial"/>
          <w:sz w:val="13"/>
          <w:szCs w:val="13"/>
          <w:i w:val="1"/>
          <w:iCs w:val="1"/>
          <w:color w:val="auto"/>
        </w:rPr>
        <w:t>Subsequent</w:t>
      </w:r>
      <w:r>
        <w:rPr>
          <w:rFonts w:ascii="Arial" w:cs="Arial" w:eastAsia="Arial" w:hAnsi="Arial"/>
          <w:sz w:val="13"/>
          <w:szCs w:val="13"/>
          <w:color w:val="auto"/>
        </w:rPr>
        <w:t xml:space="preserve"> </w:t>
      </w:r>
      <w:r>
        <w:rPr>
          <w:rFonts w:ascii="Arial" w:cs="Arial" w:eastAsia="Arial" w:hAnsi="Arial"/>
          <w:sz w:val="13"/>
          <w:szCs w:val="13"/>
          <w:i w:val="1"/>
          <w:iCs w:val="1"/>
          <w:color w:val="auto"/>
        </w:rPr>
        <w:t>Events</w:t>
      </w:r>
      <w:r>
        <w:rPr>
          <w:rFonts w:ascii="Arial" w:cs="Arial" w:eastAsia="Arial" w:hAnsi="Arial"/>
          <w:sz w:val="13"/>
          <w:szCs w:val="13"/>
          <w:color w:val="auto"/>
        </w:rPr>
        <w:t>, regarding disclosure of additional self-placed private placement sales of Series B Preferred Units after December 31, 2015.</w:t>
      </w:r>
    </w:p>
    <w:p>
      <w:pPr>
        <w:spacing w:after="0" w:line="140" w:lineRule="exact"/>
        <w:rPr>
          <w:sz w:val="20"/>
          <w:szCs w:val="20"/>
          <w:color w:val="auto"/>
        </w:rPr>
      </w:pPr>
    </w:p>
    <w:p>
      <w:pPr>
        <w:ind w:right="20" w:firstLine="511"/>
        <w:spacing w:after="0" w:line="277" w:lineRule="auto"/>
        <w:rPr>
          <w:sz w:val="20"/>
          <w:szCs w:val="20"/>
          <w:color w:val="auto"/>
        </w:rPr>
      </w:pPr>
      <w:r>
        <w:rPr>
          <w:rFonts w:ascii="Arial" w:cs="Arial" w:eastAsia="Arial" w:hAnsi="Arial"/>
          <w:sz w:val="13"/>
          <w:szCs w:val="13"/>
          <w:color w:val="auto"/>
        </w:rPr>
        <w:t>At December 31, 2015, we did not have sufficient cash and cash equivalents to enable us to fund our planned operations over the next twelve months, including expected cash expenditures of approximately $6.0 million. In August 2015, we entered into an agreement with Platinum (</w:t>
      </w:r>
      <w:r>
        <w:rPr>
          <w:rFonts w:ascii="Arial" w:cs="Arial" w:eastAsia="Arial" w:hAnsi="Arial"/>
          <w:sz w:val="13"/>
          <w:szCs w:val="13"/>
          <w:i w:val="1"/>
          <w:iCs w:val="1"/>
          <w:color w:val="auto"/>
        </w:rPr>
        <w:t>August 2015 Agreement</w:t>
      </w:r>
      <w:r>
        <w:rPr>
          <w:rFonts w:ascii="Arial" w:cs="Arial" w:eastAsia="Arial" w:hAnsi="Arial"/>
          <w:sz w:val="13"/>
          <w:szCs w:val="13"/>
          <w:color w:val="auto"/>
        </w:rPr>
        <w:t xml:space="preserve">) pursuant to which we agreed to sell to Platinum an additional $3.0 million of our Series B Preferred and Series B Warrants (collectively, </w:t>
      </w:r>
      <w:r>
        <w:rPr>
          <w:rFonts w:ascii="Arial" w:cs="Arial" w:eastAsia="Arial" w:hAnsi="Arial"/>
          <w:sz w:val="13"/>
          <w:szCs w:val="13"/>
          <w:i w:val="1"/>
          <w:iCs w:val="1"/>
          <w:color w:val="auto"/>
        </w:rPr>
        <w:t>Series B Units</w:t>
      </w:r>
      <w:r>
        <w:rPr>
          <w:rFonts w:ascii="Arial" w:cs="Arial" w:eastAsia="Arial" w:hAnsi="Arial"/>
          <w:sz w:val="13"/>
          <w:szCs w:val="13"/>
          <w:color w:val="auto"/>
        </w:rPr>
        <w:t xml:space="preserve">). Through December 31, 2015, Platinum purchased an additional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more particularly disclosed in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from January 1, 2016 through February 12, 2016, we sold to certain accredited investors other than Platinum $128,000 of our Series B Units in self-placed private placement transactions. We intend to raise additional capital through conversions, exchanges, issuances, and/or sales of our securities, which may include both debt and equity securities. We may also seek research and development collaborations that could generate revenue, as well as government grant awards. Further, strategic collaborations, such as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U.S. National Institute of Mental Health (</w:t>
      </w:r>
      <w:r>
        <w:rPr>
          <w:rFonts w:ascii="Arial" w:cs="Arial" w:eastAsia="Arial" w:hAnsi="Arial"/>
          <w:sz w:val="13"/>
          <w:szCs w:val="13"/>
          <w:i w:val="1"/>
          <w:iCs w:val="1"/>
          <w:color w:val="auto"/>
        </w:rPr>
        <w:t>NIMH</w:t>
      </w:r>
      <w:r>
        <w:rPr>
          <w:rFonts w:ascii="Arial" w:cs="Arial" w:eastAsia="Arial" w:hAnsi="Arial"/>
          <w:sz w:val="13"/>
          <w:szCs w:val="13"/>
          <w:color w:val="auto"/>
        </w:rPr>
        <w:t>)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38" w:lineRule="exact"/>
        <w:rPr>
          <w:sz w:val="20"/>
          <w:szCs w:val="20"/>
          <w:color w:val="auto"/>
        </w:rPr>
      </w:pPr>
    </w:p>
    <w:p>
      <w:pPr>
        <w:ind w:right="100" w:firstLine="511"/>
        <w:spacing w:after="0" w:line="263"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including those relating to AV-101, and we may not be able to continue as a going concern. The accompanying Condensed Consolidated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Summary of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205"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to value warrants, warrant modifications, warrant liabilities. We do not currently have, nor have we had during the periods covered by this report, any arrangements requiring the recognition of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8" w:name="page199"/>
    <w:bookmarkEnd w:id="19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Expenses</w:t>
      </w:r>
    </w:p>
    <w:p>
      <w:pPr>
        <w:spacing w:after="0" w:line="205" w:lineRule="exact"/>
        <w:rPr>
          <w:sz w:val="20"/>
          <w:szCs w:val="20"/>
          <w:color w:val="auto"/>
        </w:rPr>
      </w:pPr>
    </w:p>
    <w:p>
      <w:pPr>
        <w:ind w:right="120" w:firstLine="511"/>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nonclinical and clinical development of AV-101, now in Phase 2 clinical development, initially for Major Depressive Disorder, stem cell technology-related research and development costs, and costs related to the filing, maintenance and prosecution of patents and patent applications. All such costs are charged to expense as incurred.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205" w:lineRule="exact"/>
        <w:rPr>
          <w:sz w:val="20"/>
          <w:szCs w:val="20"/>
          <w:color w:val="auto"/>
        </w:rPr>
      </w:pPr>
    </w:p>
    <w:p>
      <w:pPr>
        <w:ind w:right="220" w:firstLine="511"/>
        <w:spacing w:after="0" w:line="263" w:lineRule="auto"/>
        <w:rPr>
          <w:sz w:val="20"/>
          <w:szCs w:val="20"/>
          <w:color w:val="auto"/>
        </w:rPr>
      </w:pPr>
      <w:r>
        <w:rPr>
          <w:rFonts w:ascii="Arial" w:cs="Arial" w:eastAsia="Arial" w:hAnsi="Arial"/>
          <w:sz w:val="14"/>
          <w:szCs w:val="14"/>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7" w:lineRule="exact"/>
        <w:rPr>
          <w:sz w:val="20"/>
          <w:szCs w:val="20"/>
          <w:color w:val="auto"/>
        </w:rPr>
      </w:pPr>
    </w:p>
    <w:p>
      <w:pPr>
        <w:ind w:right="280" w:firstLine="511"/>
        <w:spacing w:after="0" w:line="283" w:lineRule="auto"/>
        <w:rPr>
          <w:sz w:val="20"/>
          <w:szCs w:val="20"/>
          <w:color w:val="auto"/>
        </w:rPr>
      </w:pPr>
      <w:r>
        <w:rPr>
          <w:rFonts w:ascii="Arial" w:cs="Arial" w:eastAsia="Arial" w:hAnsi="Arial"/>
          <w:sz w:val="14"/>
          <w:szCs w:val="14"/>
          <w:color w:val="auto"/>
        </w:rPr>
        <w:t>The table below summarizes stock-based compensation expense included in the accompanying Condensed Consolidated Statements of Operations and Comprehensive Loss for the three and nine months ended December 31, 2015 and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20" w:type="dxa"/>
            <w:vAlign w:val="bottom"/>
            <w:gridSpan w:val="3"/>
          </w:tcPr>
          <w:p>
            <w:pPr>
              <w:jc w:val="center"/>
              <w:ind w:left="569"/>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gridSpan w:val="3"/>
          </w:tcPr>
          <w:p>
            <w:pPr>
              <w:jc w:val="center"/>
              <w:ind w:left="609"/>
              <w:spacing w:after="0"/>
              <w:rPr>
                <w:sz w:val="20"/>
                <w:szCs w:val="20"/>
                <w:color w:val="auto"/>
              </w:rPr>
            </w:pPr>
            <w:r>
              <w:rPr>
                <w:rFonts w:ascii="Arial" w:cs="Arial" w:eastAsia="Arial" w:hAnsi="Arial"/>
                <w:sz w:val="14"/>
                <w:szCs w:val="14"/>
                <w:b w:val="1"/>
                <w:bCs w:val="1"/>
                <w:color w:val="auto"/>
                <w:w w:val="91"/>
              </w:rPr>
              <w:t>Nine Months Ended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6"/>
        </w:trPr>
        <w:tc>
          <w:tcPr>
            <w:tcW w:w="13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r>
      <w:tr>
        <w:trPr>
          <w:trHeight w:val="172"/>
        </w:trPr>
        <w:tc>
          <w:tcPr>
            <w:tcW w:w="1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w w:val="83"/>
              </w:rPr>
              <w:t>2015</w:t>
            </w:r>
          </w:p>
        </w:tc>
        <w:tc>
          <w:tcPr>
            <w:tcW w:w="1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96"/>
              </w:rPr>
              <w:t>2014</w:t>
            </w:r>
          </w:p>
        </w:tc>
        <w:tc>
          <w:tcPr>
            <w:tcW w:w="1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2015</w:t>
            </w: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96"/>
              </w:rPr>
              <w:t>2014</w:t>
            </w:r>
          </w:p>
        </w:tc>
        <w:tc>
          <w:tcPr>
            <w:tcW w:w="540" w:type="dxa"/>
            <w:vAlign w:val="bottom"/>
          </w:tcPr>
          <w:p>
            <w:pPr>
              <w:spacing w:after="0"/>
              <w:rPr>
                <w:sz w:val="14"/>
                <w:szCs w:val="14"/>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4"/>
                <w:szCs w:val="14"/>
                <w:color w:val="auto"/>
              </w:rPr>
              <w:t>Research and</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development</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Stock</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option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30,000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118,700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156,100</w:t>
            </w:r>
          </w:p>
        </w:tc>
      </w:tr>
      <w:tr>
        <w:trPr>
          <w:trHeight w:val="160"/>
        </w:trPr>
        <w:tc>
          <w:tcPr>
            <w:tcW w:w="1380" w:type="dxa"/>
            <w:vAlign w:val="bottom"/>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granted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to</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officer</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in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2014</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and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ind w:left="400"/>
              <w:spacing w:after="0"/>
              <w:rPr>
                <w:sz w:val="20"/>
                <w:szCs w:val="20"/>
                <w:color w:val="auto"/>
              </w:rPr>
            </w:pPr>
            <w:r>
              <w:rPr>
                <w:rFonts w:ascii="Arial" w:cs="Arial" w:eastAsia="Arial" w:hAnsi="Arial"/>
                <w:sz w:val="14"/>
                <w:szCs w:val="14"/>
                <w:color w:val="auto"/>
              </w:rPr>
              <w:t>2013</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2,800</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36,300</w:t>
            </w:r>
          </w:p>
        </w:tc>
        <w:tc>
          <w:tcPr>
            <w:tcW w:w="640" w:type="dxa"/>
            <w:vAlign w:val="bottom"/>
          </w:tcPr>
          <w:p>
            <w:pPr>
              <w:spacing w:after="0"/>
              <w:rPr>
                <w:sz w:val="15"/>
                <w:szCs w:val="15"/>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8,500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108,900</w:t>
            </w: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granted to</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officer in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September</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2015</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852,200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r>
      <w:tr>
        <w:trPr>
          <w:trHeight w:val="22"/>
        </w:trPr>
        <w:tc>
          <w:tcPr>
            <w:tcW w:w="13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72"/>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74,100</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66,300</w:t>
            </w:r>
          </w:p>
        </w:tc>
        <w:tc>
          <w:tcPr>
            <w:tcW w:w="640" w:type="dxa"/>
            <w:vAlign w:val="bottom"/>
          </w:tcPr>
          <w:p>
            <w:pPr>
              <w:spacing w:after="0"/>
              <w:rPr>
                <w:sz w:val="14"/>
                <w:szCs w:val="14"/>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979,400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265,000</w:t>
            </w:r>
          </w:p>
        </w:tc>
      </w:tr>
      <w:tr>
        <w:trPr>
          <w:trHeight w:val="170"/>
        </w:trPr>
        <w:tc>
          <w:tcPr>
            <w:tcW w:w="138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4"/>
                <w:szCs w:val="14"/>
                <w:color w:val="auto"/>
              </w:rPr>
              <w:t>General and</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administrative</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Stock</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option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grants</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18,600</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36,500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86,700</w:t>
            </w:r>
          </w:p>
        </w:tc>
      </w:tr>
      <w:tr>
        <w:trPr>
          <w:trHeight w:val="170"/>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granted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officers</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directors</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2014</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2013</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70,700</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11,700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212,300</w:t>
            </w:r>
          </w:p>
        </w:tc>
      </w:tr>
      <w:tr>
        <w:trPr>
          <w:trHeight w:val="160"/>
        </w:trPr>
        <w:tc>
          <w:tcPr>
            <w:tcW w:w="1380" w:type="dxa"/>
            <w:vAlign w:val="bottom"/>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granted to</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officers,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directors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and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consultants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in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September</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ind w:left="240"/>
              <w:spacing w:after="0"/>
              <w:rPr>
                <w:sz w:val="20"/>
                <w:szCs w:val="20"/>
                <w:color w:val="auto"/>
              </w:rPr>
            </w:pPr>
            <w:r>
              <w:rPr>
                <w:rFonts w:ascii="Arial" w:cs="Arial" w:eastAsia="Arial" w:hAnsi="Arial"/>
                <w:sz w:val="14"/>
                <w:szCs w:val="14"/>
                <w:color w:val="auto"/>
              </w:rPr>
              <w:t>2015</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2,840,700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r>
      <w:tr>
        <w:trPr>
          <w:trHeight w:val="22"/>
        </w:trPr>
        <w:tc>
          <w:tcPr>
            <w:tcW w:w="1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2"/>
        </w:trPr>
        <w:tc>
          <w:tcPr>
            <w:tcW w:w="1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24,300</w:t>
            </w: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89,300</w:t>
            </w:r>
          </w:p>
        </w:tc>
        <w:tc>
          <w:tcPr>
            <w:tcW w:w="64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2,888,900</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299,000</w:t>
            </w:r>
          </w:p>
        </w:tc>
      </w:tr>
      <w:tr>
        <w:trPr>
          <w:trHeight w:val="160"/>
        </w:trPr>
        <w:tc>
          <w:tcPr>
            <w:tcW w:w="1380" w:type="dxa"/>
            <w:vAlign w:val="bottom"/>
            <w:tcBorders>
              <w:top w:val="single" w:sz="8" w:color="CCEEFF"/>
            </w:tcBorders>
          </w:tcPr>
          <w:p>
            <w:pPr>
              <w:spacing w:after="0" w:line="160" w:lineRule="exact"/>
              <w:rPr>
                <w:sz w:val="20"/>
                <w:szCs w:val="20"/>
                <w:color w:val="auto"/>
              </w:rPr>
            </w:pPr>
            <w:r>
              <w:rPr>
                <w:rFonts w:ascii="Arial" w:cs="Arial" w:eastAsia="Arial" w:hAnsi="Arial"/>
                <w:sz w:val="14"/>
                <w:szCs w:val="14"/>
                <w:color w:val="auto"/>
              </w:rPr>
              <w:t>Total stock-</w:t>
            </w:r>
          </w:p>
        </w:tc>
        <w:tc>
          <w:tcPr>
            <w:tcW w:w="6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based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compensation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98,400</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155,600</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3,868,300</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564,000</w:t>
            </w:r>
          </w:p>
        </w:tc>
      </w:tr>
      <w:tr>
        <w:trPr>
          <w:trHeight w:val="20"/>
        </w:trPr>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540"/>
          </w:cols>
          <w:pgMar w:left="220" w:top="133" w:right="139" w:bottom="1440" w:gutter="0" w:footer="0" w:header="0"/>
        </w:sectPr>
      </w:pPr>
    </w:p>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540"/>
          </w:cols>
          <w:pgMar w:left="220" w:top="133" w:right="139" w:bottom="1440" w:gutter="0" w:footer="0" w:header="0"/>
          <w:type w:val="continuous"/>
        </w:sectPr>
      </w:pPr>
    </w:p>
    <w:bookmarkStart w:id="199" w:name="page200"/>
    <w:bookmarkEnd w:id="19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ind w:right="60" w:firstLine="511"/>
        <w:spacing w:after="0" w:line="285" w:lineRule="auto"/>
        <w:rPr>
          <w:sz w:val="20"/>
          <w:szCs w:val="20"/>
          <w:color w:val="auto"/>
        </w:rPr>
      </w:pPr>
      <w:r>
        <w:rPr>
          <w:rFonts w:ascii="Arial" w:cs="Arial" w:eastAsia="Arial" w:hAnsi="Arial"/>
          <w:sz w:val="13"/>
          <w:szCs w:val="13"/>
          <w:color w:val="auto"/>
        </w:rPr>
        <w:t>During September 2015, we granted options to purchase an aggregate of 90,000 shares of our common stock at an exercise price of $9.25 per share to our non-officer employees and certain strategic consultants. We did not grant stock options to any of our employees or strategic consultants during the nine months ended December 31, 2014. At December 31, 2015, there were stock options outstanding to purchase 296,738 shares of our common stock at a weighted average exercise price of $9.83 per share. During September 2015, we also granted immediately vested warrants to purchase an aggregate of 650,000 shares of our common stock to our executive officers, independent members of our Board of Directors and certain strategic consultants. We valued the warrants and options granted in September 2015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Employee Options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w w:val="95"/>
              </w:rPr>
              <w:t>Non-employee Options</w:t>
            </w:r>
          </w:p>
        </w:tc>
        <w:tc>
          <w:tcPr>
            <w:tcW w:w="180" w:type="dxa"/>
            <w:vAlign w:val="bottom"/>
          </w:tcPr>
          <w:p>
            <w:pPr>
              <w:spacing w:after="0"/>
              <w:rPr>
                <w:sz w:val="16"/>
                <w:szCs w:val="16"/>
                <w:color w:val="auto"/>
              </w:rPr>
            </w:pP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grant date</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9.11</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9.11</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9.25</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69"/>
              <w:spacing w:after="0"/>
              <w:rPr>
                <w:sz w:val="20"/>
                <w:szCs w:val="20"/>
                <w:color w:val="auto"/>
              </w:rPr>
            </w:pPr>
            <w:r>
              <w:rPr>
                <w:rFonts w:ascii="Arial" w:cs="Arial" w:eastAsia="Arial" w:hAnsi="Arial"/>
                <w:sz w:val="14"/>
                <w:szCs w:val="14"/>
                <w:color w:val="auto"/>
              </w:rPr>
              <w:t>9.25</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60" w:type="dxa"/>
            <w:vAlign w:val="bottom"/>
            <w:gridSpan w:val="2"/>
          </w:tcPr>
          <w:p>
            <w:pPr>
              <w:jc w:val="right"/>
              <w:ind w:right="180"/>
              <w:spacing w:after="0"/>
              <w:rPr>
                <w:sz w:val="20"/>
                <w:szCs w:val="20"/>
                <w:color w:val="auto"/>
              </w:rPr>
            </w:pPr>
            <w:r>
              <w:rPr>
                <w:rFonts w:ascii="Arial" w:cs="Arial" w:eastAsia="Arial" w:hAnsi="Arial"/>
                <w:sz w:val="14"/>
                <w:szCs w:val="14"/>
                <w:color w:val="auto"/>
              </w:rPr>
              <w:t>9.25</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w:t>
            </w: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2.20%</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Contractual or estimated term in years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5.00</w:t>
            </w:r>
          </w:p>
        </w:tc>
        <w:tc>
          <w:tcPr>
            <w:tcW w:w="200" w:type="dxa"/>
            <w:vAlign w:val="bottom"/>
          </w:tcPr>
          <w:p>
            <w:pPr>
              <w:spacing w:after="0"/>
              <w:rPr>
                <w:sz w:val="14"/>
                <w:szCs w:val="14"/>
                <w:color w:val="auto"/>
              </w:rPr>
            </w:pPr>
          </w:p>
        </w:tc>
        <w:tc>
          <w:tcPr>
            <w:tcW w:w="1920" w:type="dxa"/>
            <w:vAlign w:val="bottom"/>
          </w:tcPr>
          <w:p>
            <w:pPr>
              <w:jc w:val="right"/>
              <w:ind w:right="69"/>
              <w:spacing w:after="0"/>
              <w:rPr>
                <w:sz w:val="20"/>
                <w:szCs w:val="20"/>
                <w:color w:val="auto"/>
              </w:rPr>
            </w:pPr>
            <w:r>
              <w:rPr>
                <w:rFonts w:ascii="Arial" w:cs="Arial" w:eastAsia="Arial" w:hAnsi="Arial"/>
                <w:sz w:val="14"/>
                <w:szCs w:val="14"/>
                <w:color w:val="auto"/>
              </w:rPr>
              <w:t>6.25</w:t>
            </w:r>
          </w:p>
        </w:tc>
        <w:tc>
          <w:tcPr>
            <w:tcW w:w="220" w:type="dxa"/>
            <w:vAlign w:val="bottom"/>
          </w:tcPr>
          <w:p>
            <w:pPr>
              <w:spacing w:after="0"/>
              <w:rPr>
                <w:sz w:val="14"/>
                <w:szCs w:val="14"/>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4"/>
                <w:szCs w:val="14"/>
                <w:color w:val="auto"/>
              </w:rPr>
              <w:t>10.00</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77.19%</w:t>
            </w: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79.48%</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103.42%</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Dividend rate</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0.0%%</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4"/>
                <w:szCs w:val="14"/>
                <w:color w:val="auto"/>
              </w:rPr>
              <w:t>0.0%</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60,000</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30,000</w:t>
            </w:r>
          </w:p>
        </w:tc>
      </w:tr>
      <w:tr>
        <w:trPr>
          <w:trHeight w:val="170"/>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per share</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5.68</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6.35</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8.27</w:t>
            </w:r>
          </w:p>
        </w:tc>
      </w:tr>
      <w:tr>
        <w:trPr>
          <w:trHeight w:val="361"/>
        </w:trPr>
        <w:tc>
          <w:tcPr>
            <w:tcW w:w="5120" w:type="dxa"/>
            <w:vAlign w:val="bottom"/>
          </w:tcPr>
          <w:p>
            <w:pPr>
              <w:spacing w:after="0"/>
              <w:rPr>
                <w:sz w:val="20"/>
                <w:szCs w:val="20"/>
                <w:color w:val="auto"/>
              </w:rPr>
            </w:pPr>
            <w:r>
              <w:rPr>
                <w:rFonts w:ascii="Arial" w:cs="Arial" w:eastAsia="Arial" w:hAnsi="Arial"/>
                <w:sz w:val="14"/>
                <w:szCs w:val="14"/>
                <w:b w:val="1"/>
                <w:bCs w:val="1"/>
                <w:color w:val="auto"/>
              </w:rPr>
              <w:t>Warrant Liability</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82" w:lineRule="exact"/>
        <w:rPr>
          <w:sz w:val="20"/>
          <w:szCs w:val="20"/>
          <w:color w:val="auto"/>
        </w:rPr>
      </w:pPr>
    </w:p>
    <w:p>
      <w:pPr>
        <w:ind w:firstLine="511"/>
        <w:spacing w:after="0" w:line="279" w:lineRule="auto"/>
        <w:rPr>
          <w:sz w:val="20"/>
          <w:szCs w:val="20"/>
          <w:color w:val="auto"/>
        </w:rPr>
      </w:pPr>
      <w:r>
        <w:rPr>
          <w:rFonts w:ascii="Arial" w:cs="Arial" w:eastAsia="Arial" w:hAnsi="Arial"/>
          <w:sz w:val="13"/>
          <w:szCs w:val="13"/>
          <w:color w:val="auto"/>
        </w:rPr>
        <w:t xml:space="preserve">Between October 2012 and July 2013, we issued to Platinum warrants to purchase an aggregate of 176,129 unregistered shares of our common stock and, subject to Platinum’s exercise of its rights to exchange shares of our Series A Preferred Stock that it holds, we are obligated to issue to Platinum an additional warrant to purchase 375,000 unregistered shares of common stock (the </w:t>
      </w:r>
      <w:r>
        <w:rPr>
          <w:rFonts w:ascii="Arial" w:cs="Arial" w:eastAsia="Arial" w:hAnsi="Arial"/>
          <w:sz w:val="13"/>
          <w:szCs w:val="13"/>
          <w:i w:val="1"/>
          <w:iCs w:val="1"/>
          <w:color w:val="auto"/>
        </w:rPr>
        <w:t>Series A</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 Exchange Warrant</w:t>
      </w:r>
      <w:r>
        <w:rPr>
          <w:rFonts w:ascii="Arial" w:cs="Arial" w:eastAsia="Arial" w:hAnsi="Arial"/>
          <w:sz w:val="13"/>
          <w:szCs w:val="13"/>
          <w:color w:val="auto"/>
        </w:rPr>
        <w:t>) (collectively, the</w:t>
      </w:r>
      <w:r>
        <w:rPr>
          <w:rFonts w:ascii="Arial" w:cs="Arial" w:eastAsia="Arial" w:hAnsi="Arial"/>
          <w:sz w:val="13"/>
          <w:szCs w:val="13"/>
          <w:i w:val="1"/>
          <w:iCs w:val="1"/>
          <w:color w:val="auto"/>
        </w:rPr>
        <w:t xml:space="preserve"> Platinum Warrants</w:t>
      </w:r>
      <w:r>
        <w:rPr>
          <w:rFonts w:ascii="Arial" w:cs="Arial" w:eastAsia="Arial" w:hAnsi="Arial"/>
          <w:sz w:val="13"/>
          <w:szCs w:val="13"/>
          <w:color w:val="auto"/>
        </w:rPr>
        <w:t>). As originally issued, the Platinum Warrants contained an exercise price adjustment feature that would reduce the exercise price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Platinum Warrants and increase the number of shares of our common stock eligible for Platinum’s purchase thereunder in the event we subsequently issued equity instruments at a price lower than the exercise price of the Platinum Warrants. Prior to their amendment in May 2015, as described below, we accounted for the Platinum Warrants as non-cash liabilities and estimated their fair value at the end of each financial reporting period and recorded the change in the fair value as non-cash expense or non-cash income. The key component in determining the fair value of the Platinum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Assuming all other fair value inputs remained generally constant, we generally recorded an increase in the warrant liability and non-cash losses when our stock price increased and a decrease in the warrant liability and non-cash gains when our stock price decreased.</w:t>
      </w:r>
    </w:p>
    <w:p>
      <w:pPr>
        <w:spacing w:after="0" w:line="140"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 xml:space="preserve">As described more completely in Note 8, </w:t>
      </w:r>
      <w:r>
        <w:rPr>
          <w:rFonts w:ascii="Arial" w:cs="Arial" w:eastAsia="Arial" w:hAnsi="Arial"/>
          <w:sz w:val="14"/>
          <w:szCs w:val="14"/>
          <w:i w:val="1"/>
          <w:iCs w:val="1"/>
          <w:color w:val="auto"/>
        </w:rPr>
        <w:t>Capital Stock</w:t>
      </w:r>
      <w:r>
        <w:rPr>
          <w:rFonts w:ascii="Arial" w:cs="Arial" w:eastAsia="Arial" w:hAnsi="Arial"/>
          <w:sz w:val="14"/>
          <w:szCs w:val="14"/>
          <w:color w:val="auto"/>
        </w:rPr>
        <w:t>, on May 12, 2015, we entered into an agreement with Platinum pursuant to which Platinum agreed, among other things, to amend the Platinum Warrants to (i) fix the exercise price thereof, (ii) eliminate the exercise price reset and cashless exercise features (iii) fix the number of shares of our common stock issuable thereunder and (iv) eliminate the cashless exercise provisions from the Platinum Warrants. This agreement and the related modifications to the Platinum Warrants resulted in the complete elimination of the warrant liability with respect to the Platinum Warrants during our fiscal quarter ended June 30, 2015.</w:t>
      </w:r>
    </w:p>
    <w:p>
      <w:pPr>
        <w:spacing w:after="0" w:line="167" w:lineRule="exact"/>
        <w:rPr>
          <w:sz w:val="20"/>
          <w:szCs w:val="20"/>
          <w:color w:val="auto"/>
        </w:rPr>
      </w:pPr>
    </w:p>
    <w:p>
      <w:pPr>
        <w:jc w:val="both"/>
        <w:ind w:right="120" w:firstLine="511"/>
        <w:spacing w:after="0" w:line="268" w:lineRule="auto"/>
        <w:rPr>
          <w:sz w:val="20"/>
          <w:szCs w:val="20"/>
          <w:color w:val="auto"/>
        </w:rPr>
      </w:pPr>
      <w:r>
        <w:rPr>
          <w:rFonts w:ascii="Arial" w:cs="Arial" w:eastAsia="Arial" w:hAnsi="Arial"/>
          <w:sz w:val="14"/>
          <w:szCs w:val="14"/>
          <w:color w:val="auto"/>
        </w:rPr>
        <w:t xml:space="preserve">As described more completely in Note 10, </w:t>
      </w:r>
      <w:r>
        <w:rPr>
          <w:rFonts w:ascii="Arial" w:cs="Arial" w:eastAsia="Arial" w:hAnsi="Arial"/>
          <w:sz w:val="14"/>
          <w:szCs w:val="14"/>
          <w:i w:val="1"/>
          <w:iCs w:val="1"/>
          <w:color w:val="auto"/>
        </w:rPr>
        <w:t>Subsequent Events</w:t>
      </w:r>
      <w:r>
        <w:rPr>
          <w:rFonts w:ascii="Arial" w:cs="Arial" w:eastAsia="Arial" w:hAnsi="Arial"/>
          <w:sz w:val="14"/>
          <w:szCs w:val="14"/>
          <w:color w:val="auto"/>
        </w:rPr>
        <w:t>, in January 2016, we entered into an Exchange Agreement with Platinum pursuant to which Platinum exchanged all outstanding Platinum Warrants, plus the shares issuable pursuant to the Series A Preferred Exchange Warrant for unregistered shares of our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in the ratio of 0.75 share of Series C Preferred for each warrant share cancelled.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0" w:name="page201"/>
    <w:bookmarkEnd w:id="20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Comprehensive Loss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no components of other comprehensive loss other than net loss, and accordingly our comprehensive loss is equivalent to our net loss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(Loss) per Common Share</w:t>
      </w:r>
    </w:p>
    <w:p>
      <w:pPr>
        <w:spacing w:after="0" w:line="205"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had an impact on the diluted earnings per share calculation in both the three and nine month periods ended December 31, 2014, but in no other periods included in these Condensed Consolidated Financial Statements, as indicated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6"/>
          </w:tcPr>
          <w:p>
            <w:pPr>
              <w:jc w:val="right"/>
              <w:ind w:right="500"/>
              <w:spacing w:after="0"/>
              <w:rPr>
                <w:sz w:val="20"/>
                <w:szCs w:val="20"/>
                <w:color w:val="auto"/>
              </w:rPr>
            </w:pPr>
            <w:r>
              <w:rPr>
                <w:rFonts w:ascii="Arial" w:cs="Arial" w:eastAsia="Arial" w:hAnsi="Arial"/>
                <w:sz w:val="14"/>
                <w:szCs w:val="14"/>
                <w:color w:val="auto"/>
                <w:w w:val="94"/>
              </w:rPr>
              <w:t>Three Months Ended December 31,</w:t>
            </w:r>
          </w:p>
        </w:tc>
        <w:tc>
          <w:tcPr>
            <w:tcW w:w="160" w:type="dxa"/>
            <w:vAlign w:val="bottom"/>
          </w:tcPr>
          <w:p>
            <w:pPr>
              <w:spacing w:after="0"/>
              <w:rPr>
                <w:sz w:val="15"/>
                <w:szCs w:val="15"/>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4"/>
                <w:szCs w:val="14"/>
                <w:color w:val="auto"/>
                <w:w w:val="95"/>
              </w:rPr>
              <w:t>Nine Months Ended December 31,</w:t>
            </w:r>
          </w:p>
        </w:tc>
      </w:tr>
      <w:tr>
        <w:trPr>
          <w:trHeight w:val="172"/>
        </w:trPr>
        <w:tc>
          <w:tcPr>
            <w:tcW w:w="60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340"/>
        </w:trPr>
        <w:tc>
          <w:tcPr>
            <w:tcW w:w="6080" w:type="dxa"/>
            <w:vAlign w:val="bottom"/>
          </w:tcPr>
          <w:p>
            <w:pPr>
              <w:spacing w:after="0"/>
              <w:rPr>
                <w:sz w:val="20"/>
                <w:szCs w:val="20"/>
                <w:color w:val="auto"/>
              </w:rPr>
            </w:pPr>
            <w:r>
              <w:rPr>
                <w:rFonts w:ascii="Arial" w:cs="Arial" w:eastAsia="Arial" w:hAnsi="Arial"/>
                <w:sz w:val="14"/>
                <w:szCs w:val="14"/>
                <w:color w:val="auto"/>
              </w:rPr>
              <w:t>Numerator:</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 attributable to common stockholders for basic earnings per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w w:val="97"/>
              </w:rPr>
              <w:t>less: change in fair value of warrant liability attributable to outstanding warrants issued to Platinum</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(314,900)</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(251,500)</w:t>
            </w:r>
          </w:p>
        </w:tc>
      </w:tr>
      <w:tr>
        <w:trPr>
          <w:trHeight w:val="21"/>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 for diluted earnings per share attributable to common stockholders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(1,405,200)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(7,916,000)</w:t>
            </w:r>
          </w:p>
        </w:tc>
      </w:tr>
      <w:tr>
        <w:trPr>
          <w:trHeight w:val="153"/>
        </w:trPr>
        <w:tc>
          <w:tcPr>
            <w:tcW w:w="60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Denominator:</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Weighted average basic common shares outstanding</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1,302,300</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Assumed conversion of dilutive securities:</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Warrants to purchase common stock</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18,179</w:t>
            </w:r>
          </w:p>
        </w:tc>
      </w:tr>
      <w:tr>
        <w:trPr>
          <w:trHeight w:val="21"/>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Potentially dilutive common shares assumed converted</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18,179</w:t>
            </w:r>
          </w:p>
        </w:tc>
      </w:tr>
      <w:tr>
        <w:trPr>
          <w:trHeight w:val="21"/>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Denominator for diluted earnings per share - adjusted weighted average shares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1,302,300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1,288,674</w:t>
            </w: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6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r>
      <w:tr>
        <w:trPr>
          <w:trHeight w:val="153"/>
        </w:trPr>
        <w:tc>
          <w:tcPr>
            <w:tcW w:w="60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r>
      <w:tr>
        <w:trPr>
          <w:trHeight w:val="632"/>
        </w:trPr>
        <w:tc>
          <w:tcPr>
            <w:tcW w:w="6080" w:type="dxa"/>
            <w:vAlign w:val="bottom"/>
            <w:tcBorders>
              <w:top w:val="single" w:sz="8" w:color="CCEEFF"/>
            </w:tcBorders>
          </w:tcPr>
          <w:p>
            <w:pPr>
              <w:ind w:left="5600"/>
              <w:spacing w:after="0"/>
              <w:rPr>
                <w:sz w:val="20"/>
                <w:szCs w:val="20"/>
                <w:color w:val="auto"/>
              </w:rPr>
            </w:pPr>
            <w:r>
              <w:rPr>
                <w:rFonts w:ascii="Arial" w:cs="Arial" w:eastAsia="Arial" w:hAnsi="Arial"/>
                <w:sz w:val="14"/>
                <w:szCs w:val="14"/>
                <w:color w:val="auto"/>
              </w:rPr>
              <w:t>F-58</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60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1" w:name="page202"/>
    <w:bookmarkEnd w:id="20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4"/>
          <w:szCs w:val="14"/>
          <w:color w:val="auto"/>
        </w:rPr>
        <w:t>As a result of our net loss for the periods presented, potentially dilutive securities were excluded from the computation, as their effect would be antidilutive. For the three month and nine month periods ended December 31, 2015, the accrual for dividends on our Series B Preferred and the deemed dividend attributable to the issuance of our Series B Preferred Units represent deductions from our net loss to arrive at net loss attributable to common stockholders for those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ind w:left="520"/>
              <w:spacing w:after="0"/>
              <w:rPr>
                <w:sz w:val="20"/>
                <w:szCs w:val="20"/>
                <w:color w:val="auto"/>
              </w:rPr>
            </w:pPr>
            <w:r>
              <w:rPr>
                <w:rFonts w:ascii="Arial" w:cs="Arial" w:eastAsia="Arial" w:hAnsi="Arial"/>
                <w:sz w:val="14"/>
                <w:szCs w:val="14"/>
                <w:color w:val="auto"/>
              </w:rPr>
              <w:t>Potentially dilutive securities excluded in determining diluted net loss per common share are as follows: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8840" w:type="dxa"/>
            <w:vAlign w:val="bottom"/>
          </w:tcPr>
          <w:p>
            <w:pPr>
              <w:spacing w:after="0"/>
              <w:rPr>
                <w:sz w:val="24"/>
                <w:szCs w:val="24"/>
                <w:color w:val="auto"/>
              </w:rPr>
            </w:pPr>
          </w:p>
        </w:tc>
        <w:tc>
          <w:tcPr>
            <w:tcW w:w="2620" w:type="dxa"/>
            <w:vAlign w:val="bottom"/>
            <w:gridSpan w:val="4"/>
          </w:tcPr>
          <w:p>
            <w:pPr>
              <w:ind w:left="660"/>
              <w:spacing w:after="0"/>
              <w:rPr>
                <w:sz w:val="20"/>
                <w:szCs w:val="20"/>
                <w:color w:val="auto"/>
              </w:rPr>
            </w:pPr>
            <w:r>
              <w:rPr>
                <w:rFonts w:ascii="Arial" w:cs="Arial" w:eastAsia="Arial" w:hAnsi="Arial"/>
                <w:sz w:val="14"/>
                <w:szCs w:val="14"/>
                <w:b w:val="1"/>
                <w:bCs w:val="1"/>
                <w:color w:val="auto"/>
              </w:rPr>
              <w:t>As of December 31,</w:t>
            </w:r>
          </w:p>
        </w:tc>
      </w:tr>
      <w:tr>
        <w:trPr>
          <w:trHeight w:val="172"/>
        </w:trPr>
        <w:tc>
          <w:tcPr>
            <w:tcW w:w="88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A Preferred stock issued and outstanding </w:t>
            </w:r>
            <w:r>
              <w:rPr>
                <w:rFonts w:ascii="Arial" w:cs="Arial" w:eastAsia="Arial" w:hAnsi="Arial"/>
                <w:sz w:val="19"/>
                <w:szCs w:val="19"/>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B Preferred stock issued and outstanding </w:t>
            </w:r>
            <w:r>
              <w:rPr>
                <w:rFonts w:ascii="Arial" w:cs="Arial" w:eastAsia="Arial" w:hAnsi="Arial"/>
                <w:sz w:val="19"/>
                <w:szCs w:val="19"/>
                <w:color w:val="auto"/>
                <w:vertAlign w:val="superscript"/>
              </w:rPr>
              <w:t>(2)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3,588,863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88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4"/>
              </w:rPr>
              <w:t>Warrant shares issuable to Platinum upon exercise of common stock warrants by Platinum upon exchange of Series A Preferred under the terms of the</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October 11, 2012 Note Exchange and Purchase Agreement, as subsequently amended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535,715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Outstanding options under the 2008 and 1999 Stock Incentive Plans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296,738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207,768</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Outstanding warrants to purchase common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4,971,497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999,840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w w:val="93"/>
              </w:rPr>
              <w:t>10% Senior Secured Convertible Notes issued to Platinum between October 2012 and July 2013, including accrued interest through December 31, 2014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433,311</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notes issued as a component of Unit Private Placements, including accrued interest through December 31, 2014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322,091</w:t>
            </w:r>
          </w:p>
        </w:tc>
      </w:tr>
      <w:tr>
        <w:trPr>
          <w:trHeight w:val="170"/>
        </w:trPr>
        <w:tc>
          <w:tcPr>
            <w:tcW w:w="88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10,142,813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3,088,010</w:t>
            </w:r>
          </w:p>
        </w:tc>
      </w:tr>
      <w:tr>
        <w:trPr>
          <w:trHeight w:val="150"/>
        </w:trPr>
        <w:tc>
          <w:tcPr>
            <w:tcW w:w="8840" w:type="dxa"/>
            <w:vAlign w:val="bottom"/>
            <w:tcBorders>
              <w:top w:val="single" w:sz="8" w:color="CCEEFF"/>
            </w:tcBorders>
          </w:tcPr>
          <w:p>
            <w:pPr>
              <w:spacing w:after="0" w:line="150" w:lineRule="exact"/>
              <w:rPr>
                <w:sz w:val="20"/>
                <w:szCs w:val="20"/>
                <w:color w:val="auto"/>
              </w:rPr>
            </w:pPr>
            <w:r>
              <w:rPr>
                <w:rFonts w:ascii="Arial" w:cs="Arial" w:eastAsia="Arial" w:hAnsi="Arial"/>
                <w:sz w:val="14"/>
                <w:szCs w:val="14"/>
                <w:color w:val="auto"/>
              </w:rPr>
              <w:t>____________</w:t>
            </w: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bl>
    <w:p>
      <w:pPr>
        <w:ind w:left="160" w:hanging="155"/>
        <w:spacing w:after="0" w:line="190" w:lineRule="auto"/>
        <w:tabs>
          <w:tab w:leader="none" w:pos="16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 as amended</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Certificate of Designation of the Relative Rights and Preferences of the Series B 10% Convertible Preferred Stock, effective May 5, 2015</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205" w:lineRule="exact"/>
        <w:rPr>
          <w:sz w:val="20"/>
          <w:szCs w:val="20"/>
          <w:color w:val="auto"/>
        </w:rPr>
      </w:pPr>
    </w:p>
    <w:p>
      <w:pPr>
        <w:ind w:right="340" w:firstLine="511"/>
        <w:spacing w:after="0" w:line="323" w:lineRule="auto"/>
        <w:rPr>
          <w:sz w:val="20"/>
          <w:szCs w:val="20"/>
          <w:color w:val="auto"/>
        </w:rPr>
      </w:pPr>
      <w:r>
        <w:rPr>
          <w:rFonts w:ascii="Arial" w:cs="Arial" w:eastAsia="Arial" w:hAnsi="Arial"/>
          <w:sz w:val="13"/>
          <w:szCs w:val="13"/>
          <w:color w:val="auto"/>
        </w:rPr>
        <w:t>There have been no recent accounting pronouncements or changes in accounting pronouncements during the nine months ended December 31, 2015, as compared to the recent accounting pronouncements described in the Company’s Form 10-K for the fiscal year ended March 31, 2015, that are of significance or potential significance to the Company.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2" w:name="page203"/>
    <w:bookmarkEnd w:id="20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Fair Value Measurements</w:t>
      </w:r>
    </w:p>
    <w:p>
      <w:pPr>
        <w:spacing w:after="0" w:line="205" w:lineRule="exact"/>
        <w:rPr>
          <w:sz w:val="20"/>
          <w:szCs w:val="20"/>
          <w:color w:val="auto"/>
        </w:rPr>
      </w:pPr>
    </w:p>
    <w:p>
      <w:pPr>
        <w:ind w:right="280" w:firstLine="511"/>
        <w:spacing w:after="0" w:line="283" w:lineRule="auto"/>
        <w:rPr>
          <w:sz w:val="20"/>
          <w:szCs w:val="20"/>
          <w:color w:val="auto"/>
        </w:rPr>
      </w:pPr>
      <w:r>
        <w:rPr>
          <w:rFonts w:ascii="Arial" w:cs="Arial" w:eastAsia="Arial" w:hAnsi="Arial"/>
          <w:sz w:val="14"/>
          <w:szCs w:val="14"/>
          <w:color w:val="auto"/>
        </w:rPr>
        <w:t>We follow the principles of fair value accounting as they relate to our financial assets and financial liabilities. The required fair value hierarchy that prioritizes observable and unobservable inputs used to measure and classify fair value into three broad levels is described as follows:</w:t>
      </w:r>
    </w:p>
    <w:p>
      <w:pPr>
        <w:spacing w:after="0" w:line="103" w:lineRule="exact"/>
        <w:rPr>
          <w:sz w:val="20"/>
          <w:szCs w:val="20"/>
          <w:color w:val="auto"/>
        </w:rPr>
      </w:pPr>
    </w:p>
    <w:p>
      <w:pPr>
        <w:ind w:left="980" w:hanging="410"/>
        <w:spacing w:after="0"/>
        <w:tabs>
          <w:tab w:leader="none" w:pos="98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 Quoted prices (unadjusted) in active markets for identical assets or liabilities.</w:t>
      </w:r>
    </w:p>
    <w:p>
      <w:pPr>
        <w:spacing w:after="0" w:line="181" w:lineRule="exact"/>
        <w:rPr>
          <w:rFonts w:ascii="Arial" w:cs="Arial" w:eastAsia="Arial" w:hAnsi="Arial"/>
          <w:sz w:val="20"/>
          <w:szCs w:val="20"/>
          <w:color w:val="auto"/>
          <w:vertAlign w:val="superscript"/>
        </w:rPr>
      </w:pPr>
    </w:p>
    <w:p>
      <w:pPr>
        <w:ind w:left="980" w:right="40" w:hanging="410"/>
        <w:spacing w:after="0" w:line="215" w:lineRule="auto"/>
        <w:tabs>
          <w:tab w:leader="none" w:pos="98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other than Level 1 that are observable, either directly or indirectly, such as quoted prices for similar assets or liabilities; quoted prices in markets that are not active;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 inputs that are observable or can be corroborated by observable market data for substantially the full term of the assets or liabilities.</w:t>
      </w:r>
    </w:p>
    <w:p>
      <w:pPr>
        <w:spacing w:after="0" w:line="182" w:lineRule="exact"/>
        <w:rPr>
          <w:rFonts w:ascii="Arial" w:cs="Arial" w:eastAsia="Arial" w:hAnsi="Arial"/>
          <w:sz w:val="20"/>
          <w:szCs w:val="20"/>
          <w:color w:val="auto"/>
          <w:vertAlign w:val="superscript"/>
        </w:rPr>
      </w:pPr>
    </w:p>
    <w:p>
      <w:pPr>
        <w:ind w:left="980" w:right="140" w:hanging="410"/>
        <w:spacing w:after="0" w:line="215" w:lineRule="auto"/>
        <w:tabs>
          <w:tab w:leader="none" w:pos="98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Unobservable inputs (</w:t>
      </w:r>
      <w:r>
        <w:rPr>
          <w:rFonts w:ascii="Arial" w:cs="Arial" w:eastAsia="Arial" w:hAnsi="Arial"/>
          <w:sz w:val="14"/>
          <w:szCs w:val="14"/>
          <w:i w:val="1"/>
          <w:iCs w:val="1"/>
          <w:color w:val="auto"/>
        </w:rPr>
        <w:t xml:space="preserve">i.e., </w:t>
      </w:r>
      <w:r>
        <w:rPr>
          <w:rFonts w:ascii="Arial" w:cs="Arial" w:eastAsia="Arial" w:hAnsi="Arial"/>
          <w:sz w:val="14"/>
          <w:szCs w:val="14"/>
          <w:color w:val="auto"/>
        </w:rPr>
        <w:t>inputs that reflect the reporting entity’s own assumptions about the assumptions that market participants would use in estimating the fair value of</w:t>
      </w:r>
      <w:r>
        <w:rPr>
          <w:rFonts w:ascii="Arial" w:cs="Arial" w:eastAsia="Arial" w:hAnsi="Arial"/>
          <w:sz w:val="14"/>
          <w:szCs w:val="14"/>
          <w:i w:val="1"/>
          <w:iCs w:val="1"/>
          <w:color w:val="auto"/>
        </w:rPr>
        <w:t xml:space="preserve"> </w:t>
      </w:r>
      <w:r>
        <w:rPr>
          <w:rFonts w:ascii="Arial" w:cs="Arial" w:eastAsia="Arial" w:hAnsi="Arial"/>
          <w:sz w:val="14"/>
          <w:szCs w:val="14"/>
          <w:color w:val="auto"/>
        </w:rPr>
        <w:t>an asset or liability) are used when little or no market data is available.</w:t>
      </w:r>
    </w:p>
    <w:p>
      <w:pPr>
        <w:spacing w:after="0" w:line="182" w:lineRule="exact"/>
        <w:rPr>
          <w:sz w:val="20"/>
          <w:szCs w:val="20"/>
          <w:color w:val="auto"/>
        </w:rPr>
      </w:pPr>
    </w:p>
    <w:p>
      <w:pPr>
        <w:ind w:right="60" w:firstLine="511"/>
        <w:spacing w:after="0" w:line="278" w:lineRule="auto"/>
        <w:rPr>
          <w:sz w:val="20"/>
          <w:szCs w:val="20"/>
          <w:color w:val="auto"/>
        </w:rPr>
      </w:pPr>
      <w:r>
        <w:rPr>
          <w:rFonts w:ascii="Arial" w:cs="Arial" w:eastAsia="Arial" w:hAnsi="Arial"/>
          <w:sz w:val="13"/>
          <w:szCs w:val="13"/>
          <w:color w:val="auto"/>
        </w:rPr>
        <w:t xml:space="preserve">We do not use derivative instruments for hedging of market risks or for trading or speculative purposes. In conjunction with the issuance to Platinum of the Senior Secured Convertible Promissory Notes and Platinum Warrants between October 2012 and July 2013, and the potential issuance of the Series A Preferred Exchange Warrant pursuant to Platinum’s exchange of the Series A Preferred stock that it holds into shares of our common stock, we determined that the Platinum Warrants included certain exercise price adjustment features that required the warrants to be treated as non-cash liabilities and recorded at their estimated fair value. Prior to their amendment in May 2015, as described below, we determined the initial fair value and subsequent fair value measurements of the warrant liability using a Monte Carlo simulation model with Level 3 inputs or the Black-Scholes Option Pricing model. Inputs used to determine fair value included the remaining contractual term of the Platinum Warrants, risk-free interest rates, expected volatility of the price of the underlying common stock, and the probability of a financing transaction or other equity issuance that would trigger a reset in the exercise price of the Platinum Warrants, and, in the case of the Series A Preferred Exchange Warrant, the probability of Platinum’s exchange of the shares of Series A preferred stock it holds into shares of common stock. As described more completely in Note 8, </w:t>
      </w:r>
      <w:r>
        <w:rPr>
          <w:rFonts w:ascii="Arial" w:cs="Arial" w:eastAsia="Arial" w:hAnsi="Arial"/>
          <w:sz w:val="13"/>
          <w:szCs w:val="13"/>
          <w:i w:val="1"/>
          <w:iCs w:val="1"/>
          <w:color w:val="auto"/>
        </w:rPr>
        <w:t>Capital Stock</w:t>
      </w:r>
      <w:r>
        <w:rPr>
          <w:rFonts w:ascii="Arial" w:cs="Arial" w:eastAsia="Arial" w:hAnsi="Arial"/>
          <w:sz w:val="13"/>
          <w:szCs w:val="13"/>
          <w:color w:val="auto"/>
        </w:rPr>
        <w:t>, on May 12, 2015, we entered into an agreement with Platinum pursuant to which we amended the Platinum Warrants to fix the exercise price thereof and eliminate the anti-dilution reset features that had previously required the Platinum Warrants to be treated as liabilities and carried at fair value. As a result of the agreement with Platinum, at May 12, 2015, we adjusted the Platinum Warrants to their fair value, estimated to be $4,903,200, reflecting an increase of $1,894,700 since March 31, 2015, which was recorded as a non-cash charge to other expense, net in the Condensed Consolidated Statements of Operations and Comprehensive Loss for the first quarter of our current fiscal year, and subsequently eliminated the warrant liability with respect to the Platinum Warrants, with a corresponding credit to Additional Paid-in Capital.</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fair value hierarchy for the warrant liability which had been measured at fair value on a recurring basis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 at Reporting Date Using</w:t>
            </w:r>
          </w:p>
        </w:tc>
      </w:tr>
      <w:tr>
        <w:trPr>
          <w:trHeight w:val="156"/>
        </w:trPr>
        <w:tc>
          <w:tcPr>
            <w:tcW w:w="6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0"/>
              </w:rPr>
              <w:t>Quoted Prices</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inActive Markets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for Identical</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Unobservable</w:t>
            </w: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170"/>
        </w:trPr>
        <w:tc>
          <w:tcPr>
            <w:tcW w:w="6080" w:type="dxa"/>
            <w:vAlign w:val="bottom"/>
          </w:tcPr>
          <w:p>
            <w:pPr>
              <w:spacing w:after="0"/>
              <w:rPr>
                <w:sz w:val="20"/>
                <w:szCs w:val="20"/>
                <w:color w:val="auto"/>
              </w:rPr>
            </w:pPr>
            <w:r>
              <w:rPr>
                <w:rFonts w:ascii="Arial" w:cs="Arial" w:eastAsia="Arial" w:hAnsi="Arial"/>
                <w:sz w:val="14"/>
                <w:szCs w:val="14"/>
                <w:color w:val="auto"/>
              </w:rPr>
              <w:t>December 31, 2015:</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 liability</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969"/>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w w:val="73"/>
              </w:rPr>
              <w:t>-</w:t>
            </w: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tcBorders>
              <w:left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3"/>
        </w:trPr>
        <w:tc>
          <w:tcPr>
            <w:tcW w:w="608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March 31, 2015:</w:t>
            </w: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 liability</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tcBorders>
              <w:left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3,008,500</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During the nine month period ended December 31, 2015, there was no significant change to the valuation models used for purposes of determining the fair value of the Level 3 warrant liability.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49"/>
        </w:trPr>
        <w:tc>
          <w:tcPr>
            <w:tcW w:w="6620" w:type="dxa"/>
            <w:vAlign w:val="bottom"/>
            <w:gridSpan w:val="3"/>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The changes in Level 3 liabilities measured at fair value on a recurring basis are as follows: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Using Significant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Unobservable Inputs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4"/>
                <w:szCs w:val="14"/>
                <w:b w:val="1"/>
                <w:bCs w:val="1"/>
                <w:color w:val="auto"/>
                <w:w w:val="91"/>
              </w:rPr>
              <w:t>(Level 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Warrant Liability</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Balance at March 31, 2015</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ind w:left="160"/>
              <w:spacing w:after="0"/>
              <w:rPr>
                <w:sz w:val="20"/>
                <w:szCs w:val="20"/>
                <w:color w:val="auto"/>
              </w:rPr>
            </w:pPr>
            <w:r>
              <w:rPr>
                <w:rFonts w:ascii="Arial" w:cs="Arial" w:eastAsia="Arial" w:hAnsi="Arial"/>
                <w:sz w:val="14"/>
                <w:szCs w:val="14"/>
                <w:color w:val="auto"/>
              </w:rPr>
              <w:t>Mark to market loss included in net loss</w:t>
            </w: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1,894,700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Elimination of liability upon modification of warrants</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(4,903,200</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Balance at December 31, 2015</w:t>
            </w: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We carried no assets or other liabilities at fair value at December 31, 2015 or March 31, 2015.</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Note 5. Prepaid Expenses and Other Current Assets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7620" w:type="dxa"/>
            <w:vAlign w:val="bottom"/>
            <w:gridSpan w:val="4"/>
          </w:tcPr>
          <w:p>
            <w:pPr>
              <w:ind w:left="520"/>
              <w:spacing w:after="0"/>
              <w:rPr>
                <w:sz w:val="20"/>
                <w:szCs w:val="20"/>
                <w:color w:val="auto"/>
              </w:rPr>
            </w:pPr>
            <w:r>
              <w:rPr>
                <w:rFonts w:ascii="Arial" w:cs="Arial" w:eastAsia="Arial" w:hAnsi="Arial"/>
                <w:sz w:val="14"/>
                <w:szCs w:val="14"/>
                <w:color w:val="auto"/>
                <w:w w:val="96"/>
              </w:rPr>
              <w:t>Prepaid expenses and other current assets are composed of the following at December 31, 2015 and March 31, 2015: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ind w:left="400"/>
              <w:spacing w:after="0"/>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480"/>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2015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Insurance</w:t>
            </w:r>
          </w:p>
        </w:tc>
        <w:tc>
          <w:tcPr>
            <w:tcW w:w="10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560" w:type="dxa"/>
            <w:vAlign w:val="bottom"/>
            <w:gridSpan w:val="3"/>
            <w:shd w:val="clear" w:color="auto" w:fill="CCEEFF"/>
          </w:tcPr>
          <w:p>
            <w:pPr>
              <w:jc w:val="right"/>
              <w:ind w:right="960"/>
              <w:spacing w:after="0"/>
              <w:rPr>
                <w:sz w:val="20"/>
                <w:szCs w:val="20"/>
                <w:color w:val="auto"/>
              </w:rPr>
            </w:pPr>
            <w:r>
              <w:rPr>
                <w:rFonts w:ascii="Arial" w:cs="Arial" w:eastAsia="Arial" w:hAnsi="Arial"/>
                <w:sz w:val="14"/>
                <w:szCs w:val="14"/>
                <w:color w:val="auto"/>
              </w:rPr>
              <w:t>51,600</w:t>
            </w:r>
          </w:p>
        </w:tc>
        <w:tc>
          <w:tcPr>
            <w:tcW w:w="74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27,300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spacing w:after="0"/>
              <w:rPr>
                <w:sz w:val="20"/>
                <w:szCs w:val="20"/>
                <w:color w:val="auto"/>
              </w:rPr>
            </w:pPr>
            <w:r>
              <w:rPr>
                <w:rFonts w:ascii="Arial" w:cs="Arial" w:eastAsia="Arial" w:hAnsi="Arial"/>
                <w:sz w:val="14"/>
                <w:szCs w:val="14"/>
                <w:color w:val="auto"/>
              </w:rPr>
              <w:t>Prepaid compensation under financial advisory and other consulting agreements</w:t>
            </w:r>
          </w:p>
        </w:tc>
        <w:tc>
          <w:tcPr>
            <w:tcW w:w="1000" w:type="dxa"/>
            <w:vAlign w:val="bottom"/>
          </w:tcPr>
          <w:p>
            <w:pPr>
              <w:spacing w:after="0"/>
              <w:rPr>
                <w:sz w:val="14"/>
                <w:szCs w:val="14"/>
                <w:color w:val="auto"/>
              </w:rPr>
            </w:pP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675,000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Legal fees</w:t>
            </w:r>
          </w:p>
        </w:tc>
        <w:tc>
          <w:tcPr>
            <w:tcW w:w="100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jc w:val="right"/>
              <w:ind w:right="9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3,400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20" w:type="dxa"/>
            <w:vAlign w:val="bottom"/>
            <w:gridSpan w:val="3"/>
          </w:tcPr>
          <w:p>
            <w:pPr>
              <w:spacing w:after="0"/>
              <w:rPr>
                <w:sz w:val="20"/>
                <w:szCs w:val="20"/>
                <w:color w:val="auto"/>
              </w:rPr>
            </w:pPr>
            <w:r>
              <w:rPr>
                <w:rFonts w:ascii="Arial" w:cs="Arial" w:eastAsia="Arial" w:hAnsi="Arial"/>
                <w:sz w:val="14"/>
                <w:szCs w:val="14"/>
                <w:color w:val="auto"/>
              </w:rPr>
              <w:t>Technology license fees and all other</w:t>
            </w:r>
          </w:p>
        </w:tc>
        <w:tc>
          <w:tcPr>
            <w:tcW w:w="1000" w:type="dxa"/>
            <w:vAlign w:val="bottom"/>
          </w:tcPr>
          <w:p>
            <w:pPr>
              <w:spacing w:after="0"/>
              <w:rPr>
                <w:sz w:val="14"/>
                <w:szCs w:val="14"/>
                <w:color w:val="auto"/>
              </w:rPr>
            </w:pP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1,700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5,000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5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728,300</w:t>
            </w:r>
          </w:p>
        </w:tc>
        <w:tc>
          <w:tcPr>
            <w:tcW w:w="740" w:type="dxa"/>
            <w:vAlign w:val="bottom"/>
            <w:gridSpan w:val="3"/>
          </w:tcPr>
          <w:p>
            <w:pPr>
              <w:ind w:left="660"/>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35,700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 6. Accrued Expenses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6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Accrued expenses are composed of the following at December 31, 2015 and March 31, 2015:</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jc w:val="center"/>
              <w:ind w:right="1140"/>
              <w:spacing w:after="0"/>
              <w:rPr>
                <w:sz w:val="20"/>
                <w:szCs w:val="20"/>
                <w:color w:val="auto"/>
              </w:rPr>
            </w:pPr>
            <w:r>
              <w:rPr>
                <w:rFonts w:ascii="Arial" w:cs="Arial" w:eastAsia="Arial" w:hAnsi="Arial"/>
                <w:sz w:val="14"/>
                <w:szCs w:val="14"/>
                <w:color w:val="auto"/>
                <w:w w:val="88"/>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right"/>
              <w:ind w:right="800"/>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w w:val="89"/>
              </w:rPr>
              <w:t>2015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Accrued professional services</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367,000</w:t>
            </w:r>
          </w:p>
        </w:tc>
        <w:tc>
          <w:tcPr>
            <w:tcW w:w="9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213,800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spacing w:after="0"/>
              <w:rPr>
                <w:sz w:val="20"/>
                <w:szCs w:val="20"/>
                <w:color w:val="auto"/>
              </w:rPr>
            </w:pPr>
            <w:r>
              <w:rPr>
                <w:rFonts w:ascii="Arial" w:cs="Arial" w:eastAsia="Arial" w:hAnsi="Arial"/>
                <w:sz w:val="14"/>
                <w:szCs w:val="14"/>
                <w:color w:val="auto"/>
              </w:rPr>
              <w:t>Accrued compensation</w:t>
            </w:r>
          </w:p>
        </w:tc>
        <w:tc>
          <w:tcPr>
            <w:tcW w:w="10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561,100</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990,700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 other</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56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gridSpan w:val="2"/>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929,100</w:t>
            </w:r>
          </w:p>
        </w:tc>
        <w:tc>
          <w:tcPr>
            <w:tcW w:w="9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1,206,500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900" w:type="dxa"/>
            <w:vAlign w:val="bottom"/>
            <w:tcBorders>
              <w:top w:val="single" w:sz="8" w:color="CCEEFF"/>
            </w:tcBorders>
          </w:tcPr>
          <w:p>
            <w:pPr>
              <w:spacing w:after="0"/>
              <w:rPr>
                <w:sz w:val="24"/>
                <w:szCs w:val="24"/>
                <w:color w:val="auto"/>
              </w:rPr>
            </w:pPr>
          </w:p>
        </w:tc>
        <w:tc>
          <w:tcPr>
            <w:tcW w:w="5640" w:type="dxa"/>
            <w:vAlign w:val="bottom"/>
            <w:tcBorders>
              <w:top w:val="single" w:sz="8" w:color="CCEEFF"/>
            </w:tcBorders>
          </w:tcPr>
          <w:p>
            <w:pPr>
              <w:ind w:left="4700"/>
              <w:spacing w:after="0"/>
              <w:rPr>
                <w:sz w:val="20"/>
                <w:szCs w:val="20"/>
                <w:color w:val="auto"/>
              </w:rPr>
            </w:pPr>
            <w:r>
              <w:rPr>
                <w:rFonts w:ascii="Arial" w:cs="Arial" w:eastAsia="Arial" w:hAnsi="Arial"/>
                <w:sz w:val="14"/>
                <w:szCs w:val="14"/>
                <w:color w:val="auto"/>
              </w:rPr>
              <w:t>F-61</w:t>
            </w: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56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04" w:name="page205"/>
    <w:bookmarkEnd w:id="204"/>
    <w:p>
      <w:pPr>
        <w:spacing w:after="0" w:line="51" w:lineRule="exact"/>
        <w:rPr>
          <w:sz w:val="20"/>
          <w:szCs w:val="20"/>
          <w:color w:val="auto"/>
        </w:rPr>
      </w:pPr>
    </w:p>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Convertible Promissory Notes and Other Notes Payable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secured and unsecured convertible promissory notes and other notes payable at December 31, 2015 and March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March 31, 2015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69"/>
              <w:spacing w:after="0" w:line="160" w:lineRule="exact"/>
              <w:rPr>
                <w:sz w:val="20"/>
                <w:szCs w:val="20"/>
                <w:color w:val="auto"/>
              </w:rPr>
            </w:pPr>
            <w:r>
              <w:rPr>
                <w:rFonts w:ascii="Arial" w:cs="Arial" w:eastAsia="Arial" w:hAnsi="Arial"/>
                <w:sz w:val="14"/>
                <w:szCs w:val="14"/>
                <w:color w:val="auto"/>
              </w:rPr>
              <w:t>Accrued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69"/>
              <w:spacing w:after="0" w:line="160" w:lineRule="exact"/>
              <w:rPr>
                <w:sz w:val="20"/>
                <w:szCs w:val="20"/>
                <w:color w:val="auto"/>
              </w:rPr>
            </w:pPr>
            <w:r>
              <w:rPr>
                <w:rFonts w:ascii="Arial" w:cs="Arial" w:eastAsia="Arial" w:hAnsi="Arial"/>
                <w:sz w:val="14"/>
                <w:szCs w:val="14"/>
                <w:color w:val="auto"/>
              </w:rPr>
              <w:t>Accrued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r>
      <w:tr>
        <w:trPr>
          <w:trHeight w:val="160"/>
        </w:trPr>
        <w:tc>
          <w:tcPr>
            <w:tcW w:w="3340" w:type="dxa"/>
            <w:vAlign w:val="bottom"/>
          </w:tcPr>
          <w:p>
            <w:pPr>
              <w:spacing w:after="0" w:line="160" w:lineRule="exact"/>
              <w:rPr>
                <w:sz w:val="20"/>
                <w:szCs w:val="20"/>
                <w:color w:val="auto"/>
              </w:rPr>
            </w:pPr>
            <w:r>
              <w:rPr>
                <w:rFonts w:ascii="Arial" w:cs="Arial" w:eastAsia="Arial" w:hAnsi="Arial"/>
                <w:sz w:val="14"/>
                <w:szCs w:val="14"/>
                <w:b w:val="1"/>
                <w:bCs w:val="1"/>
                <w:i w:val="1"/>
                <w:iCs w:val="1"/>
                <w:color w:val="auto"/>
                <w:w w:val="97"/>
              </w:rPr>
              <w:t>Senior Secured 10% Convertible Promissory Notes</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issued to Platinum:</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3340" w:type="dxa"/>
            <w:vAlign w:val="bottom"/>
            <w:shd w:val="clear" w:color="auto" w:fill="CCEEFF"/>
          </w:tcPr>
          <w:p>
            <w:pPr>
              <w:ind w:left="160"/>
              <w:spacing w:after="0" w:line="160" w:lineRule="exact"/>
              <w:rPr>
                <w:sz w:val="20"/>
                <w:szCs w:val="20"/>
                <w:color w:val="auto"/>
              </w:rPr>
            </w:pPr>
            <w:r>
              <w:rPr>
                <w:rFonts w:ascii="Arial" w:cs="Arial" w:eastAsia="Arial" w:hAnsi="Arial"/>
                <w:sz w:val="14"/>
                <w:szCs w:val="14"/>
                <w:color w:val="auto"/>
                <w:w w:val="96"/>
              </w:rPr>
              <w:t>Total Senior notes issued between October 11, 2012</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and July 23, 2013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3,522,600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919,700</w:t>
            </w:r>
          </w:p>
        </w:tc>
        <w:tc>
          <w:tcPr>
            <w:tcW w:w="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4,442,300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(3,272,600)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(873,500)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(4,146,100)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Senior notes - non-current portion</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250,000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46,200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296,200</w:t>
            </w:r>
          </w:p>
        </w:tc>
      </w:tr>
      <w:tr>
        <w:trPr>
          <w:trHeight w:val="153"/>
        </w:trPr>
        <w:tc>
          <w:tcPr>
            <w:tcW w:w="33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10% Convertible Promissory Notes (Unit Notes)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rPr>
              <w:t>2014 Unit Notes, including amended notes, due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jc w:val="right"/>
              <w:ind w:right="2509"/>
              <w:spacing w:after="0"/>
              <w:rPr>
                <w:sz w:val="20"/>
                <w:szCs w:val="20"/>
                <w:color w:val="auto"/>
              </w:rPr>
            </w:pPr>
            <w:r>
              <w:rPr>
                <w:rFonts w:ascii="Arial" w:cs="Arial" w:eastAsia="Arial" w:hAnsi="Arial"/>
                <w:sz w:val="14"/>
                <w:szCs w:val="14"/>
                <w:color w:val="auto"/>
              </w:rPr>
              <w:t>3/31/15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4,066,900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270,700</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4,337,600</w:t>
            </w:r>
          </w:p>
        </w:tc>
      </w:tr>
      <w:tr>
        <w:trPr>
          <w:trHeight w:val="172"/>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Note discounts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(180,000)</w:t>
            </w:r>
          </w:p>
        </w:tc>
      </w:tr>
      <w:tr>
        <w:trPr>
          <w:trHeight w:val="160"/>
        </w:trPr>
        <w:tc>
          <w:tcPr>
            <w:tcW w:w="3340" w:type="dxa"/>
            <w:vAlign w:val="bottom"/>
            <w:tcBorders>
              <w:top w:val="single" w:sz="8" w:color="CCEEFF"/>
            </w:tcBorders>
          </w:tcPr>
          <w:p>
            <w:pPr>
              <w:ind w:left="320"/>
              <w:spacing w:after="0" w:line="160" w:lineRule="exact"/>
              <w:rPr>
                <w:sz w:val="20"/>
                <w:szCs w:val="20"/>
                <w:color w:val="auto"/>
              </w:rPr>
            </w:pPr>
            <w:r>
              <w:rPr>
                <w:rFonts w:ascii="Arial" w:cs="Arial" w:eastAsia="Arial" w:hAnsi="Arial"/>
                <w:sz w:val="14"/>
                <w:szCs w:val="14"/>
                <w:color w:val="auto"/>
              </w:rPr>
              <w:t>Net convertible notes (all current at March 31,</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81"/>
        </w:trPr>
        <w:tc>
          <w:tcPr>
            <w:tcW w:w="3340" w:type="dxa"/>
            <w:vAlign w:val="bottom"/>
          </w:tcPr>
          <w:p>
            <w:pPr>
              <w:jc w:val="right"/>
              <w:ind w:right="2469"/>
              <w:spacing w:after="0"/>
              <w:rPr>
                <w:sz w:val="20"/>
                <w:szCs w:val="20"/>
                <w:color w:val="auto"/>
              </w:rPr>
            </w:pPr>
            <w:r>
              <w:rPr>
                <w:rFonts w:ascii="Arial" w:cs="Arial" w:eastAsia="Arial" w:hAnsi="Arial"/>
                <w:sz w:val="14"/>
                <w:szCs w:val="14"/>
                <w:color w:val="auto"/>
              </w:rPr>
              <w:t>2015)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3,886,900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270,700</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4,157,600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spacing w:after="0"/>
              <w:rPr>
                <w:sz w:val="20"/>
                <w:szCs w:val="20"/>
                <w:color w:val="auto"/>
              </w:rPr>
            </w:pPr>
            <w:r>
              <w:rPr>
                <w:rFonts w:ascii="Arial" w:cs="Arial" w:eastAsia="Arial" w:hAnsi="Arial"/>
                <w:sz w:val="14"/>
                <w:szCs w:val="14"/>
                <w:b w:val="1"/>
                <w:bCs w:val="1"/>
                <w:i w:val="1"/>
                <w:iCs w:val="1"/>
                <w:color w:val="auto"/>
              </w:rPr>
              <w:t>Notes Payable to unrelated parties: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3340" w:type="dxa"/>
            <w:vAlign w:val="bottom"/>
            <w:shd w:val="clear" w:color="auto" w:fill="CCEEFF"/>
          </w:tcPr>
          <w:p>
            <w:pPr>
              <w:ind w:left="160"/>
              <w:spacing w:after="0" w:line="160" w:lineRule="exact"/>
              <w:rPr>
                <w:sz w:val="20"/>
                <w:szCs w:val="20"/>
                <w:color w:val="auto"/>
              </w:rPr>
            </w:pPr>
            <w:r>
              <w:rPr>
                <w:rFonts w:ascii="Arial" w:cs="Arial" w:eastAsia="Arial" w:hAnsi="Arial"/>
                <w:sz w:val="14"/>
                <w:szCs w:val="14"/>
                <w:color w:val="auto"/>
                <w:w w:val="95"/>
              </w:rPr>
              <w:t>7.5% Notes payable to service providers for accounts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payable converted to notes payable:</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Burr, Pilger, Mayer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90,400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13,100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103,500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Desjardins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180,400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McCarthy Tetrault</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319,700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46,000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365,700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August 2012 Morrison &amp; Foerster Note A</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918,200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1,111,400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August 2012 Morrison &amp; Foerster Note B</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1,379,400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1,712,500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University Health Network</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549,500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651,300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3,413,500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4,124,800</w:t>
            </w:r>
          </w:p>
        </w:tc>
      </w:tr>
      <w:tr>
        <w:trPr>
          <w:trHeight w:val="170"/>
        </w:trPr>
        <w:tc>
          <w:tcPr>
            <w:tcW w:w="3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Note discount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(474,500)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(474,500)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2,939,000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3,650,300</w:t>
            </w:r>
          </w:p>
        </w:tc>
      </w:tr>
      <w:tr>
        <w:trPr>
          <w:trHeight w:val="160"/>
        </w:trPr>
        <w:tc>
          <w:tcPr>
            <w:tcW w:w="3340" w:type="dxa"/>
            <w:vAlign w:val="bottom"/>
            <w:shd w:val="clear" w:color="auto" w:fill="CCEEFF"/>
          </w:tcPr>
          <w:p>
            <w:pPr>
              <w:ind w:left="480"/>
              <w:spacing w:after="0" w:line="160" w:lineRule="exact"/>
              <w:rPr>
                <w:sz w:val="20"/>
                <w:szCs w:val="20"/>
                <w:color w:val="auto"/>
              </w:rPr>
            </w:pPr>
            <w:r>
              <w:rPr>
                <w:rFonts w:ascii="Arial" w:cs="Arial" w:eastAsia="Arial" w:hAnsi="Arial"/>
                <w:sz w:val="14"/>
                <w:szCs w:val="14"/>
                <w:color w:val="auto"/>
                <w:w w:val="97"/>
              </w:rPr>
              <w:t>less: current portion (and discount at March 31,</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(2,939,000)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(3,650,300)</w:t>
            </w:r>
          </w:p>
        </w:tc>
      </w:tr>
      <w:tr>
        <w:trPr>
          <w:trHeight w:val="22"/>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non-current portion and discount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rPr>
              <w:t>5.67% and 10.25% Notes payable to insurance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320"/>
              <w:spacing w:after="0"/>
              <w:rPr>
                <w:sz w:val="20"/>
                <w:szCs w:val="20"/>
                <w:color w:val="auto"/>
              </w:rPr>
            </w:pPr>
            <w:r>
              <w:rPr>
                <w:rFonts w:ascii="Arial" w:cs="Arial" w:eastAsia="Arial" w:hAnsi="Arial"/>
                <w:sz w:val="14"/>
                <w:szCs w:val="14"/>
                <w:color w:val="auto"/>
              </w:rPr>
              <w:t>premium financing company (current)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5,800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5,800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w w:val="97"/>
              </w:rPr>
              <w:t>10% Notes payable to vendors for accounts payable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320"/>
              <w:spacing w:after="0"/>
              <w:rPr>
                <w:sz w:val="20"/>
                <w:szCs w:val="20"/>
                <w:color w:val="auto"/>
              </w:rPr>
            </w:pPr>
            <w:r>
              <w:rPr>
                <w:rFonts w:ascii="Arial" w:cs="Arial" w:eastAsia="Arial" w:hAnsi="Arial"/>
                <w:sz w:val="14"/>
                <w:szCs w:val="14"/>
                <w:color w:val="auto"/>
              </w:rPr>
              <w:t>converted to notes payable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26,300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7,000</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33,300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378,300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51,500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429,800</w:t>
            </w:r>
          </w:p>
        </w:tc>
      </w:tr>
      <w:tr>
        <w:trPr>
          <w:trHeight w:val="17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(33,300)</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(429,800)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ind w:left="160"/>
              <w:spacing w:after="0"/>
              <w:rPr>
                <w:sz w:val="20"/>
                <w:szCs w:val="20"/>
                <w:color w:val="auto"/>
              </w:rPr>
            </w:pPr>
            <w:r>
              <w:rPr>
                <w:rFonts w:ascii="Arial" w:cs="Arial" w:eastAsia="Arial" w:hAnsi="Arial"/>
                <w:sz w:val="14"/>
                <w:szCs w:val="14"/>
                <w:color w:val="auto"/>
              </w:rPr>
              <w:t>7.0% Note payable (August 2012)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58,800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11,000</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69,800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58,800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7,900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66,700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(40,500)</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(31,100)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7.0% Notes payable - 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29,300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35,600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35,600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Total notes payable to unrelated parties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85,100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18,000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103,100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3,381,900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770,700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4,152,600</w:t>
            </w:r>
          </w:p>
        </w:tc>
      </w:tr>
      <w:tr>
        <w:trPr>
          <w:trHeight w:val="160"/>
        </w:trPr>
        <w:tc>
          <w:tcPr>
            <w:tcW w:w="3340" w:type="dxa"/>
            <w:vAlign w:val="bottom"/>
            <w:shd w:val="clear" w:color="auto" w:fill="CCEEFF"/>
          </w:tcPr>
          <w:p>
            <w:pPr>
              <w:ind w:left="480"/>
              <w:spacing w:after="0" w:line="160" w:lineRule="exact"/>
              <w:rPr>
                <w:sz w:val="20"/>
                <w:szCs w:val="20"/>
                <w:color w:val="auto"/>
              </w:rPr>
            </w:pPr>
            <w:r>
              <w:rPr>
                <w:rFonts w:ascii="Arial" w:cs="Arial" w:eastAsia="Arial" w:hAnsi="Arial"/>
                <w:sz w:val="14"/>
                <w:szCs w:val="14"/>
                <w:color w:val="auto"/>
                <w:w w:val="97"/>
              </w:rPr>
              <w:t>less: current portion (and discount at March 31,</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(55,800)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(73,800)</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(3,346,300)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(770,700)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(4,117,000)</w:t>
            </w:r>
          </w:p>
        </w:tc>
      </w:tr>
      <w:tr>
        <w:trPr>
          <w:trHeight w:val="22"/>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Net 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29,300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35,600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35,600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spacing w:after="0"/>
              <w:rPr>
                <w:sz w:val="20"/>
                <w:szCs w:val="20"/>
                <w:color w:val="auto"/>
              </w:rPr>
            </w:pPr>
            <w:r>
              <w:rPr>
                <w:rFonts w:ascii="Arial" w:cs="Arial" w:eastAsia="Arial" w:hAnsi="Arial"/>
                <w:sz w:val="14"/>
                <w:szCs w:val="14"/>
                <w:b w:val="1"/>
                <w:bCs w:val="1"/>
                <w:i w:val="1"/>
                <w:iCs w:val="1"/>
                <w:color w:val="auto"/>
              </w:rPr>
              <w:t>Notes payable to related parties: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October 2012 7.5% Note to Cato Holding Co.</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293,600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349,500</w:t>
            </w:r>
          </w:p>
        </w:tc>
      </w:tr>
      <w:tr>
        <w:trPr>
          <w:trHeight w:val="170"/>
        </w:trPr>
        <w:tc>
          <w:tcPr>
            <w:tcW w:w="3340" w:type="dxa"/>
            <w:vAlign w:val="bottom"/>
          </w:tcPr>
          <w:p>
            <w:pPr>
              <w:ind w:left="160"/>
              <w:spacing w:after="0"/>
              <w:rPr>
                <w:sz w:val="20"/>
                <w:szCs w:val="20"/>
                <w:color w:val="auto"/>
              </w:rPr>
            </w:pPr>
            <w:r>
              <w:rPr>
                <w:rFonts w:ascii="Arial" w:cs="Arial" w:eastAsia="Arial" w:hAnsi="Arial"/>
                <w:sz w:val="14"/>
                <w:szCs w:val="14"/>
                <w:color w:val="auto"/>
              </w:rPr>
              <w:t>October 2012 7.5% Note to Cato Research Ltd.</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1,009,000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204,800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1,213,800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1,302,600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1,563,300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Note discount</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(54,500)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(54,500)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notes payable to related parties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1,248,100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1,508,800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less: current portion</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(1,248,100)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(260,700)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(1,508,800)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3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non-current portion and discount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60" w:firstLine="469"/>
        <w:spacing w:after="0" w:line="281" w:lineRule="auto"/>
        <w:rPr>
          <w:sz w:val="20"/>
          <w:szCs w:val="20"/>
          <w:color w:val="auto"/>
        </w:rPr>
      </w:pPr>
      <w:r>
        <w:rPr>
          <w:rFonts w:ascii="Arial" w:cs="Arial" w:eastAsia="Arial" w:hAnsi="Arial"/>
          <w:sz w:val="15"/>
          <w:szCs w:val="15"/>
          <w:color w:val="auto"/>
        </w:rPr>
        <w:t xml:space="preserve">Between March 31, 2015 and December 31, 2015, we have extinguished the outstanding balances of approximately $17.2 million of indebtedness, including all senior secured promissory notes, all except $85,100 principal of unsecured promissory notes, and a substantial portion of other indebtedness, and certain adjustments thereto, that were either due and payable or would have become due and payable prior to March 31, 2016, by converting all such indebtedness into shares of our Series B Preferred (which is described more completely below under the caption </w:t>
      </w:r>
      <w:r>
        <w:rPr>
          <w:rFonts w:ascii="Arial" w:cs="Arial" w:eastAsia="Arial" w:hAnsi="Arial"/>
          <w:sz w:val="15"/>
          <w:szCs w:val="15"/>
          <w:i w:val="1"/>
          <w:iCs w:val="1"/>
          <w:color w:val="auto"/>
        </w:rPr>
        <w:t>Creation of Series B Preferred Stock</w:t>
      </w:r>
      <w:r>
        <w:rPr>
          <w:rFonts w:ascii="Arial" w:cs="Arial" w:eastAsia="Arial" w:hAnsi="Arial"/>
          <w:sz w:val="15"/>
          <w:szCs w:val="15"/>
          <w:color w:val="auto"/>
        </w:rPr>
        <w:t xml:space="preserve"> in Note 8, </w:t>
      </w:r>
      <w:r>
        <w:rPr>
          <w:rFonts w:ascii="Arial" w:cs="Arial" w:eastAsia="Arial" w:hAnsi="Arial"/>
          <w:sz w:val="15"/>
          <w:szCs w:val="15"/>
          <w:i w:val="1"/>
          <w:iCs w:val="1"/>
          <w:color w:val="auto"/>
        </w:rPr>
        <w:t>Capital Stock</w:t>
      </w:r>
      <w:r>
        <w:rPr>
          <w:rFonts w:ascii="Arial" w:cs="Arial" w:eastAsia="Arial" w:hAnsi="Arial"/>
          <w:sz w:val="15"/>
          <w:szCs w:val="15"/>
          <w:color w:val="auto"/>
        </w:rPr>
        <w:t>). Significant changes in and conversions of our convertible promissory notes and other promissory notes since March 31, 2015 are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 Convertible Notes Issued in Connection with 2014 Unit Private Placement</w:t>
      </w:r>
    </w:p>
    <w:p>
      <w:pPr>
        <w:spacing w:after="0" w:line="201" w:lineRule="exact"/>
        <w:rPr>
          <w:sz w:val="20"/>
          <w:szCs w:val="20"/>
          <w:color w:val="auto"/>
        </w:rPr>
      </w:pPr>
    </w:p>
    <w:p>
      <w:pPr>
        <w:ind w:right="40" w:firstLine="511"/>
        <w:spacing w:after="0" w:line="279" w:lineRule="auto"/>
        <w:rPr>
          <w:sz w:val="20"/>
          <w:szCs w:val="20"/>
          <w:color w:val="auto"/>
        </w:rPr>
      </w:pPr>
      <w:r>
        <w:rPr>
          <w:rFonts w:ascii="Arial" w:cs="Arial" w:eastAsia="Arial" w:hAnsi="Arial"/>
          <w:sz w:val="13"/>
          <w:szCs w:val="13"/>
          <w:color w:val="auto"/>
        </w:rPr>
        <w:t xml:space="preserve">As described more completely under the caption </w:t>
      </w:r>
      <w:r>
        <w:rPr>
          <w:rFonts w:ascii="Arial" w:cs="Arial" w:eastAsia="Arial" w:hAnsi="Arial"/>
          <w:sz w:val="13"/>
          <w:szCs w:val="13"/>
          <w:i w:val="1"/>
          <w:iCs w:val="1"/>
          <w:color w:val="auto"/>
        </w:rPr>
        <w:t>2014 Unit Private Placement</w:t>
      </w:r>
      <w:r>
        <w:rPr>
          <w:rFonts w:ascii="Arial" w:cs="Arial" w:eastAsia="Arial" w:hAnsi="Arial"/>
          <w:sz w:val="13"/>
          <w:szCs w:val="13"/>
          <w:color w:val="auto"/>
        </w:rPr>
        <w:t xml:space="preserve"> in Note 8,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between April 1, 2015 and May 14, 2015, we issued to accredited investors in self-placed private placement transactions 10% convertible notes (the </w:t>
      </w:r>
      <w:r>
        <w:rPr>
          <w:rFonts w:ascii="Arial" w:cs="Arial" w:eastAsia="Arial" w:hAnsi="Arial"/>
          <w:sz w:val="13"/>
          <w:szCs w:val="13"/>
          <w:i w:val="1"/>
          <w:iCs w:val="1"/>
          <w:color w:val="auto"/>
        </w:rPr>
        <w:t>2014 Unit Notes</w:t>
      </w:r>
      <w:r>
        <w:rPr>
          <w:rFonts w:ascii="Arial" w:cs="Arial" w:eastAsia="Arial" w:hAnsi="Arial"/>
          <w:sz w:val="13"/>
          <w:szCs w:val="13"/>
          <w:color w:val="auto"/>
        </w:rPr>
        <w:t>) in the aggregate face amount of $280,000. The 2014 Unit Notes issued in April and May 2015 represented a continuation of the 2014 Unit Private Placement pursuant to which we had issued in self-placed private placement transactions to accredited investors an aggregate of $3,113,500 principal amount of substantially similar notes between late-March 2014 and March 31, 2015. The 2014 Unit Notes matured between April 30, 2015 and May 15, 2015 (</w:t>
      </w:r>
      <w:r>
        <w:rPr>
          <w:rFonts w:ascii="Arial" w:cs="Arial" w:eastAsia="Arial" w:hAnsi="Arial"/>
          <w:sz w:val="13"/>
          <w:szCs w:val="13"/>
          <w:i w:val="1"/>
          <w:iCs w:val="1"/>
          <w:color w:val="auto"/>
        </w:rPr>
        <w:t>Maturity</w:t>
      </w:r>
      <w:r>
        <w:rPr>
          <w:rFonts w:ascii="Arial" w:cs="Arial" w:eastAsia="Arial" w:hAnsi="Arial"/>
          <w:sz w:val="13"/>
          <w:szCs w:val="13"/>
          <w:color w:val="auto"/>
        </w:rPr>
        <w:t xml:space="preserve">) and the outstanding principal of the 2014 Unit Notes and their related accrued interest (the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was convertible into shares of our common stock at a conversion price of $10.00 per share at or prior to Maturity, at the option of the accredited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3"/>
          <w:szCs w:val="13"/>
          <w:i w:val="1"/>
          <w:iCs w:val="1"/>
          <w:color w:val="auto"/>
        </w:rPr>
        <w:t>Qualified Financing</w:t>
      </w:r>
      <w:r>
        <w:rPr>
          <w:rFonts w:ascii="Arial" w:cs="Arial" w:eastAsia="Arial" w:hAnsi="Arial"/>
          <w:sz w:val="13"/>
          <w:szCs w:val="13"/>
          <w:color w:val="auto"/>
        </w:rPr>
        <w:t>), the Outstanding Balance of the 2014 Unit Notes would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w:t>
      </w:r>
    </w:p>
    <w:p>
      <w:pPr>
        <w:spacing w:after="0" w:line="161" w:lineRule="exact"/>
        <w:rPr>
          <w:sz w:val="20"/>
          <w:szCs w:val="20"/>
          <w:color w:val="auto"/>
        </w:rPr>
      </w:pPr>
    </w:p>
    <w:p>
      <w:pPr>
        <w:ind w:right="20" w:firstLine="511"/>
        <w:spacing w:after="0" w:line="306" w:lineRule="auto"/>
        <w:rPr>
          <w:sz w:val="20"/>
          <w:szCs w:val="20"/>
          <w:color w:val="auto"/>
        </w:rPr>
      </w:pPr>
      <w:r>
        <w:rPr>
          <w:rFonts w:ascii="Arial" w:cs="Arial" w:eastAsia="Arial" w:hAnsi="Arial"/>
          <w:sz w:val="12"/>
          <w:szCs w:val="12"/>
          <w:color w:val="auto"/>
        </w:rPr>
        <w:t>We allocated the proceeds from the self-placed private placement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contained an embedded conversion feature having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amortized the discounts attributable to the 2014 Unit Notes issued in April and May 2015, an aggregate of $277,200, using the effective interest method over the respective term of each 2014 Unit Note. Because the discount on each of these 2014 Unit Notes represented 99% of its initial face value, and because we were required to amortize such discount over the period from issuance to maturity, which was no more than two months for these notes, the calculated effective interest rate is extremely</w:t>
      </w:r>
    </w:p>
    <w:p>
      <w:pPr>
        <w:sectPr>
          <w:pgSz w:w="11900" w:h="16889" w:orient="portrait"/>
          <w:cols w:equalWidth="0" w:num="1">
            <w:col w:w="11460"/>
          </w:cols>
          <w:pgMar w:left="220" w:top="133" w:right="219" w:bottom="0" w:gutter="0" w:footer="0" w:header="0"/>
        </w:sectPr>
      </w:pPr>
    </w:p>
    <w:bookmarkStart w:id="205" w:name="page206"/>
    <w:bookmarkEnd w:id="205"/>
    <w:p>
      <w:pPr>
        <w:spacing w:after="0" w:line="283" w:lineRule="auto"/>
        <w:rPr>
          <w:sz w:val="20"/>
          <w:szCs w:val="20"/>
          <w:color w:val="auto"/>
        </w:rPr>
      </w:pPr>
      <w:r>
        <w:rPr>
          <w:rFonts w:ascii="Arial" w:cs="Arial" w:eastAsia="Arial" w:hAnsi="Arial"/>
          <w:sz w:val="14"/>
          <w:szCs w:val="14"/>
          <w:color w:val="auto"/>
        </w:rPr>
        <w:t>high. Based on the amounts of their respective discounts and the term between issuance and maturity, the effective interest rates attributable to the 2014 Unit Notes issued in April and May 2015 are in excess of 10,000%.</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40"/>
          </w:cols>
          <w:pgMar w:left="220" w:top="129" w:right="339" w:bottom="1440" w:gutter="0" w:footer="0" w:header="0"/>
        </w:sectPr>
      </w:pPr>
    </w:p>
    <w:bookmarkStart w:id="206" w:name="page207"/>
    <w:bookmarkEnd w:id="20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Senior Secured 10% Convertible Promissory Notes issued to Platinum into Series B Preferred</w:t>
      </w:r>
    </w:p>
    <w:p>
      <w:pPr>
        <w:spacing w:after="0" w:line="201" w:lineRule="exact"/>
        <w:rPr>
          <w:sz w:val="20"/>
          <w:szCs w:val="20"/>
          <w:color w:val="auto"/>
        </w:rPr>
      </w:pPr>
    </w:p>
    <w:p>
      <w:pPr>
        <w:ind w:right="160" w:firstLine="511"/>
        <w:spacing w:after="0" w:line="280" w:lineRule="auto"/>
        <w:rPr>
          <w:sz w:val="20"/>
          <w:szCs w:val="20"/>
          <w:color w:val="auto"/>
        </w:rPr>
      </w:pPr>
      <w:r>
        <w:rPr>
          <w:rFonts w:ascii="Arial" w:cs="Arial" w:eastAsia="Arial" w:hAnsi="Arial"/>
          <w:sz w:val="13"/>
          <w:szCs w:val="13"/>
          <w:color w:val="auto"/>
        </w:rPr>
        <w:t xml:space="preserve">As described more completely in Note 8, </w:t>
      </w:r>
      <w:r>
        <w:rPr>
          <w:rFonts w:ascii="Arial" w:cs="Arial" w:eastAsia="Arial" w:hAnsi="Arial"/>
          <w:sz w:val="13"/>
          <w:szCs w:val="13"/>
          <w:i w:val="1"/>
          <w:iCs w:val="1"/>
          <w:color w:val="auto"/>
        </w:rPr>
        <w:t>Capital Stock</w:t>
      </w:r>
      <w:r>
        <w:rPr>
          <w:rFonts w:ascii="Arial" w:cs="Arial" w:eastAsia="Arial" w:hAnsi="Arial"/>
          <w:sz w:val="13"/>
          <w:szCs w:val="13"/>
          <w:color w:val="auto"/>
        </w:rPr>
        <w:t>, effective on May 12, 2015, we entered in to a broad strategic agreement with Platinum (</w:t>
      </w:r>
      <w:r>
        <w:rPr>
          <w:rFonts w:ascii="Arial" w:cs="Arial" w:eastAsia="Arial" w:hAnsi="Arial"/>
          <w:sz w:val="13"/>
          <w:szCs w:val="13"/>
          <w:i w:val="1"/>
          <w:iCs w:val="1"/>
          <w:color w:val="auto"/>
        </w:rPr>
        <w:t>Platinum Agreement</w:t>
      </w:r>
      <w:r>
        <w:rPr>
          <w:rFonts w:ascii="Arial" w:cs="Arial" w:eastAsia="Arial" w:hAnsi="Arial"/>
          <w:sz w:val="13"/>
          <w:szCs w:val="13"/>
          <w:color w:val="auto"/>
        </w:rPr>
        <w:t>) pursuant to which Platinum, among other things, converted all of the $4,489,300 outstanding balance (principal and accrued interest) of the Senior Secured Notes having maturity dates between October 2015 and July 2016 into 641,335 shares of our Series B Preferred. We determined that the conversion of the Senior Secured Notes into Series B Preferred should be accounted for as an extinguishment of debt. Considering the exchangeability of the Series B Preferred into our common stock, the 10% in-kind dividend applicable to the Series B Preferred prior to such exchange and other factors, we also determined that the fair value of a share of Series B Preferred issued pursuant to the conversions of the Senior Secured Notes was equal to the market value of a share of our common stock on the conversion date. Based on the $10.00 per share fair value of the Series B Preferred at the date the Senior Secured Notes were converted, we issued Series B Preferred having an aggregate fair value of $6,413,300 to Platinum. Accordingly, we recognized a non-cash loss on the extinguishment of debt of $1,924,000 in the quarter ended June 30, 2015, as reflected in the accompanying Condensed Consolidated Statement of Operations and Comprehensive Loss.</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2014 Unit Notes into Series B Preferred</w:t>
      </w:r>
    </w:p>
    <w:p>
      <w:pPr>
        <w:spacing w:after="0" w:line="201" w:lineRule="exact"/>
        <w:rPr>
          <w:sz w:val="20"/>
          <w:szCs w:val="20"/>
          <w:color w:val="auto"/>
        </w:rPr>
      </w:pPr>
    </w:p>
    <w:p>
      <w:pPr>
        <w:ind w:right="120" w:firstLine="511"/>
        <w:spacing w:after="0" w:line="279" w:lineRule="auto"/>
        <w:rPr>
          <w:sz w:val="20"/>
          <w:szCs w:val="20"/>
          <w:color w:val="auto"/>
        </w:rPr>
      </w:pPr>
      <w:r>
        <w:rPr>
          <w:rFonts w:ascii="Arial" w:cs="Arial" w:eastAsia="Arial" w:hAnsi="Arial"/>
          <w:sz w:val="13"/>
          <w:szCs w:val="13"/>
          <w:color w:val="auto"/>
        </w:rPr>
        <w:t>Pursuant to the Platinum Agreement, Platinum also converted the $1,345,700 outstanding balance of the 2014 Unit Notes originally issued by us to Platinum that had matured on March 31, 2015 (</w:t>
      </w:r>
      <w:r>
        <w:rPr>
          <w:rFonts w:ascii="Arial" w:cs="Arial" w:eastAsia="Arial" w:hAnsi="Arial"/>
          <w:sz w:val="13"/>
          <w:szCs w:val="13"/>
          <w:i w:val="1"/>
          <w:iCs w:val="1"/>
          <w:color w:val="auto"/>
        </w:rPr>
        <w:t>Platinum Unit Notes</w:t>
      </w:r>
      <w:r>
        <w:rPr>
          <w:rFonts w:ascii="Arial" w:cs="Arial" w:eastAsia="Arial" w:hAnsi="Arial"/>
          <w:sz w:val="13"/>
          <w:szCs w:val="13"/>
          <w:color w:val="auto"/>
        </w:rPr>
        <w:t>) into shares of our Series B Preferred. Platinum additionally agreed to acquire and convert into our Series B Preferred other 2014 Unit Notes that had matured on March 31, 2015 originally issued to other investors having an aggregate outstanding balance of $1,487,900 (</w:t>
      </w:r>
      <w:r>
        <w:rPr>
          <w:rFonts w:ascii="Arial" w:cs="Arial" w:eastAsia="Arial" w:hAnsi="Arial"/>
          <w:sz w:val="13"/>
          <w:szCs w:val="13"/>
          <w:i w:val="1"/>
          <w:iCs w:val="1"/>
          <w:color w:val="auto"/>
        </w:rPr>
        <w:t>Acquired Unit Notes</w:t>
      </w:r>
      <w:r>
        <w:rPr>
          <w:rFonts w:ascii="Arial" w:cs="Arial" w:eastAsia="Arial" w:hAnsi="Arial"/>
          <w:sz w:val="13"/>
          <w:szCs w:val="13"/>
          <w:color w:val="auto"/>
        </w:rPr>
        <w:t>). Further, effective May 20, 2015, the holders of other 2014 Unit Notes that had matured on March 31, 2015 or shortly thereafter having an aggregate outstanding balance of $1,831,200 (</w:t>
      </w:r>
      <w:r>
        <w:rPr>
          <w:rFonts w:ascii="Arial" w:cs="Arial" w:eastAsia="Arial" w:hAnsi="Arial"/>
          <w:sz w:val="13"/>
          <w:szCs w:val="13"/>
          <w:i w:val="1"/>
          <w:iCs w:val="1"/>
          <w:color w:val="auto"/>
        </w:rPr>
        <w:t>Investor Unit Notes</w:t>
      </w:r>
      <w:r>
        <w:rPr>
          <w:rFonts w:ascii="Arial" w:cs="Arial" w:eastAsia="Arial" w:hAnsi="Arial"/>
          <w:sz w:val="13"/>
          <w:szCs w:val="13"/>
          <w:color w:val="auto"/>
        </w:rPr>
        <w:t xml:space="preserve">) individually converted such notes into our Series B Preferred. Consequently, the aggregate outstanding balance totaling $4,664,800 of all 2014 Unit Notes, including those issued in April and May 2015, was converted into shares of our Series B Preferred. We determined that the Series B Preferred Unit Offering,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would be treated as a Qualified Financing applicable to the 2014 Unit Notes, entitling the 2014 Unit Note holders at the time of conversion to the 25% Qualified Financing conversion premium under the terms of the 2014 Unit Notes. Accordingly, we issued in a self-placed private placement transaction an aggregate of 833,020 shares of our Series B Preferred and warrants to purchase an aggregate of 833,020 shares of our common stock upon the conversion of the outstanding balance of all 2014 Unit Notes, including an aggregate conversion premium of $1,166,200.</w:t>
      </w:r>
    </w:p>
    <w:p>
      <w:pPr>
        <w:spacing w:after="0" w:line="310" w:lineRule="exact"/>
        <w:rPr>
          <w:sz w:val="20"/>
          <w:szCs w:val="20"/>
          <w:color w:val="auto"/>
        </w:rPr>
      </w:pPr>
    </w:p>
    <w:p>
      <w:pPr>
        <w:ind w:right="20" w:firstLine="511"/>
        <w:spacing w:after="0" w:line="283" w:lineRule="auto"/>
        <w:rPr>
          <w:sz w:val="20"/>
          <w:szCs w:val="20"/>
          <w:color w:val="auto"/>
        </w:rPr>
      </w:pPr>
      <w:r>
        <w:rPr>
          <w:rFonts w:ascii="Arial" w:cs="Arial" w:eastAsia="Arial" w:hAnsi="Arial"/>
          <w:sz w:val="13"/>
          <w:szCs w:val="13"/>
          <w:color w:val="auto"/>
        </w:rPr>
        <w:t>We determined that the conversion of the 2014 Unit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2014 Unit Notes was equal to the market value of a share of our common stock on the conversion dates. Based on the $10.00 per share fair value of the Series B Preferred at the date the Platinum Unit Notes and Acquired Unit Notes were converted and the $8.00 per share fair value of the Series B Preferred at the date the Investor Unit Notes were converted, we issued in a self-placed private placement transaction Series B Preferred having an aggregate fair value of $7,676,200 upon the conversions. We valued the warrants issued in connection with the 2014 Unit Note conversions at an aggregate of $5,168,400 using the Black 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Platinum Unit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Notes and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Acquired</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Investor</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1"/>
              </w:rPr>
              <w:t>Unit Notes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Unit Notes</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conversion date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7.00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Warrant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506,004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327,016</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per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6.89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5.15</w:t>
            </w:r>
          </w:p>
        </w:tc>
      </w:tr>
    </w:tbl>
    <w:p>
      <w:pPr>
        <w:spacing w:after="0" w:line="181" w:lineRule="exact"/>
        <w:rPr>
          <w:sz w:val="20"/>
          <w:szCs w:val="20"/>
          <w:color w:val="auto"/>
        </w:rPr>
      </w:pPr>
    </w:p>
    <w:p>
      <w:pPr>
        <w:jc w:val="both"/>
        <w:ind w:right="60" w:firstLine="511"/>
        <w:spacing w:after="0" w:line="320" w:lineRule="auto"/>
        <w:rPr>
          <w:sz w:val="20"/>
          <w:szCs w:val="20"/>
          <w:color w:val="auto"/>
        </w:rPr>
      </w:pPr>
      <w:r>
        <w:rPr>
          <w:rFonts w:ascii="Arial" w:cs="Arial" w:eastAsia="Arial" w:hAnsi="Arial"/>
          <w:sz w:val="12"/>
          <w:szCs w:val="12"/>
          <w:color w:val="auto"/>
        </w:rPr>
        <w:t>Nearly all of the 2014 Unit Notes contained a beneficial conversion feature at the time they were originally issued. We have accounted for the repurchase of the beneficial conversion feature at the time of the extinguishment and conversion, an aggregate of $2,237,100, as a reduction to the loss on extinguishment of debt in the accompanying Condensed Consolidated Statements of Operations and Comprehensive Loss, with a corresponding reduction to additional paid-in capital. In aggregate, we recognized a non-cash loss on extinguishment of debt attributable to the conversion of the 2014 Unit Notes in the amount of $5,942,700 in the quarter ended June 30, 2015, as reflected in the accompanying Condensed Consolidated Statement of Operations and Comprehensive Loss.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7" w:name="page208"/>
    <w:bookmarkEnd w:id="20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University Health Network into Series B Preferred</w:t>
      </w:r>
    </w:p>
    <w:p>
      <w:pPr>
        <w:spacing w:after="0" w:line="201" w:lineRule="exact"/>
        <w:rPr>
          <w:sz w:val="20"/>
          <w:szCs w:val="20"/>
          <w:color w:val="auto"/>
        </w:rPr>
      </w:pPr>
    </w:p>
    <w:p>
      <w:pPr>
        <w:ind w:right="80" w:firstLine="511"/>
        <w:spacing w:after="0" w:line="281" w:lineRule="auto"/>
        <w:rPr>
          <w:sz w:val="20"/>
          <w:szCs w:val="20"/>
          <w:color w:val="auto"/>
        </w:rPr>
      </w:pPr>
      <w:r>
        <w:rPr>
          <w:rFonts w:ascii="Arial" w:cs="Arial" w:eastAsia="Arial" w:hAnsi="Arial"/>
          <w:sz w:val="13"/>
          <w:szCs w:val="13"/>
          <w:color w:val="auto"/>
        </w:rPr>
        <w:t>On May 29, 2015,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converted the entire $656,400 outstanding balance (principal and accrued interest) of our promissory note maturing on March 31, 2016 into 93,775 shares of our Series B Preferred. We determined that the conversion of the UHN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UHN note was equal to the market value of a share of our common stock on the conversion date. Based on the $10.00 per share fair value of the Series B Preferred at the date the UHN note was converted, we issued Series B Preferred having an aggregate fair value of $937,800 to UHN. After eliminating the remaining $27,500 of unamortized discount on the UHN note, we recognized a non-cash loss on the extinguishment of debt attributable to the conversion of the UHN Note of $308,900 in the quarter ended June 30, 2015, as reflected in the accompanying Condensed Consolidated Statement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Notes and Accounts Payable issued to Cato Holding Company (CHC) and Cato Research Ltd. (CRL) into Series B Preferred</w:t>
      </w:r>
    </w:p>
    <w:p>
      <w:pPr>
        <w:spacing w:after="0" w:line="201" w:lineRule="exact"/>
        <w:rPr>
          <w:sz w:val="20"/>
          <w:szCs w:val="20"/>
          <w:color w:val="auto"/>
        </w:rPr>
      </w:pPr>
    </w:p>
    <w:p>
      <w:pPr>
        <w:ind w:right="80" w:firstLine="511"/>
        <w:spacing w:after="0" w:line="279" w:lineRule="auto"/>
        <w:rPr>
          <w:sz w:val="20"/>
          <w:szCs w:val="20"/>
          <w:color w:val="auto"/>
        </w:rPr>
      </w:pPr>
      <w:r>
        <w:rPr>
          <w:rFonts w:ascii="Arial" w:cs="Arial" w:eastAsia="Arial" w:hAnsi="Arial"/>
          <w:sz w:val="13"/>
          <w:szCs w:val="13"/>
          <w:color w:val="auto"/>
        </w:rPr>
        <w:t xml:space="preserve">On June 10, 2015, CHC, the parent company of CRL and a related party, converted the entire aggregate outstanding balance (principal and accrued interest) of $1,583,000 of our outstanding promissory notes issued to CHC and CRL and maturing on March 31, 2016 (together, the </w:t>
      </w:r>
      <w:r>
        <w:rPr>
          <w:rFonts w:ascii="Arial" w:cs="Arial" w:eastAsia="Arial" w:hAnsi="Arial"/>
          <w:sz w:val="13"/>
          <w:szCs w:val="13"/>
          <w:i w:val="1"/>
          <w:iCs w:val="1"/>
          <w:color w:val="auto"/>
        </w:rPr>
        <w:t>Cato Notes</w:t>
      </w:r>
      <w:r>
        <w:rPr>
          <w:rFonts w:ascii="Arial" w:cs="Arial" w:eastAsia="Arial" w:hAnsi="Arial"/>
          <w:sz w:val="13"/>
          <w:szCs w:val="13"/>
          <w:color w:val="auto"/>
        </w:rPr>
        <w:t>), plus an additional $171,300 of past due accounts payable to CRL and a strategic adjustment thereto (</w:t>
      </w:r>
      <w:r>
        <w:rPr>
          <w:rFonts w:ascii="Arial" w:cs="Arial" w:eastAsia="Arial" w:hAnsi="Arial"/>
          <w:sz w:val="13"/>
          <w:szCs w:val="13"/>
          <w:i w:val="1"/>
          <w:iCs w:val="1"/>
          <w:color w:val="auto"/>
        </w:rPr>
        <w:t>CRL Payables</w:t>
      </w:r>
      <w:r>
        <w:rPr>
          <w:rFonts w:ascii="Arial" w:cs="Arial" w:eastAsia="Arial" w:hAnsi="Arial"/>
          <w:sz w:val="13"/>
          <w:szCs w:val="13"/>
          <w:color w:val="auto"/>
        </w:rPr>
        <w:t>) into a total of 328,571 shares of our Series B Preferred. We determined that the conversion of the Cato Notes and the CRL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Cato Notes and CRL Payables was equal to the market value of a share of our common stock on the conversion date. Based on the $10.00 per share fair value of the Series B Preferred at the date the Cato Notes and CRL Payables were converted, we issued Series B Preferred having an aggregate fair value of $3,285,700 to CHC. As additional consideration for the conversion of the Cato Notes and the CRL Payables, we amended certain outstanding warrants held by CHC and CRL to purchase 12,500 and 60,691 restricted shares of our common stock, respectively, to reduce the exercise price thereof from $30.00 and $20.00 per share, respectively, to $7.00 per share. We calculated the fair value of the warrants immediately before and after the modifications and determined that the fair value of the warrants increased by $222,700. The warrants subject to the exercise price modifications were valued using the Black-Scholes Option Pricing Model and the following assumptions: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20.00 and $30.00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0.87%</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2.31</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73.9%</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73.9%</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$ 2.44 and $1.57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5.33</w:t>
            </w:r>
          </w:p>
        </w:tc>
      </w:tr>
    </w:tbl>
    <w:p>
      <w:pPr>
        <w:spacing w:after="0" w:line="167" w:lineRule="exact"/>
        <w:rPr>
          <w:sz w:val="20"/>
          <w:szCs w:val="20"/>
          <w:color w:val="auto"/>
        </w:rPr>
      </w:pPr>
    </w:p>
    <w:p>
      <w:pPr>
        <w:ind w:right="140" w:firstLine="511"/>
        <w:spacing w:after="0" w:line="370" w:lineRule="auto"/>
        <w:rPr>
          <w:sz w:val="20"/>
          <w:szCs w:val="20"/>
          <w:color w:val="auto"/>
        </w:rPr>
      </w:pPr>
      <w:r>
        <w:rPr>
          <w:rFonts w:ascii="Arial" w:cs="Arial" w:eastAsia="Arial" w:hAnsi="Arial"/>
          <w:sz w:val="12"/>
          <w:szCs w:val="12"/>
          <w:color w:val="auto"/>
        </w:rPr>
        <w:t>After eliminating the remaining unamortized discount of $46,000 attributable to the Cato Notes, we recognized a non-cash loss on the extinguishment of debt attributable to the conversion of the Cato Notes and CRL Payables of $1,800,100 in the quarter ended June 30, 2015, as reflected in the accompanying Condensed Consolidated Statement of Operations and Comprehensive Loss.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8" w:name="page209"/>
    <w:bookmarkEnd w:id="20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B issued to Morrison &amp; Foerster into Series B Preferred</w:t>
      </w:r>
    </w:p>
    <w:p>
      <w:pPr>
        <w:spacing w:after="0" w:line="201" w:lineRule="exact"/>
        <w:rPr>
          <w:sz w:val="20"/>
          <w:szCs w:val="20"/>
          <w:color w:val="auto"/>
        </w:rPr>
      </w:pPr>
    </w:p>
    <w:p>
      <w:pPr>
        <w:ind w:right="80" w:firstLine="511"/>
        <w:spacing w:after="0" w:line="279" w:lineRule="auto"/>
        <w:rPr>
          <w:sz w:val="20"/>
          <w:szCs w:val="20"/>
          <w:color w:val="auto"/>
        </w:rPr>
      </w:pPr>
      <w:r>
        <w:rPr>
          <w:rFonts w:ascii="Arial" w:cs="Arial" w:eastAsia="Arial" w:hAnsi="Arial"/>
          <w:sz w:val="13"/>
          <w:szCs w:val="13"/>
          <w:color w:val="auto"/>
        </w:rPr>
        <w:t>On June 12, 2015, Morrison &amp; Foerster (</w:t>
      </w:r>
      <w:r>
        <w:rPr>
          <w:rFonts w:ascii="Arial" w:cs="Arial" w:eastAsia="Arial" w:hAnsi="Arial"/>
          <w:sz w:val="13"/>
          <w:szCs w:val="13"/>
          <w:i w:val="1"/>
          <w:iCs w:val="1"/>
          <w:color w:val="auto"/>
        </w:rPr>
        <w:t>M&amp;F</w:t>
      </w:r>
      <w:r>
        <w:rPr>
          <w:rFonts w:ascii="Arial" w:cs="Arial" w:eastAsia="Arial" w:hAnsi="Arial"/>
          <w:sz w:val="13"/>
          <w:szCs w:val="13"/>
          <w:color w:val="auto"/>
        </w:rPr>
        <w:t>) converted the entire aggregate outstanding balance (principal and accrued interest) of $1,735,500 of our August 2012 promissory Note B maturing on March 31, 2016 (</w:t>
      </w:r>
      <w:r>
        <w:rPr>
          <w:rFonts w:ascii="Arial" w:cs="Arial" w:eastAsia="Arial" w:hAnsi="Arial"/>
          <w:sz w:val="13"/>
          <w:szCs w:val="13"/>
          <w:i w:val="1"/>
          <w:iCs w:val="1"/>
          <w:color w:val="auto"/>
        </w:rPr>
        <w:t>M&amp;F Note B</w:t>
      </w:r>
      <w:r>
        <w:rPr>
          <w:rFonts w:ascii="Arial" w:cs="Arial" w:eastAsia="Arial" w:hAnsi="Arial"/>
          <w:sz w:val="13"/>
          <w:szCs w:val="13"/>
          <w:color w:val="auto"/>
        </w:rPr>
        <w:t>), plus an agreed strategic adjustment thereto into a total of 257,143 shares of our Series B Preferred. We determined that the conversion of M&amp;F Note B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M&amp;F Note B was equal to the market value of a share of our common stock on the conversion date. Based on the $10.00 per share fair value of the Series B Preferred at the date M&amp;F Note B was converted, we issued Series B Preferred having an aggregate fair value of $2,571,400 to M&amp;F. As additional consideration for the conversion of M&amp;F Note B, we amended two outstanding warrants held by M&amp;F to purchase an aggregate of 110,448 restricted shares of our common stock to reduce the exercise price of one of the warrants from $40.00 per share to $20.00 per share and to extend the term of both warrants from September 15, 2017 to September 15, 2019. We calculated the fair value of the warrants immediately before and after the modifications and determined that the fair value of the warrants increased by $244,200. The warrants subject to the exercise price and term modifications were valued using the Black-Scholes Option Pricing Model and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20.00 and $40.00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0.86%</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2.27</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4.27</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$ 2.39 and $1.04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4.35</w:t>
            </w:r>
          </w:p>
        </w:tc>
      </w:tr>
    </w:tbl>
    <w:p>
      <w:pPr>
        <w:spacing w:after="0" w:line="167" w:lineRule="exact"/>
        <w:rPr>
          <w:sz w:val="20"/>
          <w:szCs w:val="20"/>
          <w:color w:val="auto"/>
        </w:rPr>
      </w:pPr>
    </w:p>
    <w:p>
      <w:pPr>
        <w:ind w:right="160" w:firstLine="511"/>
        <w:spacing w:after="0" w:line="323" w:lineRule="auto"/>
        <w:rPr>
          <w:sz w:val="20"/>
          <w:szCs w:val="20"/>
          <w:color w:val="auto"/>
        </w:rPr>
      </w:pPr>
      <w:r>
        <w:rPr>
          <w:rFonts w:ascii="Arial" w:cs="Arial" w:eastAsia="Arial" w:hAnsi="Arial"/>
          <w:sz w:val="13"/>
          <w:szCs w:val="13"/>
          <w:color w:val="auto"/>
        </w:rPr>
        <w:t>After eliminating the remaining unamortized discount of $225,500 attributable to M&amp;F Note B, we recognized a non-cash loss on the extinguishment of debt attributable to the conversion of M&amp;F Note B of $1,305,600 in the quarter ended June 30, 2015, as reflected in the accompanying Condensed Consolidated Statement of Operations and Comprehensive Loss.</w:t>
      </w:r>
    </w:p>
    <w:p>
      <w:pPr>
        <w:spacing w:after="0" w:line="130" w:lineRule="exact"/>
        <w:rPr>
          <w:sz w:val="20"/>
          <w:szCs w:val="20"/>
          <w:color w:val="auto"/>
        </w:rPr>
      </w:pPr>
    </w:p>
    <w:p>
      <w:pPr>
        <w:ind w:right="40" w:firstLine="511"/>
        <w:spacing w:after="0" w:line="333" w:lineRule="auto"/>
        <w:rPr>
          <w:sz w:val="20"/>
          <w:szCs w:val="20"/>
          <w:color w:val="auto"/>
        </w:rPr>
      </w:pPr>
      <w:r>
        <w:rPr>
          <w:rFonts w:ascii="Arial" w:cs="Arial" w:eastAsia="Arial" w:hAnsi="Arial"/>
          <w:sz w:val="12"/>
          <w:szCs w:val="12"/>
          <w:color w:val="auto"/>
        </w:rPr>
        <w:t>In addition to its agreement to convert M&amp;F Note B into Series B Preferred, M&amp;F also agreed to withhold, through the later of (i) December 31, 2016 or (ii) our consummation of a registered public offering or a strategic transaction involving AV-101 in which, in either case, we received gross proceeds of at least $20.0 million, any and all action to collect amounts due under our August 2012 promissory Note A maturing on March 31, 2016 (</w:t>
      </w:r>
      <w:r>
        <w:rPr>
          <w:rFonts w:ascii="Arial" w:cs="Arial" w:eastAsia="Arial" w:hAnsi="Arial"/>
          <w:sz w:val="12"/>
          <w:szCs w:val="12"/>
          <w:i w:val="1"/>
          <w:iCs w:val="1"/>
          <w:color w:val="auto"/>
        </w:rPr>
        <w:t>M&amp;F Note A</w:t>
      </w:r>
      <w:r>
        <w:rPr>
          <w:rFonts w:ascii="Arial" w:cs="Arial" w:eastAsia="Arial" w:hAnsi="Arial"/>
          <w:sz w:val="12"/>
          <w:szCs w:val="12"/>
          <w:color w:val="auto"/>
        </w:rPr>
        <w:t>) and all past due amounts owed by us to M&amp;F in connection with professional services previously rendered by M&amp;F (</w:t>
      </w:r>
      <w:r>
        <w:rPr>
          <w:rFonts w:ascii="Arial" w:cs="Arial" w:eastAsia="Arial" w:hAnsi="Arial"/>
          <w:sz w:val="12"/>
          <w:szCs w:val="12"/>
          <w:i w:val="1"/>
          <w:iCs w:val="1"/>
          <w:color w:val="auto"/>
        </w:rPr>
        <w:t>M&amp;F Payables</w:t>
      </w:r>
      <w:r>
        <w:rPr>
          <w:rFonts w:ascii="Arial" w:cs="Arial" w:eastAsia="Arial" w:hAnsi="Arial"/>
          <w:sz w:val="12"/>
          <w:szCs w:val="12"/>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Morrison &amp; Foerster Note A and Morrison &amp; Foerster Payables into Series B Preferred</w:t>
      </w:r>
    </w:p>
    <w:p>
      <w:pPr>
        <w:spacing w:after="0" w:line="201" w:lineRule="exact"/>
        <w:rPr>
          <w:sz w:val="20"/>
          <w:szCs w:val="20"/>
          <w:color w:val="auto"/>
        </w:rPr>
      </w:pPr>
    </w:p>
    <w:p>
      <w:pPr>
        <w:ind w:firstLine="511"/>
        <w:spacing w:after="0" w:line="257" w:lineRule="auto"/>
        <w:rPr>
          <w:sz w:val="20"/>
          <w:szCs w:val="20"/>
          <w:color w:val="auto"/>
        </w:rPr>
      </w:pPr>
      <w:r>
        <w:rPr>
          <w:rFonts w:ascii="Arial" w:cs="Arial" w:eastAsia="Arial" w:hAnsi="Arial"/>
          <w:sz w:val="14"/>
          <w:szCs w:val="14"/>
          <w:color w:val="auto"/>
        </w:rPr>
        <w:t xml:space="preserve">In a transaction to which we were not a party, M&amp;F sold M&amp;F Note A, which, at the time of the sale, had an outstanding balance (principal and accrued interest) of $1,149,000, as well as the M&amp;F Payables in the amount of $165,100, to two third-party accredited investors (the </w:t>
      </w:r>
      <w:r>
        <w:rPr>
          <w:rFonts w:ascii="Arial" w:cs="Arial" w:eastAsia="Arial" w:hAnsi="Arial"/>
          <w:sz w:val="14"/>
          <w:szCs w:val="14"/>
          <w:i w:val="1"/>
          <w:iCs w:val="1"/>
          <w:color w:val="auto"/>
        </w:rPr>
        <w:t>M&amp;F Note A Investors</w:t>
      </w:r>
      <w:r>
        <w:rPr>
          <w:rFonts w:ascii="Arial" w:cs="Arial" w:eastAsia="Arial" w:hAnsi="Arial"/>
          <w:sz w:val="14"/>
          <w:szCs w:val="14"/>
          <w:color w:val="auto"/>
        </w:rPr>
        <w:t>). On August 10, 2015, the M&amp;F Note A Investors converted M&amp;F Note A and the M&amp;F Payables into 192,628 shares of our Series B Preferred. We determined that the conversion of M&amp;F Note A and the M&amp;F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M&amp;F Note A and M&amp;F Payables was equal to the market value of a share of our common stock on the conversion date. Based on the $12.25 per share fair value of the Series B Preferred at the date M&amp;F Note A and the M&amp;F Payables were converted, we issued Series B Preferred having an aggregate fair value of $2,359,700 to the M&amp;F Note A Investors. After eliminating the remaining unamortized discount of $122,400 attributable to M&amp;F Note A, we recognized a non-cash loss on extinguishment of debt attributable to the conversion of M&amp;F Note A and the M&amp;F Payables of $1,168,000 in the quarter ended September 30, 2015, as reflected in the accompanying Condensed Consolidated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McCarthy Tetrault into Series B Preferred</w:t>
      </w:r>
    </w:p>
    <w:p>
      <w:pPr>
        <w:spacing w:after="0" w:line="201" w:lineRule="exact"/>
        <w:rPr>
          <w:sz w:val="20"/>
          <w:szCs w:val="20"/>
          <w:color w:val="auto"/>
        </w:rPr>
      </w:pPr>
    </w:p>
    <w:p>
      <w:pPr>
        <w:ind w:right="40" w:firstLine="511"/>
        <w:spacing w:after="0" w:line="281" w:lineRule="auto"/>
        <w:rPr>
          <w:sz w:val="20"/>
          <w:szCs w:val="20"/>
          <w:color w:val="auto"/>
        </w:rPr>
      </w:pPr>
      <w:r>
        <w:rPr>
          <w:rFonts w:ascii="Arial" w:cs="Arial" w:eastAsia="Arial" w:hAnsi="Arial"/>
          <w:sz w:val="13"/>
          <w:szCs w:val="13"/>
          <w:color w:val="auto"/>
        </w:rPr>
        <w:t>On June 18, 2015, McCarthy Tetrault (</w:t>
      </w:r>
      <w:r>
        <w:rPr>
          <w:rFonts w:ascii="Arial" w:cs="Arial" w:eastAsia="Arial" w:hAnsi="Arial"/>
          <w:sz w:val="13"/>
          <w:szCs w:val="13"/>
          <w:i w:val="1"/>
          <w:iCs w:val="1"/>
          <w:color w:val="auto"/>
        </w:rPr>
        <w:t>McCarthy</w:t>
      </w:r>
      <w:r>
        <w:rPr>
          <w:rFonts w:ascii="Arial" w:cs="Arial" w:eastAsia="Arial" w:hAnsi="Arial"/>
          <w:sz w:val="13"/>
          <w:szCs w:val="13"/>
          <w:color w:val="auto"/>
        </w:rPr>
        <w:t xml:space="preserve">) converted the entire $379,600 outstanding balance (principal and accrued interest) of our past due promissory note issued in May 2011, plus an additional $2,100 of past due accounts payable (together, the </w:t>
      </w:r>
      <w:r>
        <w:rPr>
          <w:rFonts w:ascii="Arial" w:cs="Arial" w:eastAsia="Arial" w:hAnsi="Arial"/>
          <w:sz w:val="13"/>
          <w:szCs w:val="13"/>
          <w:i w:val="1"/>
          <w:iCs w:val="1"/>
          <w:color w:val="auto"/>
        </w:rPr>
        <w:t>McCarthy Note</w:t>
      </w:r>
      <w:r>
        <w:rPr>
          <w:rFonts w:ascii="Arial" w:cs="Arial" w:eastAsia="Arial" w:hAnsi="Arial"/>
          <w:sz w:val="13"/>
          <w:szCs w:val="13"/>
          <w:color w:val="auto"/>
        </w:rPr>
        <w:t>), into 59,230 shares of our Series B Preferred. We determined that the conversion of the McCarthy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McCarthy Note was equal to the market value of a share of our common stock on the McCarthy Note conversion date. Based on the $14.00 per share fair value of the Series B Preferred at the date the McCarthy Note was converted, we issued Series B Preferred having an aggregate fair value of $829,200 to McCarthy. Accordingly, we recognized a non-cash loss on extinguishment of debt attributable to the conversion of the McCarthy Note of $447,500 in the quarter ended June 30, 2015 in the accompanying Condensed Consolidated Statement of Operations and Comprehensive Loss.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9" w:name="page210"/>
    <w:bookmarkEnd w:id="20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Burr Pilger &amp; Mayer into Series B Preferred</w:t>
      </w:r>
    </w:p>
    <w:p>
      <w:pPr>
        <w:spacing w:after="0" w:line="201" w:lineRule="exact"/>
        <w:rPr>
          <w:sz w:val="20"/>
          <w:szCs w:val="20"/>
          <w:color w:val="auto"/>
        </w:rPr>
      </w:pPr>
    </w:p>
    <w:p>
      <w:pPr>
        <w:ind w:right="60" w:firstLine="511"/>
        <w:spacing w:after="0" w:line="281" w:lineRule="auto"/>
        <w:rPr>
          <w:sz w:val="20"/>
          <w:szCs w:val="20"/>
          <w:color w:val="auto"/>
        </w:rPr>
      </w:pPr>
      <w:r>
        <w:rPr>
          <w:rFonts w:ascii="Arial" w:cs="Arial" w:eastAsia="Arial" w:hAnsi="Arial"/>
          <w:sz w:val="13"/>
          <w:szCs w:val="13"/>
          <w:color w:val="auto"/>
        </w:rPr>
        <w:t>On June 24, 2015, Burr Pilger &amp; Mayer (</w:t>
      </w:r>
      <w:r>
        <w:rPr>
          <w:rFonts w:ascii="Arial" w:cs="Arial" w:eastAsia="Arial" w:hAnsi="Arial"/>
          <w:sz w:val="13"/>
          <w:szCs w:val="13"/>
          <w:i w:val="1"/>
          <w:iCs w:val="1"/>
          <w:color w:val="auto"/>
        </w:rPr>
        <w:t>Burr</w:t>
      </w:r>
      <w:r>
        <w:rPr>
          <w:rFonts w:ascii="Arial" w:cs="Arial" w:eastAsia="Arial" w:hAnsi="Arial"/>
          <w:sz w:val="13"/>
          <w:szCs w:val="13"/>
          <w:color w:val="auto"/>
        </w:rPr>
        <w:t xml:space="preserve">) converted the entire $105,200 outstanding balance (principal and accrued interest) of our past due promissory note issued in May 2011, plus an additional $17,900 of past due accounts payable (together, the </w:t>
      </w:r>
      <w:r>
        <w:rPr>
          <w:rFonts w:ascii="Arial" w:cs="Arial" w:eastAsia="Arial" w:hAnsi="Arial"/>
          <w:sz w:val="13"/>
          <w:szCs w:val="13"/>
          <w:i w:val="1"/>
          <w:iCs w:val="1"/>
          <w:color w:val="auto"/>
        </w:rPr>
        <w:t>Burr Note</w:t>
      </w:r>
      <w:r>
        <w:rPr>
          <w:rFonts w:ascii="Arial" w:cs="Arial" w:eastAsia="Arial" w:hAnsi="Arial"/>
          <w:sz w:val="13"/>
          <w:szCs w:val="13"/>
          <w:color w:val="auto"/>
        </w:rPr>
        <w:t>), into 21,429 shares of our Series B Preferred. We determined that the conversion of the Burr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Burr Note was equal to the market value of a share of our common stock on the note conversion date. Based on the $16.50 per share fair value of the Series B Preferred at the date the Burr Note was converted, we issued Series B Preferred having an aggregate fair value of $353,600 to Burr. Accordiungly, we recognized a non-cash loss on the extinguishment of debt attributable to the conversion of the Burr Note of $230,500 in the quarter ended June 30, 2015, as reflected in the accompanying Condensed Consolidated Statement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and Accounts Payable Issued to Icahn School of Medicine at Mount Sinai into Series B Preferred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On June 26, 2015, Icahn School of Medicine at Mount Sinai (</w:t>
      </w:r>
      <w:r>
        <w:rPr>
          <w:rFonts w:ascii="Arial" w:cs="Arial" w:eastAsia="Arial" w:hAnsi="Arial"/>
          <w:sz w:val="12"/>
          <w:szCs w:val="12"/>
          <w:i w:val="1"/>
          <w:iCs w:val="1"/>
          <w:color w:val="auto"/>
        </w:rPr>
        <w:t>ISMMS</w:t>
      </w:r>
      <w:r>
        <w:rPr>
          <w:rFonts w:ascii="Arial" w:cs="Arial" w:eastAsia="Arial" w:hAnsi="Arial"/>
          <w:sz w:val="12"/>
          <w:szCs w:val="12"/>
          <w:color w:val="auto"/>
        </w:rPr>
        <w:t>) converted the entire $270,400 outstanding balance (principal and accrued interest) of our past due April 2014 promissory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note into a total of 40,000 shares of our Series B Preferred. We determined that the conversion of the ISMMS note into Series B Preferred should be accounted for as an extinguishment of debt.</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Considering the exchangeability of the Series B Preferred into our common stock, the dividend applicable to the Series B Preferred prior to such exchange and other factors, we also determined that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fair value of a share of Series B Preferred issued pursuant to the conversion of the ISMMS note was equal to the market value of a share of our common stock on the conversion date. Based on the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$16.00 per share fair value of the Series B Preferred at the date the note was converted, we issued Series B Preferred having an aggregate fair value of $640,000 to ISMMS. As additional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for the conversion of the ISMMS note, we amended an outstanding warrant held by ISMMS to purchase 15,000 restricted shares of our common stock to reduce the exercise price from $10.00 per share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to $7.00 per share. We calculated the fair value of the warrant immediately before and after the modification and determined that the fair value of the warrant increased by $16,600. The warrant subject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to the exercise price modification was valued using the Black-Scholes Option Pricing Model and the following assumptions: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3.76</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3.76</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76.3%</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76.3%</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10.48</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11.60</w:t>
            </w:r>
          </w:p>
        </w:tc>
        <w:tc>
          <w:tcPr>
            <w:tcW w:w="120" w:type="dxa"/>
            <w:vAlign w:val="bottom"/>
          </w:tcPr>
          <w:p>
            <w:pPr>
              <w:spacing w:after="0"/>
              <w:rPr>
                <w:sz w:val="16"/>
                <w:szCs w:val="16"/>
                <w:color w:val="auto"/>
              </w:rPr>
            </w:pPr>
          </w:p>
        </w:tc>
      </w:tr>
    </w:tbl>
    <w:p>
      <w:pPr>
        <w:spacing w:after="0" w:line="167" w:lineRule="exact"/>
        <w:rPr>
          <w:sz w:val="20"/>
          <w:szCs w:val="20"/>
          <w:color w:val="auto"/>
        </w:rPr>
      </w:pPr>
    </w:p>
    <w:p>
      <w:pPr>
        <w:ind w:right="460" w:firstLine="511"/>
        <w:spacing w:after="0" w:line="283" w:lineRule="auto"/>
        <w:rPr>
          <w:sz w:val="20"/>
          <w:szCs w:val="20"/>
          <w:color w:val="auto"/>
        </w:rPr>
      </w:pPr>
      <w:r>
        <w:rPr>
          <w:rFonts w:ascii="Arial" w:cs="Arial" w:eastAsia="Arial" w:hAnsi="Arial"/>
          <w:sz w:val="14"/>
          <w:szCs w:val="14"/>
          <w:color w:val="auto"/>
        </w:rPr>
        <w:t>We recognized a non-cash loss on extinguishment of debt attributable to the conversion of ISMMS note of $386,200 in the quarter ended June 30, 2015 in the accompanying Condensed Consolidated Statement of Operations and Comprehensive Loss.</w:t>
      </w:r>
    </w:p>
    <w:p>
      <w:pPr>
        <w:spacing w:after="0" w:line="153" w:lineRule="exact"/>
        <w:rPr>
          <w:sz w:val="20"/>
          <w:szCs w:val="20"/>
          <w:color w:val="auto"/>
        </w:rPr>
      </w:pPr>
    </w:p>
    <w:p>
      <w:pPr>
        <w:ind w:right="160" w:firstLine="511"/>
        <w:spacing w:after="0" w:line="261" w:lineRule="auto"/>
        <w:rPr>
          <w:sz w:val="20"/>
          <w:szCs w:val="20"/>
          <w:color w:val="auto"/>
        </w:rPr>
      </w:pPr>
      <w:r>
        <w:rPr>
          <w:rFonts w:ascii="Arial" w:cs="Arial" w:eastAsia="Arial" w:hAnsi="Arial"/>
          <w:sz w:val="14"/>
          <w:szCs w:val="14"/>
          <w:color w:val="auto"/>
        </w:rPr>
        <w:t>On July 13, 2015, ISMMS also converted accounts payable in the amount of $19,100 (</w:t>
      </w:r>
      <w:r>
        <w:rPr>
          <w:rFonts w:ascii="Arial" w:cs="Arial" w:eastAsia="Arial" w:hAnsi="Arial"/>
          <w:sz w:val="14"/>
          <w:szCs w:val="14"/>
          <w:i w:val="1"/>
          <w:iCs w:val="1"/>
          <w:color w:val="auto"/>
        </w:rPr>
        <w:t>ISMMS Payables</w:t>
      </w:r>
      <w:r>
        <w:rPr>
          <w:rFonts w:ascii="Arial" w:cs="Arial" w:eastAsia="Arial" w:hAnsi="Arial"/>
          <w:sz w:val="14"/>
          <w:szCs w:val="14"/>
          <w:color w:val="auto"/>
        </w:rPr>
        <w:t>) into an additional 3,000 shares of our Series B Preferred. We determined that the conversion of the ISMMS Payables into Series B Preferred should also be accounted for as an extinguishment of debt. Based on the $12.00 per share fair value of the Series B Preferred at the date the ISMMS Payables were converted, we issued Series B Preferred having an aggregate fair value of $36,000 to ISMMS. Accordingly, we recognized a non-cash loss on the extinguishment of debt attributable to the conversion of the ISMMS Payables of $16,900 in the quarter ended September 30, 2015 in the accompanying Condensed Consolidated Statement of Operations and 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National Jewish Health into Series B Preferred</w:t>
      </w:r>
    </w:p>
    <w:p>
      <w:pPr>
        <w:spacing w:after="0" w:line="201" w:lineRule="exact"/>
        <w:rPr>
          <w:sz w:val="20"/>
          <w:szCs w:val="20"/>
          <w:color w:val="auto"/>
        </w:rPr>
      </w:pPr>
    </w:p>
    <w:p>
      <w:pPr>
        <w:ind w:firstLine="511"/>
        <w:spacing w:after="0" w:line="258" w:lineRule="auto"/>
        <w:rPr>
          <w:sz w:val="20"/>
          <w:szCs w:val="20"/>
          <w:color w:val="auto"/>
        </w:rPr>
      </w:pPr>
      <w:r>
        <w:rPr>
          <w:rFonts w:ascii="Arial" w:cs="Arial" w:eastAsia="Arial" w:hAnsi="Arial"/>
          <w:sz w:val="14"/>
          <w:szCs w:val="14"/>
          <w:color w:val="auto"/>
        </w:rPr>
        <w:t>On June 29, 2015, National Jewish Health (</w:t>
      </w:r>
      <w:r>
        <w:rPr>
          <w:rFonts w:ascii="Arial" w:cs="Arial" w:eastAsia="Arial" w:hAnsi="Arial"/>
          <w:sz w:val="14"/>
          <w:szCs w:val="14"/>
          <w:i w:val="1"/>
          <w:iCs w:val="1"/>
          <w:color w:val="auto"/>
        </w:rPr>
        <w:t>NJH</w:t>
      </w:r>
      <w:r>
        <w:rPr>
          <w:rFonts w:ascii="Arial" w:cs="Arial" w:eastAsia="Arial" w:hAnsi="Arial"/>
          <w:sz w:val="14"/>
          <w:szCs w:val="14"/>
          <w:color w:val="auto"/>
        </w:rPr>
        <w:t>) converted the entire $115,000 outstanding balance (principal and accrued interest) of our past due promissory note into 17,857 shares of our Series B Preferred. We determined that the conversion of the NJH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NJH note was equal to the market value of a share of our common stock on the conversion date. Based on the $15.00 per share fair value of the Series B Preferred at the date the NJH note was converted, we issued Series B Preferred having an aggregate fair value of $267,900 to NJH. Accordingly, we recognized a non-cash loss on the extinguishment of debt attributable to the conversion of the NJH note of $152,900 in the quarter ended June 30, 2015, as reflected in the accompanying Condensed Consolidated Statement of Operations and Comprehensive Loss.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0" w:name="page211"/>
    <w:bookmarkEnd w:id="21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Desjardins Securities into Series B Preferred</w:t>
      </w:r>
    </w:p>
    <w:p>
      <w:pPr>
        <w:spacing w:after="0" w:line="201"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 xml:space="preserve">On July 2, 2015, Desjardins Securities </w:t>
      </w:r>
      <w:r>
        <w:rPr>
          <w:rFonts w:ascii="Arial" w:cs="Arial" w:eastAsia="Arial" w:hAnsi="Arial"/>
          <w:sz w:val="14"/>
          <w:szCs w:val="14"/>
          <w:i w:val="1"/>
          <w:iCs w:val="1"/>
          <w:color w:val="auto"/>
        </w:rPr>
        <w:t>(Desjardins</w:t>
      </w:r>
      <w:r>
        <w:rPr>
          <w:rFonts w:ascii="Arial" w:cs="Arial" w:eastAsia="Arial" w:hAnsi="Arial"/>
          <w:sz w:val="14"/>
          <w:szCs w:val="14"/>
          <w:color w:val="auto"/>
        </w:rPr>
        <w:t>) converted the entire $187,400 outstanding balance (principal and accrued interest) of our past due promissory note into 32,143 shares of our Series B Preferred. We determined that the conversion of the Desjardins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Desjardins note was equal to the market value of a share of our common stock on the conversion date. Based on the $14.00 per share fair value of the Series B Preferred at the date the Desjardins note was converted, we issued Series B Preferred having an aggregate fair value of $450,000 to Desjardins. Accordingly, we recognized a non-cash loss on extinguishment of the debt attributable to the conversion of the Desjardins note of $262,600 in the quarter ended September 30, 2015 as reflected in the accompanying Condensed Consolidated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and Accounts Payable issued to MicroConstants into Series B Preferred</w:t>
      </w:r>
    </w:p>
    <w:p>
      <w:pPr>
        <w:spacing w:after="0" w:line="201" w:lineRule="exact"/>
        <w:rPr>
          <w:sz w:val="20"/>
          <w:szCs w:val="20"/>
          <w:color w:val="auto"/>
        </w:rPr>
      </w:pPr>
    </w:p>
    <w:p>
      <w:pPr>
        <w:ind w:right="40" w:firstLine="511"/>
        <w:spacing w:after="0" w:line="308" w:lineRule="auto"/>
        <w:rPr>
          <w:sz w:val="20"/>
          <w:szCs w:val="20"/>
          <w:color w:val="auto"/>
        </w:rPr>
      </w:pPr>
      <w:r>
        <w:rPr>
          <w:rFonts w:ascii="Arial" w:cs="Arial" w:eastAsia="Arial" w:hAnsi="Arial"/>
          <w:sz w:val="12"/>
          <w:szCs w:val="12"/>
          <w:color w:val="auto"/>
        </w:rPr>
        <w:t>On July 6, 2015, MicroConstants, Inc. (</w:t>
      </w:r>
      <w:r>
        <w:rPr>
          <w:rFonts w:ascii="Arial" w:cs="Arial" w:eastAsia="Arial" w:hAnsi="Arial"/>
          <w:sz w:val="12"/>
          <w:szCs w:val="12"/>
          <w:i w:val="1"/>
          <w:iCs w:val="1"/>
          <w:color w:val="auto"/>
        </w:rPr>
        <w:t>MicroConstants)</w:t>
      </w:r>
      <w:r>
        <w:rPr>
          <w:rFonts w:ascii="Arial" w:cs="Arial" w:eastAsia="Arial" w:hAnsi="Arial"/>
          <w:sz w:val="12"/>
          <w:szCs w:val="12"/>
          <w:color w:val="auto"/>
        </w:rPr>
        <w:t xml:space="preserve"> converted the $22,000 outstanding balance (principal and accrued interest) of our past due promissory note and outstanding accounts payable in the amount of $70,400 into an aggregate of 17,857 shares of our Series B Preferred. We determined that the conversion of the MicroConstants note and accounts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MicroConstants note and accounts payable was equal to the market value of a share of our common stock on the conversion date. Based on the $14.00 per share fair value of the Series B Preferred at the date the MicroConstants note and accounts payable were converted, we issued Series B Preferred having an aggregate fair value of $250,000. Accordingly, we recognized a non-cash loss on extinguishment of debt attributable to the conversion of the MicroConstants note and payables of $157,600 in the quarter ended September 30, 2015 as reflected in the accompanying Condensed Consolidated Statement of Operations and Comprehensive Loss.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Accounts Payable to Professional Services Providers and Other Debt into Series B Preferred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During June and July 2015, two of our professional service providers and a former employee to whom we were contractually obligated for certain accrued compensation amounts converted an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aggregate of $497,900 past due amounts for prior services (</w:t>
      </w:r>
      <w:r>
        <w:rPr>
          <w:rFonts w:ascii="Arial" w:cs="Arial" w:eastAsia="Arial" w:hAnsi="Arial"/>
          <w:sz w:val="12"/>
          <w:szCs w:val="12"/>
          <w:i w:val="1"/>
          <w:iCs w:val="1"/>
          <w:color w:val="auto"/>
        </w:rPr>
        <w:t>Service Provider Payables</w:t>
      </w:r>
      <w:r>
        <w:rPr>
          <w:rFonts w:ascii="Arial" w:cs="Arial" w:eastAsia="Arial" w:hAnsi="Arial"/>
          <w:sz w:val="12"/>
          <w:szCs w:val="12"/>
          <w:color w:val="auto"/>
        </w:rPr>
        <w:t>) into an aggregate of 80,929 shares of our Series B Preferred. We determined that the conversion of the Service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Provider Payables balances into Series B Preferred should be accounted for as an extinguishment of debt. Considering the exchangeability of the Series B Preferred into our common stock, the dividend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applicable to the Series B Preferred prior to such exchange and other factors, we also determined that the fair value of a share of Series B Preferred issued pursuant to the conversion of the Service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Provider Payables was equal to the market value of a share of our common stock on the respective Service Provider Payable conversion dates. Based on the per share fair value of the Series B Preferred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on the respective dates that each Service Provider Payable was converted, which ranged from $10.00 per share to $12.00 per share, we issued Series B Preferred having an aggregate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$823,800 to the Service Providers. Accordingly, we recognized an aggregate non-cash loss on the extinguishment of debt attributable to the conversion of the Service Provider Payables in the amounts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of $281,800 and $44,100 in the quarters ended June 30, 2015 and September 30, 2015, respectively, as reflected in the accompanying Condensed Consolidated Statement of Operations and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Capital Stock</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Unit Private Placement</w:t>
      </w:r>
    </w:p>
    <w:p>
      <w:pPr>
        <w:spacing w:after="0" w:line="201" w:lineRule="exact"/>
        <w:rPr>
          <w:sz w:val="20"/>
          <w:szCs w:val="20"/>
          <w:color w:val="auto"/>
        </w:rPr>
      </w:pPr>
    </w:p>
    <w:p>
      <w:pPr>
        <w:ind w:right="60" w:firstLine="511"/>
        <w:spacing w:after="0" w:line="261" w:lineRule="auto"/>
        <w:rPr>
          <w:sz w:val="20"/>
          <w:szCs w:val="20"/>
          <w:color w:val="auto"/>
        </w:rPr>
      </w:pPr>
      <w:r>
        <w:rPr>
          <w:rFonts w:ascii="Arial" w:cs="Arial" w:eastAsia="Arial" w:hAnsi="Arial"/>
          <w:sz w:val="14"/>
          <w:szCs w:val="14"/>
          <w:color w:val="auto"/>
        </w:rPr>
        <w:t>Between April 1, 2015 and May 14, 2015, in self-placed private placement transactions, we entered into securities purchase agreements with accredited investors pursuant to which we sold Units (</w:t>
      </w:r>
      <w:r>
        <w:rPr>
          <w:rFonts w:ascii="Arial" w:cs="Arial" w:eastAsia="Arial" w:hAnsi="Arial"/>
          <w:sz w:val="14"/>
          <w:szCs w:val="14"/>
          <w:i w:val="1"/>
          <w:iCs w:val="1"/>
          <w:color w:val="auto"/>
        </w:rPr>
        <w:t>2014 Units</w:t>
      </w:r>
      <w:r>
        <w:rPr>
          <w:rFonts w:ascii="Arial" w:cs="Arial" w:eastAsia="Arial" w:hAnsi="Arial"/>
          <w:sz w:val="14"/>
          <w:szCs w:val="14"/>
          <w:color w:val="auto"/>
        </w:rPr>
        <w:t>) to such accredited investors for aggregate cash proceeds of $280,000, such 2014 Units consisting of (i) 10% convertible notes in the aggregate face amount of $280,000 due between April 30, 2015 and May 15, 2015 or automatically convertible into securities issuable upon our consummation of a Qualified Financing, as defined in the note (</w:t>
      </w:r>
      <w:r>
        <w:rPr>
          <w:rFonts w:ascii="Arial" w:cs="Arial" w:eastAsia="Arial" w:hAnsi="Arial"/>
          <w:sz w:val="14"/>
          <w:szCs w:val="14"/>
          <w:i w:val="1"/>
          <w:iCs w:val="1"/>
          <w:color w:val="auto"/>
        </w:rPr>
        <w:t>2014 Unit Notes</w:t>
      </w:r>
      <w:r>
        <w:rPr>
          <w:rFonts w:ascii="Arial" w:cs="Arial" w:eastAsia="Arial" w:hAnsi="Arial"/>
          <w:sz w:val="14"/>
          <w:szCs w:val="14"/>
          <w:color w:val="auto"/>
        </w:rPr>
        <w:t>); (ii) an aggregate of 33,000 restricted shares of our common stock (</w:t>
      </w:r>
      <w:r>
        <w:rPr>
          <w:rFonts w:ascii="Arial" w:cs="Arial" w:eastAsia="Arial" w:hAnsi="Arial"/>
          <w:sz w:val="14"/>
          <w:szCs w:val="14"/>
          <w:i w:val="1"/>
          <w:iCs w:val="1"/>
          <w:color w:val="auto"/>
        </w:rPr>
        <w:t>2014 Unit Stock</w:t>
      </w:r>
      <w:r>
        <w:rPr>
          <w:rFonts w:ascii="Arial" w:cs="Arial" w:eastAsia="Arial" w:hAnsi="Arial"/>
          <w:sz w:val="14"/>
          <w:szCs w:val="14"/>
          <w:color w:val="auto"/>
        </w:rPr>
        <w:t>); and (iii) warrants (</w:t>
      </w:r>
      <w:r>
        <w:rPr>
          <w:rFonts w:ascii="Arial" w:cs="Arial" w:eastAsia="Arial" w:hAnsi="Arial"/>
          <w:sz w:val="14"/>
          <w:szCs w:val="14"/>
          <w:i w:val="1"/>
          <w:iCs w:val="1"/>
          <w:color w:val="auto"/>
        </w:rPr>
        <w:t>2014 Unit Warrants</w:t>
      </w:r>
      <w:r>
        <w:rPr>
          <w:rFonts w:ascii="Arial" w:cs="Arial" w:eastAsia="Arial" w:hAnsi="Arial"/>
          <w:sz w:val="14"/>
          <w:szCs w:val="14"/>
          <w:color w:val="auto"/>
        </w:rPr>
        <w:t>) exercisable through December 31, 2016 to purchase an aggregate of 24,250 restricted shares of our common stock at an exercise price of $10.00 per share.</w:t>
      </w:r>
    </w:p>
    <w:p>
      <w:pPr>
        <w:spacing w:after="0" w:line="168" w:lineRule="exact"/>
        <w:rPr>
          <w:sz w:val="20"/>
          <w:szCs w:val="20"/>
          <w:color w:val="auto"/>
        </w:rPr>
      </w:pPr>
    </w:p>
    <w:p>
      <w:pPr>
        <w:ind w:right="40" w:firstLine="511"/>
        <w:spacing w:after="0" w:line="285" w:lineRule="auto"/>
        <w:rPr>
          <w:sz w:val="20"/>
          <w:szCs w:val="20"/>
          <w:color w:val="auto"/>
        </w:rPr>
      </w:pPr>
      <w:r>
        <w:rPr>
          <w:rFonts w:ascii="Arial" w:cs="Arial" w:eastAsia="Arial" w:hAnsi="Arial"/>
          <w:sz w:val="13"/>
          <w:szCs w:val="13"/>
          <w:color w:val="auto"/>
        </w:rPr>
        <w:t xml:space="preserve">We allocated the proceeds from the private placement sales of the 2014 Units to the various securities based on their relative fair values on the dates of the sales. As described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based on the short-term nature of the Unit Notes, we determined that fair value of the 2014 Unit Notes was equal to their face value. We</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determined the fair value of the 2014 Unit Stock based on the quoted market price of our common stock on the respective dates of the 2014 Unit sales.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489"/>
              <w:spacing w:after="0"/>
              <w:rPr>
                <w:sz w:val="20"/>
                <w:szCs w:val="20"/>
                <w:color w:val="auto"/>
              </w:rPr>
            </w:pPr>
            <w:r>
              <w:rPr>
                <w:rFonts w:ascii="Arial" w:cs="Arial" w:eastAsia="Arial" w:hAnsi="Arial"/>
                <w:sz w:val="14"/>
                <w:szCs w:val="14"/>
                <w:color w:val="auto"/>
                <w:w w:val="93"/>
              </w:rPr>
              <w:t>Unit Warrants</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0"/>
        </w:trPr>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80" w:type="dxa"/>
            <w:vAlign w:val="bottom"/>
            <w:gridSpan w:val="4"/>
          </w:tcPr>
          <w:p>
            <w:pPr>
              <w:jc w:val="center"/>
              <w:ind w:right="29"/>
              <w:spacing w:after="0" w:line="160" w:lineRule="exact"/>
              <w:rPr>
                <w:sz w:val="20"/>
                <w:szCs w:val="20"/>
                <w:color w:val="auto"/>
              </w:rPr>
            </w:pPr>
            <w:r>
              <w:rPr>
                <w:rFonts w:ascii="Arial" w:cs="Arial" w:eastAsia="Arial" w:hAnsi="Arial"/>
                <w:sz w:val="14"/>
                <w:szCs w:val="14"/>
                <w:color w:val="auto"/>
                <w:w w:val="90"/>
              </w:rPr>
              <w:t>Weighted Average Issuance Date</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7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Valuation Assumptions</w:t>
            </w:r>
          </w:p>
        </w:tc>
        <w:tc>
          <w:tcPr>
            <w:tcW w:w="7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Per Share</w:t>
            </w:r>
          </w:p>
        </w:tc>
        <w:tc>
          <w:tcPr>
            <w:tcW w:w="1420" w:type="dxa"/>
            <w:vAlign w:val="bottom"/>
            <w:gridSpan w:val="2"/>
          </w:tcPr>
          <w:p>
            <w:pPr>
              <w:ind w:left="460"/>
              <w:spacing w:after="0"/>
              <w:rPr>
                <w:sz w:val="20"/>
                <w:szCs w:val="20"/>
                <w:color w:val="auto"/>
              </w:rPr>
            </w:pPr>
            <w:r>
              <w:rPr>
                <w:rFonts w:ascii="Arial" w:cs="Arial" w:eastAsia="Arial" w:hAnsi="Arial"/>
                <w:sz w:val="14"/>
                <w:szCs w:val="14"/>
                <w:color w:val="auto"/>
              </w:rPr>
              <w:t>Aggregate</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Aggregate</w:t>
            </w:r>
          </w:p>
        </w:tc>
        <w:tc>
          <w:tcPr>
            <w:tcW w:w="2460" w:type="dxa"/>
            <w:vAlign w:val="bottom"/>
            <w:gridSpan w:val="3"/>
          </w:tcPr>
          <w:p>
            <w:pPr>
              <w:ind w:left="260"/>
              <w:spacing w:after="0"/>
              <w:rPr>
                <w:sz w:val="20"/>
                <w:szCs w:val="20"/>
                <w:color w:val="auto"/>
              </w:rPr>
            </w:pPr>
            <w:r>
              <w:rPr>
                <w:rFonts w:ascii="Arial" w:cs="Arial" w:eastAsia="Arial" w:hAnsi="Arial"/>
                <w:sz w:val="14"/>
                <w:szCs w:val="14"/>
                <w:color w:val="auto"/>
              </w:rPr>
              <w:t>Aggregate Allocation of Proceeds</w:t>
            </w:r>
          </w:p>
        </w:tc>
      </w:tr>
      <w:tr>
        <w:trPr>
          <w:trHeight w:val="150"/>
        </w:trPr>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ind w:right="9"/>
              <w:spacing w:after="0" w:line="149" w:lineRule="exact"/>
              <w:rPr>
                <w:sz w:val="20"/>
                <w:szCs w:val="20"/>
                <w:color w:val="auto"/>
              </w:rPr>
            </w:pPr>
            <w:r>
              <w:rPr>
                <w:rFonts w:ascii="Arial" w:cs="Arial" w:eastAsia="Arial" w:hAnsi="Arial"/>
                <w:sz w:val="14"/>
                <w:szCs w:val="14"/>
                <w:color w:val="auto"/>
                <w:w w:val="94"/>
              </w:rPr>
              <w:t>Risk free</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349"/>
              <w:spacing w:after="0" w:line="149" w:lineRule="exact"/>
              <w:rPr>
                <w:sz w:val="20"/>
                <w:szCs w:val="20"/>
                <w:color w:val="auto"/>
              </w:rPr>
            </w:pPr>
            <w:r>
              <w:rPr>
                <w:rFonts w:ascii="Arial" w:cs="Arial" w:eastAsia="Arial" w:hAnsi="Arial"/>
                <w:sz w:val="14"/>
                <w:szCs w:val="14"/>
                <w:color w:val="auto"/>
                <w:w w:val="99"/>
              </w:rPr>
              <w:t>Fair</w:t>
            </w: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Fair Value</w:t>
            </w:r>
          </w:p>
        </w:tc>
        <w:tc>
          <w:tcPr>
            <w:tcW w:w="1180" w:type="dxa"/>
            <w:vAlign w:val="bottom"/>
          </w:tcPr>
          <w:p>
            <w:pPr>
              <w:jc w:val="center"/>
              <w:ind w:right="149"/>
              <w:spacing w:after="0" w:line="149" w:lineRule="exact"/>
              <w:rPr>
                <w:sz w:val="20"/>
                <w:szCs w:val="20"/>
                <w:color w:val="auto"/>
              </w:rPr>
            </w:pPr>
            <w:r>
              <w:rPr>
                <w:rFonts w:ascii="Arial" w:cs="Arial" w:eastAsia="Arial" w:hAnsi="Arial"/>
                <w:sz w:val="14"/>
                <w:szCs w:val="14"/>
                <w:color w:val="auto"/>
                <w:w w:val="87"/>
              </w:rPr>
              <w:t>Proceeds</w:t>
            </w:r>
          </w:p>
        </w:tc>
        <w:tc>
          <w:tcPr>
            <w:tcW w:w="2460" w:type="dxa"/>
            <w:vAlign w:val="bottom"/>
            <w:tcBorders>
              <w:bottom w:val="single" w:sz="8" w:color="auto"/>
            </w:tcBorders>
            <w:gridSpan w:val="3"/>
          </w:tcPr>
          <w:p>
            <w:pPr>
              <w:ind w:left="300"/>
              <w:spacing w:after="0" w:line="149" w:lineRule="exact"/>
              <w:rPr>
                <w:sz w:val="20"/>
                <w:szCs w:val="20"/>
                <w:color w:val="auto"/>
              </w:rPr>
            </w:pPr>
            <w:r>
              <w:rPr>
                <w:rFonts w:ascii="Arial" w:cs="Arial" w:eastAsia="Arial" w:hAnsi="Arial"/>
                <w:sz w:val="14"/>
                <w:szCs w:val="14"/>
                <w:color w:val="auto"/>
              </w:rPr>
              <w:t>Based on Relative Fair Value of:</w:t>
            </w:r>
          </w:p>
        </w:tc>
      </w:tr>
      <w:tr>
        <w:trPr>
          <w:trHeight w:val="160"/>
        </w:trPr>
        <w:tc>
          <w:tcPr>
            <w:tcW w:w="760" w:type="dxa"/>
            <w:vAlign w:val="bottom"/>
            <w:gridSpan w:val="2"/>
          </w:tcPr>
          <w:p>
            <w:pPr>
              <w:jc w:val="center"/>
              <w:ind w:right="60"/>
              <w:spacing w:after="0" w:line="160" w:lineRule="exact"/>
              <w:rPr>
                <w:sz w:val="20"/>
                <w:szCs w:val="20"/>
                <w:color w:val="auto"/>
              </w:rPr>
            </w:pPr>
            <w:r>
              <w:rPr>
                <w:rFonts w:ascii="Arial" w:cs="Arial" w:eastAsia="Arial" w:hAnsi="Arial"/>
                <w:sz w:val="14"/>
                <w:szCs w:val="14"/>
                <w:color w:val="auto"/>
                <w:w w:val="85"/>
              </w:rPr>
              <w:t>Shares</w:t>
            </w:r>
          </w:p>
        </w:tc>
        <w:tc>
          <w:tcPr>
            <w:tcW w:w="680" w:type="dxa"/>
            <w:vAlign w:val="bottom"/>
          </w:tcPr>
          <w:p>
            <w:pPr>
              <w:jc w:val="center"/>
              <w:ind w:right="49"/>
              <w:spacing w:after="0" w:line="160" w:lineRule="exact"/>
              <w:rPr>
                <w:sz w:val="20"/>
                <w:szCs w:val="20"/>
                <w:color w:val="auto"/>
              </w:rPr>
            </w:pPr>
            <w:r>
              <w:rPr>
                <w:rFonts w:ascii="Arial" w:cs="Arial" w:eastAsia="Arial" w:hAnsi="Arial"/>
                <w:sz w:val="14"/>
                <w:szCs w:val="14"/>
                <w:color w:val="auto"/>
                <w:w w:val="93"/>
              </w:rPr>
              <w:t>Market</w:t>
            </w:r>
          </w:p>
        </w:tc>
        <w:tc>
          <w:tcPr>
            <w:tcW w:w="660" w:type="dxa"/>
            <w:vAlign w:val="bottom"/>
          </w:tcPr>
          <w:p>
            <w:pPr>
              <w:jc w:val="center"/>
              <w:spacing w:after="0" w:line="160" w:lineRule="exact"/>
              <w:rPr>
                <w:sz w:val="20"/>
                <w:szCs w:val="20"/>
                <w:color w:val="auto"/>
              </w:rPr>
            </w:pPr>
            <w:r>
              <w:rPr>
                <w:rFonts w:ascii="Arial" w:cs="Arial" w:eastAsia="Arial" w:hAnsi="Arial"/>
                <w:sz w:val="14"/>
                <w:szCs w:val="14"/>
                <w:color w:val="auto"/>
                <w:w w:val="89"/>
              </w:rPr>
              <w:t>Exercise</w:t>
            </w:r>
          </w:p>
        </w:tc>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91"/>
              </w:rPr>
              <w:t>Term</w:t>
            </w:r>
          </w:p>
        </w:tc>
        <w:tc>
          <w:tcPr>
            <w:tcW w:w="6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4"/>
              </w:rPr>
              <w:t>Interest</w:t>
            </w:r>
          </w:p>
        </w:tc>
        <w:tc>
          <w:tcPr>
            <w:tcW w:w="720" w:type="dxa"/>
            <w:vAlign w:val="bottom"/>
          </w:tcPr>
          <w:p>
            <w:pPr>
              <w:spacing w:after="0"/>
              <w:rPr>
                <w:sz w:val="13"/>
                <w:szCs w:val="13"/>
                <w:color w:val="auto"/>
              </w:rPr>
            </w:pPr>
          </w:p>
        </w:tc>
        <w:tc>
          <w:tcPr>
            <w:tcW w:w="840" w:type="dxa"/>
            <w:vAlign w:val="bottom"/>
            <w:gridSpan w:val="2"/>
          </w:tcPr>
          <w:p>
            <w:pPr>
              <w:jc w:val="center"/>
              <w:ind w:right="280"/>
              <w:spacing w:after="0" w:line="160" w:lineRule="exact"/>
              <w:rPr>
                <w:sz w:val="20"/>
                <w:szCs w:val="20"/>
                <w:color w:val="auto"/>
              </w:rPr>
            </w:pPr>
            <w:r>
              <w:rPr>
                <w:rFonts w:ascii="Arial" w:cs="Arial" w:eastAsia="Arial" w:hAnsi="Arial"/>
                <w:sz w:val="14"/>
                <w:szCs w:val="14"/>
                <w:color w:val="auto"/>
                <w:w w:val="95"/>
              </w:rPr>
              <w:t>Dividend</w:t>
            </w:r>
          </w:p>
        </w:tc>
        <w:tc>
          <w:tcPr>
            <w:tcW w:w="1340" w:type="dxa"/>
            <w:vAlign w:val="bottom"/>
          </w:tcPr>
          <w:p>
            <w:pPr>
              <w:jc w:val="center"/>
              <w:ind w:right="349"/>
              <w:spacing w:after="0" w:line="160" w:lineRule="exact"/>
              <w:rPr>
                <w:sz w:val="20"/>
                <w:szCs w:val="20"/>
                <w:color w:val="auto"/>
              </w:rPr>
            </w:pPr>
            <w:r>
              <w:rPr>
                <w:rFonts w:ascii="Arial" w:cs="Arial" w:eastAsia="Arial" w:hAnsi="Arial"/>
                <w:sz w:val="14"/>
                <w:szCs w:val="14"/>
                <w:color w:val="auto"/>
                <w:w w:val="93"/>
              </w:rPr>
              <w:t>Value of</w:t>
            </w:r>
          </w:p>
        </w:tc>
        <w:tc>
          <w:tcPr>
            <w:tcW w:w="1420" w:type="dxa"/>
            <w:vAlign w:val="bottom"/>
            <w:gridSpan w:val="2"/>
          </w:tcPr>
          <w:p>
            <w:pPr>
              <w:jc w:val="center"/>
              <w:ind w:right="420"/>
              <w:spacing w:after="0" w:line="160" w:lineRule="exact"/>
              <w:rPr>
                <w:sz w:val="20"/>
                <w:szCs w:val="20"/>
                <w:color w:val="auto"/>
              </w:rPr>
            </w:pPr>
            <w:r>
              <w:rPr>
                <w:rFonts w:ascii="Arial" w:cs="Arial" w:eastAsia="Arial" w:hAnsi="Arial"/>
                <w:sz w:val="14"/>
                <w:szCs w:val="14"/>
                <w:color w:val="auto"/>
                <w:w w:val="98"/>
              </w:rPr>
              <w:t>of Unit</w:t>
            </w:r>
          </w:p>
        </w:tc>
        <w:tc>
          <w:tcPr>
            <w:tcW w:w="1180" w:type="dxa"/>
            <w:vAlign w:val="bottom"/>
          </w:tcPr>
          <w:p>
            <w:pPr>
              <w:jc w:val="center"/>
              <w:ind w:right="149"/>
              <w:spacing w:after="0" w:line="160" w:lineRule="exact"/>
              <w:rPr>
                <w:sz w:val="20"/>
                <w:szCs w:val="20"/>
                <w:color w:val="auto"/>
              </w:rPr>
            </w:pPr>
            <w:r>
              <w:rPr>
                <w:rFonts w:ascii="Arial" w:cs="Arial" w:eastAsia="Arial" w:hAnsi="Arial"/>
                <w:sz w:val="14"/>
                <w:szCs w:val="14"/>
                <w:color w:val="auto"/>
                <w:w w:val="98"/>
              </w:rPr>
              <w:t>of Unit</w:t>
            </w:r>
          </w:p>
        </w:tc>
        <w:tc>
          <w:tcPr>
            <w:tcW w:w="940" w:type="dxa"/>
            <w:vAlign w:val="bottom"/>
          </w:tcPr>
          <w:p>
            <w:pPr>
              <w:ind w:left="300"/>
              <w:spacing w:after="0" w:line="160" w:lineRule="exact"/>
              <w:rPr>
                <w:sz w:val="20"/>
                <w:szCs w:val="20"/>
                <w:color w:val="auto"/>
              </w:rPr>
            </w:pPr>
            <w:r>
              <w:rPr>
                <w:rFonts w:ascii="Arial" w:cs="Arial" w:eastAsia="Arial" w:hAnsi="Arial"/>
                <w:sz w:val="14"/>
                <w:szCs w:val="14"/>
                <w:color w:val="auto"/>
              </w:rPr>
              <w:t>Unit</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color w:val="auto"/>
                <w:w w:val="87"/>
              </w:rPr>
              <w:t>Issued</w:t>
            </w:r>
          </w:p>
        </w:tc>
        <w:tc>
          <w:tcPr>
            <w:tcW w:w="6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87"/>
              </w:rPr>
              <w:t>Price</w:t>
            </w:r>
          </w:p>
        </w:tc>
        <w:tc>
          <w:tcPr>
            <w:tcW w:w="6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3"/>
              </w:rPr>
              <w:t>Price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6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87"/>
              </w:rPr>
              <w:t>Rate</w:t>
            </w: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rPr>
              <w:t>Volatility</w:t>
            </w: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7"/>
              </w:rPr>
              <w:t>Rate</w:t>
            </w:r>
          </w:p>
        </w:tc>
        <w:tc>
          <w:tcPr>
            <w:tcW w:w="1340" w:type="dxa"/>
            <w:vAlign w:val="bottom"/>
            <w:tcBorders>
              <w:bottom w:val="single" w:sz="8" w:color="auto"/>
            </w:tcBorders>
          </w:tcPr>
          <w:p>
            <w:pPr>
              <w:jc w:val="center"/>
              <w:ind w:right="349"/>
              <w:spacing w:after="0"/>
              <w:rPr>
                <w:sz w:val="20"/>
                <w:szCs w:val="20"/>
                <w:color w:val="auto"/>
              </w:rPr>
            </w:pPr>
            <w:r>
              <w:rPr>
                <w:rFonts w:ascii="Arial" w:cs="Arial" w:eastAsia="Arial" w:hAnsi="Arial"/>
                <w:sz w:val="14"/>
                <w:szCs w:val="14"/>
                <w:color w:val="auto"/>
                <w:w w:val="88"/>
              </w:rPr>
              <w:t>Warrant</w:t>
            </w:r>
          </w:p>
        </w:tc>
        <w:tc>
          <w:tcPr>
            <w:tcW w:w="14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87"/>
              </w:rPr>
              <w:t>Warrants</w:t>
            </w:r>
          </w:p>
        </w:tc>
        <w:tc>
          <w:tcPr>
            <w:tcW w:w="11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w w:val="85"/>
              </w:rPr>
              <w:t>Sales</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Unit Stock</w:t>
            </w: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Warrant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Unit Note</w:t>
            </w:r>
          </w:p>
        </w:tc>
      </w:tr>
      <w:tr>
        <w:trPr>
          <w:trHeight w:val="170"/>
        </w:trPr>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24,250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0.00%</w:t>
            </w:r>
          </w:p>
        </w:tc>
        <w:tc>
          <w:tcPr>
            <w:tcW w:w="13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$ 3.69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$ 89,600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$ 280,000</w:t>
            </w:r>
          </w:p>
        </w:tc>
        <w:tc>
          <w:tcPr>
            <w:tcW w:w="9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$ 128,900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$ 32,900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$ 118,200</w:t>
            </w:r>
          </w:p>
        </w:tc>
      </w:tr>
      <w:tr>
        <w:trPr>
          <w:trHeight w:val="479"/>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469"/>
              <w:spacing w:after="0"/>
              <w:rPr>
                <w:sz w:val="20"/>
                <w:szCs w:val="20"/>
                <w:color w:val="auto"/>
              </w:rPr>
            </w:pPr>
            <w:r>
              <w:rPr>
                <w:rFonts w:ascii="Arial" w:cs="Arial" w:eastAsia="Arial" w:hAnsi="Arial"/>
                <w:sz w:val="14"/>
                <w:szCs w:val="14"/>
                <w:color w:val="auto"/>
              </w:rPr>
              <w:t>F-67</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92"/>
        </w:trPr>
        <w:tc>
          <w:tcPr>
            <w:tcW w:w="7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1" w:name="page212"/>
    <w:bookmarkEnd w:id="21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firstLine="511"/>
        <w:spacing w:after="0" w:line="261" w:lineRule="auto"/>
        <w:rPr>
          <w:sz w:val="20"/>
          <w:szCs w:val="20"/>
          <w:color w:val="auto"/>
        </w:rPr>
      </w:pPr>
      <w:r>
        <w:rPr>
          <w:rFonts w:ascii="Arial" w:cs="Arial" w:eastAsia="Arial" w:hAnsi="Arial"/>
          <w:sz w:val="14"/>
          <w:szCs w:val="14"/>
          <w:color w:val="auto"/>
        </w:rPr>
        <w:t>Between late-March 2014 and May 14, 2015, in self-placed private placement transactions, we entered into securities purchase agreements with accredited investors for the 2014 Unit Private Placement pursuant to which we sold 2014 Units to such accredited investors for aggregate cash proceeds of $3,393,500, consisting of (i) 2014 Unit Notes in the aggregate face amount of $3,393,500 due between March 31, 2015 and May 15, 2015 or automatically convertible into securities issuable upon our consummation of a Qualified Financing, as defined in the note; (ii) an aggregate of 315,850 restricted shares of 2014 Unit Stock; and (iii) 2014 Unit Warrants exercisable through December 31, 2016 to purchase an aggregate of 307,100 restricted shares of our common stock at an exercise price of $10.00 per share.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Creation of Series B Preferred Stock</w:t>
      </w:r>
    </w:p>
    <w:p>
      <w:pPr>
        <w:spacing w:after="0" w:line="180" w:lineRule="exact"/>
        <w:rPr>
          <w:sz w:val="20"/>
          <w:szCs w:val="20"/>
          <w:color w:val="auto"/>
        </w:rPr>
      </w:pPr>
    </w:p>
    <w:p>
      <w:pPr>
        <w:ind w:right="180" w:firstLine="511"/>
        <w:spacing w:after="0" w:line="323" w:lineRule="auto"/>
        <w:rPr>
          <w:sz w:val="20"/>
          <w:szCs w:val="20"/>
          <w:color w:val="auto"/>
        </w:rPr>
      </w:pPr>
      <w:r>
        <w:rPr>
          <w:rFonts w:ascii="Arial" w:cs="Arial" w:eastAsia="Arial" w:hAnsi="Arial"/>
          <w:sz w:val="13"/>
          <w:szCs w:val="13"/>
          <w:color w:val="auto"/>
        </w:rPr>
        <w:t>On May 7, 2015, we filed a Certificate of Designation of the Relative Rights and Preferences of the Series B 10% Preferred Stock of VistaGen Therapeutics, Inc. (</w:t>
      </w:r>
      <w:r>
        <w:rPr>
          <w:rFonts w:ascii="Arial" w:cs="Arial" w:eastAsia="Arial" w:hAnsi="Arial"/>
          <w:sz w:val="13"/>
          <w:szCs w:val="13"/>
          <w:i w:val="1"/>
          <w:iCs w:val="1"/>
          <w:color w:val="auto"/>
        </w:rPr>
        <w:t>Certificate of Designation</w:t>
      </w:r>
      <w:r>
        <w:rPr>
          <w:rFonts w:ascii="Arial" w:cs="Arial" w:eastAsia="Arial" w:hAnsi="Arial"/>
          <w:sz w:val="13"/>
          <w:szCs w:val="13"/>
          <w:color w:val="auto"/>
        </w:rPr>
        <w:t>) with the Nevada Secretary of State to designate 4.0 million shares of our authorized preferred stock as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w:t>
      </w:r>
    </w:p>
    <w:p>
      <w:pPr>
        <w:spacing w:after="0" w:line="109" w:lineRule="exact"/>
        <w:rPr>
          <w:sz w:val="20"/>
          <w:szCs w:val="20"/>
          <w:color w:val="auto"/>
        </w:rPr>
      </w:pPr>
    </w:p>
    <w:p>
      <w:pPr>
        <w:ind w:right="20" w:firstLine="511"/>
        <w:spacing w:after="0" w:line="283" w:lineRule="auto"/>
        <w:rPr>
          <w:sz w:val="20"/>
          <w:szCs w:val="20"/>
          <w:color w:val="auto"/>
        </w:rPr>
      </w:pPr>
      <w:r>
        <w:rPr>
          <w:rFonts w:ascii="Arial" w:cs="Arial" w:eastAsia="Arial" w:hAnsi="Arial"/>
          <w:sz w:val="13"/>
          <w:szCs w:val="13"/>
          <w:color w:val="auto"/>
        </w:rPr>
        <w:t>Each share of Series B Preferred is convertible, at the option of the holder (</w:t>
      </w:r>
      <w:r>
        <w:rPr>
          <w:rFonts w:ascii="Arial" w:cs="Arial" w:eastAsia="Arial" w:hAnsi="Arial"/>
          <w:sz w:val="13"/>
          <w:szCs w:val="13"/>
          <w:i w:val="1"/>
          <w:iCs w:val="1"/>
          <w:color w:val="auto"/>
        </w:rPr>
        <w:t>Voluntary Conversion</w:t>
      </w:r>
      <w:r>
        <w:rPr>
          <w:rFonts w:ascii="Arial" w:cs="Arial" w:eastAsia="Arial" w:hAnsi="Arial"/>
          <w:sz w:val="13"/>
          <w:szCs w:val="13"/>
          <w:color w:val="auto"/>
        </w:rPr>
        <w:t>), into one (1) share of our Common Stock, subject to adjustment, only for customary stock dividends, reclassifications, splits and similar transactions set forth in the Certificate of Designation. All outstanding shares of Series B Preferred are also convertible automatically on a one-to-one basis into shares of our Common Stock (</w:t>
      </w:r>
      <w:r>
        <w:rPr>
          <w:rFonts w:ascii="Arial" w:cs="Arial" w:eastAsia="Arial" w:hAnsi="Arial"/>
          <w:sz w:val="13"/>
          <w:szCs w:val="13"/>
          <w:i w:val="1"/>
          <w:iCs w:val="1"/>
          <w:color w:val="auto"/>
        </w:rPr>
        <w:t>Automatic Conversion</w:t>
      </w:r>
      <w:r>
        <w:rPr>
          <w:rFonts w:ascii="Arial" w:cs="Arial" w:eastAsia="Arial" w:hAnsi="Arial"/>
          <w:sz w:val="13"/>
          <w:szCs w:val="13"/>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3"/>
          <w:szCs w:val="13"/>
          <w:i w:val="1"/>
          <w:iCs w:val="1"/>
          <w:color w:val="auto"/>
        </w:rPr>
        <w:t>Conversion</w:t>
      </w:r>
      <w:r>
        <w:rPr>
          <w:rFonts w:ascii="Arial" w:cs="Arial" w:eastAsia="Arial" w:hAnsi="Arial"/>
          <w:sz w:val="13"/>
          <w:szCs w:val="13"/>
          <w:color w:val="auto"/>
        </w:rPr>
        <w:t>) are subject to certain beneficial ownership blockers as set forth in the Certificate of Designation and/or securities purchase agreements.</w:t>
      </w:r>
    </w:p>
    <w:p>
      <w:pPr>
        <w:spacing w:after="0" w:line="135"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Prior to Conversion, shares of Series B Preferred will accrue in-kind dividends (payable only in unregistered shares of our common stock) at a rate of 10% per annum (</w:t>
      </w:r>
      <w:r>
        <w:rPr>
          <w:rFonts w:ascii="Arial" w:cs="Arial" w:eastAsia="Arial" w:hAnsi="Arial"/>
          <w:sz w:val="13"/>
          <w:szCs w:val="13"/>
          <w:i w:val="1"/>
          <w:iCs w:val="1"/>
          <w:color w:val="auto"/>
        </w:rPr>
        <w:t>Accrued Dividends</w:t>
      </w:r>
      <w:r>
        <w:rPr>
          <w:rFonts w:ascii="Arial" w:cs="Arial" w:eastAsia="Arial" w:hAnsi="Arial"/>
          <w:sz w:val="13"/>
          <w:szCs w:val="13"/>
          <w:color w:val="auto"/>
        </w:rPr>
        <w:t>). The Accrued Dividends will be payable on the date of either a Voluntary Conversion or Automatic Conversion solely in that number of shares of common stock equal to the Accrued Dividends. At December 31, 2015, we have recognized a liability in the amount of $1,415,800 for Accrued Dividends in the accompanying Condensed Consolidated Balance Sheet at December 31, 2015, based on the Series B Preferred issued and outstanding, net of exchanges to common stock, through the quarter ended December 31, 2015. We have recognized a deduction from net loss of $1,459,300 related to dividends on Series B Preferred in arriving at net loss attributable to common stockholders in the accompanying Condensed Consolidated Statement of Operations and Comprehensive Loss for the nine months ended December 31, 2015. The liquidation value of the Series B Preferred at December 31, 2015 is approximately $26,541,400.</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May 2015 Agreement with Platinum</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May 5, 2015, we entered into an Agreement with Platinum, which, as modified, became effective on May 12, 2015 (</w:t>
      </w:r>
      <w:r>
        <w:rPr>
          <w:rFonts w:ascii="Arial" w:cs="Arial" w:eastAsia="Arial" w:hAnsi="Arial"/>
          <w:sz w:val="14"/>
          <w:szCs w:val="14"/>
          <w:i w:val="1"/>
          <w:iCs w:val="1"/>
          <w:color w:val="auto"/>
        </w:rPr>
        <w:t>Platinum Agreement</w:t>
      </w:r>
      <w:r>
        <w:rPr>
          <w:rFonts w:ascii="Arial" w:cs="Arial" w:eastAsia="Arial" w:hAnsi="Arial"/>
          <w:sz w:val="14"/>
          <w:szCs w:val="14"/>
          <w:color w:val="auto"/>
        </w:rPr>
        <w:t>) and pursuant to which Platinum:</w:t>
      </w:r>
    </w:p>
    <w:p>
      <w:pPr>
        <w:spacing w:after="0" w:line="201" w:lineRule="exact"/>
        <w:rPr>
          <w:sz w:val="20"/>
          <w:szCs w:val="20"/>
          <w:color w:val="auto"/>
        </w:rPr>
      </w:pPr>
    </w:p>
    <w:p>
      <w:pPr>
        <w:ind w:left="400" w:right="280" w:hanging="395"/>
        <w:spacing w:after="0" w:line="215"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 xml:space="preserve">Converted into 641,335 shares of Series B Preferred all of the approximately $4.5 million outstanding balance (principal and accrued but unpaid interest) of the Senior Secured Notes we had previously issued to Platinum, as described previously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w:t>
      </w:r>
    </w:p>
    <w:p>
      <w:pPr>
        <w:spacing w:after="0" w:line="182" w:lineRule="exact"/>
        <w:rPr>
          <w:rFonts w:ascii="Arial" w:cs="Arial" w:eastAsia="Arial" w:hAnsi="Arial"/>
          <w:sz w:val="20"/>
          <w:szCs w:val="20"/>
          <w:color w:val="auto"/>
          <w:vertAlign w:val="superscript"/>
        </w:rPr>
      </w:pPr>
    </w:p>
    <w:p>
      <w:pPr>
        <w:ind w:left="400" w:right="280" w:hanging="395"/>
        <w:spacing w:after="0" w:line="215"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each dated October 11, 2012 between us and Platinum;</w:t>
      </w:r>
    </w:p>
    <w:p>
      <w:pPr>
        <w:spacing w:after="0" w:line="182" w:lineRule="exact"/>
        <w:rPr>
          <w:rFonts w:ascii="Arial" w:cs="Arial" w:eastAsia="Arial" w:hAnsi="Arial"/>
          <w:sz w:val="20"/>
          <w:szCs w:val="20"/>
          <w:color w:val="auto"/>
          <w:vertAlign w:val="superscript"/>
        </w:rPr>
      </w:pPr>
    </w:p>
    <w:p>
      <w:pPr>
        <w:ind w:left="400" w:right="20" w:hanging="395"/>
        <w:spacing w:after="0" w:line="226"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Converted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 Warrants</w:t>
      </w:r>
      <w:r>
        <w:rPr>
          <w:rFonts w:ascii="Arial" w:cs="Arial" w:eastAsia="Arial" w:hAnsi="Arial"/>
          <w:sz w:val="14"/>
          <w:szCs w:val="14"/>
          <w:color w:val="auto"/>
        </w:rPr>
        <w:t xml:space="preserve">) all of the approximately $1.3 million outstanding balance (principal and accrued but unpaid interest) of the 2014 Unit Notes that we issued to Platinum, as described previously in Note 7, </w:t>
      </w:r>
      <w:r>
        <w:rPr>
          <w:rFonts w:ascii="Arial" w:cs="Arial" w:eastAsia="Arial" w:hAnsi="Arial"/>
          <w:sz w:val="14"/>
          <w:szCs w:val="14"/>
          <w:i w:val="1"/>
          <w:iCs w:val="1"/>
          <w:color w:val="auto"/>
        </w:rPr>
        <w:t>Convertible</w:t>
      </w:r>
      <w:r>
        <w:rPr>
          <w:rFonts w:ascii="Arial" w:cs="Arial" w:eastAsia="Arial" w:hAnsi="Arial"/>
          <w:sz w:val="14"/>
          <w:szCs w:val="14"/>
          <w:color w:val="auto"/>
        </w:rPr>
        <w:t xml:space="preserve"> </w:t>
      </w:r>
      <w:r>
        <w:rPr>
          <w:rFonts w:ascii="Arial" w:cs="Arial" w:eastAsia="Arial" w:hAnsi="Arial"/>
          <w:sz w:val="14"/>
          <w:szCs w:val="14"/>
          <w:i w:val="1"/>
          <w:iCs w:val="1"/>
          <w:color w:val="auto"/>
        </w:rPr>
        <w:t>Promissory Notes and Other Notes Payable</w:t>
      </w:r>
      <w:r>
        <w:rPr>
          <w:rFonts w:ascii="Arial" w:cs="Arial" w:eastAsia="Arial" w:hAnsi="Arial"/>
          <w:sz w:val="14"/>
          <w:szCs w:val="14"/>
          <w:color w:val="auto"/>
        </w:rPr>
        <w:t>;</w:t>
      </w:r>
    </w:p>
    <w:p>
      <w:pPr>
        <w:spacing w:after="0" w:line="183" w:lineRule="exact"/>
        <w:rPr>
          <w:rFonts w:ascii="Arial" w:cs="Arial" w:eastAsia="Arial" w:hAnsi="Arial"/>
          <w:sz w:val="20"/>
          <w:szCs w:val="20"/>
          <w:color w:val="auto"/>
          <w:vertAlign w:val="superscript"/>
        </w:rPr>
      </w:pPr>
    </w:p>
    <w:p>
      <w:pPr>
        <w:jc w:val="both"/>
        <w:ind w:left="400" w:hanging="395"/>
        <w:spacing w:after="0" w:line="242" w:lineRule="auto"/>
        <w:tabs>
          <w:tab w:leader="none" w:pos="400" w:val="left"/>
        </w:tabs>
        <w:numPr>
          <w:ilvl w:val="0"/>
          <w:numId w:val="96"/>
        </w:numPr>
        <w:rPr>
          <w:rFonts w:ascii="Arial" w:cs="Arial" w:eastAsia="Arial" w:hAnsi="Arial"/>
          <w:sz w:val="19"/>
          <w:szCs w:val="19"/>
          <w:color w:val="auto"/>
          <w:vertAlign w:val="superscript"/>
        </w:rPr>
      </w:pPr>
      <w:r>
        <w:rPr>
          <w:rFonts w:ascii="Arial" w:cs="Arial" w:eastAsia="Arial" w:hAnsi="Arial"/>
          <w:sz w:val="13"/>
          <w:szCs w:val="13"/>
          <w:color w:val="auto"/>
        </w:rPr>
        <w:t>Purchased approximately $1.5 million (including accrued but unpaid interest thereon) of outstanding 2014 Unit Notes we had previously issued to various accredited investors from the respective holders thereof (</w:t>
      </w:r>
      <w:r>
        <w:rPr>
          <w:rFonts w:ascii="Arial" w:cs="Arial" w:eastAsia="Arial" w:hAnsi="Arial"/>
          <w:sz w:val="13"/>
          <w:szCs w:val="13"/>
          <w:i w:val="1"/>
          <w:iCs w:val="1"/>
          <w:color w:val="auto"/>
        </w:rPr>
        <w:t>Acquired Unit Notes</w:t>
      </w:r>
      <w:r>
        <w:rPr>
          <w:rFonts w:ascii="Arial" w:cs="Arial" w:eastAsia="Arial" w:hAnsi="Arial"/>
          <w:sz w:val="13"/>
          <w:szCs w:val="13"/>
          <w:color w:val="auto"/>
        </w:rPr>
        <w:t xml:space="preserve">) and converted the entire approximately $1.5 million outstanding balance of the Acquired Unit Notes into 265,699 shares of Series B Preferred and Series B Warrants to purchase 265,699 shares of our common stock, as described previously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w:t>
      </w:r>
    </w:p>
    <w:p>
      <w:pPr>
        <w:spacing w:after="0" w:line="181" w:lineRule="exact"/>
        <w:rPr>
          <w:rFonts w:ascii="Arial" w:cs="Arial" w:eastAsia="Arial" w:hAnsi="Arial"/>
          <w:sz w:val="19"/>
          <w:szCs w:val="19"/>
          <w:color w:val="auto"/>
          <w:vertAlign w:val="superscript"/>
        </w:rPr>
      </w:pPr>
    </w:p>
    <w:p>
      <w:pPr>
        <w:ind w:left="400" w:right="300" w:hanging="395"/>
        <w:spacing w:after="0" w:line="228" w:lineRule="auto"/>
        <w:tabs>
          <w:tab w:leader="none" w:pos="400" w:val="left"/>
        </w:tabs>
        <w:numPr>
          <w:ilvl w:val="0"/>
          <w:numId w:val="96"/>
        </w:numPr>
        <w:rPr>
          <w:rFonts w:ascii="Arial" w:cs="Arial" w:eastAsia="Arial" w:hAnsi="Arial"/>
          <w:sz w:val="19"/>
          <w:szCs w:val="19"/>
          <w:color w:val="auto"/>
          <w:vertAlign w:val="superscript"/>
        </w:rPr>
      </w:pPr>
      <w:r>
        <w:rPr>
          <w:rFonts w:ascii="Arial" w:cs="Arial" w:eastAsia="Arial" w:hAnsi="Arial"/>
          <w:sz w:val="13"/>
          <w:szCs w:val="13"/>
          <w:color w:val="auto"/>
        </w:rPr>
        <w:t>Entered into a Securities Purchase Agreement (</w:t>
      </w:r>
      <w:r>
        <w:rPr>
          <w:rFonts w:ascii="Arial" w:cs="Arial" w:eastAsia="Arial" w:hAnsi="Arial"/>
          <w:sz w:val="13"/>
          <w:szCs w:val="13"/>
          <w:i w:val="1"/>
          <w:iCs w:val="1"/>
          <w:color w:val="auto"/>
        </w:rPr>
        <w:t>SPA</w:t>
      </w:r>
      <w:r>
        <w:rPr>
          <w:rFonts w:ascii="Arial" w:cs="Arial" w:eastAsia="Arial" w:hAnsi="Arial"/>
          <w:sz w:val="13"/>
          <w:szCs w:val="13"/>
          <w:color w:val="auto"/>
        </w:rPr>
        <w:t>) to purchase from us, in our self-placed private placement, for $1.0 million, a total of 142,857 shares of Series B Preferred and a Series B Warrant to purchase 142,857 shares of our common stock, which shares of Series B Preferred and Series B Warrants have been purchased and issued;</w:t>
      </w:r>
    </w:p>
    <w:p>
      <w:pPr>
        <w:spacing w:after="0" w:line="182" w:lineRule="exact"/>
        <w:rPr>
          <w:rFonts w:ascii="Arial" w:cs="Arial" w:eastAsia="Arial" w:hAnsi="Arial"/>
          <w:sz w:val="19"/>
          <w:szCs w:val="19"/>
          <w:color w:val="auto"/>
          <w:vertAlign w:val="superscript"/>
        </w:rPr>
      </w:pPr>
    </w:p>
    <w:p>
      <w:pPr>
        <w:ind w:left="400" w:right="300" w:hanging="395"/>
        <w:spacing w:after="0" w:line="226"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Amended the Platinum Warrants previously issued by us to Platinum in connection with the Senior Secured Notes and the Series A Exchange Warrant to (i) fix the exercise price thereof, (ii) eliminate the exercise price reset features and (iii) fix the number of shares of our common stock issuable thereunder, and (iv) eliminate the cashless exercise provisions from the Platinum Warrants; and</w:t>
      </w:r>
    </w:p>
    <w:p>
      <w:pPr>
        <w:spacing w:after="0" w:line="183" w:lineRule="exact"/>
        <w:rPr>
          <w:rFonts w:ascii="Arial" w:cs="Arial" w:eastAsia="Arial" w:hAnsi="Arial"/>
          <w:sz w:val="20"/>
          <w:szCs w:val="20"/>
          <w:color w:val="auto"/>
          <w:vertAlign w:val="superscript"/>
        </w:rPr>
      </w:pPr>
    </w:p>
    <w:p>
      <w:pPr>
        <w:ind w:left="400" w:right="340" w:hanging="395"/>
        <w:spacing w:after="0" w:line="215" w:lineRule="auto"/>
        <w:tabs>
          <w:tab w:leader="none" w:pos="400" w:val="left"/>
        </w:tabs>
        <w:numPr>
          <w:ilvl w:val="0"/>
          <w:numId w:val="96"/>
        </w:numPr>
        <w:rPr>
          <w:rFonts w:ascii="Arial" w:cs="Arial" w:eastAsia="Arial" w:hAnsi="Arial"/>
          <w:sz w:val="20"/>
          <w:szCs w:val="20"/>
          <w:color w:val="auto"/>
          <w:vertAlign w:val="superscript"/>
        </w:rPr>
      </w:pPr>
      <w:r>
        <w:rPr>
          <w:rFonts w:ascii="Arial" w:cs="Arial" w:eastAsia="Arial" w:hAnsi="Arial"/>
          <w:sz w:val="14"/>
          <w:szCs w:val="14"/>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2" w:name="page213"/>
    <w:bookmarkEnd w:id="21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ind w:right="60" w:firstLine="511"/>
        <w:spacing w:after="0" w:line="257" w:lineRule="auto"/>
        <w:rPr>
          <w:sz w:val="20"/>
          <w:szCs w:val="20"/>
          <w:color w:val="auto"/>
        </w:rPr>
      </w:pPr>
      <w:r>
        <w:rPr>
          <w:rFonts w:ascii="Arial" w:cs="Arial" w:eastAsia="Arial" w:hAnsi="Arial"/>
          <w:sz w:val="14"/>
          <w:szCs w:val="14"/>
          <w:color w:val="auto"/>
        </w:rPr>
        <w:t>As additional consideration for the several agreements of Platinum under the Platinum Agreement, we issued to Platinum 400,000 shares of Series B Preferred (</w:t>
      </w:r>
      <w:r>
        <w:rPr>
          <w:rFonts w:ascii="Arial" w:cs="Arial" w:eastAsia="Arial" w:hAnsi="Arial"/>
          <w:sz w:val="14"/>
          <w:szCs w:val="14"/>
          <w:i w:val="1"/>
          <w:iCs w:val="1"/>
          <w:color w:val="auto"/>
        </w:rPr>
        <w:t>Additional Consideration</w:t>
      </w:r>
      <w:r>
        <w:rPr>
          <w:rFonts w:ascii="Arial" w:cs="Arial" w:eastAsia="Arial" w:hAnsi="Arial"/>
          <w:sz w:val="14"/>
          <w:szCs w:val="14"/>
          <w:color w:val="auto"/>
        </w:rPr>
        <w:t xml:space="preserve"> </w:t>
      </w:r>
      <w:r>
        <w:rPr>
          <w:rFonts w:ascii="Arial" w:cs="Arial" w:eastAsia="Arial" w:hAnsi="Arial"/>
          <w:sz w:val="14"/>
          <w:szCs w:val="14"/>
          <w:i w:val="1"/>
          <w:iCs w:val="1"/>
          <w:color w:val="auto"/>
        </w:rPr>
        <w:t>Shares</w:t>
      </w:r>
      <w:r>
        <w:rPr>
          <w:rFonts w:ascii="Arial" w:cs="Arial" w:eastAsia="Arial" w:hAnsi="Arial"/>
          <w:sz w:val="14"/>
          <w:szCs w:val="14"/>
          <w:color w:val="auto"/>
        </w:rPr>
        <w:t>) and Series B Warrants (</w:t>
      </w:r>
      <w:r>
        <w:rPr>
          <w:rFonts w:ascii="Arial" w:cs="Arial" w:eastAsia="Arial" w:hAnsi="Arial"/>
          <w:sz w:val="14"/>
          <w:szCs w:val="14"/>
          <w:i w:val="1"/>
          <w:iCs w:val="1"/>
          <w:color w:val="auto"/>
        </w:rPr>
        <w:t>Additional Consideration Warrants</w:t>
      </w:r>
      <w:r>
        <w:rPr>
          <w:rFonts w:ascii="Arial" w:cs="Arial" w:eastAsia="Arial" w:hAnsi="Arial"/>
          <w:sz w:val="14"/>
          <w:szCs w:val="14"/>
          <w:color w:val="auto"/>
        </w:rPr>
        <w:t>) to purchase 1.2 million shares of our common stock, and exchanged 30,000 shares of our common stock then beneficially owned 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controlled by Platinum for 30,000 shares of Series B Preferred. Considering the exchangeability of the Series B Preferred into our common stock, the dividend applicable to the Series B Preferred prior to such exchange and other factors, we determined that the fair value of a share of Series B Preferred issued to Platinum pursuant to the Platinum Agreement was equal to the market value of a share of our common stock on the effective date of the Platinum Agreement. Based on the $10.00 per share fair value of the Series B Preferred at the May 12, 2015 effective date of the Platinum Agreement, we issued Additional Consideration Shares having an aggregate fair value of $4.0 million to Platinum. We valued the Additional Consideration Warrants at an aggregate of $8,270,900 using the Black Scholes option pricing model and the same assumptions used in valuing the Series B Warrants issued to Platinum in connection with the conversion of the Platinum Unit Notes and the Acquired Unit Notes, as described previously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recognized the aggregate fair value of the Additional Consideration Shares and Additional Consideration Warrants as a non-cash component of loss on debt extinguishment in the quarter ended June 30, 2015, as reflected in the accompanying Condensed Consolidated Statement of Operations and Comprehensive Loss.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August 2015 Agreement with Platinum</w:t>
      </w:r>
    </w:p>
    <w:p>
      <w:pPr>
        <w:spacing w:after="0" w:line="201" w:lineRule="exact"/>
        <w:rPr>
          <w:sz w:val="20"/>
          <w:szCs w:val="20"/>
          <w:color w:val="auto"/>
        </w:rPr>
      </w:pPr>
    </w:p>
    <w:p>
      <w:pPr>
        <w:ind w:right="120" w:firstLine="511"/>
        <w:spacing w:after="0" w:line="290" w:lineRule="auto"/>
        <w:rPr>
          <w:sz w:val="20"/>
          <w:szCs w:val="20"/>
          <w:color w:val="auto"/>
        </w:rPr>
      </w:pPr>
      <w:r>
        <w:rPr>
          <w:rFonts w:ascii="Arial" w:cs="Arial" w:eastAsia="Arial" w:hAnsi="Arial"/>
          <w:sz w:val="13"/>
          <w:szCs w:val="13"/>
          <w:color w:val="auto"/>
        </w:rPr>
        <w:t>On August 3, 2015, we entered into the August 2015 Agreement with Platinum pursuant to which we agreed to sell to Platinum an additional $3.0 million of our Series B Preferred and Series B Warrants between August 15, 2015 and October 15, 2015 and issue an aggregate of 458,571 shares of Series B Preferred and Series B Warrants to purchase 458,571 shares of our common stock. Through December 31, 2015, Platinum had purchased an aggregate of $1,650,000 of Series B Preferred and Series B Warrants contemplated under the August 2015 Agreement and we had issued 235,714 shares of Series B Preferred and Series B Warrants to purchase 235,714 shares of our common stock related to such purchases.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 Series B Preferred Unit Offering</w:t>
      </w:r>
    </w:p>
    <w:p>
      <w:pPr>
        <w:spacing w:after="0" w:line="205" w:lineRule="exact"/>
        <w:rPr>
          <w:sz w:val="20"/>
          <w:szCs w:val="20"/>
          <w:color w:val="auto"/>
        </w:rPr>
      </w:pPr>
    </w:p>
    <w:p>
      <w:pPr>
        <w:ind w:right="20" w:firstLine="511"/>
        <w:spacing w:after="0" w:line="263" w:lineRule="auto"/>
        <w:rPr>
          <w:sz w:val="20"/>
          <w:szCs w:val="20"/>
          <w:color w:val="auto"/>
        </w:rPr>
      </w:pPr>
      <w:r>
        <w:rPr>
          <w:rFonts w:ascii="Arial" w:cs="Arial" w:eastAsia="Arial" w:hAnsi="Arial"/>
          <w:sz w:val="14"/>
          <w:szCs w:val="14"/>
          <w:color w:val="auto"/>
        </w:rPr>
        <w:t xml:space="preserve">Between May 26, 2015 and December 31, 2015, in self-placed private placement transactions, we sold to accredited investors an aggregate of $4,397,800 of units in our Series B Preferred Unit offering, which units consist of Series B Preferred and Series B Warrants (together </w:t>
      </w:r>
      <w:r>
        <w:rPr>
          <w:rFonts w:ascii="Arial" w:cs="Arial" w:eastAsia="Arial" w:hAnsi="Arial"/>
          <w:sz w:val="14"/>
          <w:szCs w:val="14"/>
          <w:i w:val="1"/>
          <w:iCs w:val="1"/>
          <w:color w:val="auto"/>
        </w:rPr>
        <w:t>Series B Preferred Units</w:t>
      </w:r>
      <w:r>
        <w:rPr>
          <w:rFonts w:ascii="Arial" w:cs="Arial" w:eastAsia="Arial" w:hAnsi="Arial"/>
          <w:sz w:val="14"/>
          <w:szCs w:val="14"/>
          <w:color w:val="auto"/>
        </w:rPr>
        <w:t>), including $2,650,000 to Platinum, which amount includes $1,650,000 pursuant to the August 2015 Agreement with Platinum. We issued 628,264 shares of Series B Preferred and Series B Warrants to purchase 628,264 shares of our common stock. Through December 31, 2015, we received an aggregate of $4,397,800 in cash proceeds from our self-placed private placement and sale of the Series B Preferred Units.</w:t>
      </w:r>
    </w:p>
    <w:p>
      <w:pPr>
        <w:spacing w:after="0" w:line="167"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 xml:space="preserve">We allocated the proceeds from the sale of the Series B Preferred Units to the Series B Preferred and the Seies B Warrants based on their relative fair values on the dates of the sales. As described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$4.12 per share, and its Conversion Price (or stated value) of $7.00 per share represents a deemed dividend to the purchasers of the Series B Preferred Units. Accordingly, we have recognized a deemed dividend in the aggregate amount of $1,811,800 in arriving at net loss attributable to common stockholders in the accompanying Condensed Consolidated Statement of Operations and Comprehensive Loss for the nine months ended December 31, 2015.</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See Note 10, </w:t>
      </w:r>
      <w:r>
        <w:rPr>
          <w:rFonts w:ascii="Arial" w:cs="Arial" w:eastAsia="Arial" w:hAnsi="Arial"/>
          <w:sz w:val="14"/>
          <w:szCs w:val="14"/>
          <w:i w:val="1"/>
          <w:iCs w:val="1"/>
          <w:color w:val="auto"/>
        </w:rPr>
        <w:t>Subsequent Events</w:t>
      </w:r>
      <w:r>
        <w:rPr>
          <w:rFonts w:ascii="Arial" w:cs="Arial" w:eastAsia="Arial" w:hAnsi="Arial"/>
          <w:sz w:val="14"/>
          <w:szCs w:val="14"/>
          <w:color w:val="auto"/>
        </w:rPr>
        <w:t>, for disclosure regarding additional sales of Series B Preferred Units after December 31,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Unit Warrants</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0"/>
        </w:trPr>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80" w:type="dxa"/>
            <w:vAlign w:val="bottom"/>
            <w:gridSpan w:val="3"/>
          </w:tcPr>
          <w:p>
            <w:pPr>
              <w:jc w:val="center"/>
              <w:spacing w:after="0" w:line="160" w:lineRule="exact"/>
              <w:rPr>
                <w:sz w:val="20"/>
                <w:szCs w:val="20"/>
                <w:color w:val="auto"/>
              </w:rPr>
            </w:pPr>
            <w:r>
              <w:rPr>
                <w:rFonts w:ascii="Arial" w:cs="Arial" w:eastAsia="Arial" w:hAnsi="Arial"/>
                <w:sz w:val="14"/>
                <w:szCs w:val="14"/>
                <w:color w:val="auto"/>
                <w:w w:val="90"/>
              </w:rPr>
              <w:t>Weighted Average Issuance Date</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Valuation Assumptions</w:t>
            </w:r>
          </w:p>
        </w:tc>
        <w:tc>
          <w:tcPr>
            <w:tcW w:w="6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29"/>
              <w:spacing w:after="0"/>
              <w:rPr>
                <w:sz w:val="20"/>
                <w:szCs w:val="20"/>
                <w:color w:val="auto"/>
              </w:rPr>
            </w:pPr>
            <w:r>
              <w:rPr>
                <w:rFonts w:ascii="Arial" w:cs="Arial" w:eastAsia="Arial" w:hAnsi="Arial"/>
                <w:sz w:val="14"/>
                <w:szCs w:val="14"/>
                <w:color w:val="auto"/>
              </w:rPr>
              <w:t>Per Share</w:t>
            </w:r>
          </w:p>
        </w:tc>
        <w:tc>
          <w:tcPr>
            <w:tcW w:w="1340" w:type="dxa"/>
            <w:vAlign w:val="bottom"/>
            <w:gridSpan w:val="2"/>
          </w:tcPr>
          <w:p>
            <w:pPr>
              <w:ind w:left="440"/>
              <w:spacing w:after="0"/>
              <w:rPr>
                <w:sz w:val="20"/>
                <w:szCs w:val="20"/>
                <w:color w:val="auto"/>
              </w:rPr>
            </w:pPr>
            <w:r>
              <w:rPr>
                <w:rFonts w:ascii="Arial" w:cs="Arial" w:eastAsia="Arial" w:hAnsi="Arial"/>
                <w:sz w:val="14"/>
                <w:szCs w:val="14"/>
                <w:color w:val="auto"/>
              </w:rPr>
              <w:t>Aggregate</w:t>
            </w:r>
          </w:p>
        </w:tc>
        <w:tc>
          <w:tcPr>
            <w:tcW w:w="1320" w:type="dxa"/>
            <w:vAlign w:val="bottom"/>
            <w:gridSpan w:val="2"/>
          </w:tcPr>
          <w:p>
            <w:pPr>
              <w:ind w:left="420"/>
              <w:spacing w:after="0"/>
              <w:rPr>
                <w:sz w:val="20"/>
                <w:szCs w:val="20"/>
                <w:color w:val="auto"/>
              </w:rPr>
            </w:pPr>
            <w:r>
              <w:rPr>
                <w:rFonts w:ascii="Arial" w:cs="Arial" w:eastAsia="Arial" w:hAnsi="Arial"/>
                <w:sz w:val="14"/>
                <w:szCs w:val="14"/>
                <w:color w:val="auto"/>
              </w:rPr>
              <w:t>Aggregate</w:t>
            </w:r>
          </w:p>
        </w:tc>
        <w:tc>
          <w:tcPr>
            <w:tcW w:w="2720" w:type="dxa"/>
            <w:vAlign w:val="bottom"/>
            <w:gridSpan w:val="2"/>
          </w:tcPr>
          <w:p>
            <w:pPr>
              <w:jc w:val="right"/>
              <w:ind w:right="169"/>
              <w:spacing w:after="0"/>
              <w:rPr>
                <w:sz w:val="20"/>
                <w:szCs w:val="20"/>
                <w:color w:val="auto"/>
              </w:rPr>
            </w:pPr>
            <w:r>
              <w:rPr>
                <w:rFonts w:ascii="Arial" w:cs="Arial" w:eastAsia="Arial" w:hAnsi="Arial"/>
                <w:sz w:val="14"/>
                <w:szCs w:val="14"/>
                <w:color w:val="auto"/>
              </w:rPr>
              <w:t>Aggregate Allocation of Proceeds</w:t>
            </w:r>
          </w:p>
        </w:tc>
      </w:tr>
      <w:tr>
        <w:trPr>
          <w:trHeight w:val="150"/>
        </w:trPr>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Risk free</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309"/>
              <w:spacing w:after="0" w:line="149" w:lineRule="exact"/>
              <w:rPr>
                <w:sz w:val="20"/>
                <w:szCs w:val="20"/>
                <w:color w:val="auto"/>
              </w:rPr>
            </w:pPr>
            <w:r>
              <w:rPr>
                <w:rFonts w:ascii="Arial" w:cs="Arial" w:eastAsia="Arial" w:hAnsi="Arial"/>
                <w:sz w:val="14"/>
                <w:szCs w:val="14"/>
                <w:color w:val="auto"/>
                <w:w w:val="99"/>
              </w:rPr>
              <w:t>Fair</w:t>
            </w: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Fair Value</w:t>
            </w: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Proceeds</w:t>
            </w:r>
          </w:p>
        </w:tc>
        <w:tc>
          <w:tcPr>
            <w:tcW w:w="2720" w:type="dxa"/>
            <w:vAlign w:val="bottom"/>
            <w:gridSpan w:val="2"/>
          </w:tcPr>
          <w:p>
            <w:pPr>
              <w:jc w:val="right"/>
              <w:ind w:right="469"/>
              <w:spacing w:after="0" w:line="149" w:lineRule="exact"/>
              <w:rPr>
                <w:sz w:val="20"/>
                <w:szCs w:val="20"/>
                <w:color w:val="auto"/>
              </w:rPr>
            </w:pPr>
            <w:r>
              <w:rPr>
                <w:rFonts w:ascii="Arial" w:cs="Arial" w:eastAsia="Arial" w:hAnsi="Arial"/>
                <w:sz w:val="14"/>
                <w:szCs w:val="14"/>
                <w:color w:val="auto"/>
              </w:rPr>
              <w:t>Based on Relative Fair Value of:</w:t>
            </w:r>
          </w:p>
        </w:tc>
      </w:tr>
      <w:tr>
        <w:trPr>
          <w:trHeight w:val="160"/>
        </w:trPr>
        <w:tc>
          <w:tcPr>
            <w:tcW w:w="66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00" w:type="dxa"/>
            <w:vAlign w:val="bottom"/>
          </w:tcPr>
          <w:p>
            <w:pPr>
              <w:jc w:val="center"/>
              <w:spacing w:after="0" w:line="160" w:lineRule="exact"/>
              <w:rPr>
                <w:sz w:val="20"/>
                <w:szCs w:val="20"/>
                <w:color w:val="auto"/>
              </w:rPr>
            </w:pPr>
            <w:r>
              <w:rPr>
                <w:rFonts w:ascii="Arial" w:cs="Arial" w:eastAsia="Arial" w:hAnsi="Arial"/>
                <w:sz w:val="14"/>
                <w:szCs w:val="14"/>
                <w:color w:val="auto"/>
                <w:w w:val="93"/>
              </w:rPr>
              <w:t>Market</w:t>
            </w:r>
          </w:p>
        </w:tc>
        <w:tc>
          <w:tcPr>
            <w:tcW w:w="6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89"/>
              </w:rPr>
              <w:t>Exercise</w:t>
            </w:r>
          </w:p>
        </w:tc>
        <w:tc>
          <w:tcPr>
            <w:tcW w:w="640" w:type="dxa"/>
            <w:vAlign w:val="bottom"/>
          </w:tcPr>
          <w:p>
            <w:pPr>
              <w:jc w:val="center"/>
              <w:ind w:right="29"/>
              <w:spacing w:after="0" w:line="160" w:lineRule="exact"/>
              <w:rPr>
                <w:sz w:val="20"/>
                <w:szCs w:val="20"/>
                <w:color w:val="auto"/>
              </w:rPr>
            </w:pPr>
            <w:r>
              <w:rPr>
                <w:rFonts w:ascii="Arial" w:cs="Arial" w:eastAsia="Arial" w:hAnsi="Arial"/>
                <w:sz w:val="14"/>
                <w:szCs w:val="14"/>
                <w:color w:val="auto"/>
                <w:w w:val="91"/>
              </w:rPr>
              <w:t>Term</w:t>
            </w:r>
          </w:p>
        </w:tc>
        <w:tc>
          <w:tcPr>
            <w:tcW w:w="660" w:type="dxa"/>
            <w:vAlign w:val="bottom"/>
          </w:tcPr>
          <w:p>
            <w:pPr>
              <w:jc w:val="center"/>
              <w:ind w:right="9"/>
              <w:spacing w:after="0" w:line="160" w:lineRule="exact"/>
              <w:rPr>
                <w:sz w:val="20"/>
                <w:szCs w:val="20"/>
                <w:color w:val="auto"/>
              </w:rPr>
            </w:pPr>
            <w:r>
              <w:rPr>
                <w:rFonts w:ascii="Arial" w:cs="Arial" w:eastAsia="Arial" w:hAnsi="Arial"/>
                <w:sz w:val="14"/>
                <w:szCs w:val="14"/>
                <w:color w:val="auto"/>
                <w:w w:val="89"/>
              </w:rPr>
              <w:t>Interest</w:t>
            </w:r>
          </w:p>
        </w:tc>
        <w:tc>
          <w:tcPr>
            <w:tcW w:w="680" w:type="dxa"/>
            <w:vAlign w:val="bottom"/>
          </w:tcPr>
          <w:p>
            <w:pPr>
              <w:spacing w:after="0"/>
              <w:rPr>
                <w:sz w:val="13"/>
                <w:szCs w:val="13"/>
                <w:color w:val="auto"/>
              </w:rPr>
            </w:pPr>
          </w:p>
        </w:tc>
        <w:tc>
          <w:tcPr>
            <w:tcW w:w="800" w:type="dxa"/>
            <w:vAlign w:val="bottom"/>
            <w:gridSpan w:val="2"/>
          </w:tcPr>
          <w:p>
            <w:pPr>
              <w:jc w:val="center"/>
              <w:ind w:right="240"/>
              <w:spacing w:after="0" w:line="160" w:lineRule="exact"/>
              <w:rPr>
                <w:sz w:val="20"/>
                <w:szCs w:val="20"/>
                <w:color w:val="auto"/>
              </w:rPr>
            </w:pPr>
            <w:r>
              <w:rPr>
                <w:rFonts w:ascii="Arial" w:cs="Arial" w:eastAsia="Arial" w:hAnsi="Arial"/>
                <w:sz w:val="14"/>
                <w:szCs w:val="14"/>
                <w:color w:val="auto"/>
                <w:w w:val="95"/>
              </w:rPr>
              <w:t>Dividend</w:t>
            </w:r>
          </w:p>
        </w:tc>
        <w:tc>
          <w:tcPr>
            <w:tcW w:w="1260" w:type="dxa"/>
            <w:vAlign w:val="bottom"/>
          </w:tcPr>
          <w:p>
            <w:pPr>
              <w:jc w:val="center"/>
              <w:ind w:right="309"/>
              <w:spacing w:after="0" w:line="160" w:lineRule="exact"/>
              <w:rPr>
                <w:sz w:val="20"/>
                <w:szCs w:val="20"/>
                <w:color w:val="auto"/>
              </w:rPr>
            </w:pPr>
            <w:r>
              <w:rPr>
                <w:rFonts w:ascii="Arial" w:cs="Arial" w:eastAsia="Arial" w:hAnsi="Arial"/>
                <w:sz w:val="14"/>
                <w:szCs w:val="14"/>
                <w:color w:val="auto"/>
                <w:w w:val="93"/>
              </w:rPr>
              <w:t>Value of</w:t>
            </w:r>
          </w:p>
        </w:tc>
        <w:tc>
          <w:tcPr>
            <w:tcW w:w="1340" w:type="dxa"/>
            <w:vAlign w:val="bottom"/>
            <w:gridSpan w:val="2"/>
          </w:tcPr>
          <w:p>
            <w:pPr>
              <w:jc w:val="center"/>
              <w:ind w:right="380"/>
              <w:spacing w:after="0" w:line="160" w:lineRule="exact"/>
              <w:rPr>
                <w:sz w:val="20"/>
                <w:szCs w:val="20"/>
                <w:color w:val="auto"/>
              </w:rPr>
            </w:pPr>
            <w:r>
              <w:rPr>
                <w:rFonts w:ascii="Arial" w:cs="Arial" w:eastAsia="Arial" w:hAnsi="Arial"/>
                <w:sz w:val="14"/>
                <w:szCs w:val="14"/>
                <w:color w:val="auto"/>
                <w:w w:val="98"/>
              </w:rPr>
              <w:t>of Unit</w:t>
            </w:r>
          </w:p>
        </w:tc>
        <w:tc>
          <w:tcPr>
            <w:tcW w:w="112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98"/>
              </w:rPr>
              <w:t>of Unit</w:t>
            </w:r>
          </w:p>
        </w:tc>
        <w:tc>
          <w:tcPr>
            <w:tcW w:w="2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89"/>
              <w:spacing w:after="0" w:line="160" w:lineRule="exact"/>
              <w:rPr>
                <w:sz w:val="20"/>
                <w:szCs w:val="20"/>
                <w:color w:val="auto"/>
              </w:rPr>
            </w:pPr>
            <w:r>
              <w:rPr>
                <w:rFonts w:ascii="Arial" w:cs="Arial" w:eastAsia="Arial" w:hAnsi="Arial"/>
                <w:sz w:val="14"/>
                <w:szCs w:val="14"/>
                <w:color w:val="auto"/>
              </w:rPr>
              <w:t>Unit</w:t>
            </w:r>
          </w:p>
        </w:tc>
      </w:tr>
      <w:tr>
        <w:trPr>
          <w:trHeight w:val="182"/>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Issued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6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Price</w:t>
            </w:r>
          </w:p>
        </w:tc>
        <w:tc>
          <w:tcPr>
            <w:tcW w:w="6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(Years)</w:t>
            </w:r>
          </w:p>
        </w:tc>
        <w:tc>
          <w:tcPr>
            <w:tcW w:w="6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Rate</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Volatility</w:t>
            </w:r>
          </w:p>
        </w:tc>
        <w:tc>
          <w:tcPr>
            <w:tcW w:w="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7"/>
              </w:rPr>
              <w:t>Rate</w:t>
            </w:r>
          </w:p>
        </w:tc>
        <w:tc>
          <w:tcPr>
            <w:tcW w:w="1260" w:type="dxa"/>
            <w:vAlign w:val="bottom"/>
            <w:tcBorders>
              <w:bottom w:val="single" w:sz="8" w:color="auto"/>
            </w:tcBorders>
          </w:tcPr>
          <w:p>
            <w:pPr>
              <w:jc w:val="center"/>
              <w:ind w:right="309"/>
              <w:spacing w:after="0"/>
              <w:rPr>
                <w:sz w:val="20"/>
                <w:szCs w:val="20"/>
                <w:color w:val="auto"/>
              </w:rPr>
            </w:pPr>
            <w:r>
              <w:rPr>
                <w:rFonts w:ascii="Arial" w:cs="Arial" w:eastAsia="Arial" w:hAnsi="Arial"/>
                <w:sz w:val="14"/>
                <w:szCs w:val="14"/>
                <w:color w:val="auto"/>
                <w:w w:val="88"/>
              </w:rPr>
              <w:t>Warrant</w:t>
            </w: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w w:val="87"/>
              </w:rPr>
              <w:t>Warrants</w:t>
            </w:r>
          </w:p>
        </w:tc>
        <w:tc>
          <w:tcPr>
            <w:tcW w:w="13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85"/>
              </w:rPr>
              <w:t>Sales</w:t>
            </w:r>
          </w:p>
        </w:tc>
        <w:tc>
          <w:tcPr>
            <w:tcW w:w="152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Unit Stock</w:t>
            </w:r>
          </w:p>
        </w:tc>
        <w:tc>
          <w:tcPr>
            <w:tcW w:w="120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color w:val="auto"/>
                <w:w w:val="92"/>
              </w:rPr>
              <w:t>Warrant</w:t>
            </w:r>
          </w:p>
        </w:tc>
      </w:tr>
      <w:tr>
        <w:trPr>
          <w:trHeight w:val="170"/>
        </w:trPr>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6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86"/>
              </w:rPr>
              <w:t>628,264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$ 10.86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$ 7.00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w:t>
            </w:r>
          </w:p>
        </w:tc>
        <w:tc>
          <w:tcPr>
            <w:tcW w:w="1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$ 7.72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$ 4,849,100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$ 4,397,800</w:t>
            </w:r>
          </w:p>
        </w:tc>
        <w:tc>
          <w:tcPr>
            <w:tcW w:w="15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$ 2,585,900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$ 1,811,900</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Statement for Common Stock underlying Series B Preferred and Series B Warrants</w:t>
      </w:r>
    </w:p>
    <w:p>
      <w:pPr>
        <w:spacing w:after="0" w:line="205" w:lineRule="exact"/>
        <w:rPr>
          <w:sz w:val="20"/>
          <w:szCs w:val="20"/>
          <w:color w:val="auto"/>
        </w:rPr>
      </w:pPr>
    </w:p>
    <w:p>
      <w:pPr>
        <w:ind w:right="100" w:firstLine="511"/>
        <w:spacing w:after="0" w:line="283" w:lineRule="auto"/>
        <w:rPr>
          <w:sz w:val="20"/>
          <w:szCs w:val="20"/>
          <w:color w:val="auto"/>
        </w:rPr>
      </w:pPr>
      <w:r>
        <w:rPr>
          <w:rFonts w:ascii="Arial" w:cs="Arial" w:eastAsia="Arial" w:hAnsi="Arial"/>
          <w:sz w:val="13"/>
          <w:szCs w:val="13"/>
          <w:color w:val="auto"/>
        </w:rPr>
        <w:t>The securities purchase agreements for the Series B Preferred and Series B Preferred Units executed with Platinum, the holders of the Investor Unit Notes, the holders of our promissory notes and other contractual indebtedness converted into shares of Series B Preferred, initial investors in Series B Preferred Units, and certain others to whom we issued Series B Preferred, contained registration rights requiring that a Registration Statement on Form S-1 (</w:t>
      </w:r>
      <w:r>
        <w:rPr>
          <w:rFonts w:ascii="Arial" w:cs="Arial" w:eastAsia="Arial" w:hAnsi="Arial"/>
          <w:sz w:val="13"/>
          <w:szCs w:val="13"/>
          <w:i w:val="1"/>
          <w:iCs w:val="1"/>
          <w:color w:val="auto"/>
        </w:rPr>
        <w:t>Registration Statement</w:t>
      </w:r>
      <w:r>
        <w:rPr>
          <w:rFonts w:ascii="Arial" w:cs="Arial" w:eastAsia="Arial" w:hAnsi="Arial"/>
          <w:sz w:val="13"/>
          <w:szCs w:val="13"/>
          <w:color w:val="auto"/>
        </w:rPr>
        <w:t>) registering, under the Securities Act, certain shares of common stock underlying the Series B Preferred and the Series B Warrants be declared effective on or before August 30, 2015. We filed an initial Registration Statement with the SEC on July 21, 2015, which we amended on August 25, 2015, and which was declared effective by the SEC on August 28, 2015. The Registration Statement registered an aggregate of 3,992,479 shares of our common stock underlying outstanding Series B Preferred and Series B Warrants. Accordingly, we incurred no cash or in kind penalties under the securities purchase agreements.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3" w:name="page214"/>
    <w:bookmarkEnd w:id="21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of Series B Preferred to Common Stock</w:t>
      </w:r>
    </w:p>
    <w:p>
      <w:pPr>
        <w:spacing w:after="0" w:line="205" w:lineRule="exact"/>
        <w:rPr>
          <w:sz w:val="20"/>
          <w:szCs w:val="20"/>
          <w:color w:val="auto"/>
        </w:rPr>
      </w:pPr>
    </w:p>
    <w:p>
      <w:pPr>
        <w:ind w:right="100" w:firstLine="511"/>
        <w:spacing w:after="0" w:line="323" w:lineRule="auto"/>
        <w:rPr>
          <w:sz w:val="20"/>
          <w:szCs w:val="20"/>
          <w:color w:val="auto"/>
        </w:rPr>
      </w:pPr>
      <w:r>
        <w:rPr>
          <w:rFonts w:ascii="Arial" w:cs="Arial" w:eastAsia="Arial" w:hAnsi="Arial"/>
          <w:sz w:val="13"/>
          <w:szCs w:val="13"/>
          <w:color w:val="auto"/>
        </w:rPr>
        <w:t>Between September 2015 and December 31, 2015, holders of an aggregate of 213,318 shares of Series B Preferred converted such shares into an equivalent number of registered shares of our common stock. Additionally, we issued an aggregate of 5,976 shares of our restricted common stock in payment of $43,500 in accrued dividends on the Series B Preferred converted.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to Professional Service Providers</w:t>
      </w:r>
    </w:p>
    <w:p>
      <w:pPr>
        <w:spacing w:after="0" w:line="205" w:lineRule="exact"/>
        <w:rPr>
          <w:sz w:val="20"/>
          <w:szCs w:val="20"/>
          <w:color w:val="auto"/>
        </w:rPr>
      </w:pPr>
    </w:p>
    <w:p>
      <w:pPr>
        <w:ind w:right="20" w:firstLine="511"/>
        <w:spacing w:after="0" w:line="278" w:lineRule="auto"/>
        <w:rPr>
          <w:sz w:val="20"/>
          <w:szCs w:val="20"/>
          <w:color w:val="auto"/>
        </w:rPr>
      </w:pPr>
      <w:r>
        <w:rPr>
          <w:rFonts w:ascii="Arial" w:cs="Arial" w:eastAsia="Arial" w:hAnsi="Arial"/>
          <w:sz w:val="13"/>
          <w:szCs w:val="13"/>
          <w:color w:val="auto"/>
        </w:rPr>
        <w:t>In June 2015, we issued, in a self-placed private placement transaction, an aggregate of 25,000 shares of our Series B Preferred having a fair value of $250,000 as compensation for legal services related to our debt restructuring and other corporate finance matters. Effective on June 30, 2015, we issued, in a self-placed private placement transaction, an aggregate of 90,000 shares of our Series B Preferred having an aggregate value of $1,350,000 as compensation for financial advisory and corporate development service contracts with two independent contractors for services to be performed through June 30, 2016. The value of the Series B Preferred grants was recorded as a prepaid expense in the Condensed Consolidated Balance Sheet at the date of the grant and is being expensed ratably over the twelve months ending June 30, 2016, with $337,500 and $675,000 expensed as a component of general and administrative expense in the three and nine months ended December 31, 2015, respectively. During the quarter ended June 30, 2015, we also issued, in a self-placed private placement transaction, an aggregate of 50,000 shares of our common stock, having an aggregate value of $500,000, as compensation under two corporate development service contracts. The value of the common stock grants was expensed as a component of general and administrative expense in the Condensed Consolidated Statement of Operations and Comprehensive Loss for the quarter ended June 30, 2015. During the quarter ended September 30, 2015, we issued, in a self-placed private placement transaction, an aggregate of 10,000 shares of our Series B Preferred having an aggregate fair value of $120,000 to two providers of intellectual property-related legal services. During the quarter ended December 31, 2015, we issued warrants to purchase an aggregate of 45,000 shares of our unregistered common stock to four parties as compensation under certain investment banking agreements. We valued the warrants granted on the dates indicated using the Black Scholes Option Pricing Model and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9"/>
              </w:rPr>
              <w:t>11/23/2015</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12/11/2015</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6.75</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7.00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77.95%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77.88%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4"/>
                <w:szCs w:val="14"/>
                <w:b w:val="1"/>
                <w:bCs w:val="1"/>
                <w:color w:val="auto"/>
              </w:rPr>
              <w:t>Fair Value per share</w:t>
            </w:r>
          </w:p>
        </w:tc>
        <w:tc>
          <w:tcPr>
            <w:tcW w:w="416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4.22</w:t>
            </w:r>
          </w:p>
        </w:tc>
        <w:tc>
          <w:tcPr>
            <w:tcW w:w="5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b w:val="1"/>
                <w:bCs w:val="1"/>
                <w:color w:val="auto"/>
              </w:rPr>
              <w:t>2.12</w:t>
            </w:r>
          </w:p>
        </w:tc>
      </w:tr>
      <w:tr>
        <w:trPr>
          <w:trHeight w:val="170"/>
        </w:trPr>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Warrant shares granted</w:t>
            </w:r>
          </w:p>
        </w:tc>
        <w:tc>
          <w:tcPr>
            <w:tcW w:w="4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7,500</w:t>
            </w: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37,500</w:t>
            </w:r>
          </w:p>
        </w:tc>
      </w:tr>
      <w:tr>
        <w:trPr>
          <w:trHeight w:val="180"/>
        </w:trPr>
        <w:tc>
          <w:tcPr>
            <w:tcW w:w="5080" w:type="dxa"/>
            <w:vAlign w:val="bottom"/>
          </w:tcPr>
          <w:p>
            <w:pPr>
              <w:spacing w:after="0"/>
              <w:rPr>
                <w:sz w:val="20"/>
                <w:szCs w:val="20"/>
                <w:color w:val="auto"/>
              </w:rPr>
            </w:pPr>
            <w:r>
              <w:rPr>
                <w:rFonts w:ascii="Arial" w:cs="Arial" w:eastAsia="Arial" w:hAnsi="Arial"/>
                <w:sz w:val="14"/>
                <w:szCs w:val="14"/>
                <w:color w:val="auto"/>
              </w:rPr>
              <w:t>Expense recognized</w:t>
            </w:r>
          </w:p>
        </w:tc>
        <w:tc>
          <w:tcPr>
            <w:tcW w:w="41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31,700</w:t>
            </w:r>
          </w:p>
        </w:tc>
        <w:tc>
          <w:tcPr>
            <w:tcW w:w="5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79,600</w:t>
            </w:r>
          </w:p>
        </w:tc>
      </w:tr>
    </w:tbl>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In connection with the November 2015 warrant grant, we also issued 15,750 shares of unregistered common stock valued at $106,300 and, in connection with the December 11, 2015 warrant grant, we made a cash payment of $20,000. We recognized an aggregate of $237,600 in general and administrative expense during the quarter ended December 31, 2015 attributable to these agreements, of which $20,000 was cash.</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Warrants</w:t>
      </w:r>
    </w:p>
    <w:p>
      <w:pPr>
        <w:spacing w:after="0" w:line="205" w:lineRule="exact"/>
        <w:rPr>
          <w:sz w:val="20"/>
          <w:szCs w:val="20"/>
          <w:color w:val="auto"/>
        </w:rPr>
      </w:pPr>
    </w:p>
    <w:p>
      <w:pPr>
        <w:ind w:right="180" w:firstLine="511"/>
        <w:spacing w:after="0" w:line="314" w:lineRule="auto"/>
        <w:rPr>
          <w:sz w:val="20"/>
          <w:szCs w:val="20"/>
          <w:color w:val="auto"/>
        </w:rPr>
      </w:pPr>
      <w:r>
        <w:rPr>
          <w:rFonts w:ascii="Arial" w:cs="Arial" w:eastAsia="Arial" w:hAnsi="Arial"/>
          <w:sz w:val="12"/>
          <w:szCs w:val="12"/>
          <w:color w:val="auto"/>
        </w:rPr>
        <w:t xml:space="preserve">In addition to warrants modified in connection with conversions of certain of our outstanding promissory notes into Series B Preferred as described earlier in Note 7, </w:t>
      </w:r>
      <w:r>
        <w:rPr>
          <w:rFonts w:ascii="Arial" w:cs="Arial" w:eastAsia="Arial" w:hAnsi="Arial"/>
          <w:sz w:val="12"/>
          <w:szCs w:val="12"/>
          <w:i w:val="1"/>
          <w:iCs w:val="1"/>
          <w:color w:val="auto"/>
        </w:rPr>
        <w:t>Convertible Promissory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Notes and Other Notes Payable, </w:t>
      </w:r>
      <w:r>
        <w:rPr>
          <w:rFonts w:ascii="Arial" w:cs="Arial" w:eastAsia="Arial" w:hAnsi="Arial"/>
          <w:sz w:val="12"/>
          <w:szCs w:val="12"/>
          <w:color w:val="auto"/>
        </w:rPr>
        <w:t>on June 10, 2015, we modified certain other outstanding warrants to purchase an aggregate of 54,576 shares of our common stock to reduce their exercise price. We</w:t>
      </w:r>
      <w:r>
        <w:rPr>
          <w:rFonts w:ascii="Arial" w:cs="Arial" w:eastAsia="Arial" w:hAnsi="Arial"/>
          <w:sz w:val="12"/>
          <w:szCs w:val="12"/>
          <w:i w:val="1"/>
          <w:iCs w:val="1"/>
          <w:color w:val="auto"/>
        </w:rPr>
        <w:t xml:space="preserve"> </w:t>
      </w:r>
      <w:r>
        <w:rPr>
          <w:rFonts w:ascii="Arial" w:cs="Arial" w:eastAsia="Arial" w:hAnsi="Arial"/>
          <w:sz w:val="12"/>
          <w:szCs w:val="12"/>
          <w:color w:val="auto"/>
        </w:rPr>
        <w:t>calculated the fair value of the modified warrants immediately before and after the modifications and determined that the fair value of the warrants increased by an aggregate of $122,300, which we recognized as a component of general and administrative expense in the Condensed Consolidated Statements of Operations and Comprehensive Loss for the quarter ended June 30, 2015, with a corresponding credit to additional paid-in capital. The warrants subject to the exercise price modifications were valued using the Black-Scholes Option Pricing Model and the following assumptions: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4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45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4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30.23</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11.92</w:t>
            </w: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0.83%</w:t>
            </w: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Remaining contractual term in years (weighted average)</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2.26</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2.26</w:t>
            </w: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73.7%</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Dividend rate</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44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4400" w:type="dxa"/>
            <w:vAlign w:val="bottom"/>
          </w:tcPr>
          <w:p>
            <w:pPr>
              <w:spacing w:after="0"/>
              <w:rPr>
                <w:sz w:val="20"/>
                <w:szCs w:val="20"/>
                <w:color w:val="auto"/>
              </w:rPr>
            </w:pPr>
            <w:r>
              <w:rPr>
                <w:rFonts w:ascii="Arial" w:cs="Arial" w:eastAsia="Arial" w:hAnsi="Arial"/>
                <w:sz w:val="14"/>
                <w:szCs w:val="14"/>
                <w:b w:val="1"/>
                <w:bCs w:val="1"/>
                <w:color w:val="auto"/>
              </w:rPr>
              <w:t>Fair Value per share (weighted average)</w:t>
            </w:r>
          </w:p>
        </w:tc>
        <w:tc>
          <w:tcPr>
            <w:tcW w:w="4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1.55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3.79</w:t>
            </w:r>
          </w:p>
        </w:tc>
      </w:tr>
      <w:tr>
        <w:trPr>
          <w:trHeight w:val="464"/>
        </w:trPr>
        <w:tc>
          <w:tcPr>
            <w:tcW w:w="4400" w:type="dxa"/>
            <w:vAlign w:val="bottom"/>
          </w:tcPr>
          <w:p>
            <w:pPr>
              <w:spacing w:after="0"/>
              <w:rPr>
                <w:sz w:val="24"/>
                <w:szCs w:val="24"/>
                <w:color w:val="auto"/>
              </w:rPr>
            </w:pPr>
          </w:p>
        </w:tc>
        <w:tc>
          <w:tcPr>
            <w:tcW w:w="4560" w:type="dxa"/>
            <w:vAlign w:val="bottom"/>
            <w:gridSpan w:val="3"/>
          </w:tcPr>
          <w:p>
            <w:pPr>
              <w:jc w:val="right"/>
              <w:ind w:right="3100"/>
              <w:spacing w:after="0"/>
              <w:rPr>
                <w:sz w:val="20"/>
                <w:szCs w:val="20"/>
                <w:color w:val="auto"/>
              </w:rPr>
            </w:pPr>
            <w:r>
              <w:rPr>
                <w:rFonts w:ascii="Arial" w:cs="Arial" w:eastAsia="Arial" w:hAnsi="Arial"/>
                <w:sz w:val="14"/>
                <w:szCs w:val="14"/>
                <w:color w:val="auto"/>
              </w:rPr>
              <w:t>F-70</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2"/>
        </w:trPr>
        <w:tc>
          <w:tcPr>
            <w:tcW w:w="4400" w:type="dxa"/>
            <w:vAlign w:val="bottom"/>
            <w:tcBorders>
              <w:bottom w:val="single" w:sz="8" w:color="808080"/>
            </w:tcBorders>
          </w:tcPr>
          <w:p>
            <w:pPr>
              <w:spacing w:after="0"/>
              <w:rPr>
                <w:sz w:val="7"/>
                <w:szCs w:val="7"/>
                <w:color w:val="auto"/>
              </w:rPr>
            </w:pPr>
          </w:p>
        </w:tc>
        <w:tc>
          <w:tcPr>
            <w:tcW w:w="43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4" w:name="page215"/>
    <w:bookmarkEnd w:id="21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Grants and Modifications</w:t>
      </w:r>
    </w:p>
    <w:p>
      <w:pPr>
        <w:spacing w:after="0" w:line="205" w:lineRule="exact"/>
        <w:rPr>
          <w:sz w:val="20"/>
          <w:szCs w:val="20"/>
          <w:color w:val="auto"/>
        </w:rPr>
      </w:pPr>
    </w:p>
    <w:p>
      <w:pPr>
        <w:ind w:right="120" w:firstLine="511"/>
        <w:spacing w:after="0" w:line="259" w:lineRule="auto"/>
        <w:rPr>
          <w:sz w:val="20"/>
          <w:szCs w:val="20"/>
          <w:color w:val="auto"/>
        </w:rPr>
      </w:pPr>
      <w:r>
        <w:rPr>
          <w:rFonts w:ascii="Arial" w:cs="Arial" w:eastAsia="Arial" w:hAnsi="Arial"/>
          <w:sz w:val="14"/>
          <w:szCs w:val="14"/>
          <w:color w:val="auto"/>
        </w:rPr>
        <w:t>On September 2, 2015, when the market price of our common stock was $9.11 per share, our Board of Directors (</w:t>
      </w:r>
      <w:r>
        <w:rPr>
          <w:rFonts w:ascii="Arial" w:cs="Arial" w:eastAsia="Arial" w:hAnsi="Arial"/>
          <w:sz w:val="14"/>
          <w:szCs w:val="14"/>
          <w:i w:val="1"/>
          <w:iCs w:val="1"/>
          <w:color w:val="auto"/>
        </w:rPr>
        <w:t>Board</w:t>
      </w:r>
      <w:r>
        <w:rPr>
          <w:rFonts w:ascii="Arial" w:cs="Arial" w:eastAsia="Arial" w:hAnsi="Arial"/>
          <w:sz w:val="14"/>
          <w:szCs w:val="14"/>
          <w:color w:val="auto"/>
        </w:rPr>
        <w:t xml:space="preserve">) authorized the grant of fully-vested five-year warrants to purchase an aggregate of 650,000 restricted shares of our common stock at an exercise price of $9.25 per share, including an aggregate of 600,000 of such shares to company officers and independent members of the Board. We valued the new warrant grants at $5.68 per share, or an aggregate of $3,692,900, using the Black Scholes Option Pricing Model and the assumptions indicated in Note 2, </w:t>
      </w:r>
      <w:r>
        <w:rPr>
          <w:rFonts w:ascii="Arial" w:cs="Arial" w:eastAsia="Arial" w:hAnsi="Arial"/>
          <w:sz w:val="14"/>
          <w:szCs w:val="14"/>
          <w:i w:val="1"/>
          <w:iCs w:val="1"/>
          <w:color w:val="auto"/>
        </w:rPr>
        <w:t>Summary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Significant Accounting Policies. </w:t>
      </w:r>
      <w:r>
        <w:rPr>
          <w:rFonts w:ascii="Arial" w:cs="Arial" w:eastAsia="Arial" w:hAnsi="Arial"/>
          <w:sz w:val="14"/>
          <w:szCs w:val="14"/>
          <w:color w:val="auto"/>
        </w:rPr>
        <w:t>We recognized non-cash research and development and general and administrative stock compensation expense in the amounts of $852,200 and $2,840,700,</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respectively, attributable to the warrant grants in the quarter ended September 30, 2015, which amounts are reflected in the accompanying Condensed Consolidated Statement of Operations and Comprehensive Loss.</w:t>
      </w:r>
    </w:p>
    <w:p>
      <w:pPr>
        <w:spacing w:after="0" w:line="171" w:lineRule="exact"/>
        <w:rPr>
          <w:sz w:val="20"/>
          <w:szCs w:val="20"/>
          <w:color w:val="auto"/>
        </w:rPr>
      </w:pPr>
    </w:p>
    <w:p>
      <w:pPr>
        <w:ind w:right="20" w:firstLine="511"/>
        <w:spacing w:after="0" w:line="308" w:lineRule="auto"/>
        <w:rPr>
          <w:sz w:val="20"/>
          <w:szCs w:val="20"/>
          <w:color w:val="auto"/>
        </w:rPr>
      </w:pPr>
      <w:r>
        <w:rPr>
          <w:rFonts w:ascii="Arial" w:cs="Arial" w:eastAsia="Arial" w:hAnsi="Arial"/>
          <w:sz w:val="12"/>
          <w:szCs w:val="12"/>
          <w:color w:val="auto"/>
        </w:rPr>
        <w:t>On November 11, 2015, when the market price of our common stock was $6.50 per share, our Board authorized the modification of outstanding warrants to purchase an aggregate of 1,123,533 shares of our common stock, including warrants to purchase an aggregate of 600,000 shares granted in September 2015, as described above, previously granted to company officers, independent members of the Board and a key scientific advisor to reduce the exercise prices thereof to $7.00 per share and to extend through March 19, 2019 the expiration date of such warrants to purchase an aggregate of 10,803 shares of our unregistered common stock otherwise scheduled to expire during calendar 2016. We calculated the fair value of the modified warrants immediately before and after the modifications and determined that the fair value of the warrants increased by an aggregate of $492,600. We recognized $357,500 of such increase as a component of general and administrative expense in the Condensed Consolidated Statements of Operations and Comprehensive Loss for the quarter ended December 31, 2015, and the remaining $135,100 as a component of research and development expense in the same period. The warrants subject to the exercise price modifications were valued using the Black-Scholes Option Pricing Model and the following assumptions: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9.97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1.74%</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Remaining contractual term in years (weighted 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5.13</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5.16</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Fair Value per share (weighted average)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3.65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4.08</w:t>
            </w:r>
          </w:p>
        </w:tc>
      </w:tr>
      <w:tr>
        <w:trPr>
          <w:trHeight w:val="326"/>
        </w:trPr>
        <w:tc>
          <w:tcPr>
            <w:tcW w:w="8720" w:type="dxa"/>
            <w:vAlign w:val="bottom"/>
          </w:tcPr>
          <w:p>
            <w:pPr>
              <w:spacing w:after="0"/>
              <w:rPr>
                <w:sz w:val="20"/>
                <w:szCs w:val="20"/>
                <w:color w:val="auto"/>
              </w:rPr>
            </w:pPr>
            <w:r>
              <w:rPr>
                <w:rFonts w:ascii="Arial" w:cs="Arial" w:eastAsia="Arial" w:hAnsi="Arial"/>
                <w:sz w:val="14"/>
                <w:szCs w:val="14"/>
                <w:b w:val="1"/>
                <w:bCs w:val="1"/>
                <w:color w:val="auto"/>
              </w:rPr>
              <w:t>Warrants Outstanding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2" w:lineRule="exact"/>
        <w:rPr>
          <w:sz w:val="20"/>
          <w:szCs w:val="20"/>
          <w:color w:val="auto"/>
        </w:rPr>
      </w:pPr>
    </w:p>
    <w:p>
      <w:pPr>
        <w:ind w:right="680" w:firstLine="511"/>
        <w:spacing w:after="0" w:line="283" w:lineRule="auto"/>
        <w:rPr>
          <w:sz w:val="20"/>
          <w:szCs w:val="20"/>
          <w:color w:val="auto"/>
        </w:rPr>
      </w:pPr>
      <w:r>
        <w:rPr>
          <w:rFonts w:ascii="Arial" w:cs="Arial" w:eastAsia="Arial" w:hAnsi="Arial"/>
          <w:sz w:val="14"/>
          <w:szCs w:val="14"/>
          <w:color w:val="auto"/>
        </w:rPr>
        <w:t>Following the Series B Warrant issuances and other warrant grants and modifications described above, at December 31, 2015, we had outstanding warrants to purchase shares of our unregistered common stock at a weighted average exercise price of $7.81 per share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Shares Subject</w:t>
            </w: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3160" w:type="dxa"/>
            <w:vAlign w:val="bottom"/>
            <w:gridSpan w:val="2"/>
          </w:tcPr>
          <w:p>
            <w:pPr>
              <w:jc w:val="center"/>
              <w:ind w:right="2420"/>
              <w:spacing w:after="0"/>
              <w:rPr>
                <w:sz w:val="20"/>
                <w:szCs w:val="20"/>
                <w:color w:val="auto"/>
              </w:rPr>
            </w:pPr>
            <w:r>
              <w:rPr>
                <w:rFonts w:ascii="Arial" w:cs="Arial" w:eastAsia="Arial" w:hAnsi="Arial"/>
                <w:sz w:val="14"/>
                <w:szCs w:val="14"/>
                <w:b w:val="1"/>
                <w:bCs w:val="1"/>
                <w:color w:val="auto"/>
                <w:w w:val="86"/>
              </w:rPr>
              <w:t>Exercise</w:t>
            </w: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to Purchase at</w:t>
            </w: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31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93"/>
              </w:rPr>
              <w:t>Price</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31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92"/>
              </w:rPr>
              <w:t>per Share</w:t>
            </w:r>
          </w:p>
        </w:tc>
        <w:tc>
          <w:tcPr>
            <w:tcW w:w="32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180" w:type="dxa"/>
            <w:vAlign w:val="bottom"/>
            <w:gridSpan w:val="2"/>
          </w:tcPr>
          <w:p>
            <w:pPr>
              <w:jc w:val="center"/>
              <w:ind w:left="489"/>
              <w:spacing w:after="0"/>
              <w:rPr>
                <w:sz w:val="20"/>
                <w:szCs w:val="20"/>
                <w:color w:val="auto"/>
              </w:rPr>
            </w:pPr>
            <w:r>
              <w:rPr>
                <w:rFonts w:ascii="Arial" w:cs="Arial" w:eastAsia="Arial" w:hAnsi="Arial"/>
                <w:sz w:val="14"/>
                <w:szCs w:val="14"/>
                <w:b w:val="1"/>
                <w:bCs w:val="1"/>
                <w:color w:val="auto"/>
                <w:w w:val="96"/>
              </w:rPr>
              <w:t>2015</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7.00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9/30/2017 to 3/3/2023</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4,169,645</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9.25</w:t>
            </w:r>
          </w:p>
        </w:tc>
        <w:tc>
          <w:tcPr>
            <w:tcW w:w="4920" w:type="dxa"/>
            <w:vAlign w:val="bottom"/>
            <w:gridSpan w:val="2"/>
          </w:tcPr>
          <w:p>
            <w:pPr>
              <w:jc w:val="center"/>
              <w:ind w:left="3189"/>
              <w:spacing w:after="0"/>
              <w:rPr>
                <w:sz w:val="20"/>
                <w:szCs w:val="20"/>
                <w:color w:val="auto"/>
              </w:rPr>
            </w:pPr>
            <w:r>
              <w:rPr>
                <w:rFonts w:ascii="Arial" w:cs="Arial" w:eastAsia="Arial" w:hAnsi="Arial"/>
                <w:sz w:val="14"/>
                <w:szCs w:val="14"/>
                <w:color w:val="auto"/>
                <w:w w:val="91"/>
              </w:rPr>
              <w:t>9/2/2020</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10.00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1/31/2016 to 1/11/2020</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554,915</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15.00</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2/14/2018 to 3/4/2018</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75,389</w:t>
            </w: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20.00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7/30/2016 to 9/15/2019</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115,448</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30.00</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0"/>
              </w:rPr>
              <w:t>2/13/2016 to 11/20/2017</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6,100</w:t>
            </w:r>
          </w:p>
        </w:tc>
        <w:tc>
          <w:tcPr>
            <w:tcW w:w="0" w:type="dxa"/>
            <w:vAlign w:val="bottom"/>
          </w:tcPr>
          <w:p>
            <w:pPr>
              <w:spacing w:after="0"/>
              <w:rPr>
                <w:sz w:val="1"/>
                <w:szCs w:val="1"/>
                <w:color w:val="auto"/>
              </w:rPr>
            </w:pPr>
          </w:p>
        </w:tc>
      </w:tr>
      <w:tr>
        <w:trPr>
          <w:trHeight w:val="172"/>
        </w:trPr>
        <w:tc>
          <w:tcPr>
            <w:tcW w:w="6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326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4,971,497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920" w:type="dxa"/>
            <w:vAlign w:val="bottom"/>
            <w:gridSpan w:val="2"/>
            <w:vMerge w:val="restart"/>
          </w:tcPr>
          <w:p>
            <w:pPr>
              <w:ind w:left="1800"/>
              <w:spacing w:after="0"/>
              <w:rPr>
                <w:sz w:val="20"/>
                <w:szCs w:val="20"/>
                <w:color w:val="auto"/>
              </w:rPr>
            </w:pPr>
            <w:r>
              <w:rPr>
                <w:rFonts w:ascii="Arial" w:cs="Arial" w:eastAsia="Arial" w:hAnsi="Arial"/>
                <w:sz w:val="14"/>
                <w:szCs w:val="14"/>
                <w:color w:val="auto"/>
              </w:rPr>
              <w:t>F-71</w:t>
            </w:r>
          </w:p>
        </w:tc>
        <w:tc>
          <w:tcPr>
            <w:tcW w:w="5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920" w:type="dxa"/>
            <w:vAlign w:val="bottom"/>
            <w:gridSpan w:val="2"/>
            <w:vMerge w:val="continue"/>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64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5" w:name="page216"/>
    <w:bookmarkEnd w:id="21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Related Party Transactions</w:t>
      </w:r>
    </w:p>
    <w:p>
      <w:pPr>
        <w:spacing w:after="0" w:line="205" w:lineRule="exact"/>
        <w:rPr>
          <w:sz w:val="20"/>
          <w:szCs w:val="20"/>
          <w:color w:val="auto"/>
        </w:rPr>
      </w:pPr>
    </w:p>
    <w:p>
      <w:pPr>
        <w:ind w:firstLine="511"/>
        <w:spacing w:after="0" w:line="261" w:lineRule="auto"/>
        <w:rPr>
          <w:sz w:val="20"/>
          <w:szCs w:val="20"/>
          <w:color w:val="auto"/>
        </w:rPr>
      </w:pPr>
      <w:r>
        <w:rPr>
          <w:rFonts w:ascii="Arial" w:cs="Arial" w:eastAsia="Arial" w:hAnsi="Arial"/>
          <w:sz w:val="14"/>
          <w:szCs w:val="14"/>
          <w:color w:val="auto"/>
        </w:rPr>
        <w:t>Cato Holding Company, doing business as Cato BioVentures (</w:t>
      </w:r>
      <w:r>
        <w:rPr>
          <w:rFonts w:ascii="Arial" w:cs="Arial" w:eastAsia="Arial" w:hAnsi="Arial"/>
          <w:sz w:val="14"/>
          <w:szCs w:val="14"/>
          <w:i w:val="1"/>
          <w:iCs w:val="1"/>
          <w:color w:val="auto"/>
        </w:rPr>
        <w:t>CBV</w:t>
      </w:r>
      <w:r>
        <w:rPr>
          <w:rFonts w:ascii="Arial" w:cs="Arial" w:eastAsia="Arial" w:hAnsi="Arial"/>
          <w:sz w:val="14"/>
          <w:szCs w:val="14"/>
          <w:color w:val="auto"/>
        </w:rPr>
        <w:t>), the parent of Cato Research Ltd. (</w:t>
      </w:r>
      <w:r>
        <w:rPr>
          <w:rFonts w:ascii="Arial" w:cs="Arial" w:eastAsia="Arial" w:hAnsi="Arial"/>
          <w:sz w:val="14"/>
          <w:szCs w:val="14"/>
          <w:i w:val="1"/>
          <w:iCs w:val="1"/>
          <w:color w:val="auto"/>
        </w:rPr>
        <w:t>CRL</w:t>
      </w:r>
      <w:r>
        <w:rPr>
          <w:rFonts w:ascii="Arial" w:cs="Arial" w:eastAsia="Arial" w:hAnsi="Arial"/>
          <w:sz w:val="14"/>
          <w:szCs w:val="14"/>
          <w:color w:val="auto"/>
        </w:rPr>
        <w:t>), is one the largest institutional holders of our common stock at December 31, 2015. In October 2012, we issued a 7.5% promissory note (</w:t>
      </w:r>
      <w:r>
        <w:rPr>
          <w:rFonts w:ascii="Arial" w:cs="Arial" w:eastAsia="Arial" w:hAnsi="Arial"/>
          <w:sz w:val="14"/>
          <w:szCs w:val="14"/>
          <w:i w:val="1"/>
          <w:iCs w:val="1"/>
          <w:color w:val="auto"/>
        </w:rPr>
        <w:t>CHC Note</w:t>
      </w:r>
      <w:r>
        <w:rPr>
          <w:rFonts w:ascii="Arial" w:cs="Arial" w:eastAsia="Arial" w:hAnsi="Arial"/>
          <w:sz w:val="14"/>
          <w:szCs w:val="14"/>
          <w:color w:val="auto"/>
        </w:rPr>
        <w:t>) and a warrant (</w:t>
      </w:r>
      <w:r>
        <w:rPr>
          <w:rFonts w:ascii="Arial" w:cs="Arial" w:eastAsia="Arial" w:hAnsi="Arial"/>
          <w:sz w:val="14"/>
          <w:szCs w:val="14"/>
          <w:i w:val="1"/>
          <w:iCs w:val="1"/>
          <w:color w:val="auto"/>
        </w:rPr>
        <w:t>CHC Warrant</w:t>
      </w:r>
      <w:r>
        <w:rPr>
          <w:rFonts w:ascii="Arial" w:cs="Arial" w:eastAsia="Arial" w:hAnsi="Arial"/>
          <w:sz w:val="14"/>
          <w:szCs w:val="14"/>
          <w:color w:val="auto"/>
        </w:rPr>
        <w:t xml:space="preserve">) to CHC in settlement of prior indebtedness. As disclosed in Note 7, </w:t>
      </w:r>
      <w:r>
        <w:rPr>
          <w:rFonts w:ascii="Arial" w:cs="Arial" w:eastAsia="Arial" w:hAnsi="Arial"/>
          <w:sz w:val="14"/>
          <w:szCs w:val="14"/>
          <w:i w:val="1"/>
          <w:iCs w:val="1"/>
          <w:color w:val="auto"/>
        </w:rPr>
        <w:t>Convertible Promissory Notes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Notes Payable</w:t>
      </w:r>
      <w:r>
        <w:rPr>
          <w:rFonts w:ascii="Arial" w:cs="Arial" w:eastAsia="Arial" w:hAnsi="Arial"/>
          <w:sz w:val="14"/>
          <w:szCs w:val="14"/>
          <w:color w:val="auto"/>
        </w:rPr>
        <w:t>, during June 2015, the outstanding balance of the CHC Note was converted into shares of our Series B Preferred and we reduced the exercise price of the CHC Warrant from</w:t>
      </w:r>
      <w:r>
        <w:rPr>
          <w:rFonts w:ascii="Arial" w:cs="Arial" w:eastAsia="Arial" w:hAnsi="Arial"/>
          <w:sz w:val="14"/>
          <w:szCs w:val="14"/>
          <w:i w:val="1"/>
          <w:iCs w:val="1"/>
          <w:color w:val="auto"/>
        </w:rPr>
        <w:t xml:space="preserve"> </w:t>
      </w:r>
      <w:r>
        <w:rPr>
          <w:rFonts w:ascii="Arial" w:cs="Arial" w:eastAsia="Arial" w:hAnsi="Arial"/>
          <w:sz w:val="14"/>
          <w:szCs w:val="14"/>
          <w:color w:val="auto"/>
        </w:rPr>
        <w:t>$30.00 per share to $7.00 per share. Total interest expense, including amortization of note discount, on the CHC Note was $0 and $7,400 for the quarters ended December 31, 2015 and 2014, respectively, and $4,700 and $22,500 in the nine month periods ended December 31, 2015 and 2014, respectively.</w:t>
      </w:r>
    </w:p>
    <w:p>
      <w:pPr>
        <w:spacing w:after="0" w:line="168" w:lineRule="exact"/>
        <w:rPr>
          <w:sz w:val="20"/>
          <w:szCs w:val="20"/>
          <w:color w:val="auto"/>
        </w:rPr>
      </w:pPr>
    </w:p>
    <w:p>
      <w:pPr>
        <w:ind w:right="240" w:firstLine="511"/>
        <w:spacing w:after="0" w:line="263" w:lineRule="auto"/>
        <w:rPr>
          <w:sz w:val="20"/>
          <w:szCs w:val="20"/>
          <w:color w:val="auto"/>
        </w:rPr>
      </w:pPr>
      <w:r>
        <w:rPr>
          <w:rFonts w:ascii="Arial" w:cs="Arial" w:eastAsia="Arial" w:hAnsi="Arial"/>
          <w:sz w:val="14"/>
          <w:szCs w:val="14"/>
          <w:color w:val="auto"/>
        </w:rPr>
        <w:t>During fiscal year 2007, we entered into a master contract research, development and regulatory service arrangement with CRL, a contract research organization (</w:t>
      </w:r>
      <w:r>
        <w:rPr>
          <w:rFonts w:ascii="Arial" w:cs="Arial" w:eastAsia="Arial" w:hAnsi="Arial"/>
          <w:sz w:val="14"/>
          <w:szCs w:val="14"/>
          <w:i w:val="1"/>
          <w:iCs w:val="1"/>
          <w:color w:val="auto"/>
        </w:rPr>
        <w:t>CRO</w:t>
      </w:r>
      <w:r>
        <w:rPr>
          <w:rFonts w:ascii="Arial" w:cs="Arial" w:eastAsia="Arial" w:hAnsi="Arial"/>
          <w:sz w:val="14"/>
          <w:szCs w:val="14"/>
          <w:color w:val="auto"/>
        </w:rPr>
        <w:t>), related to the development of AV-101, our orally available small molecule prodrug candidate now in Phase 2 clinical development for Major Depressive Disorder, and subsequent other projects under which we incurred expenses of $19,400 and $7,500 for the quarters ended December 31, 2015 and 2014, respectively, and $41,500 and $22,500 in the nine month periods ended December 31, 2015 and 2014, respectively.</w:t>
      </w:r>
    </w:p>
    <w:p>
      <w:pPr>
        <w:spacing w:after="0" w:line="167" w:lineRule="exact"/>
        <w:rPr>
          <w:sz w:val="20"/>
          <w:szCs w:val="20"/>
          <w:color w:val="auto"/>
        </w:rPr>
      </w:pPr>
    </w:p>
    <w:p>
      <w:pPr>
        <w:ind w:firstLine="511"/>
        <w:spacing w:after="0" w:line="259" w:lineRule="auto"/>
        <w:rPr>
          <w:sz w:val="20"/>
          <w:szCs w:val="20"/>
          <w:color w:val="auto"/>
        </w:rPr>
      </w:pPr>
      <w:r>
        <w:rPr>
          <w:rFonts w:ascii="Arial" w:cs="Arial" w:eastAsia="Arial" w:hAnsi="Arial"/>
          <w:sz w:val="14"/>
          <w:szCs w:val="14"/>
          <w:color w:val="auto"/>
        </w:rPr>
        <w:t>In October 2012, we issued to CRL (i) a 7.5% promissory note (</w:t>
      </w:r>
      <w:r>
        <w:rPr>
          <w:rFonts w:ascii="Arial" w:cs="Arial" w:eastAsia="Arial" w:hAnsi="Arial"/>
          <w:sz w:val="14"/>
          <w:szCs w:val="14"/>
          <w:i w:val="1"/>
          <w:iCs w:val="1"/>
          <w:color w:val="auto"/>
        </w:rPr>
        <w:t>CRL Note</w:t>
      </w:r>
      <w:r>
        <w:rPr>
          <w:rFonts w:ascii="Arial" w:cs="Arial" w:eastAsia="Arial" w:hAnsi="Arial"/>
          <w:sz w:val="14"/>
          <w:szCs w:val="14"/>
          <w:color w:val="auto"/>
        </w:rPr>
        <w:t>) as payment in full for all contract research, development and regulatory services and advice (</w:t>
      </w:r>
      <w:r>
        <w:rPr>
          <w:rFonts w:ascii="Arial" w:cs="Arial" w:eastAsia="Arial" w:hAnsi="Arial"/>
          <w:sz w:val="14"/>
          <w:szCs w:val="14"/>
          <w:i w:val="1"/>
          <w:iCs w:val="1"/>
          <w:color w:val="auto"/>
        </w:rPr>
        <w:t>CRO Services</w:t>
      </w:r>
      <w:r>
        <w:rPr>
          <w:rFonts w:ascii="Arial" w:cs="Arial" w:eastAsia="Arial" w:hAnsi="Arial"/>
          <w:sz w:val="14"/>
          <w:szCs w:val="14"/>
          <w:color w:val="auto"/>
        </w:rPr>
        <w:t>) rendered by CRL to us through December 31, 2012 with respect to certain AV-101 preclinical and clinical development and regulatory activities, and (ii) a warrant (</w:t>
      </w:r>
      <w:r>
        <w:rPr>
          <w:rFonts w:ascii="Arial" w:cs="Arial" w:eastAsia="Arial" w:hAnsi="Arial"/>
          <w:sz w:val="14"/>
          <w:szCs w:val="14"/>
          <w:i w:val="1"/>
          <w:iCs w:val="1"/>
          <w:color w:val="auto"/>
        </w:rPr>
        <w:t>CRL Warrant</w:t>
      </w:r>
      <w:r>
        <w:rPr>
          <w:rFonts w:ascii="Arial" w:cs="Arial" w:eastAsia="Arial" w:hAnsi="Arial"/>
          <w:sz w:val="14"/>
          <w:szCs w:val="14"/>
          <w:color w:val="auto"/>
        </w:rPr>
        <w:t xml:space="preserve">). As disclosed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during June 2015, the entire outstanding balance of the CRL Note and all other outstanding amounts owed to CRL for CRO services were converted into shares of our Series B Preferred and we reduced the exercise price of the CRL Warrant from $20.00 per share to $7.00 per share. Total interest expense, including amortization of the note discount, on the CRL Note was $0 and $36,300 for the quarters ended December 31, 2015 and 2014, respectively, and $23,500 and $109,900 for the nine month periods ended December 31, 2015 and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Subsequent Events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B Preferred Unit Offering</w:t>
      </w:r>
    </w:p>
    <w:p>
      <w:pPr>
        <w:spacing w:after="0" w:line="205" w:lineRule="exact"/>
        <w:rPr>
          <w:sz w:val="20"/>
          <w:szCs w:val="20"/>
          <w:color w:val="auto"/>
        </w:rPr>
      </w:pPr>
    </w:p>
    <w:p>
      <w:pPr>
        <w:ind w:right="60" w:firstLine="511"/>
        <w:spacing w:after="0" w:line="268" w:lineRule="auto"/>
        <w:rPr>
          <w:sz w:val="20"/>
          <w:szCs w:val="20"/>
          <w:color w:val="auto"/>
        </w:rPr>
      </w:pPr>
      <w:r>
        <w:rPr>
          <w:rFonts w:ascii="Arial" w:cs="Arial" w:eastAsia="Arial" w:hAnsi="Arial"/>
          <w:sz w:val="14"/>
          <w:szCs w:val="14"/>
          <w:color w:val="auto"/>
        </w:rPr>
        <w:t>Between January 1, 2016 and February 12, 2016, in self-placed private placement transactions, we sold to accredited investors Series B Preferred Units consisting of (i) an aggregate of 18,286 shares of our Series B Preferred and (ii) Series B Warrants to purchase an aggregate of 18,286 shares of our common stock at an exercise price of $7.00 per share. We received cash proceeds of $128,000 from these sales of Series B Preferred Units.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of Series B Preferred into Common Stock</w:t>
      </w:r>
    </w:p>
    <w:p>
      <w:pPr>
        <w:spacing w:after="0" w:line="205" w:lineRule="exact"/>
        <w:rPr>
          <w:sz w:val="20"/>
          <w:szCs w:val="20"/>
          <w:color w:val="auto"/>
        </w:rPr>
      </w:pPr>
    </w:p>
    <w:p>
      <w:pPr>
        <w:ind w:right="260" w:firstLine="511"/>
        <w:spacing w:after="0" w:line="323" w:lineRule="auto"/>
        <w:rPr>
          <w:sz w:val="20"/>
          <w:szCs w:val="20"/>
          <w:color w:val="auto"/>
        </w:rPr>
      </w:pPr>
      <w:r>
        <w:rPr>
          <w:rFonts w:ascii="Arial" w:cs="Arial" w:eastAsia="Arial" w:hAnsi="Arial"/>
          <w:sz w:val="13"/>
          <w:szCs w:val="13"/>
          <w:color w:val="auto"/>
        </w:rPr>
        <w:t>Between January 1, 2016 and February 12, 2016, holders of an aggregate of 13,500 shares of Series B Preferred converted such shares into an equivalent number of registered shares of our common stock. Additionally, we issued an aggregate of 716 shares of our restricted common stock in payment of $6,200 in accrued dividends on the Series B Preferred converted.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Creation of Series C Convertible Preferred Stock</w:t>
      </w:r>
    </w:p>
    <w:p>
      <w:pPr>
        <w:spacing w:after="0" w:line="205" w:lineRule="exact"/>
        <w:rPr>
          <w:sz w:val="20"/>
          <w:szCs w:val="20"/>
          <w:color w:val="auto"/>
        </w:rPr>
      </w:pPr>
    </w:p>
    <w:p>
      <w:pPr>
        <w:ind w:firstLine="511"/>
        <w:spacing w:after="0" w:line="259" w:lineRule="auto"/>
        <w:rPr>
          <w:sz w:val="20"/>
          <w:szCs w:val="20"/>
          <w:color w:val="auto"/>
        </w:rPr>
      </w:pPr>
      <w:r>
        <w:rPr>
          <w:rFonts w:ascii="Arial" w:cs="Arial" w:eastAsia="Arial" w:hAnsi="Arial"/>
          <w:sz w:val="14"/>
          <w:szCs w:val="14"/>
          <w:color w:val="auto"/>
        </w:rPr>
        <w:t>On January 13, 2016, our Board authorized the creation of, and effective January 25, 2016, we filed a Certificate of Designation of the Relative Rights and Preferences of the Series C Convertible Preferred Stock of VistaGen Therapeutics, Inc. the (</w:t>
      </w:r>
      <w:r>
        <w:rPr>
          <w:rFonts w:ascii="Arial" w:cs="Arial" w:eastAsia="Arial" w:hAnsi="Arial"/>
          <w:sz w:val="14"/>
          <w:szCs w:val="14"/>
          <w:i w:val="1"/>
          <w:iCs w:val="1"/>
          <w:color w:val="auto"/>
        </w:rPr>
        <w:t>Certificate of Designation)</w:t>
      </w:r>
      <w:r>
        <w:rPr>
          <w:rFonts w:ascii="Arial" w:cs="Arial" w:eastAsia="Arial" w:hAnsi="Arial"/>
          <w:sz w:val="14"/>
          <w:szCs w:val="14"/>
          <w:color w:val="auto"/>
        </w:rPr>
        <w:t xml:space="preserve"> with the Nevada Secretary of State to designate, 3.0 million shares of our preferred stock, par value $0.001 per share, as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Upon liquidation, each share of Series C Preferred ranks pari-passu with our Series B Preferred and our Series A Convertible Preferred Stock (</w:t>
      </w:r>
      <w:r>
        <w:rPr>
          <w:rFonts w:ascii="Arial" w:cs="Arial" w:eastAsia="Arial" w:hAnsi="Arial"/>
          <w:sz w:val="14"/>
          <w:szCs w:val="14"/>
          <w:i w:val="1"/>
          <w:iCs w:val="1"/>
          <w:color w:val="auto"/>
        </w:rPr>
        <w:t>Series A Preferred)</w:t>
      </w:r>
      <w:r>
        <w:rPr>
          <w:rFonts w:ascii="Arial" w:cs="Arial" w:eastAsia="Arial" w:hAnsi="Arial"/>
          <w:sz w:val="14"/>
          <w:szCs w:val="14"/>
          <w:color w:val="auto"/>
        </w:rPr>
        <w:t>, and is convertible, at the option of the holder into one share of our common stock, subject to certain beneficial ownership limitations as set forth in the Certificate of Designation. Shares of the Series C Preferred do not accrue dividends, and holders of the Series C Preferred have no voting rights. Each share of Series C Preferred is convertible into one (1) share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Exchanges</w:t>
      </w:r>
    </w:p>
    <w:p>
      <w:pPr>
        <w:spacing w:after="0" w:line="205"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On January 25, 2016, we entered into an Exchange Agreement the (</w:t>
      </w:r>
      <w:r>
        <w:rPr>
          <w:rFonts w:ascii="Arial" w:cs="Arial" w:eastAsia="Arial" w:hAnsi="Arial"/>
          <w:sz w:val="14"/>
          <w:szCs w:val="14"/>
          <w:i w:val="1"/>
          <w:iCs w:val="1"/>
          <w:color w:val="auto"/>
        </w:rPr>
        <w:t>Exchange Agreement)</w:t>
      </w:r>
      <w:r>
        <w:rPr>
          <w:rFonts w:ascii="Arial" w:cs="Arial" w:eastAsia="Arial" w:hAnsi="Arial"/>
          <w:sz w:val="14"/>
          <w:szCs w:val="14"/>
          <w:color w:val="auto"/>
        </w:rPr>
        <w:t xml:space="preserve"> with Platinum and Montsant Partners, LLC, an organization affiliated with Platinum (</w:t>
      </w:r>
      <w:r>
        <w:rPr>
          <w:rFonts w:ascii="Arial" w:cs="Arial" w:eastAsia="Arial" w:hAnsi="Arial"/>
          <w:sz w:val="14"/>
          <w:szCs w:val="14"/>
          <w:i w:val="1"/>
          <w:iCs w:val="1"/>
          <w:color w:val="auto"/>
        </w:rPr>
        <w:t>Montsant)</w:t>
      </w:r>
      <w:r>
        <w:rPr>
          <w:rFonts w:ascii="Arial" w:cs="Arial" w:eastAsia="Arial" w:hAnsi="Arial"/>
          <w:sz w:val="14"/>
          <w:szCs w:val="14"/>
          <w:color w:val="auto"/>
        </w:rPr>
        <w:t xml:space="preserve"> and, together with Platinum, the (</w:t>
      </w:r>
      <w:r>
        <w:rPr>
          <w:rFonts w:ascii="Arial" w:cs="Arial" w:eastAsia="Arial" w:hAnsi="Arial"/>
          <w:sz w:val="14"/>
          <w:szCs w:val="14"/>
          <w:i w:val="1"/>
          <w:iCs w:val="1"/>
          <w:color w:val="auto"/>
        </w:rPr>
        <w:t>Holders)</w:t>
      </w:r>
      <w:r>
        <w:rPr>
          <w:rFonts w:ascii="Arial" w:cs="Arial" w:eastAsia="Arial" w:hAnsi="Arial"/>
          <w:sz w:val="14"/>
          <w:szCs w:val="14"/>
          <w:color w:val="auto"/>
        </w:rPr>
        <w:t>, pursuant to which (i) 200,000 shares of our common stock held by the Holders were exchanged for 200,000 shares of Series C Preferred; (ii) the Holders canceled 2,368,658 warrants previously issued to them by the Company the (</w:t>
      </w:r>
      <w:r>
        <w:rPr>
          <w:rFonts w:ascii="Arial" w:cs="Arial" w:eastAsia="Arial" w:hAnsi="Arial"/>
          <w:sz w:val="14"/>
          <w:szCs w:val="14"/>
          <w:i w:val="1"/>
          <w:iCs w:val="1"/>
          <w:color w:val="auto"/>
        </w:rPr>
        <w:t>Warrants)</w:t>
      </w:r>
      <w:r>
        <w:rPr>
          <w:rFonts w:ascii="Arial" w:cs="Arial" w:eastAsia="Arial" w:hAnsi="Arial"/>
          <w:sz w:val="14"/>
          <w:szCs w:val="14"/>
          <w:color w:val="auto"/>
        </w:rPr>
        <w:t xml:space="preserve"> in exchange for a total of 1,776,494 shares of Series C Preferred. In addition, Platinum terminated its right under the Note Exchange and Purchase Agreement, originally dated October 11, 2012 the (</w:t>
      </w:r>
      <w:r>
        <w:rPr>
          <w:rFonts w:ascii="Arial" w:cs="Arial" w:eastAsia="Arial" w:hAnsi="Arial"/>
          <w:sz w:val="14"/>
          <w:szCs w:val="14"/>
          <w:i w:val="1"/>
          <w:iCs w:val="1"/>
          <w:color w:val="auto"/>
        </w:rPr>
        <w:t>NEPA)</w:t>
      </w:r>
      <w:r>
        <w:rPr>
          <w:rFonts w:ascii="Arial" w:cs="Arial" w:eastAsia="Arial" w:hAnsi="Arial"/>
          <w:sz w:val="14"/>
          <w:szCs w:val="14"/>
          <w:color w:val="auto"/>
        </w:rPr>
        <w:t>, as amended, to receive warrants (</w:t>
      </w:r>
      <w:r>
        <w:rPr>
          <w:rFonts w:ascii="Arial" w:cs="Arial" w:eastAsia="Arial" w:hAnsi="Arial"/>
          <w:sz w:val="14"/>
          <w:szCs w:val="14"/>
          <w:i w:val="1"/>
          <w:iCs w:val="1"/>
          <w:color w:val="auto"/>
        </w:rPr>
        <w:t>Series A Warrants)</w:t>
      </w:r>
      <w:r>
        <w:rPr>
          <w:rFonts w:ascii="Arial" w:cs="Arial" w:eastAsia="Arial" w:hAnsi="Arial"/>
          <w:sz w:val="14"/>
          <w:szCs w:val="14"/>
          <w:color w:val="auto"/>
        </w:rPr>
        <w:t xml:space="preserve"> to purchase a total of 455,358 shares of our common stock upon conversion of all of its shares of our Series A Preferred, and, as consideration, we issued to Platinum 341,518 shares of Series C Preferred. Upon execution of the Exchange Agreement and the termination of Platinum’s right to receive Series A Warrants under the NEPA, we issued Series A Warrants to purchase a total of 80,357 shares of our common stock to the holder of shares of Series A Preferred previously held, but subsequently assigned, by Platinum.</w:t>
      </w:r>
    </w:p>
    <w:p>
      <w:pPr>
        <w:spacing w:after="0" w:line="173" w:lineRule="exact"/>
        <w:rPr>
          <w:sz w:val="20"/>
          <w:szCs w:val="20"/>
          <w:color w:val="auto"/>
        </w:rPr>
      </w:pPr>
    </w:p>
    <w:p>
      <w:pPr>
        <w:jc w:val="both"/>
        <w:ind w:right="100" w:firstLine="511"/>
        <w:spacing w:after="0" w:line="268" w:lineRule="auto"/>
        <w:rPr>
          <w:sz w:val="20"/>
          <w:szCs w:val="20"/>
          <w:color w:val="auto"/>
        </w:rPr>
      </w:pPr>
      <w:r>
        <w:rPr>
          <w:rFonts w:ascii="Arial" w:cs="Arial" w:eastAsia="Arial" w:hAnsi="Arial"/>
          <w:sz w:val="14"/>
          <w:szCs w:val="14"/>
          <w:color w:val="auto"/>
        </w:rPr>
        <w:t>Between January 29, 2016 and February 12, 2016, we entered into Warrant Exchange Agreements with certain holders of outstanding warrants to purchase an aggregate of 824,887 shares of our common stock pursuant to which the holders agreed to the cancellation of such warrants in exchange for our issuance to them of an aggregate of 618,685 shares of our unregistered common stock. At February 12, 2016, we had warrants outstanding to purchase 1,874,595 shares of our common stock.</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16" w:name="page217"/>
    <w:bookmarkEnd w:id="216"/>
    <w:p>
      <w:pPr>
        <w:spacing w:after="0"/>
        <w:rPr>
          <w:rFonts w:ascii="Arial" w:cs="Arial" w:eastAsia="Arial" w:hAnsi="Arial"/>
          <w:sz w:val="11"/>
          <w:szCs w:val="11"/>
          <w:i w:val="1"/>
          <w:iCs w:val="1"/>
          <w:u w:val="single" w:color="auto"/>
          <w:color w:val="0000EE"/>
        </w:rPr>
      </w:pPr>
      <w:hyperlink w:anchor="page5">
        <w:r>
          <w:rPr>
            <w:rFonts w:ascii="Arial" w:cs="Arial" w:eastAsia="Arial" w:hAnsi="Arial"/>
            <w:sz w:val="11"/>
            <w:szCs w:val="11"/>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292735</wp:posOffset>
            </wp:positionV>
            <wp:extent cx="7294880" cy="196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4880" cy="1968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728345</wp:posOffset>
            </wp:positionV>
            <wp:extent cx="1237615" cy="817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37615" cy="817880"/>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2,352,942 Shares of Common Stock</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Warrants to Purchase up to 2,352,942 Shares of Common Stock</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Joint Book-Running Managers</w:t>
      </w:r>
    </w:p>
    <w:p>
      <w:pPr>
        <w:spacing w:after="0" w:line="168" w:lineRule="exact"/>
        <w:rPr>
          <w:sz w:val="20"/>
          <w:szCs w:val="20"/>
          <w:color w:val="auto"/>
        </w:rPr>
      </w:pPr>
    </w:p>
    <w:p>
      <w:pPr>
        <w:ind w:left="1960"/>
        <w:spacing w:after="0"/>
        <w:tabs>
          <w:tab w:leader="none" w:pos="7280" w:val="left"/>
        </w:tabs>
        <w:rPr>
          <w:sz w:val="20"/>
          <w:szCs w:val="20"/>
          <w:color w:val="auto"/>
        </w:rPr>
      </w:pPr>
      <w:r>
        <w:rPr>
          <w:rFonts w:ascii="Arial" w:cs="Arial" w:eastAsia="Arial" w:hAnsi="Arial"/>
          <w:sz w:val="19"/>
          <w:szCs w:val="19"/>
          <w:b w:val="1"/>
          <w:bCs w:val="1"/>
          <w:color w:val="auto"/>
        </w:rPr>
        <w:t>Chardan</w:t>
      </w:r>
      <w:r>
        <w:rPr>
          <w:sz w:val="20"/>
          <w:szCs w:val="20"/>
          <w:color w:val="auto"/>
        </w:rPr>
        <w:tab/>
      </w:r>
      <w:r>
        <w:rPr>
          <w:rFonts w:ascii="Arial" w:cs="Arial" w:eastAsia="Arial" w:hAnsi="Arial"/>
          <w:sz w:val="19"/>
          <w:szCs w:val="19"/>
          <w:b w:val="1"/>
          <w:bCs w:val="1"/>
          <w:color w:val="auto"/>
        </w:rPr>
        <w:t>WallachBeth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[_____________], 2016</w:t>
      </w: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Through and including [___________], 2016 (the 25</w:t>
      </w:r>
      <w:r>
        <w:rPr>
          <w:rFonts w:ascii="Arial" w:cs="Arial" w:eastAsia="Arial" w:hAnsi="Arial"/>
          <w:sz w:val="20"/>
          <w:szCs w:val="20"/>
          <w:b w:val="1"/>
          <w:bCs w:val="1"/>
          <w:color w:val="auto"/>
          <w:vertAlign w:val="superscript"/>
        </w:rPr>
        <w:t>th</w:t>
      </w:r>
      <w:r>
        <w:rPr>
          <w:rFonts w:ascii="Arial" w:cs="Arial" w:eastAsia="Arial" w:hAnsi="Arial"/>
          <w:sz w:val="15"/>
          <w:szCs w:val="15"/>
          <w:b w:val="1"/>
          <w:bCs w:val="1"/>
          <w:color w:val="auto"/>
        </w:rPr>
        <w:t xml:space="preserve"> day after the date of this prospectus), all dealers that buy, sell or trade our common stock, whether or</w:t>
      </w:r>
    </w:p>
    <w:p>
      <w:pPr>
        <w:spacing w:after="0" w:line="243" w:lineRule="auto"/>
        <w:rPr>
          <w:sz w:val="20"/>
          <w:szCs w:val="20"/>
          <w:color w:val="auto"/>
        </w:rPr>
      </w:pPr>
      <w:r>
        <w:rPr>
          <w:rFonts w:ascii="Arial" w:cs="Arial" w:eastAsia="Arial" w:hAnsi="Arial"/>
          <w:sz w:val="17"/>
          <w:szCs w:val="17"/>
          <w:b w:val="1"/>
          <w:bCs w:val="1"/>
          <w:color w:val="auto"/>
        </w:rPr>
        <w:t>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281545" cy="196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type w:val="continuous"/>
        </w:sectPr>
      </w:pPr>
    </w:p>
    <w:bookmarkStart w:id="217" w:name="page218"/>
    <w:bookmarkEnd w:id="21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following table presents the costs and expenses in connection with the issuance and distribution of the securities to be registered. No underwriting discounts and commissions shall be payable by us in connection with the resale of common stock being registered. Except as otherwise noted, we will pay all of these amounts. All amounts are estimates except the SEC registration fee and the FINRA filing fee.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SEC Registration Fee</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2,618</w:t>
            </w:r>
          </w:p>
        </w:tc>
      </w:tr>
      <w:tr>
        <w:trPr>
          <w:trHeight w:val="170"/>
        </w:trPr>
        <w:tc>
          <w:tcPr>
            <w:tcW w:w="10200" w:type="dxa"/>
            <w:vAlign w:val="bottom"/>
          </w:tcPr>
          <w:p>
            <w:pPr>
              <w:spacing w:after="0"/>
              <w:rPr>
                <w:sz w:val="20"/>
                <w:szCs w:val="20"/>
                <w:color w:val="auto"/>
              </w:rPr>
            </w:pPr>
            <w:r>
              <w:rPr>
                <w:rFonts w:ascii="Arial" w:cs="Arial" w:eastAsia="Arial" w:hAnsi="Arial"/>
                <w:sz w:val="14"/>
                <w:szCs w:val="14"/>
                <w:color w:val="auto"/>
              </w:rPr>
              <w:t>FINRA Filing Fee</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4,678</w:t>
            </w: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NASDAQ Capital Market Listing Fee</w:t>
            </w: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w:t>
            </w:r>
          </w:p>
        </w:tc>
      </w:tr>
      <w:tr>
        <w:trPr>
          <w:trHeight w:val="170"/>
        </w:trPr>
        <w:tc>
          <w:tcPr>
            <w:tcW w:w="10200" w:type="dxa"/>
            <w:vAlign w:val="bottom"/>
          </w:tcPr>
          <w:p>
            <w:pPr>
              <w:spacing w:after="0"/>
              <w:rPr>
                <w:sz w:val="20"/>
                <w:szCs w:val="20"/>
                <w:color w:val="auto"/>
              </w:rPr>
            </w:pPr>
            <w:r>
              <w:rPr>
                <w:rFonts w:ascii="Arial" w:cs="Arial" w:eastAsia="Arial" w:hAnsi="Arial"/>
                <w:sz w:val="14"/>
                <w:szCs w:val="14"/>
                <w:color w:val="auto"/>
              </w:rPr>
              <w:t>Legal Fees and Expenses</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165,000</w:t>
            </w: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Accounting Fees and Expenses</w:t>
            </w: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60,000</w:t>
            </w:r>
          </w:p>
        </w:tc>
      </w:tr>
      <w:tr>
        <w:trPr>
          <w:trHeight w:val="170"/>
        </w:trPr>
        <w:tc>
          <w:tcPr>
            <w:tcW w:w="10200" w:type="dxa"/>
            <w:vAlign w:val="bottom"/>
          </w:tcPr>
          <w:p>
            <w:pPr>
              <w:spacing w:after="0"/>
              <w:rPr>
                <w:sz w:val="20"/>
                <w:szCs w:val="20"/>
                <w:color w:val="auto"/>
              </w:rPr>
            </w:pPr>
            <w:r>
              <w:rPr>
                <w:rFonts w:ascii="Arial" w:cs="Arial" w:eastAsia="Arial" w:hAnsi="Arial"/>
                <w:sz w:val="14"/>
                <w:szCs w:val="14"/>
                <w:color w:val="auto"/>
              </w:rPr>
              <w:t>Transfer Agent and Registrar Fees and Expenses</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5,000</w:t>
            </w: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Printing Expenses</w:t>
            </w: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r>
      <w:tr>
        <w:trPr>
          <w:trHeight w:val="172"/>
        </w:trPr>
        <w:tc>
          <w:tcPr>
            <w:tcW w:w="10200" w:type="dxa"/>
            <w:vAlign w:val="bottom"/>
          </w:tcPr>
          <w:p>
            <w:pPr>
              <w:spacing w:after="0"/>
              <w:rPr>
                <w:sz w:val="20"/>
                <w:szCs w:val="20"/>
                <w:color w:val="auto"/>
              </w:rPr>
            </w:pPr>
            <w:r>
              <w:rPr>
                <w:rFonts w:ascii="Arial" w:cs="Arial" w:eastAsia="Arial" w:hAnsi="Arial"/>
                <w:sz w:val="14"/>
                <w:szCs w:val="14"/>
                <w:color w:val="auto"/>
              </w:rPr>
              <w:t>Miscellaneous Expenses</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r>
      <w:tr>
        <w:trPr>
          <w:trHeight w:val="210"/>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302,296</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Limitations of liability and indemnification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Our amended and restated bylaws provide that we will indemnify our directors, officers and employees to the fullest extent permitted by the Nevada Revised Statutes (</w:t>
      </w:r>
      <w:r>
        <w:rPr>
          <w:rFonts w:ascii="Arial" w:cs="Arial" w:eastAsia="Arial" w:hAnsi="Arial"/>
          <w:sz w:val="14"/>
          <w:szCs w:val="14"/>
          <w:i w:val="1"/>
          <w:iCs w:val="1"/>
          <w:color w:val="auto"/>
        </w:rPr>
        <w:t>NRS</w:t>
      </w:r>
      <w:r>
        <w:rPr>
          <w:rFonts w:ascii="Arial" w:cs="Arial" w:eastAsia="Arial" w:hAnsi="Arial"/>
          <w:sz w:val="14"/>
          <w:szCs w:val="14"/>
          <w:color w:val="auto"/>
        </w:rPr>
        <w:t>).</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47"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42" w:lineRule="exact"/>
        <w:rPr>
          <w:sz w:val="20"/>
          <w:szCs w:val="20"/>
          <w:color w:val="auto"/>
        </w:rPr>
      </w:pPr>
    </w:p>
    <w:p>
      <w:pPr>
        <w:jc w:val="both"/>
        <w:ind w:right="80"/>
        <w:spacing w:after="0" w:line="298" w:lineRule="auto"/>
        <w:rPr>
          <w:sz w:val="20"/>
          <w:szCs w:val="20"/>
          <w:color w:val="auto"/>
        </w:rPr>
      </w:pPr>
      <w:r>
        <w:rPr>
          <w:rFonts w:ascii="Arial" w:cs="Arial" w:eastAsia="Arial" w:hAnsi="Arial"/>
          <w:sz w:val="13"/>
          <w:szCs w:val="13"/>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46"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53"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8" w:name="page219"/>
    <w:bookmarkEnd w:id="21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Recent Sale of Unregistered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Since May 2013, we have made the following sales of unregistered securities in self-placed private placement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Exchanges for Series C Preferred, Exchange of Common Stock for Series C Preferred, Warrant Exchanges for Common Stock – January 2016– May 2016</w:t>
      </w:r>
    </w:p>
    <w:p>
      <w:pPr>
        <w:spacing w:after="0" w:line="184"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 xml:space="preserve">On January 25, 2016, we entered into an Exchange Agreement (the </w:t>
      </w:r>
      <w:r>
        <w:rPr>
          <w:rFonts w:ascii="Arial" w:cs="Arial" w:eastAsia="Arial" w:hAnsi="Arial"/>
          <w:sz w:val="13"/>
          <w:szCs w:val="13"/>
          <w:i w:val="1"/>
          <w:iCs w:val="1"/>
          <w:color w:val="auto"/>
        </w:rPr>
        <w:t>Exchange Agreement</w:t>
      </w:r>
      <w:r>
        <w:rPr>
          <w:rFonts w:ascii="Arial" w:cs="Arial" w:eastAsia="Arial" w:hAnsi="Arial"/>
          <w:sz w:val="13"/>
          <w:szCs w:val="13"/>
          <w:color w:val="auto"/>
        </w:rPr>
        <w:t>) with Platinum and Montsant Partners, LLC, an organization affiliated with Platinum (</w:t>
      </w:r>
      <w:r>
        <w:rPr>
          <w:rFonts w:ascii="Arial" w:cs="Arial" w:eastAsia="Arial" w:hAnsi="Arial"/>
          <w:sz w:val="13"/>
          <w:szCs w:val="13"/>
          <w:i w:val="1"/>
          <w:iCs w:val="1"/>
          <w:color w:val="auto"/>
        </w:rPr>
        <w:t>Montsant</w:t>
      </w:r>
      <w:r>
        <w:rPr>
          <w:rFonts w:ascii="Arial" w:cs="Arial" w:eastAsia="Arial" w:hAnsi="Arial"/>
          <w:sz w:val="13"/>
          <w:szCs w:val="13"/>
          <w:color w:val="auto"/>
        </w:rPr>
        <w:t xml:space="preserve"> and, together with Platinum, the </w:t>
      </w:r>
      <w:r>
        <w:rPr>
          <w:rFonts w:ascii="Arial" w:cs="Arial" w:eastAsia="Arial" w:hAnsi="Arial"/>
          <w:sz w:val="13"/>
          <w:szCs w:val="13"/>
          <w:i w:val="1"/>
          <w:iCs w:val="1"/>
          <w:color w:val="auto"/>
        </w:rPr>
        <w:t>Holders</w:t>
      </w:r>
      <w:r>
        <w:rPr>
          <w:rFonts w:ascii="Arial" w:cs="Arial" w:eastAsia="Arial" w:hAnsi="Arial"/>
          <w:sz w:val="13"/>
          <w:szCs w:val="13"/>
          <w:color w:val="auto"/>
        </w:rPr>
        <w:t>), pursuant to which (i) 200,000 shares of our common stock held by the Holders were exchanged for 200,000 shares of Series C Convertible Preferred Stock (</w:t>
      </w:r>
      <w:r>
        <w:rPr>
          <w:rFonts w:ascii="Arial" w:cs="Arial" w:eastAsia="Arial" w:hAnsi="Arial"/>
          <w:sz w:val="13"/>
          <w:szCs w:val="13"/>
          <w:i w:val="1"/>
          <w:iCs w:val="1"/>
          <w:color w:val="auto"/>
        </w:rPr>
        <w:t>Series C</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w:t>
      </w:r>
      <w:r>
        <w:rPr>
          <w:rFonts w:ascii="Arial" w:cs="Arial" w:eastAsia="Arial" w:hAnsi="Arial"/>
          <w:sz w:val="13"/>
          <w:szCs w:val="13"/>
          <w:color w:val="auto"/>
        </w:rPr>
        <w:t>); (ii) the Holders canceled 2,368,658 warrants previously issued to them by the Company (the</w:t>
      </w:r>
      <w:r>
        <w:rPr>
          <w:rFonts w:ascii="Arial" w:cs="Arial" w:eastAsia="Arial" w:hAnsi="Arial"/>
          <w:sz w:val="13"/>
          <w:szCs w:val="13"/>
          <w:i w:val="1"/>
          <w:iCs w:val="1"/>
          <w:color w:val="auto"/>
        </w:rPr>
        <w:t xml:space="preserve"> Warrants</w:t>
      </w:r>
      <w:r>
        <w:rPr>
          <w:rFonts w:ascii="Arial" w:cs="Arial" w:eastAsia="Arial" w:hAnsi="Arial"/>
          <w:sz w:val="13"/>
          <w:szCs w:val="13"/>
          <w:color w:val="auto"/>
        </w:rPr>
        <w:t>) in exchange for a total of 1,776,494 shares of Series C Preferred. In addition,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Platinum terminated its right under the Note Exchange and Purchase Agreement, originally dated October 11, 2012 (the </w:t>
      </w:r>
      <w:r>
        <w:rPr>
          <w:rFonts w:ascii="Arial" w:cs="Arial" w:eastAsia="Arial" w:hAnsi="Arial"/>
          <w:sz w:val="13"/>
          <w:szCs w:val="13"/>
          <w:i w:val="1"/>
          <w:iCs w:val="1"/>
          <w:color w:val="auto"/>
        </w:rPr>
        <w:t>NEPA</w:t>
      </w:r>
      <w:r>
        <w:rPr>
          <w:rFonts w:ascii="Arial" w:cs="Arial" w:eastAsia="Arial" w:hAnsi="Arial"/>
          <w:sz w:val="13"/>
          <w:szCs w:val="13"/>
          <w:color w:val="auto"/>
        </w:rPr>
        <w:t>), as amended, to receive warrants (</w:t>
      </w:r>
      <w:r>
        <w:rPr>
          <w:rFonts w:ascii="Arial" w:cs="Arial" w:eastAsia="Arial" w:hAnsi="Arial"/>
          <w:sz w:val="13"/>
          <w:szCs w:val="13"/>
          <w:i w:val="1"/>
          <w:iCs w:val="1"/>
          <w:color w:val="auto"/>
        </w:rPr>
        <w:t>Series A Warrants</w:t>
      </w:r>
      <w:r>
        <w:rPr>
          <w:rFonts w:ascii="Arial" w:cs="Arial" w:eastAsia="Arial" w:hAnsi="Arial"/>
          <w:sz w:val="13"/>
          <w:szCs w:val="13"/>
          <w:color w:val="auto"/>
        </w:rPr>
        <w:t>) to purchase a total of 455,358 shares of our common stock upon conversion of all of its shares of our Series A Preferred, and, as consideration, we issued to Platinum 341,518 shares of Series C Preferred. Upon execution of the Exchange Agreement and the termination of Platinum’s right to receive Series A Warrants under the NEPA, we issued Series A Warrants to purchase a total of 80,357 shares of our common stock to the holder of shares of Series A Preferred previously held, but subsequently assigned, by Platinum.</w:t>
      </w:r>
    </w:p>
    <w:p>
      <w:pPr>
        <w:spacing w:after="0" w:line="159" w:lineRule="exact"/>
        <w:rPr>
          <w:sz w:val="20"/>
          <w:szCs w:val="20"/>
          <w:color w:val="auto"/>
        </w:rPr>
      </w:pPr>
    </w:p>
    <w:p>
      <w:pPr>
        <w:ind w:right="140"/>
        <w:spacing w:after="0" w:line="370" w:lineRule="auto"/>
        <w:rPr>
          <w:sz w:val="20"/>
          <w:szCs w:val="20"/>
          <w:color w:val="auto"/>
        </w:rPr>
      </w:pPr>
      <w:r>
        <w:rPr>
          <w:rFonts w:ascii="Arial" w:cs="Arial" w:eastAsia="Arial" w:hAnsi="Arial"/>
          <w:sz w:val="12"/>
          <w:szCs w:val="12"/>
          <w:color w:val="auto"/>
        </w:rPr>
        <w:t>Between January 29, 2016 and May 6, 2016, we entered into Warrant Exchange Agreements with certain holders of outstanding warrants to purchase an aggregate of 1,126,325 shares of our common stock pursuant to which the holders agreed to the cancellation of such warrants in exchange for our issuance to them of an aggregate of 844,775 shares of our unregistered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B Preferred Unit Offering – May 2015 – May 2016</w:t>
      </w:r>
    </w:p>
    <w:p>
      <w:pPr>
        <w:spacing w:after="0" w:line="205" w:lineRule="exact"/>
        <w:rPr>
          <w:sz w:val="20"/>
          <w:szCs w:val="20"/>
          <w:color w:val="auto"/>
        </w:rPr>
      </w:pPr>
    </w:p>
    <w:p>
      <w:pPr>
        <w:jc w:val="both"/>
        <w:ind w:right="340"/>
        <w:spacing w:after="0" w:line="320" w:lineRule="auto"/>
        <w:rPr>
          <w:sz w:val="20"/>
          <w:szCs w:val="20"/>
          <w:color w:val="auto"/>
        </w:rPr>
      </w:pPr>
      <w:r>
        <w:rPr>
          <w:rFonts w:ascii="Arial" w:cs="Arial" w:eastAsia="Arial" w:hAnsi="Arial"/>
          <w:sz w:val="12"/>
          <w:szCs w:val="12"/>
          <w:color w:val="auto"/>
        </w:rPr>
        <w:t>Between May 26, 2015 and May 6, 2016, we sold to accredited investors an aggregate of $5,303,781 of units in our Series B Preferred Unit offering, which units consist of shares of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and Series B Warrants (together Series B Preferred Units), including $2,650,000 to Platinum. We issued 757,692 shares of Series B Preferred and Series B Warrants to purchase 757,692 shares of our common stock and we have received an aggregate of $5,303,781 in cash proceeds from the sale of the Series B Preferred Units. Each share of Series B Preferred is convertible into one share of our common stock and the Series B Warrants are exercisable at a fixed price of $7.00 per share for a term of five years following issuance.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Grants of Warrants and Common Stock – November 2015 – April 2016</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November 11, 2015, we granted 15,750 unregistered shares of our common stock and warrants to purchase 7,500 shares of our unregistered common stock at an exercise price of $7.00 per share to an accredited investor as compensation for investment banking services. On December 11, 2015 we granted warrants to purchase an aggregate of 37,500 unregistered shares of our common stock to three accredited investors pursuant to an investment banking arrangement. On January 15, 2016, we granted 10,000 shares of our unregistered common stock to an accredited investor as compensation for legal services. On February 24, 2016, we granted an aggregate of 6,250 unregistered shares of our common stock to two accredited investors as compensation for legal and investor relations services. On March 2, 2016, we granted 3,125 unregistered shares of our common stock to an accredited investor as partial compensation for legal services related to this Offering. On March 3, 2016, we granted 7,250 unregistered shares of our common stock to an accredited investor as compensation for investor relations services. On March 25, 2016 we granted warrants to purchase an aggregate of 230,000 unregistered shares of our common stock to ten accredited investors as compensation for various professional services. We will receive all proceeds from the exercise of the warrants granted; however, there can be no assurance that we will receive any proceeds therefrom.</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19" w:name="page220"/>
    <w:bookmarkEnd w:id="21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Conversion of Senior Secured Promissory Notes, Convertible and Other Promissory Notes and Liabilities into Series B Preferred Stock and Warrants – May 2015 – August 2015</w:t>
      </w:r>
    </w:p>
    <w:p>
      <w:pPr>
        <w:spacing w:after="0" w:line="195" w:lineRule="exact"/>
        <w:rPr>
          <w:sz w:val="20"/>
          <w:szCs w:val="20"/>
          <w:color w:val="auto"/>
        </w:rPr>
      </w:pPr>
    </w:p>
    <w:p>
      <w:pPr>
        <w:spacing w:after="0" w:line="311" w:lineRule="auto"/>
        <w:rPr>
          <w:sz w:val="20"/>
          <w:szCs w:val="20"/>
          <w:color w:val="auto"/>
        </w:rPr>
      </w:pPr>
      <w:r>
        <w:rPr>
          <w:rFonts w:ascii="Arial" w:cs="Arial" w:eastAsia="Arial" w:hAnsi="Arial"/>
          <w:sz w:val="12"/>
          <w:szCs w:val="12"/>
          <w:color w:val="auto"/>
        </w:rPr>
        <w:t>Effective on May 12, 2015, we entered into an Agreement with Platinum (</w:t>
      </w:r>
      <w:r>
        <w:rPr>
          <w:rFonts w:ascii="Arial" w:cs="Arial" w:eastAsia="Arial" w:hAnsi="Arial"/>
          <w:sz w:val="12"/>
          <w:szCs w:val="12"/>
          <w:i w:val="1"/>
          <w:iCs w:val="1"/>
          <w:color w:val="auto"/>
        </w:rPr>
        <w:t>Platinum Agreement</w:t>
      </w:r>
      <w:r>
        <w:rPr>
          <w:rFonts w:ascii="Arial" w:cs="Arial" w:eastAsia="Arial" w:hAnsi="Arial"/>
          <w:sz w:val="12"/>
          <w:szCs w:val="12"/>
          <w:color w:val="auto"/>
        </w:rPr>
        <w:t>) pursuant to which, among other things, Platinum (i) converted the approximately $4.5 million outstanding balance (principal and accrued but unpaid interest) of the Senior Notes we issued to Platinum between August 2012 and July 2013 into 641,335 shares of Series B Preferred; (ii) converted the approximately $1.3 million outstanding balance (principal and accrued but unpaid interest) of the convertible promissory Notes we issued to Platinum in our 2014 Unit Private Placement (</w:t>
      </w:r>
      <w:r>
        <w:rPr>
          <w:rFonts w:ascii="Arial" w:cs="Arial" w:eastAsia="Arial" w:hAnsi="Arial"/>
          <w:sz w:val="12"/>
          <w:szCs w:val="12"/>
          <w:i w:val="1"/>
          <w:iCs w:val="1"/>
          <w:color w:val="auto"/>
        </w:rPr>
        <w:t>2014 Unit</w:t>
      </w:r>
      <w:r>
        <w:rPr>
          <w:rFonts w:ascii="Arial" w:cs="Arial" w:eastAsia="Arial" w:hAnsi="Arial"/>
          <w:sz w:val="12"/>
          <w:szCs w:val="12"/>
          <w:color w:val="auto"/>
        </w:rPr>
        <w:t xml:space="preserve"> </w:t>
      </w:r>
      <w:r>
        <w:rPr>
          <w:rFonts w:ascii="Arial" w:cs="Arial" w:eastAsia="Arial" w:hAnsi="Arial"/>
          <w:sz w:val="12"/>
          <w:szCs w:val="12"/>
          <w:i w:val="1"/>
          <w:iCs w:val="1"/>
          <w:color w:val="auto"/>
        </w:rPr>
        <w:t>Notes</w:t>
      </w:r>
      <w:r>
        <w:rPr>
          <w:rFonts w:ascii="Arial" w:cs="Arial" w:eastAsia="Arial" w:hAnsi="Arial"/>
          <w:sz w:val="12"/>
          <w:szCs w:val="12"/>
          <w:color w:val="auto"/>
        </w:rPr>
        <w:t>) into 240,305 shares of Series B Preferred and Series B Warrants to purchase 240,305 shares of our common stock at a fixed exercise price of $7.00 per share; and (iii) purchased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$1.5 million (including accrued but unpaid interest thereon) of outstanding 2014 Unit Notes we had issued to various investors from the respective holders thereof (</w:t>
      </w:r>
      <w:r>
        <w:rPr>
          <w:rFonts w:ascii="Arial" w:cs="Arial" w:eastAsia="Arial" w:hAnsi="Arial"/>
          <w:sz w:val="12"/>
          <w:szCs w:val="12"/>
          <w:i w:val="1"/>
          <w:iCs w:val="1"/>
          <w:color w:val="auto"/>
        </w:rPr>
        <w:t>Investor 2014 Unit Notes</w:t>
      </w:r>
      <w:r>
        <w:rPr>
          <w:rFonts w:ascii="Arial" w:cs="Arial" w:eastAsia="Arial" w:hAnsi="Arial"/>
          <w:sz w:val="12"/>
          <w:szCs w:val="12"/>
          <w:color w:val="auto"/>
        </w:rPr>
        <w:t>) and converted the entire outstanding balance of the Investor 2014 Unit Notes into 265,699 shares of Series B Preferred and Series B Warrants to purchase 265,699 shares of our common stock.</w:t>
      </w:r>
    </w:p>
    <w:p>
      <w:pPr>
        <w:spacing w:after="0" w:line="141" w:lineRule="exact"/>
        <w:rPr>
          <w:sz w:val="20"/>
          <w:szCs w:val="20"/>
          <w:color w:val="auto"/>
        </w:rPr>
      </w:pPr>
    </w:p>
    <w:p>
      <w:pPr>
        <w:ind w:right="220"/>
        <w:spacing w:after="0" w:line="323" w:lineRule="auto"/>
        <w:rPr>
          <w:sz w:val="20"/>
          <w:szCs w:val="20"/>
          <w:color w:val="auto"/>
        </w:rPr>
      </w:pPr>
      <w:r>
        <w:rPr>
          <w:rFonts w:ascii="Arial" w:cs="Arial" w:eastAsia="Arial" w:hAnsi="Arial"/>
          <w:sz w:val="13"/>
          <w:szCs w:val="13"/>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130"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Effective May 20, 2015, holders of the remaining approximately $1.8 million outstanding balance (principal and accrued but unpaid interest) of unsecured 2014 Unit Notes converted such notes into 327,016 shares of Series B Preferred and Series B Warrants to purchase 327,016 shares of our common stock.</w:t>
      </w:r>
    </w:p>
    <w:p>
      <w:pPr>
        <w:spacing w:after="0" w:line="131"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Additionally, between May 29, 2015 and August 17, 2015, holders of certain of our promissory notes outstanding at March 31, 2015 and thereafter, accounts payable from us and other liabilities, including Morrison &amp; Foerster, University Health Network, Cato Research Ltd. and Cato Holding Company, McCarthy Tetrault, Desjardins Securities, Burr Pilger &amp; Mayer, Icahn School of Medicine at Mount Sinai, National Jewish Health and MicroConstants and certain other service providers and individuals converted notes payable or accounts payable having an aggregate balance of approximately $8.01 million (principal and accrued but unpaid interest and certain strategic adjustments) into 1,144,562 shares of Series B Preferred.</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In aggregate, between May 12, 2015 and August 17, 2015, we have eliminated approximately $17.2 million of secured and unsecured promissory notes, other debt and certain adjustments thereto that was either already due and payable or would have otherwise matured prior to March 31, 2016, through conversion into 3,018,917 shares of our Series B Preferred and Series B Warrants to purchase 2,033,020 shares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 Unit Private Placement: March 2014 – July 2014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Between late-March 2014 and May 14, 2015, we entered into self-placed securities purchase agreements with accredited investors pursuant to which we sold to such accredited investors units (</w:t>
      </w:r>
      <w:r>
        <w:rPr>
          <w:rFonts w:ascii="Arial" w:cs="Arial" w:eastAsia="Arial" w:hAnsi="Arial"/>
          <w:sz w:val="13"/>
          <w:szCs w:val="13"/>
          <w:i w:val="1"/>
          <w:iCs w:val="1"/>
          <w:color w:val="auto"/>
        </w:rPr>
        <w:t>2014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Units</w:t>
      </w:r>
      <w:r>
        <w:rPr>
          <w:rFonts w:ascii="Arial" w:cs="Arial" w:eastAsia="Arial" w:hAnsi="Arial"/>
          <w:sz w:val="13"/>
          <w:szCs w:val="13"/>
          <w:color w:val="auto"/>
        </w:rPr>
        <w:t>) consisting, in aggregate, of: (i) 10% subordinate convertible promissory notes maturing between March 31, 2015 and May 15, 2015 (</w:t>
      </w:r>
      <w:r>
        <w:rPr>
          <w:rFonts w:ascii="Arial" w:cs="Arial" w:eastAsia="Arial" w:hAnsi="Arial"/>
          <w:sz w:val="13"/>
          <w:szCs w:val="13"/>
          <w:i w:val="1"/>
          <w:iCs w:val="1"/>
          <w:color w:val="auto"/>
        </w:rPr>
        <w:t>2014 Unit Notes</w:t>
      </w:r>
      <w:r>
        <w:rPr>
          <w:rFonts w:ascii="Arial" w:cs="Arial" w:eastAsia="Arial" w:hAnsi="Arial"/>
          <w:sz w:val="13"/>
          <w:szCs w:val="13"/>
          <w:color w:val="auto"/>
        </w:rPr>
        <w:t>) in the aggregate face amount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$3,393,500; (ii) an aggregate of 315,850 shares of our restricted common stock; and (iii) warrants exercisable through December 31, 2016 to purchase an aggregate of 307,100 restricted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common stock at an exercise price of $10.00 per share. We received cash proceeds of $3,393,500 from the sale of the 2014 Units. As of the date of this prospectus, all of the 10% subordinate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convertible promissory notes issued in connection with the 2014 Unit Private Placement have been extinguished by conversion into shares of our Series B Preferred and Series B Warrants.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0" w:name="page221"/>
    <w:bookmarkEnd w:id="22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to Professional Service Providers</w:t>
      </w:r>
    </w:p>
    <w:p>
      <w:pPr>
        <w:spacing w:after="0" w:line="205"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In June 2015, we issued 25,000 shares of our Series B Preferred having a fair value of $250,000 as compensation for legal services related to our debt restructuring and other corporate finance matters. Effective on June 30, 2015, we issued an aggregate of 90,000 shares of our Series B Preferred having an aggregate value of $1,350,000 as compensation for financial advisory and corporate development service contracts with two independent contractors for services to be performed through June 30, 2016. During the quarter ended June 30, 2015, we also issued an aggregate of 50,000 shares of our common stock having an aggregate value of $500,000 as compensation under two corporate development service contracts.</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In March 2015, we entered into a consulting agreement with another consultant for additional advisory and business development services pursuant to which we issued 25,000 restricted shares of our common stock valued at $175,000 as compensation for such professional services.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In May 2014, we entered into a consulting agreement for strategic advisory and business development services pursuant to which we issued 10,000 restricted shares of our common stock valued at</w:t>
      </w:r>
    </w:p>
    <w:p>
      <w:pPr>
        <w:spacing w:after="0" w:line="31"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$134,000 as partial compensation for such professional services. Effective January 12, 2015, we entered into a new consulting agreement with this consultant for similar services through December 31, 2015 pursuant to which we have issued 20,000 restricted shares of our common stock valued at $160,000.</w:t>
      </w:r>
    </w:p>
    <w:p>
      <w:pPr>
        <w:spacing w:after="0" w:line="143"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color w:val="auto"/>
        </w:rPr>
        <w:t>In February 2013, we entered into a contract for various strategic consulting services pursuant to which we granted a five-year warrant to purchase 1,250 shares of our restricted common stock at an exercise price of $30.00 per share.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 License Settlement: April 2014</w:t>
      </w:r>
    </w:p>
    <w:p>
      <w:pPr>
        <w:spacing w:after="0" w:line="205" w:lineRule="exact"/>
        <w:rPr>
          <w:sz w:val="20"/>
          <w:szCs w:val="20"/>
          <w:color w:val="auto"/>
        </w:rPr>
      </w:pPr>
    </w:p>
    <w:p>
      <w:pPr>
        <w:jc w:val="both"/>
        <w:ind w:right="120"/>
        <w:spacing w:after="0" w:line="298" w:lineRule="auto"/>
        <w:rPr>
          <w:sz w:val="20"/>
          <w:szCs w:val="20"/>
          <w:color w:val="auto"/>
        </w:rPr>
      </w:pPr>
      <w:r>
        <w:rPr>
          <w:rFonts w:ascii="Arial" w:cs="Arial" w:eastAsia="Arial" w:hAnsi="Arial"/>
          <w:sz w:val="13"/>
          <w:szCs w:val="13"/>
          <w:color w:val="auto"/>
        </w:rPr>
        <w:t>In April 2014, in settlement of $288,400 of outstanding stem cell technology license fees and patent prosecution and maintenance expenses, we issued to the Icahn School of Medicine at Mount Sinai, the licensor of one of our stem cell technology licenses, (i) a 10% promissory note maturing on December 31, 2014 in the face amount of $300,000; (ii) 15,000 restricted shares of our common stock; and (iii) a warrant exercisable through March 31, 2019 to purchase an aggregate of 15,000 restricted shares of our common stock at an exercise price of $10.00 per share.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 Unit Private Placement: August 2013 – March 2014</w:t>
      </w:r>
    </w:p>
    <w:p>
      <w:pPr>
        <w:spacing w:after="0" w:line="205"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Between August 2013 and March 14, 2014, we entered into strategic securities purchase agreements with accredited investors pursuant to which we sold to such accredited investors Units consisting, in aggregate, of: (i) 10% convertible notes maturing on July 30, 2014 (</w:t>
      </w:r>
      <w:r>
        <w:rPr>
          <w:rFonts w:ascii="Arial" w:cs="Arial" w:eastAsia="Arial" w:hAnsi="Arial"/>
          <w:sz w:val="13"/>
          <w:szCs w:val="13"/>
          <w:i w:val="1"/>
          <w:iCs w:val="1"/>
          <w:color w:val="auto"/>
        </w:rPr>
        <w:t>2013 Unit Notes</w:t>
      </w:r>
      <w:r>
        <w:rPr>
          <w:rFonts w:ascii="Arial" w:cs="Arial" w:eastAsia="Arial" w:hAnsi="Arial"/>
          <w:sz w:val="13"/>
          <w:szCs w:val="13"/>
          <w:color w:val="auto"/>
        </w:rPr>
        <w:t>) in the aggregate face amount of $1,007,500; (ii) an aggregate of 100,750 restricted shares of our common stock; and (iii) warrants exercisable through July 30, 2016 to purchase an aggregate of 100,750 restricted shares of our common stock at an exercise price of $20.00 per share. We received cash proceeds of $1,007,500 from the sale of the Units, including $50,000 in lieu of repayment of previous advances made to us by one of our executive officers. Effective May 31, 2014, the terms of essentially all of the 2013 Unit Notes, including their maturity, were modified to conform to the terms of the 2014 Unit Notes and, as such, were extinguished in the conversion of the 2014 Unit Notes into shares of our Series B Preferred and Series B Warrants in May 2015. 2013 Unit Notes not modified were repaid during August 2014.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Exercise of Warrants: June and October 2013</w:t>
      </w:r>
    </w:p>
    <w:p>
      <w:pPr>
        <w:spacing w:after="0" w:line="184"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In June 2013 and October 2013, our Chief Executive Officer partially exercised a previously outstanding warrant to purchase an aggregate of 3,000 shares of our restricted common stock at an exercise price of $12.80 per share and we received proceeds of $38,400 from his exercise.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1" w:name="page222"/>
    <w:bookmarkEnd w:id="22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and Exercise of Warrants: June – July 2013</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color w:val="auto"/>
        </w:rPr>
        <w:t>During June 2013, we offered certain long term accredited investors holding warrants to purchase common stock the opportunity to exercise outstanding warrants having an exercise price of $30.00 per share to purchase shares of our restricted common stock at a reduced exercise price of $10.00 per share. Through the closing of the offering in mid-July 2013, warrant holders exercised modified warrants to purchase an aggregate of 26,419 restricted shares of our common stock and we received cash proceeds of $264,185. In addition, certain accredited long-term warrant holders exercised modified warrants to purchase 832 shares of our restricted common stock in lieu of payment by us in satisfaction of amounts due for professional services in the aggregate amount of $8,323.</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Autilion Financing: June 2013</w:t>
      </w:r>
    </w:p>
    <w:p>
      <w:pPr>
        <w:spacing w:after="0" w:line="205" w:lineRule="exact"/>
        <w:rPr>
          <w:sz w:val="20"/>
          <w:szCs w:val="20"/>
          <w:color w:val="auto"/>
        </w:rPr>
      </w:pPr>
    </w:p>
    <w:p>
      <w:pPr>
        <w:jc w:val="both"/>
        <w:ind w:right="20"/>
        <w:spacing w:after="0" w:line="333" w:lineRule="auto"/>
        <w:rPr>
          <w:sz w:val="20"/>
          <w:szCs w:val="20"/>
          <w:color w:val="auto"/>
        </w:rPr>
      </w:pPr>
      <w:r>
        <w:rPr>
          <w:rFonts w:ascii="Arial" w:cs="Arial" w:eastAsia="Arial" w:hAnsi="Arial"/>
          <w:sz w:val="12"/>
          <w:szCs w:val="12"/>
          <w:color w:val="auto"/>
        </w:rPr>
        <w:t>In April 2013, we entered into a Securities Purchase Agreement (</w:t>
      </w:r>
      <w:r>
        <w:rPr>
          <w:rFonts w:ascii="Arial" w:cs="Arial" w:eastAsia="Arial" w:hAnsi="Arial"/>
          <w:sz w:val="12"/>
          <w:szCs w:val="12"/>
          <w:i w:val="1"/>
          <w:iCs w:val="1"/>
          <w:color w:val="auto"/>
        </w:rPr>
        <w:t>Autilion Agreement</w:t>
      </w:r>
      <w:r>
        <w:rPr>
          <w:rFonts w:ascii="Arial" w:cs="Arial" w:eastAsia="Arial" w:hAnsi="Arial"/>
          <w:sz w:val="12"/>
          <w:szCs w:val="12"/>
          <w:color w:val="auto"/>
        </w:rPr>
        <w:t>) pursuant to which, as amended, we agreed to sell, and Autilion agreed to purchase, 3.6 million restricted shares of our common stock for $10.00 per share resulting in aggregate gross cash proceeds to us of $36.0 million. Autilion completed only a nominal initial closing of the Autilion Financing in which we issued 2,500 restricted shares of our common stock and received $25,000 in cash proceeds. The Autilion Agreement has been terminated as a result of Autilion’s default under the Autilion Agreement.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Convertible Promissory Notes Issued to Platinum: July 2012 – July 2013</w:t>
      </w:r>
    </w:p>
    <w:p>
      <w:pPr>
        <w:spacing w:after="0" w:line="205" w:lineRule="exact"/>
        <w:rPr>
          <w:sz w:val="20"/>
          <w:szCs w:val="20"/>
          <w:color w:val="auto"/>
        </w:rPr>
      </w:pPr>
    </w:p>
    <w:p>
      <w:pPr>
        <w:ind w:right="60"/>
        <w:spacing w:after="0" w:line="323" w:lineRule="auto"/>
        <w:rPr>
          <w:sz w:val="20"/>
          <w:szCs w:val="20"/>
          <w:color w:val="auto"/>
        </w:rPr>
      </w:pPr>
      <w:r>
        <w:rPr>
          <w:rFonts w:ascii="Arial" w:cs="Arial" w:eastAsia="Arial" w:hAnsi="Arial"/>
          <w:sz w:val="13"/>
          <w:szCs w:val="13"/>
          <w:color w:val="auto"/>
        </w:rPr>
        <w:t>On July 2, 2012 and on August 31, 2012, we issued to Platinum senior secured convertible promissory notes in the principal amount of $500,000 (</w:t>
      </w:r>
      <w:r>
        <w:rPr>
          <w:rFonts w:ascii="Arial" w:cs="Arial" w:eastAsia="Arial" w:hAnsi="Arial"/>
          <w:sz w:val="13"/>
          <w:szCs w:val="13"/>
          <w:i w:val="1"/>
          <w:iCs w:val="1"/>
          <w:color w:val="auto"/>
        </w:rPr>
        <w:t>July 2012 Platinum Note</w:t>
      </w:r>
      <w:r>
        <w:rPr>
          <w:rFonts w:ascii="Arial" w:cs="Arial" w:eastAsia="Arial" w:hAnsi="Arial"/>
          <w:sz w:val="13"/>
          <w:szCs w:val="13"/>
          <w:color w:val="auto"/>
        </w:rPr>
        <w:t>) and $750,000 (</w:t>
      </w:r>
      <w:r>
        <w:rPr>
          <w:rFonts w:ascii="Arial" w:cs="Arial" w:eastAsia="Arial" w:hAnsi="Arial"/>
          <w:sz w:val="13"/>
          <w:szCs w:val="13"/>
          <w:i w:val="1"/>
          <w:iCs w:val="1"/>
          <w:color w:val="auto"/>
        </w:rPr>
        <w:t>August 2012</w:t>
      </w:r>
      <w:r>
        <w:rPr>
          <w:rFonts w:ascii="Arial" w:cs="Arial" w:eastAsia="Arial" w:hAnsi="Arial"/>
          <w:sz w:val="13"/>
          <w:szCs w:val="13"/>
          <w:color w:val="auto"/>
        </w:rPr>
        <w:t xml:space="preserve"> </w:t>
      </w:r>
      <w:r>
        <w:rPr>
          <w:rFonts w:ascii="Arial" w:cs="Arial" w:eastAsia="Arial" w:hAnsi="Arial"/>
          <w:sz w:val="13"/>
          <w:szCs w:val="13"/>
          <w:i w:val="1"/>
          <w:iCs w:val="1"/>
          <w:color w:val="auto"/>
        </w:rPr>
        <w:t>Platinum Note</w:t>
      </w:r>
      <w:r>
        <w:rPr>
          <w:rFonts w:ascii="Arial" w:cs="Arial" w:eastAsia="Arial" w:hAnsi="Arial"/>
          <w:sz w:val="13"/>
          <w:szCs w:val="13"/>
          <w:color w:val="auto"/>
        </w:rPr>
        <w:t>), respectively. The July 2012 Platinum Note and the August 2012 Platinum Note each accrued interest at the rate of 10% per annum and were due and payable on July 2, 2015.</w:t>
      </w:r>
    </w:p>
    <w:p>
      <w:pPr>
        <w:spacing w:after="0" w:line="109"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On October 11, 2012, we entered into a Note Exchange and Purchase Agreement with Platinum (</w:t>
      </w:r>
      <w:r>
        <w:rPr>
          <w:rFonts w:ascii="Arial" w:cs="Arial" w:eastAsia="Arial" w:hAnsi="Arial"/>
          <w:sz w:val="14"/>
          <w:szCs w:val="14"/>
          <w:i w:val="1"/>
          <w:iCs w:val="1"/>
          <w:color w:val="auto"/>
        </w:rPr>
        <w:t>October 2012 Agreement</w:t>
      </w:r>
      <w:r>
        <w:rPr>
          <w:rFonts w:ascii="Arial" w:cs="Arial" w:eastAsia="Arial" w:hAnsi="Arial"/>
          <w:sz w:val="14"/>
          <w:szCs w:val="14"/>
          <w:color w:val="auto"/>
        </w:rPr>
        <w:t xml:space="preserve">) in which the July 2012 Platinum Note and the August 2012 Platinum Note (together, the </w:t>
      </w:r>
      <w:r>
        <w:rPr>
          <w:rFonts w:ascii="Arial" w:cs="Arial" w:eastAsia="Arial" w:hAnsi="Arial"/>
          <w:sz w:val="14"/>
          <w:szCs w:val="14"/>
          <w:i w:val="1"/>
          <w:iCs w:val="1"/>
          <w:color w:val="auto"/>
        </w:rPr>
        <w:t>Existing Notes</w:t>
      </w:r>
      <w:r>
        <w:rPr>
          <w:rFonts w:ascii="Arial" w:cs="Arial" w:eastAsia="Arial" w:hAnsi="Arial"/>
          <w:sz w:val="14"/>
          <w:szCs w:val="14"/>
          <w:color w:val="auto"/>
        </w:rPr>
        <w:t>), as well as the related accrued interest, were consolidated into and exchanged for a single senior secured convertible note in the amount of $1,272,600 (</w:t>
      </w:r>
      <w:r>
        <w:rPr>
          <w:rFonts w:ascii="Arial" w:cs="Arial" w:eastAsia="Arial" w:hAnsi="Arial"/>
          <w:sz w:val="14"/>
          <w:szCs w:val="14"/>
          <w:i w:val="1"/>
          <w:iCs w:val="1"/>
          <w:color w:val="auto"/>
        </w:rPr>
        <w:t>Exchange Note</w:t>
      </w:r>
      <w:r>
        <w:rPr>
          <w:rFonts w:ascii="Arial" w:cs="Arial" w:eastAsia="Arial" w:hAnsi="Arial"/>
          <w:sz w:val="14"/>
          <w:szCs w:val="14"/>
          <w:color w:val="auto"/>
        </w:rPr>
        <w:t>) and Platinum agreed to purchase four additional 10% senior secured convertible promissory notes in the aggregate principal amount of $2.0 million (</w:t>
      </w:r>
      <w:r>
        <w:rPr>
          <w:rFonts w:ascii="Arial" w:cs="Arial" w:eastAsia="Arial" w:hAnsi="Arial"/>
          <w:sz w:val="14"/>
          <w:szCs w:val="14"/>
          <w:i w:val="1"/>
          <w:iCs w:val="1"/>
          <w:color w:val="auto"/>
        </w:rPr>
        <w:t>Investment Notes</w:t>
      </w:r>
      <w:r>
        <w:rPr>
          <w:rFonts w:ascii="Arial" w:cs="Arial" w:eastAsia="Arial" w:hAnsi="Arial"/>
          <w:sz w:val="14"/>
          <w:szCs w:val="14"/>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147"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 xml:space="preserve">On November 14, 2012 and January 31, 2013, we entered into amendments to the October 2012 Agreement (the </w:t>
      </w:r>
      <w:r>
        <w:rPr>
          <w:rFonts w:ascii="Arial" w:cs="Arial" w:eastAsia="Arial" w:hAnsi="Arial"/>
          <w:sz w:val="14"/>
          <w:szCs w:val="14"/>
          <w:i w:val="1"/>
          <w:iCs w:val="1"/>
          <w:color w:val="auto"/>
        </w:rPr>
        <w:t>NEPA Amendments</w:t>
      </w:r>
      <w:r>
        <w:rPr>
          <w:rFonts w:ascii="Arial" w:cs="Arial" w:eastAsia="Arial" w:hAnsi="Arial"/>
          <w:sz w:val="14"/>
          <w:szCs w:val="14"/>
          <w:color w:val="auto"/>
        </w:rPr>
        <w:t>) with Platinum, pursuant to which the final two $500,000 tranches contemplated by the October 2012 Agreement were combined into a single Investment Note in the aggregate principal amount of $1.0 million (</w:t>
      </w:r>
      <w:r>
        <w:rPr>
          <w:rFonts w:ascii="Arial" w:cs="Arial" w:eastAsia="Arial" w:hAnsi="Arial"/>
          <w:sz w:val="14"/>
          <w:szCs w:val="14"/>
          <w:i w:val="1"/>
          <w:iCs w:val="1"/>
          <w:color w:val="auto"/>
        </w:rPr>
        <w:t>$1.0 Million Note</w:t>
      </w:r>
      <w:r>
        <w:rPr>
          <w:rFonts w:ascii="Arial" w:cs="Arial" w:eastAsia="Arial" w:hAnsi="Arial"/>
          <w:sz w:val="14"/>
          <w:szCs w:val="14"/>
          <w:color w:val="auto"/>
        </w:rPr>
        <w:t>). Under the terms of the NEPA Amendment, Platinum agreed to purchase the $1.0 Million Note within five business days of our notice to Platinum of the consummation of a debt or equity financing, or combination of financings, prior to February 15, 2013, resulting in gross proceeds to us of at least $1.0 million (</w:t>
      </w:r>
      <w:r>
        <w:rPr>
          <w:rFonts w:ascii="Arial" w:cs="Arial" w:eastAsia="Arial" w:hAnsi="Arial"/>
          <w:sz w:val="14"/>
          <w:szCs w:val="14"/>
          <w:i w:val="1"/>
          <w:iCs w:val="1"/>
          <w:color w:val="auto"/>
        </w:rPr>
        <w:t>Additional Financing Requirement</w:t>
      </w:r>
      <w:r>
        <w:rPr>
          <w:rFonts w:ascii="Arial" w:cs="Arial" w:eastAsia="Arial" w:hAnsi="Arial"/>
          <w:sz w:val="14"/>
          <w:szCs w:val="14"/>
          <w:color w:val="auto"/>
        </w:rPr>
        <w:t>). We satisfied the Additional Financing Requirement on February 12, 2013 (see 2012 Private Placement of Units, below). Effective February 22, 2013, we entered into an additional amendment to the October 2012 Agreement with Platinum pursuant to which Platinum agreed to purchase an Investment Note in the face amount of $250,000 on February 22, 2013, and an additional Investment Note in the face amount of $750,000 on or before March 12, 2013, which Investment Note we issued and Platinum purchased on March 12, 2013.</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2" w:name="page223"/>
    <w:bookmarkEnd w:id="22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311" w:lineRule="auto"/>
        <w:rPr>
          <w:sz w:val="20"/>
          <w:szCs w:val="20"/>
          <w:color w:val="auto"/>
        </w:rPr>
      </w:pPr>
      <w:r>
        <w:rPr>
          <w:rFonts w:ascii="Arial" w:cs="Arial" w:eastAsia="Arial" w:hAnsi="Arial"/>
          <w:sz w:val="12"/>
          <w:szCs w:val="12"/>
          <w:color w:val="auto"/>
        </w:rPr>
        <w:t xml:space="preserve">The Exchange Note and each Investment Note (together, the </w:t>
      </w:r>
      <w:r>
        <w:rPr>
          <w:rFonts w:ascii="Arial" w:cs="Arial" w:eastAsia="Arial" w:hAnsi="Arial"/>
          <w:sz w:val="12"/>
          <w:szCs w:val="12"/>
          <w:i w:val="1"/>
          <w:iCs w:val="1"/>
          <w:color w:val="auto"/>
        </w:rPr>
        <w:t>Notes</w:t>
      </w:r>
      <w:r>
        <w:rPr>
          <w:rFonts w:ascii="Arial" w:cs="Arial" w:eastAsia="Arial" w:hAnsi="Arial"/>
          <w:sz w:val="12"/>
          <w:szCs w:val="12"/>
          <w:color w:val="auto"/>
        </w:rPr>
        <w:t>) accrued interest at a rate of 10% per annum and, subject to certain limitations and exceptions set forth in the Notes, unless converted earlier and voluntarily by Platinum, would have been due and payable in restricted shares of our common stock on October 11, 2015, or three years from the date of issuance, as determined by the terms of the respective Investment Notes. At maturity, all principal and accrued interest due under the Notes was to have been paid through the issuance of restricted shares of our common stock to Platinum. Subject to certain potential adjustments set forth in the Notes, the number of restricted shares of common stock issuable as payment in full for each of the Notes at maturity would have been calculated by dividing the outstanding Note balance plus accrued interest by $10.00 per share. Prior to maturity, the outstanding principal and any accrued interest on the Exchange Note and each of the Investment Notes was convertible, in whole or in part, at Platinum’s option into shares of our common stock at a conversion price of $10.00 per share, subject to certain adjustments.</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As additional consideration for the purchase of the Investment Notes, we issued to Platinum warrants to purchase an aggregate of 100,000 shares of our common stock, issuable in separate tranches together with each Investment Note, of which a warrant to purchase 25,000 shares was issued to Platinum on October 11, 2012 and on October 19, 2012, a warrant to purchase 12,500 shares was issued to Platinum on February 22, 2013 and a warrant to purchase 37,500 shares was issued to Platinum on March 12, 2013 (each an </w:t>
      </w:r>
      <w:r>
        <w:rPr>
          <w:rFonts w:ascii="Arial" w:cs="Arial" w:eastAsia="Arial" w:hAnsi="Arial"/>
          <w:sz w:val="14"/>
          <w:szCs w:val="14"/>
          <w:i w:val="1"/>
          <w:iCs w:val="1"/>
          <w:color w:val="auto"/>
        </w:rPr>
        <w:t>Investment Warrant</w:t>
      </w:r>
      <w:r>
        <w:rPr>
          <w:rFonts w:ascii="Arial" w:cs="Arial" w:eastAsia="Arial" w:hAnsi="Arial"/>
          <w:sz w:val="14"/>
          <w:szCs w:val="14"/>
          <w:color w:val="auto"/>
        </w:rPr>
        <w:t xml:space="preserve">). In addition, we issued Platinum a warrant to purchase 63,629 shares of our common stock in connection with the issuance of the Exchange Note (the </w:t>
      </w:r>
      <w:r>
        <w:rPr>
          <w:rFonts w:ascii="Arial" w:cs="Arial" w:eastAsia="Arial" w:hAnsi="Arial"/>
          <w:sz w:val="14"/>
          <w:szCs w:val="14"/>
          <w:i w:val="1"/>
          <w:iCs w:val="1"/>
          <w:color w:val="auto"/>
        </w:rPr>
        <w:t>Exchange Warrant</w:t>
      </w:r>
      <w:r>
        <w:rPr>
          <w:rFonts w:ascii="Arial" w:cs="Arial" w:eastAsia="Arial" w:hAnsi="Arial"/>
          <w:sz w:val="14"/>
          <w:szCs w:val="14"/>
          <w:color w:val="auto"/>
        </w:rPr>
        <w:t>). At issuance, the Platinum Exchange Warrant and each Investment Warrant had a term of five years and an exercise price of $30.00 per share, subject to certain adjustments. We have subsequently reduced the exercise price of the Exchange and Investment Warrants to $10.00 per share.</w:t>
      </w:r>
    </w:p>
    <w:p>
      <w:pPr>
        <w:spacing w:after="0" w:line="150"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 xml:space="preserve">On July 26, 2013, we issued an additional senior secured convertible promissory note in the principal amount of $250,000 to Platinum (the </w:t>
      </w:r>
      <w:r>
        <w:rPr>
          <w:rFonts w:ascii="Arial" w:cs="Arial" w:eastAsia="Arial" w:hAnsi="Arial"/>
          <w:sz w:val="13"/>
          <w:szCs w:val="13"/>
          <w:i w:val="1"/>
          <w:iCs w:val="1"/>
          <w:color w:val="auto"/>
        </w:rPr>
        <w:t>July 2013 Note</w:t>
      </w:r>
      <w:r>
        <w:rPr>
          <w:rFonts w:ascii="Arial" w:cs="Arial" w:eastAsia="Arial" w:hAnsi="Arial"/>
          <w:sz w:val="13"/>
          <w:szCs w:val="13"/>
          <w:color w:val="auto"/>
        </w:rPr>
        <w:t xml:space="preserve">). The July 2013 Note matured on July 26, 2016 and accrued interest at a rate of 10% per annum. Subject to certain terms and conditions, all principal and accrued interest under the July 2013 Note would have been payable by the Company through the issuance of restricted shares of common stock to Platinum. Subject to certain potential adjustments set forth in the July 2013 Note, the number of restricted shares of common stock issuable as payment in full for the July 2013 Note at maturity would have been calculated by dividing the outstanding balance plus accrued interest of the July 2013 Note by $10.00 per share. Prior to maturity, the outstanding principal and any accrued interest on the July 2013 Note was convertible, in whole or in part, at Platinum’s option into shares of the Company’s restricted common stock at a conversion price of $10.00 per share, subject to certain adjustments. As additional consideration for the purchase of the July 2013 Note, we issued to Platinum a five-year warrant to purchase 12,500 restricted shares of our common stock at an exercise price of $10.00 per share (the </w:t>
      </w:r>
      <w:r>
        <w:rPr>
          <w:rFonts w:ascii="Arial" w:cs="Arial" w:eastAsia="Arial" w:hAnsi="Arial"/>
          <w:sz w:val="13"/>
          <w:szCs w:val="13"/>
          <w:i w:val="1"/>
          <w:iCs w:val="1"/>
          <w:color w:val="auto"/>
        </w:rPr>
        <w:t>July 2013 Warrant</w:t>
      </w:r>
      <w:r>
        <w:rPr>
          <w:rFonts w:ascii="Arial" w:cs="Arial" w:eastAsia="Arial" w:hAnsi="Arial"/>
          <w:sz w:val="13"/>
          <w:szCs w:val="13"/>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As of the date of this registration statement, all of the Senior Secured Convertible Notes described above have been extinguished by conversion into shares of our Series B Preferred.</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223" w:name="page224"/>
    <w:bookmarkEnd w:id="22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Exhibits and Financial Statement Schedules</w:t>
      </w:r>
    </w:p>
    <w:p>
      <w:pPr>
        <w:spacing w:after="0" w:line="205" w:lineRule="exact"/>
        <w:rPr>
          <w:sz w:val="20"/>
          <w:szCs w:val="20"/>
          <w:color w:val="auto"/>
        </w:rPr>
      </w:pPr>
    </w:p>
    <w:p>
      <w:pPr>
        <w:ind w:left="360" w:hanging="199"/>
        <w:spacing w:after="0"/>
        <w:tabs>
          <w:tab w:leader="none" w:pos="360"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Exhibits</w:t>
      </w:r>
      <w:r>
        <w:rPr>
          <w:rFonts w:ascii="Arial" w:cs="Arial" w:eastAsia="Arial" w:hAnsi="Arial"/>
          <w:sz w:val="14"/>
          <w:szCs w:val="14"/>
          <w:color w:val="auto"/>
        </w:rPr>
        <w:t>. The exhibits are incorporated by reference to the Exhibit Index attached hereto and a part hereof by reference.</w:t>
      </w:r>
    </w:p>
    <w:p>
      <w:pPr>
        <w:spacing w:after="0" w:line="201" w:lineRule="exact"/>
        <w:rPr>
          <w:rFonts w:ascii="Arial" w:cs="Arial" w:eastAsia="Arial" w:hAnsi="Arial"/>
          <w:sz w:val="14"/>
          <w:szCs w:val="14"/>
          <w:color w:val="auto"/>
        </w:rPr>
      </w:pPr>
    </w:p>
    <w:p>
      <w:pPr>
        <w:ind w:left="360" w:hanging="199"/>
        <w:spacing w:after="0"/>
        <w:tabs>
          <w:tab w:leader="none" w:pos="360"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 xml:space="preserve">Financial Statements. </w:t>
      </w:r>
      <w:r>
        <w:rPr>
          <w:rFonts w:ascii="Arial" w:cs="Arial" w:eastAsia="Arial" w:hAnsi="Arial"/>
          <w:sz w:val="14"/>
          <w:szCs w:val="14"/>
          <w:color w:val="auto"/>
        </w:rPr>
        <w:t>See page F-1 for an index of the financial statements and financial statement schedules included in the Registration Statement.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17. Undertakings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registrant hereby undertakes:</w:t>
      </w:r>
    </w:p>
    <w:p>
      <w:pPr>
        <w:spacing w:after="0" w:line="201" w:lineRule="exact"/>
        <w:rPr>
          <w:sz w:val="20"/>
          <w:szCs w:val="20"/>
          <w:color w:val="auto"/>
        </w:rPr>
      </w:pPr>
    </w:p>
    <w:p>
      <w:pPr>
        <w:ind w:left="380" w:hanging="219"/>
        <w:spacing w:after="0"/>
        <w:tabs>
          <w:tab w:leader="none" w:pos="3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undersigned registrant hereby undertakes:</w:t>
      </w:r>
    </w:p>
    <w:p>
      <w:pPr>
        <w:spacing w:after="0" w:line="179" w:lineRule="exact"/>
        <w:rPr>
          <w:rFonts w:ascii="Arial" w:cs="Arial" w:eastAsia="Arial" w:hAnsi="Arial"/>
          <w:sz w:val="14"/>
          <w:szCs w:val="14"/>
          <w:color w:val="auto"/>
        </w:rPr>
      </w:pPr>
    </w:p>
    <w:p>
      <w:pPr>
        <w:ind w:left="700" w:hanging="226"/>
        <w:spacing w:after="0"/>
        <w:tabs>
          <w:tab w:leader="none" w:pos="70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To file, during any period in which offers or sales are being made, a post-effective amendment to this registration statement:</w:t>
      </w:r>
    </w:p>
    <w:p>
      <w:pPr>
        <w:spacing w:after="0" w:line="201" w:lineRule="exact"/>
        <w:rPr>
          <w:rFonts w:ascii="Arial" w:cs="Arial" w:eastAsia="Arial" w:hAnsi="Arial"/>
          <w:sz w:val="14"/>
          <w:szCs w:val="14"/>
          <w:color w:val="auto"/>
        </w:rPr>
      </w:pPr>
    </w:p>
    <w:p>
      <w:pPr>
        <w:ind w:left="980" w:hanging="194"/>
        <w:spacing w:after="0"/>
        <w:tabs>
          <w:tab w:leader="none" w:pos="980" w:val="left"/>
        </w:tabs>
        <w:numPr>
          <w:ilvl w:val="2"/>
          <w:numId w:val="98"/>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 of 1933;</w:t>
      </w:r>
    </w:p>
    <w:p>
      <w:pPr>
        <w:spacing w:after="0" w:line="201" w:lineRule="exact"/>
        <w:rPr>
          <w:rFonts w:ascii="Arial" w:cs="Arial" w:eastAsia="Arial" w:hAnsi="Arial"/>
          <w:sz w:val="14"/>
          <w:szCs w:val="14"/>
          <w:color w:val="auto"/>
        </w:rPr>
      </w:pPr>
    </w:p>
    <w:p>
      <w:pPr>
        <w:ind w:right="60" w:firstLine="786"/>
        <w:spacing w:after="0" w:line="261" w:lineRule="auto"/>
        <w:tabs>
          <w:tab w:leader="none" w:pos="1023" w:val="left"/>
        </w:tabs>
        <w:numPr>
          <w:ilvl w:val="2"/>
          <w:numId w:val="98"/>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68" w:lineRule="exact"/>
        <w:rPr>
          <w:rFonts w:ascii="Arial" w:cs="Arial" w:eastAsia="Arial" w:hAnsi="Arial"/>
          <w:sz w:val="14"/>
          <w:szCs w:val="14"/>
          <w:color w:val="auto"/>
        </w:rPr>
      </w:pPr>
    </w:p>
    <w:p>
      <w:pPr>
        <w:ind w:right="280" w:firstLine="786"/>
        <w:spacing w:after="0" w:line="283" w:lineRule="auto"/>
        <w:tabs>
          <w:tab w:leader="none" w:pos="1062" w:val="left"/>
        </w:tabs>
        <w:numPr>
          <w:ilvl w:val="2"/>
          <w:numId w:val="98"/>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4"/>
          <w:szCs w:val="14"/>
          <w:color w:val="auto"/>
        </w:rPr>
      </w:pPr>
    </w:p>
    <w:p>
      <w:pPr>
        <w:ind w:right="240" w:firstLine="474"/>
        <w:spacing w:after="0" w:line="283" w:lineRule="auto"/>
        <w:tabs>
          <w:tab w:leader="none" w:pos="702"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1" w:lineRule="exact"/>
        <w:rPr>
          <w:rFonts w:ascii="Arial" w:cs="Arial" w:eastAsia="Arial" w:hAnsi="Arial"/>
          <w:sz w:val="14"/>
          <w:szCs w:val="14"/>
          <w:color w:val="auto"/>
        </w:rPr>
      </w:pPr>
    </w:p>
    <w:p>
      <w:pPr>
        <w:ind w:left="700" w:hanging="226"/>
        <w:spacing w:after="0"/>
        <w:tabs>
          <w:tab w:leader="none" w:pos="70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79" w:lineRule="exact"/>
        <w:rPr>
          <w:rFonts w:ascii="Arial" w:cs="Arial" w:eastAsia="Arial" w:hAnsi="Arial"/>
          <w:sz w:val="14"/>
          <w:szCs w:val="14"/>
          <w:color w:val="auto"/>
        </w:rPr>
      </w:pPr>
    </w:p>
    <w:p>
      <w:pPr>
        <w:ind w:firstLine="474"/>
        <w:spacing w:after="0" w:line="259" w:lineRule="auto"/>
        <w:tabs>
          <w:tab w:leader="none" w:pos="702" w:val="left"/>
        </w:tabs>
        <w:numPr>
          <w:ilvl w:val="1"/>
          <w:numId w:val="98"/>
        </w:numPr>
        <w:rPr>
          <w:rFonts w:ascii="Arial" w:cs="Arial" w:eastAsia="Arial" w:hAnsi="Arial"/>
          <w:sz w:val="14"/>
          <w:szCs w:val="14"/>
          <w:color w:val="auto"/>
        </w:rPr>
      </w:pPr>
      <w:r>
        <w:rPr>
          <w:rFonts w:ascii="Arial" w:cs="Arial" w:eastAsia="Arial" w:hAnsi="Arial"/>
          <w:sz w:val="14"/>
          <w:szCs w:val="14"/>
          <w:color w:val="auto"/>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24" w:name="page225"/>
    <w:bookmarkEnd w:id="22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(6) That, for the purpose of determining liability of the registrant under the Securities Act of 1933 to any purchaser in the initial distribution of the securities:</w:t>
      </w:r>
    </w:p>
    <w:p>
      <w:pPr>
        <w:spacing w:after="0" w:line="201" w:lineRule="exact"/>
        <w:rPr>
          <w:sz w:val="20"/>
          <w:szCs w:val="20"/>
          <w:color w:val="auto"/>
        </w:rPr>
      </w:pPr>
    </w:p>
    <w:p>
      <w:pPr>
        <w:ind w:firstLine="469"/>
        <w:spacing w:after="0" w:line="268" w:lineRule="auto"/>
        <w:rPr>
          <w:sz w:val="20"/>
          <w:szCs w:val="20"/>
          <w:color w:val="auto"/>
        </w:rPr>
      </w:pPr>
      <w:r>
        <w:rPr>
          <w:rFonts w:ascii="Arial" w:cs="Arial" w:eastAsia="Arial" w:hAnsi="Arial"/>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3" w:lineRule="exact"/>
        <w:rPr>
          <w:sz w:val="20"/>
          <w:szCs w:val="20"/>
          <w:color w:val="auto"/>
        </w:rPr>
      </w:pPr>
    </w:p>
    <w:p>
      <w:pPr>
        <w:ind w:left="960" w:hanging="174"/>
        <w:spacing w:after="0"/>
        <w:tabs>
          <w:tab w:leader="none" w:pos="9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424;</w:t>
      </w:r>
    </w:p>
    <w:p>
      <w:pPr>
        <w:spacing w:after="0" w:line="201" w:lineRule="exact"/>
        <w:rPr>
          <w:rFonts w:ascii="Arial" w:cs="Arial" w:eastAsia="Arial" w:hAnsi="Arial"/>
          <w:sz w:val="14"/>
          <w:szCs w:val="14"/>
          <w:color w:val="auto"/>
        </w:rPr>
      </w:pPr>
    </w:p>
    <w:p>
      <w:pPr>
        <w:ind w:left="1000" w:hanging="214"/>
        <w:spacing w:after="0"/>
        <w:tabs>
          <w:tab w:leader="none" w:pos="10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free writing prospectus relating to the offering prepared by or on behalf of the undersigned registrant or used or referred to by the undersigned registrant;</w:t>
      </w:r>
    </w:p>
    <w:p>
      <w:pPr>
        <w:spacing w:after="0" w:line="201" w:lineRule="exact"/>
        <w:rPr>
          <w:rFonts w:ascii="Arial" w:cs="Arial" w:eastAsia="Arial" w:hAnsi="Arial"/>
          <w:sz w:val="14"/>
          <w:szCs w:val="14"/>
          <w:color w:val="auto"/>
        </w:rPr>
      </w:pPr>
    </w:p>
    <w:p>
      <w:pPr>
        <w:ind w:right="180" w:firstLine="786"/>
        <w:spacing w:after="0" w:line="283" w:lineRule="auto"/>
        <w:tabs>
          <w:tab w:leader="none" w:pos="1029"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2" w:lineRule="exact"/>
        <w:rPr>
          <w:rFonts w:ascii="Arial" w:cs="Arial" w:eastAsia="Arial" w:hAnsi="Arial"/>
          <w:sz w:val="14"/>
          <w:szCs w:val="14"/>
          <w:color w:val="auto"/>
        </w:rPr>
      </w:pPr>
    </w:p>
    <w:p>
      <w:pPr>
        <w:ind w:left="1020" w:hanging="234"/>
        <w:spacing w:after="0"/>
        <w:tabs>
          <w:tab w:leader="none" w:pos="10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201" w:lineRule="exact"/>
        <w:rPr>
          <w:sz w:val="20"/>
          <w:szCs w:val="20"/>
          <w:color w:val="auto"/>
        </w:rPr>
      </w:pPr>
    </w:p>
    <w:p>
      <w:pPr>
        <w:ind w:right="180" w:firstLine="469"/>
        <w:spacing w:after="0" w:line="283" w:lineRule="auto"/>
        <w:rPr>
          <w:sz w:val="20"/>
          <w:szCs w:val="20"/>
          <w:color w:val="auto"/>
        </w:rPr>
      </w:pPr>
      <w:r>
        <w:rPr>
          <w:rFonts w:ascii="Arial" w:cs="Arial" w:eastAsia="Arial" w:hAnsi="Arial"/>
          <w:sz w:val="13"/>
          <w:szCs w:val="13"/>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undersigned registrant hereby undertakes that:</w:t>
      </w:r>
    </w:p>
    <w:p>
      <w:pPr>
        <w:spacing w:after="0" w:line="201" w:lineRule="exact"/>
        <w:rPr>
          <w:sz w:val="20"/>
          <w:szCs w:val="20"/>
          <w:color w:val="auto"/>
        </w:rPr>
      </w:pPr>
    </w:p>
    <w:p>
      <w:pPr>
        <w:ind w:firstLine="474"/>
        <w:spacing w:after="0" w:line="268" w:lineRule="auto"/>
        <w:tabs>
          <w:tab w:leader="none" w:pos="98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3" w:lineRule="exact"/>
        <w:rPr>
          <w:rFonts w:ascii="Arial" w:cs="Arial" w:eastAsia="Arial" w:hAnsi="Arial"/>
          <w:sz w:val="14"/>
          <w:szCs w:val="14"/>
          <w:color w:val="auto"/>
        </w:rPr>
      </w:pPr>
    </w:p>
    <w:p>
      <w:pPr>
        <w:ind w:right="600" w:firstLine="474"/>
        <w:spacing w:after="0" w:line="323" w:lineRule="auto"/>
        <w:tabs>
          <w:tab w:leader="none" w:pos="1031" w:val="left"/>
        </w:tabs>
        <w:numPr>
          <w:ilvl w:val="0"/>
          <w:numId w:val="100"/>
        </w:numPr>
        <w:rPr>
          <w:rFonts w:ascii="Arial" w:cs="Arial" w:eastAsia="Arial" w:hAnsi="Arial"/>
          <w:sz w:val="13"/>
          <w:szCs w:val="13"/>
          <w:color w:val="auto"/>
        </w:rPr>
      </w:pPr>
      <w:r>
        <w:rPr>
          <w:rFonts w:ascii="Arial" w:cs="Arial" w:eastAsia="Arial" w:hAnsi="Arial"/>
          <w:sz w:val="13"/>
          <w:szCs w:val="13"/>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these securities at that time shall be deemed to be the initial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offering.</w:t>
      </w:r>
    </w:p>
    <w:p>
      <w:pPr>
        <w:spacing w:after="0" w:line="130" w:lineRule="exact"/>
        <w:rPr>
          <w:rFonts w:ascii="Arial" w:cs="Arial" w:eastAsia="Arial" w:hAnsi="Arial"/>
          <w:sz w:val="13"/>
          <w:szCs w:val="13"/>
          <w:color w:val="auto"/>
        </w:rPr>
      </w:pPr>
    </w:p>
    <w:p>
      <w:pPr>
        <w:ind w:right="60" w:firstLine="474"/>
        <w:spacing w:after="0" w:line="259" w:lineRule="auto"/>
        <w:tabs>
          <w:tab w:leader="none" w:pos="102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5" w:name="page226"/>
    <w:bookmarkEnd w:id="22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SIGNATURES</w:t>
      </w:r>
    </w:p>
    <w:p>
      <w:pPr>
        <w:spacing w:after="0" w:line="205" w:lineRule="exact"/>
        <w:rPr>
          <w:sz w:val="20"/>
          <w:szCs w:val="20"/>
          <w:color w:val="auto"/>
        </w:rPr>
      </w:pPr>
    </w:p>
    <w:p>
      <w:pPr>
        <w:ind w:firstLine="625"/>
        <w:spacing w:after="0" w:line="283" w:lineRule="auto"/>
        <w:rPr>
          <w:sz w:val="20"/>
          <w:szCs w:val="20"/>
          <w:color w:val="auto"/>
        </w:rPr>
      </w:pPr>
      <w:r>
        <w:rPr>
          <w:rFonts w:ascii="Arial" w:cs="Arial" w:eastAsia="Arial" w:hAnsi="Arial"/>
          <w:sz w:val="14"/>
          <w:szCs w:val="14"/>
          <w:color w:val="auto"/>
        </w:rPr>
        <w:t>Pursuant to the requirements of the Securities Act of l933, the registrant has duly caused this Registration Statement to be signed on its behalf by the undersigned, thereunto duly authorized, in the City of South San Francisco, California on the 9th day of May, 2016.</w:t>
      </w:r>
    </w:p>
    <w:p>
      <w:pPr>
        <w:spacing w:after="0" w:line="127"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VistaGen Therapeutics, Inc.</w:t>
      </w:r>
    </w:p>
    <w:p>
      <w:pPr>
        <w:spacing w:after="0" w:line="184"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By: /s/ Shawn K. Singh,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-6985</wp:posOffset>
            </wp:positionV>
            <wp:extent cx="1089025"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89025" cy="698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4"/>
          <w:szCs w:val="14"/>
          <w:color w:val="auto"/>
        </w:rPr>
        <w:t>Shawn K. Singh, JD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Chief Executive Officer</w:t>
      </w:r>
    </w:p>
    <w:p>
      <w:pPr>
        <w:spacing w:after="0" w:line="36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Pursuant to the requirements of the Securities Act of l933, this Registration Statement has been signed by the following persons in the capacities and on the dates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Signature</w:t>
            </w:r>
          </w:p>
        </w:tc>
        <w:tc>
          <w:tcPr>
            <w:tcW w:w="20" w:type="dxa"/>
            <w:vAlign w:val="bottom"/>
          </w:tcPr>
          <w:p>
            <w:pPr>
              <w:spacing w:after="0"/>
              <w:rPr>
                <w:sz w:val="15"/>
                <w:szCs w:val="15"/>
                <w:color w:val="auto"/>
              </w:rPr>
            </w:pPr>
          </w:p>
        </w:tc>
        <w:tc>
          <w:tcPr>
            <w:tcW w:w="6140" w:type="dxa"/>
            <w:vAlign w:val="bottom"/>
          </w:tcPr>
          <w:p>
            <w:pPr>
              <w:ind w:left="2780"/>
              <w:spacing w:after="0"/>
              <w:rPr>
                <w:sz w:val="20"/>
                <w:szCs w:val="20"/>
                <w:color w:val="auto"/>
              </w:rPr>
            </w:pPr>
            <w:r>
              <w:rPr>
                <w:rFonts w:ascii="Arial" w:cs="Arial" w:eastAsia="Arial" w:hAnsi="Arial"/>
                <w:sz w:val="14"/>
                <w:szCs w:val="14"/>
                <w:color w:val="auto"/>
              </w:rPr>
              <w:t>Title</w:t>
            </w:r>
          </w:p>
        </w:tc>
        <w:tc>
          <w:tcPr>
            <w:tcW w:w="1700" w:type="dxa"/>
            <w:vAlign w:val="bottom"/>
          </w:tcPr>
          <w:p>
            <w:pPr>
              <w:jc w:val="center"/>
              <w:ind w:left="929"/>
              <w:spacing w:after="0"/>
              <w:rPr>
                <w:sz w:val="20"/>
                <w:szCs w:val="20"/>
                <w:color w:val="auto"/>
              </w:rPr>
            </w:pPr>
            <w:r>
              <w:rPr>
                <w:rFonts w:ascii="Arial" w:cs="Arial" w:eastAsia="Arial" w:hAnsi="Arial"/>
                <w:sz w:val="14"/>
                <w:szCs w:val="14"/>
                <w:color w:val="auto"/>
                <w:w w:val="87"/>
              </w:rPr>
              <w:t>Date</w:t>
            </w:r>
          </w:p>
        </w:tc>
      </w:tr>
      <w:tr>
        <w:trPr>
          <w:trHeight w:val="343"/>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 xml:space="preserve">Chief Executive Officer, and Director </w:t>
            </w:r>
            <w:r>
              <w:rPr>
                <w:rFonts w:ascii="Arial" w:cs="Arial" w:eastAsia="Arial" w:hAnsi="Arial"/>
                <w:sz w:val="14"/>
                <w:szCs w:val="14"/>
                <w:i w:val="1"/>
                <w:iCs w:val="1"/>
                <w:color w:val="auto"/>
              </w:rPr>
              <w:t>(Principal Executive Officer)</w:t>
            </w:r>
          </w:p>
        </w:tc>
        <w:tc>
          <w:tcPr>
            <w:tcW w:w="1700" w:type="dxa"/>
            <w:vAlign w:val="bottom"/>
          </w:tcPr>
          <w:p>
            <w:pPr>
              <w:jc w:val="center"/>
              <w:ind w:left="909"/>
              <w:spacing w:after="0"/>
              <w:rPr>
                <w:sz w:val="20"/>
                <w:szCs w:val="20"/>
                <w:color w:val="auto"/>
              </w:rPr>
            </w:pPr>
            <w:r>
              <w:rPr>
                <w:rFonts w:ascii="Arial" w:cs="Arial" w:eastAsia="Arial" w:hAnsi="Arial"/>
                <w:sz w:val="14"/>
                <w:szCs w:val="14"/>
                <w:color w:val="auto"/>
                <w:w w:val="93"/>
              </w:rPr>
              <w:t>May 9, 2016</w:t>
            </w:r>
          </w:p>
        </w:tc>
      </w:t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Shawn K. Singh</w:t>
            </w:r>
          </w:p>
        </w:tc>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 xml:space="preserve">Vice President and Chief Financial Officer </w:t>
            </w:r>
            <w:r>
              <w:rPr>
                <w:rFonts w:ascii="Arial" w:cs="Arial" w:eastAsia="Arial" w:hAnsi="Arial"/>
                <w:sz w:val="14"/>
                <w:szCs w:val="14"/>
                <w:i w:val="1"/>
                <w:iCs w:val="1"/>
                <w:color w:val="auto"/>
              </w:rPr>
              <w:t>(Principal Financial and Accounting Officer)</w:t>
            </w:r>
          </w:p>
        </w:tc>
        <w:tc>
          <w:tcPr>
            <w:tcW w:w="1700" w:type="dxa"/>
            <w:vAlign w:val="bottom"/>
          </w:tcPr>
          <w:p>
            <w:pPr>
              <w:jc w:val="center"/>
              <w:ind w:left="909"/>
              <w:spacing w:after="0"/>
              <w:rPr>
                <w:sz w:val="20"/>
                <w:szCs w:val="20"/>
                <w:color w:val="auto"/>
              </w:rPr>
            </w:pPr>
            <w:r>
              <w:rPr>
                <w:rFonts w:ascii="Arial" w:cs="Arial" w:eastAsia="Arial" w:hAnsi="Arial"/>
                <w:sz w:val="14"/>
                <w:szCs w:val="14"/>
                <w:color w:val="auto"/>
                <w:w w:val="93"/>
              </w:rPr>
              <w:t>May 9, 2016</w:t>
            </w:r>
          </w:p>
        </w:tc>
      </w:tr>
      <w:tr>
        <w:trPr>
          <w:trHeight w:val="180"/>
        </w:trPr>
        <w:tc>
          <w:tcPr>
            <w:tcW w:w="2640" w:type="dxa"/>
            <w:vAlign w:val="bottom"/>
          </w:tcPr>
          <w:p>
            <w:pPr>
              <w:ind w:left="40"/>
              <w:spacing w:after="0"/>
              <w:rPr>
                <w:sz w:val="20"/>
                <w:szCs w:val="20"/>
                <w:color w:val="auto"/>
              </w:rPr>
            </w:pPr>
            <w:r>
              <w:rPr>
                <w:rFonts w:ascii="Arial" w:cs="Arial" w:eastAsia="Arial" w:hAnsi="Arial"/>
                <w:sz w:val="14"/>
                <w:szCs w:val="14"/>
                <w:color w:val="auto"/>
              </w:rPr>
              <w:t>Jerrold D. Dotson</w:t>
            </w:r>
          </w:p>
        </w:tc>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Chairman of the Board of Directors</w:t>
            </w:r>
          </w:p>
        </w:tc>
        <w:tc>
          <w:tcPr>
            <w:tcW w:w="1700" w:type="dxa"/>
            <w:vAlign w:val="bottom"/>
          </w:tcPr>
          <w:p>
            <w:pPr>
              <w:jc w:val="center"/>
              <w:ind w:left="909"/>
              <w:spacing w:after="0"/>
              <w:rPr>
                <w:sz w:val="20"/>
                <w:szCs w:val="20"/>
                <w:color w:val="auto"/>
              </w:rPr>
            </w:pPr>
            <w:r>
              <w:rPr>
                <w:rFonts w:ascii="Arial" w:cs="Arial" w:eastAsia="Arial" w:hAnsi="Arial"/>
                <w:sz w:val="14"/>
                <w:szCs w:val="14"/>
                <w:color w:val="auto"/>
                <w:w w:val="93"/>
              </w:rPr>
              <w:t>May 9, 2016</w:t>
            </w:r>
          </w:p>
        </w:tc>
      </w:t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Jon S. Saxe</w:t>
            </w:r>
          </w:p>
        </w:tc>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President, Chief Scientific Officer and Director</w:t>
            </w:r>
          </w:p>
        </w:tc>
        <w:tc>
          <w:tcPr>
            <w:tcW w:w="1700" w:type="dxa"/>
            <w:vAlign w:val="bottom"/>
          </w:tcPr>
          <w:p>
            <w:pPr>
              <w:jc w:val="center"/>
              <w:ind w:left="909"/>
              <w:spacing w:after="0"/>
              <w:rPr>
                <w:sz w:val="20"/>
                <w:szCs w:val="20"/>
                <w:color w:val="auto"/>
              </w:rPr>
            </w:pPr>
            <w:r>
              <w:rPr>
                <w:rFonts w:ascii="Arial" w:cs="Arial" w:eastAsia="Arial" w:hAnsi="Arial"/>
                <w:sz w:val="14"/>
                <w:szCs w:val="14"/>
                <w:color w:val="auto"/>
                <w:w w:val="93"/>
              </w:rPr>
              <w:t>May 9, 2016</w:t>
            </w:r>
          </w:p>
        </w:tc>
      </w:tr>
      <w:tr>
        <w:trPr>
          <w:trHeight w:val="180"/>
        </w:trPr>
        <w:tc>
          <w:tcPr>
            <w:tcW w:w="2640" w:type="dxa"/>
            <w:vAlign w:val="bottom"/>
          </w:tcPr>
          <w:p>
            <w:pPr>
              <w:ind w:left="40"/>
              <w:spacing w:after="0"/>
              <w:rPr>
                <w:sz w:val="20"/>
                <w:szCs w:val="20"/>
                <w:color w:val="auto"/>
              </w:rPr>
            </w:pPr>
            <w:r>
              <w:rPr>
                <w:rFonts w:ascii="Arial" w:cs="Arial" w:eastAsia="Arial" w:hAnsi="Arial"/>
                <w:sz w:val="14"/>
                <w:szCs w:val="14"/>
                <w:color w:val="auto"/>
              </w:rPr>
              <w:t>H. Ralph Snodgrass, Ph.D</w:t>
            </w:r>
          </w:p>
        </w:tc>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700" w:type="dxa"/>
            <w:vAlign w:val="bottom"/>
          </w:tcPr>
          <w:p>
            <w:pPr>
              <w:jc w:val="center"/>
              <w:ind w:left="909"/>
              <w:spacing w:after="0"/>
              <w:rPr>
                <w:sz w:val="20"/>
                <w:szCs w:val="20"/>
                <w:color w:val="auto"/>
              </w:rPr>
            </w:pPr>
            <w:r>
              <w:rPr>
                <w:rFonts w:ascii="Arial" w:cs="Arial" w:eastAsia="Arial" w:hAnsi="Arial"/>
                <w:sz w:val="14"/>
                <w:szCs w:val="14"/>
                <w:color w:val="auto"/>
                <w:w w:val="93"/>
              </w:rPr>
              <w:t>May 9, 2016</w:t>
            </w:r>
          </w:p>
        </w:tc>
      </w:tr>
      <w:tr>
        <w:trPr>
          <w:trHeight w:val="180"/>
        </w:trPr>
        <w:tc>
          <w:tcPr>
            <w:tcW w:w="2640" w:type="dxa"/>
            <w:vAlign w:val="bottom"/>
          </w:tcPr>
          <w:p>
            <w:pPr>
              <w:ind w:left="40"/>
              <w:spacing w:after="0"/>
              <w:rPr>
                <w:sz w:val="20"/>
                <w:szCs w:val="20"/>
                <w:color w:val="auto"/>
              </w:rPr>
            </w:pPr>
            <w:r>
              <w:rPr>
                <w:rFonts w:ascii="Arial" w:cs="Arial" w:eastAsia="Arial" w:hAnsi="Arial"/>
                <w:sz w:val="14"/>
                <w:szCs w:val="14"/>
                <w:color w:val="auto"/>
              </w:rPr>
              <w:t>Brian J. Underdown, Ph. D</w:t>
            </w:r>
          </w:p>
        </w:tc>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3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700" w:type="dxa"/>
            <w:vAlign w:val="bottom"/>
          </w:tcPr>
          <w:p>
            <w:pPr>
              <w:jc w:val="center"/>
              <w:ind w:left="909"/>
              <w:spacing w:after="0"/>
              <w:rPr>
                <w:sz w:val="20"/>
                <w:szCs w:val="20"/>
                <w:color w:val="auto"/>
              </w:rPr>
            </w:pPr>
            <w:r>
              <w:rPr>
                <w:rFonts w:ascii="Arial" w:cs="Arial" w:eastAsia="Arial" w:hAnsi="Arial"/>
                <w:sz w:val="14"/>
                <w:szCs w:val="14"/>
                <w:color w:val="auto"/>
                <w:w w:val="93"/>
              </w:rPr>
              <w:t>May 9, 2016</w:t>
            </w:r>
          </w:p>
        </w:tc>
      </w:t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Jerry B. Gin, Ph.D, MBA</w:t>
            </w:r>
          </w:p>
        </w:tc>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 By: /s/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1683385" cy="133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683385" cy="133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Attorney-in-fact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60"/>
          </w:cols>
          <w:pgMar w:left="220" w:top="133" w:right="31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49"/>
        </w:trPr>
        <w:tc>
          <w:tcPr>
            <w:tcW w:w="920" w:type="dxa"/>
            <w:vAlign w:val="bottom"/>
            <w:gridSpan w:val="2"/>
          </w:tcPr>
          <w:p>
            <w:pPr>
              <w:spacing w:after="0"/>
              <w:rPr>
                <w:rFonts w:ascii="Arial" w:cs="Arial" w:eastAsia="Arial" w:hAnsi="Arial"/>
                <w:sz w:val="13"/>
                <w:szCs w:val="13"/>
                <w:i w:val="1"/>
                <w:iCs w:val="1"/>
                <w:color w:val="0000EE"/>
                <w:w w:val="87"/>
              </w:rPr>
            </w:pPr>
            <w:hyperlink w:anchor="page5">
              <w:r>
                <w:rPr>
                  <w:rFonts w:ascii="Arial" w:cs="Arial" w:eastAsia="Arial" w:hAnsi="Arial"/>
                  <w:sz w:val="13"/>
                  <w:szCs w:val="13"/>
                  <w:i w:val="1"/>
                  <w:iCs w:val="1"/>
                  <w:color w:val="0000EE"/>
                  <w:w w:val="87"/>
                </w:rPr>
                <w:t>Table of Contents</w:t>
              </w:r>
            </w:hyperlink>
          </w:p>
        </w:tc>
        <w:tc>
          <w:tcPr>
            <w:tcW w:w="120" w:type="dxa"/>
            <w:vAlign w:val="bottom"/>
          </w:tcPr>
          <w:p>
            <w:pPr>
              <w:spacing w:after="0"/>
              <w:rPr>
                <w:sz w:val="13"/>
                <w:szCs w:val="13"/>
                <w:color w:val="auto"/>
              </w:rPr>
            </w:pPr>
          </w:p>
        </w:tc>
        <w:tc>
          <w:tcPr>
            <w:tcW w:w="10420" w:type="dxa"/>
            <w:vAlign w:val="bottom"/>
          </w:tcPr>
          <w:p>
            <w:pPr>
              <w:spacing w:after="0"/>
              <w:rPr>
                <w:sz w:val="13"/>
                <w:szCs w:val="13"/>
                <w:color w:val="auto"/>
              </w:rPr>
            </w:pPr>
          </w:p>
        </w:tc>
      </w:tr>
      <w:tr>
        <w:trPr>
          <w:trHeight w:val="373"/>
        </w:trPr>
        <w:tc>
          <w:tcPr>
            <w:tcW w:w="9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20" w:type="dxa"/>
            <w:vAlign w:val="bottom"/>
          </w:tcPr>
          <w:p>
            <w:pPr>
              <w:ind w:left="4300"/>
              <w:spacing w:after="0"/>
              <w:rPr>
                <w:sz w:val="20"/>
                <w:szCs w:val="20"/>
                <w:color w:val="auto"/>
              </w:rPr>
            </w:pPr>
            <w:r>
              <w:rPr>
                <w:rFonts w:ascii="Arial" w:cs="Arial" w:eastAsia="Arial" w:hAnsi="Arial"/>
                <w:sz w:val="14"/>
                <w:szCs w:val="14"/>
                <w:b w:val="1"/>
                <w:bCs w:val="1"/>
                <w:color w:val="auto"/>
              </w:rPr>
              <w:t>Exhibit Index</w:t>
            </w:r>
          </w:p>
        </w:tc>
      </w:tr>
      <w:tr>
        <w:trPr>
          <w:trHeight w:val="364"/>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Exhibit No.</w:t>
            </w:r>
          </w:p>
        </w:tc>
        <w:tc>
          <w:tcPr>
            <w:tcW w:w="120" w:type="dxa"/>
            <w:vAlign w:val="bottom"/>
          </w:tcPr>
          <w:p>
            <w:pPr>
              <w:spacing w:after="0"/>
              <w:rPr>
                <w:sz w:val="24"/>
                <w:szCs w:val="24"/>
                <w:color w:val="auto"/>
              </w:rPr>
            </w:pPr>
          </w:p>
        </w:tc>
        <w:tc>
          <w:tcPr>
            <w:tcW w:w="10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Form of Underwriting Agreement</w:t>
            </w:r>
          </w:p>
        </w:tc>
      </w:tr>
      <w:tr>
        <w:trPr>
          <w:trHeight w:val="170"/>
        </w:trPr>
        <w:tc>
          <w:tcPr>
            <w:tcW w:w="900" w:type="dxa"/>
            <w:vAlign w:val="bottom"/>
          </w:tcPr>
          <w:p>
            <w:pPr>
              <w:spacing w:after="0"/>
              <w:rPr>
                <w:sz w:val="20"/>
                <w:szCs w:val="20"/>
                <w:color w:val="auto"/>
              </w:rPr>
            </w:pPr>
            <w:r>
              <w:rPr>
                <w:rFonts w:ascii="Arial" w:cs="Arial" w:eastAsia="Arial" w:hAnsi="Arial"/>
                <w:sz w:val="14"/>
                <w:szCs w:val="14"/>
                <w:color w:val="auto"/>
              </w:rPr>
              <w:t>2.1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Agreement and Plan of Merger by and among Excaliber Enterprises, Ltd., VistaGen Therapeutics, Inc. and Excaliber Merger Subsidiary, Inc.</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3.1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Articles of Incorporation, dated October 6, 2005.</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3"/>
              </w:rPr>
              <w:t>Certificate of Amendment filed with the Nevada Secretary of State on December 6, 2011, incorporated by reference from Exhibit 3.3 to the Company's Annual Report on Form 10-K,</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filed July 2, 2012.</w:t>
            </w:r>
          </w:p>
        </w:tc>
      </w:tr>
      <w:tr>
        <w:trPr>
          <w:trHeight w:val="171"/>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Amended and Restated Bylaws as of February 5, 2014, incorporated by reference from the Company’s Report on Form 8-K filed on February 7, 2014.</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4"/>
              </w:rPr>
              <w:t>Articles of Merger filed with the Nevada Secretary of State on May 24, 2011, incorporated by reference from Exhibit 3.1 to the Company's Current Report on Form 8-K filed on May</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gridSpan w:val="2"/>
          </w:tcPr>
          <w:p>
            <w:pPr>
              <w:ind w:left="120"/>
              <w:spacing w:after="0"/>
              <w:rPr>
                <w:sz w:val="20"/>
                <w:szCs w:val="20"/>
                <w:color w:val="auto"/>
              </w:rPr>
            </w:pPr>
            <w:r>
              <w:rPr>
                <w:rFonts w:ascii="Arial" w:cs="Arial" w:eastAsia="Arial" w:hAnsi="Arial"/>
                <w:sz w:val="14"/>
                <w:szCs w:val="14"/>
                <w:color w:val="auto"/>
              </w:rPr>
              <w:t>31, 2011.</w:t>
            </w:r>
          </w:p>
        </w:tc>
      </w:tr>
      <w:tr>
        <w:trPr>
          <w:trHeight w:val="171"/>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Certificate of Designations Series A Preferred, incorporated by reference from Exhibit 3.1 to the Company’s Current Report on Form 8-K filed on December 23, 2011.</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3"/>
              </w:rPr>
              <w:t>Certificate of Change filed with the Nevada Secretary of State on August 11, 2014 incorporated by reference from Exhibit 3.1 to the Company’s Current Report on Form 8-K filed on</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August 14, 2014.</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3"/>
              </w:rPr>
              <w:t>Certificate of Designation of the Relative Rights and Preferences of the Series B 10% Convertible Preferred Stock of VistaGen Therapeutics, Inc., filed with the Nevada Secretary of</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State on May 7, 2015, incorporated by reference from Exhibit 3.1 to the Company’s Current Report on Form 8-K filed on May 13, 2015.</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Certificate of Amendment to the Articles of Incorporation of VistaGen Therapeutics, Inc., dated August 24, 2015 and incorporated by reference from Exhibit 3.1 to the Company's</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Current Report on Form 8-K filed on August 25, 2015.</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2"/>
              </w:rPr>
              <w:t>Certificate of Designation of the Relative Rights and Preferences of the Series C Convertible Preferred Stock of VistaGen Therapeutics. Inc., dated January 25, 2016, incorporated by</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reference from Exhibit 3.1 to the Company’s Current Report on Form 8-K filed on January 29, 2016.</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Form of Warrant to Purchase Common Stock, dated as of February 28, 2012, incorporated by reference from Exhibit 10.3 to the Company’s Current Report on Form 8-K filed on</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March 2, 2012.</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3"/>
              </w:rPr>
              <w:t>Stock Purchase Warrant issued to Morrison &amp; Foerster LLP on August 31, 2012 to purchase 1,379,376 shares of the Company’s common stock (New Morrison &amp; Foerster Warrant),</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incorporated by reference from Exhibit 10.5 to the Company’s Current Report on Form 8-K filed on September 6, 2012.</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Warrant to Purchase Common Stock issued to Morrison &amp; Foerster LLP on August 31, 2012 to purchase 425,000 shares of the Company’s common stock (Amended Morrison &amp;</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Foerster Warrant), incorporated by reference from Exhibit 10.6 to the Company’s Current Report on Form 8-K filed on September 6, 2012.</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2"/>
              </w:rPr>
              <w:t>Form of Warrant to Purchase Shares of Common Stock issued to Platinum Long Term Growth VII, LLP under the Note Exchange and Purchase Agreement, incorporated by reference</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from Exhibit 10.3 to the Company’s Current Report on Form 8-K filed on October 16, 2012.</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Form of Warrant to Purchase Common Stock issued to independent members of the Company’s Board of Directors and its executive officers on March 3, 2013, incorporated by</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reference from Exhibit 10.1 to the Company’s Current Report on Form 8-K filed on March 6, 2013.</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3"/>
              </w:rPr>
              <w:t>Common Stock Warrant, dated July 26, 2013 issued to Platinum Long Term Growth VII, LLP, incorporated by reference from Exhibit 10.2 to the Company’s Current Report on Form</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8-K filed on August 2, 2013.</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7"/>
              </w:rPr>
              <w:t>Common Stock Purchase Warrant between the Company and Platinum Long Term Growth Fund VII dated May 14, 2014, incorporated by reference from Exhibit 10.1 to the</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Company’s Current Report on Form 8-K filed on May 19, 2014.</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7"/>
              </w:rPr>
              <w:t>Form of Common Stock Purchase Warrant between the Company and investors in the Fall 2013 Unit Private Placement, incorporated by reference from Exhibit 10.95 to the</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Company’s Annual Report on Form 10-K filed on June 24, 2014.</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2"/>
              </w:rPr>
              <w:t>Form of Common Stock Purchase Warrant between the Company and investors in the Spring 2014 Unit Private Placement dated April 1, 2014, incorporated by reference from Exhibit</w:t>
            </w:r>
          </w:p>
        </w:tc>
      </w:tr>
      <w:tr>
        <w:trPr>
          <w:trHeight w:val="180"/>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10.3 to the Company’s Current Report on Form 8-K filed on April 8, 2014.</w:t>
            </w:r>
          </w:p>
        </w:tc>
      </w:tr>
      <w:tr>
        <w:trPr>
          <w:trHeight w:val="479"/>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20" w:type="dxa"/>
            <w:vAlign w:val="bottom"/>
          </w:tcPr>
          <w:p>
            <w:pPr>
              <w:ind w:left="4560"/>
              <w:spacing w:after="0"/>
              <w:rPr>
                <w:sz w:val="20"/>
                <w:szCs w:val="20"/>
                <w:color w:val="auto"/>
              </w:rPr>
            </w:pPr>
            <w:r>
              <w:rPr>
                <w:rFonts w:ascii="Arial" w:cs="Arial" w:eastAsia="Arial" w:hAnsi="Arial"/>
                <w:sz w:val="14"/>
                <w:szCs w:val="14"/>
                <w:color w:val="auto"/>
              </w:rPr>
              <w:t>II-10</w:t>
            </w:r>
          </w:p>
        </w:tc>
      </w:tr>
      <w:tr>
        <w:trPr>
          <w:trHeight w:val="92"/>
        </w:trPr>
        <w:tc>
          <w:tcPr>
            <w:tcW w:w="9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4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49"/>
        </w:trPr>
        <w:tc>
          <w:tcPr>
            <w:tcW w:w="920" w:type="dxa"/>
            <w:vAlign w:val="bottom"/>
            <w:gridSpan w:val="3"/>
          </w:tcPr>
          <w:p>
            <w:pPr>
              <w:spacing w:after="0"/>
              <w:rPr>
                <w:rFonts w:ascii="Arial" w:cs="Arial" w:eastAsia="Arial" w:hAnsi="Arial"/>
                <w:sz w:val="13"/>
                <w:szCs w:val="13"/>
                <w:i w:val="1"/>
                <w:iCs w:val="1"/>
                <w:color w:val="0000EE"/>
                <w:w w:val="87"/>
              </w:rPr>
            </w:pPr>
            <w:hyperlink w:anchor="page5">
              <w:r>
                <w:rPr>
                  <w:rFonts w:ascii="Arial" w:cs="Arial" w:eastAsia="Arial" w:hAnsi="Arial"/>
                  <w:sz w:val="13"/>
                  <w:szCs w:val="13"/>
                  <w:i w:val="1"/>
                  <w:iCs w:val="1"/>
                  <w:color w:val="0000EE"/>
                  <w:w w:val="87"/>
                </w:rPr>
                <w:t>Table of Contents</w:t>
              </w:r>
            </w:hyperlink>
          </w:p>
        </w:tc>
        <w:tc>
          <w:tcPr>
            <w:tcW w:w="10540" w:type="dxa"/>
            <w:vAlign w:val="bottom"/>
          </w:tcPr>
          <w:p>
            <w:pPr>
              <w:spacing w:after="0"/>
              <w:rPr>
                <w:sz w:val="13"/>
                <w:szCs w:val="13"/>
                <w:color w:val="auto"/>
              </w:rPr>
            </w:pPr>
          </w:p>
        </w:tc>
      </w:tr>
      <w:tr>
        <w:trPr>
          <w:trHeight w:val="204"/>
        </w:trPr>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540" w:type="dxa"/>
            <w:vAlign w:val="bottom"/>
          </w:tcPr>
          <w:p>
            <w:pPr>
              <w:spacing w:after="0"/>
              <w:rPr>
                <w:sz w:val="17"/>
                <w:szCs w:val="17"/>
                <w:color w:val="auto"/>
              </w:rPr>
            </w:pPr>
          </w:p>
        </w:tc>
      </w:tr>
      <w:tr>
        <w:trPr>
          <w:trHeight w:val="170"/>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4.10</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Form of Warrant.</w:t>
            </w:r>
          </w:p>
        </w:tc>
      </w:tr>
      <w:tr>
        <w:trPr>
          <w:trHeight w:val="170"/>
        </w:trPr>
        <w:tc>
          <w:tcPr>
            <w:tcW w:w="900" w:type="dxa"/>
            <w:vAlign w:val="bottom"/>
            <w:gridSpan w:val="2"/>
          </w:tcPr>
          <w:p>
            <w:pPr>
              <w:spacing w:after="0"/>
              <w:rPr>
                <w:sz w:val="20"/>
                <w:szCs w:val="20"/>
                <w:color w:val="auto"/>
              </w:rPr>
            </w:pPr>
            <w:r>
              <w:rPr>
                <w:rFonts w:ascii="Arial" w:cs="Arial" w:eastAsia="Arial" w:hAnsi="Arial"/>
                <w:sz w:val="14"/>
                <w:szCs w:val="14"/>
                <w:color w:val="auto"/>
              </w:rPr>
              <w:t>4.11**</w:t>
            </w:r>
          </w:p>
        </w:tc>
        <w:tc>
          <w:tcPr>
            <w:tcW w:w="20" w:type="dxa"/>
            <w:vAlign w:val="bottom"/>
          </w:tcPr>
          <w:p>
            <w:pPr>
              <w:spacing w:after="0"/>
              <w:rPr>
                <w:sz w:val="14"/>
                <w:szCs w:val="14"/>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Form of Warrant Agency Agreement.</w:t>
            </w:r>
          </w:p>
        </w:tc>
      </w:tr>
      <w:tr>
        <w:trPr>
          <w:trHeight w:val="170"/>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5.1</w:t>
            </w: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Opinion of Disclosure Law Group.</w:t>
            </w:r>
          </w:p>
        </w:tc>
      </w:tr>
      <w:tr>
        <w:trPr>
          <w:trHeight w:val="170"/>
        </w:trPr>
        <w:tc>
          <w:tcPr>
            <w:tcW w:w="280" w:type="dxa"/>
            <w:vAlign w:val="bottom"/>
          </w:tcPr>
          <w:p>
            <w:pPr>
              <w:spacing w:after="0"/>
              <w:rPr>
                <w:sz w:val="20"/>
                <w:szCs w:val="20"/>
                <w:color w:val="auto"/>
              </w:rPr>
            </w:pPr>
            <w:r>
              <w:rPr>
                <w:rFonts w:ascii="Arial" w:cs="Arial" w:eastAsia="Arial" w:hAnsi="Arial"/>
                <w:sz w:val="14"/>
                <w:szCs w:val="14"/>
                <w:color w:val="auto"/>
                <w:w w:val="95"/>
              </w:rPr>
              <w:t>10.1</w:t>
            </w:r>
          </w:p>
        </w:tc>
        <w:tc>
          <w:tcPr>
            <w:tcW w:w="620" w:type="dxa"/>
            <w:vAlign w:val="bottom"/>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1999 Stock Incentive Plan.</w:t>
            </w:r>
          </w:p>
        </w:tc>
      </w:tr>
      <w:tr>
        <w:trPr>
          <w:trHeight w:val="170"/>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10.2</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Form of Option Agreement under VistaGen’s 1999 Stock Incentive Plan.</w:t>
            </w:r>
          </w:p>
        </w:tc>
      </w:tr>
      <w:tr>
        <w:trPr>
          <w:trHeight w:val="170"/>
        </w:trPr>
        <w:tc>
          <w:tcPr>
            <w:tcW w:w="280" w:type="dxa"/>
            <w:vAlign w:val="bottom"/>
          </w:tcPr>
          <w:p>
            <w:pPr>
              <w:spacing w:after="0"/>
              <w:rPr>
                <w:sz w:val="20"/>
                <w:szCs w:val="20"/>
                <w:color w:val="auto"/>
              </w:rPr>
            </w:pPr>
            <w:r>
              <w:rPr>
                <w:rFonts w:ascii="Arial" w:cs="Arial" w:eastAsia="Arial" w:hAnsi="Arial"/>
                <w:sz w:val="14"/>
                <w:szCs w:val="14"/>
                <w:color w:val="auto"/>
                <w:w w:val="95"/>
              </w:rPr>
              <w:t>10.3</w:t>
            </w:r>
          </w:p>
        </w:tc>
        <w:tc>
          <w:tcPr>
            <w:tcW w:w="620" w:type="dxa"/>
            <w:vAlign w:val="bottom"/>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2008 Stock Incentive Plan.</w:t>
            </w:r>
          </w:p>
        </w:tc>
      </w:tr>
      <w:tr>
        <w:trPr>
          <w:trHeight w:val="170"/>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10.4</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Form of Option Agreement under VistaGen’s 2008 Stock Incentive Plan.</w:t>
            </w:r>
          </w:p>
        </w:tc>
      </w:tr>
      <w:tr>
        <w:trPr>
          <w:trHeight w:val="170"/>
        </w:trPr>
        <w:tc>
          <w:tcPr>
            <w:tcW w:w="280" w:type="dxa"/>
            <w:vAlign w:val="bottom"/>
          </w:tcPr>
          <w:p>
            <w:pPr>
              <w:spacing w:after="0"/>
              <w:rPr>
                <w:sz w:val="20"/>
                <w:szCs w:val="20"/>
                <w:color w:val="auto"/>
              </w:rPr>
            </w:pPr>
            <w:r>
              <w:rPr>
                <w:rFonts w:ascii="Arial" w:cs="Arial" w:eastAsia="Arial" w:hAnsi="Arial"/>
                <w:sz w:val="14"/>
                <w:szCs w:val="14"/>
                <w:color w:val="auto"/>
                <w:w w:val="95"/>
              </w:rPr>
              <w:t>10.5</w:t>
            </w:r>
          </w:p>
        </w:tc>
        <w:tc>
          <w:tcPr>
            <w:tcW w:w="620" w:type="dxa"/>
            <w:vAlign w:val="bottom"/>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Strategic Development Services Agreement, dated February 26, 2007, by and between VistaGen and Cato Research Ltd.</w:t>
            </w:r>
          </w:p>
        </w:tc>
      </w:tr>
      <w:tr>
        <w:trPr>
          <w:trHeight w:val="160"/>
        </w:trPr>
        <w:tc>
          <w:tcPr>
            <w:tcW w:w="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5"/>
              </w:rPr>
              <w:t>10.6</w:t>
            </w:r>
          </w:p>
        </w:tc>
        <w:tc>
          <w:tcPr>
            <w:tcW w:w="6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w w:val="92"/>
              </w:rPr>
              <w:t>License Agreement by and between National Jewish Medical and Research Center and VistaGen, dated July 12, 1999, as amended by that certain Amendment to License Agreement</w:t>
            </w:r>
          </w:p>
        </w:tc>
      </w:tr>
      <w:tr>
        <w:trPr>
          <w:trHeight w:val="170"/>
        </w:trPr>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3"/>
              </w:rPr>
              <w:t>dated January 25, 2001, as amended by that certain Second Amendment to License Agreement dated November 6, 2002, as amended by that certain Third Amendment to License</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Agreement dated March 1, 2003, and as amended by that certain Fourth Amendment to License Agreement dated April 15, 2010.</w:t>
            </w:r>
          </w:p>
        </w:tc>
      </w:tr>
      <w:tr>
        <w:trPr>
          <w:trHeight w:val="170"/>
        </w:trPr>
        <w:tc>
          <w:tcPr>
            <w:tcW w:w="280" w:type="dxa"/>
            <w:vAlign w:val="bottom"/>
          </w:tcPr>
          <w:p>
            <w:pPr>
              <w:spacing w:after="0"/>
              <w:rPr>
                <w:sz w:val="20"/>
                <w:szCs w:val="20"/>
                <w:color w:val="auto"/>
              </w:rPr>
            </w:pPr>
            <w:r>
              <w:rPr>
                <w:rFonts w:ascii="Arial" w:cs="Arial" w:eastAsia="Arial" w:hAnsi="Arial"/>
                <w:sz w:val="14"/>
                <w:szCs w:val="14"/>
                <w:color w:val="auto"/>
                <w:w w:val="95"/>
              </w:rPr>
              <w:t>10.7</w:t>
            </w:r>
          </w:p>
        </w:tc>
        <w:tc>
          <w:tcPr>
            <w:tcW w:w="620" w:type="dxa"/>
            <w:vAlign w:val="bottom"/>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License Agreement by and between Mount Sinai School of Medicine of New York University and the Company, dated October 1, 2004.</w:t>
            </w:r>
          </w:p>
        </w:tc>
      </w:tr>
      <w:tr>
        <w:trPr>
          <w:trHeight w:val="160"/>
        </w:trPr>
        <w:tc>
          <w:tcPr>
            <w:tcW w:w="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5"/>
              </w:rPr>
              <w:t>10.8</w:t>
            </w:r>
          </w:p>
        </w:tc>
        <w:tc>
          <w:tcPr>
            <w:tcW w:w="6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w w:val="94"/>
              </w:rPr>
              <w:t>Sponsored Research Collaboration Agreement, dated September 18, 2007, between VistaGen and University Health Network, as amended by that certain Amendment No. 1 and</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Amendment No. 2, dated April 19, 2010 and December 15, 2010, respectively.</w:t>
            </w:r>
          </w:p>
        </w:tc>
      </w:tr>
      <w:tr>
        <w:trPr>
          <w:trHeight w:val="170"/>
        </w:trPr>
        <w:tc>
          <w:tcPr>
            <w:tcW w:w="280" w:type="dxa"/>
            <w:vAlign w:val="bottom"/>
          </w:tcPr>
          <w:p>
            <w:pPr>
              <w:spacing w:after="0"/>
              <w:rPr>
                <w:sz w:val="20"/>
                <w:szCs w:val="20"/>
                <w:color w:val="auto"/>
              </w:rPr>
            </w:pPr>
            <w:r>
              <w:rPr>
                <w:rFonts w:ascii="Arial" w:cs="Arial" w:eastAsia="Arial" w:hAnsi="Arial"/>
                <w:sz w:val="14"/>
                <w:szCs w:val="14"/>
                <w:color w:val="auto"/>
                <w:w w:val="95"/>
              </w:rPr>
              <w:t>10.9</w:t>
            </w:r>
          </w:p>
        </w:tc>
        <w:tc>
          <w:tcPr>
            <w:tcW w:w="620" w:type="dxa"/>
            <w:vAlign w:val="bottom"/>
          </w:tcPr>
          <w:p>
            <w:pPr>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License Agreement, dated October 24, 2001, by and between the University of Maryland, Baltimore, Cornell Research Foundation and Artemis Neuroscience, Inc.</w:t>
            </w:r>
          </w:p>
        </w:tc>
      </w:tr>
      <w:tr>
        <w:trPr>
          <w:trHeight w:val="170"/>
        </w:trPr>
        <w:tc>
          <w:tcPr>
            <w:tcW w:w="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10.10 *</w:t>
            </w: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Employment Agreement, by and between, VistaGen and Shawn K. Singh, dated April 28, 2010, as amended May 9, 2011.</w:t>
            </w:r>
          </w:p>
        </w:tc>
      </w:tr>
      <w:tr>
        <w:trPr>
          <w:trHeight w:val="170"/>
        </w:trPr>
        <w:tc>
          <w:tcPr>
            <w:tcW w:w="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10.11 *</w:t>
            </w:r>
          </w:p>
        </w:tc>
        <w:tc>
          <w:tcPr>
            <w:tcW w:w="20" w:type="dxa"/>
            <w:vAlign w:val="bottom"/>
            <w:shd w:val="clear" w:color="auto" w:fill="CCEEFF"/>
          </w:tcPr>
          <w:p>
            <w:pPr>
              <w:spacing w:after="0"/>
              <w:rPr>
                <w:sz w:val="14"/>
                <w:szCs w:val="14"/>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Employment Agreement, by and between, VistaGen and H. Ralph Snodgrass, PhD, dated April 28, 2010, as amended May 9, 2011.</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10.12</w:t>
            </w:r>
          </w:p>
        </w:tc>
        <w:tc>
          <w:tcPr>
            <w:tcW w:w="20" w:type="dxa"/>
            <w:vAlign w:val="bottom"/>
          </w:tcPr>
          <w:p>
            <w:pPr>
              <w:spacing w:after="0"/>
              <w:rPr>
                <w:sz w:val="13"/>
                <w:szCs w:val="13"/>
                <w:color w:val="auto"/>
              </w:rPr>
            </w:pPr>
          </w:p>
        </w:tc>
        <w:tc>
          <w:tcPr>
            <w:tcW w:w="10540" w:type="dxa"/>
            <w:vAlign w:val="bottom"/>
          </w:tcPr>
          <w:p>
            <w:pPr>
              <w:ind w:left="120"/>
              <w:spacing w:after="0" w:line="160" w:lineRule="exact"/>
              <w:rPr>
                <w:sz w:val="20"/>
                <w:szCs w:val="20"/>
                <w:color w:val="auto"/>
              </w:rPr>
            </w:pPr>
            <w:r>
              <w:rPr>
                <w:rFonts w:ascii="Arial" w:cs="Arial" w:eastAsia="Arial" w:hAnsi="Arial"/>
                <w:sz w:val="14"/>
                <w:szCs w:val="14"/>
                <w:color w:val="auto"/>
                <w:w w:val="93"/>
              </w:rPr>
              <w:t>Strategic Medicinal Chemistry Services Agreement, dated as of December 6, 2011, between Synterys, Inc. and VistaGen Therapeutics, Inc., incorporated by reference from Exhibit</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10.1 to the Company’s Current Report on Form 8-K filed on December 7, 2011.</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10.13</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w w:val="94"/>
              </w:rPr>
              <w:t>Common Stock Exchange Agreement, dated as of December 22, 2011 between Platinum Long Term Growth VII, LLC and VistaGen Therapeutics, Inc., incorporated by reference</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from Exhibit 10.1 to the Company’s Current Report on Form 8-K filed on December 23, 2011.</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10.14</w:t>
            </w:r>
          </w:p>
        </w:tc>
        <w:tc>
          <w:tcPr>
            <w:tcW w:w="20" w:type="dxa"/>
            <w:vAlign w:val="bottom"/>
          </w:tcPr>
          <w:p>
            <w:pPr>
              <w:spacing w:after="0"/>
              <w:rPr>
                <w:sz w:val="13"/>
                <w:szCs w:val="13"/>
                <w:color w:val="auto"/>
              </w:rPr>
            </w:pPr>
          </w:p>
        </w:tc>
        <w:tc>
          <w:tcPr>
            <w:tcW w:w="10540" w:type="dxa"/>
            <w:vAlign w:val="bottom"/>
          </w:tcPr>
          <w:p>
            <w:pPr>
              <w:ind w:left="120"/>
              <w:spacing w:after="0" w:line="160" w:lineRule="exact"/>
              <w:rPr>
                <w:sz w:val="20"/>
                <w:szCs w:val="20"/>
                <w:color w:val="auto"/>
              </w:rPr>
            </w:pPr>
            <w:r>
              <w:rPr>
                <w:rFonts w:ascii="Arial" w:cs="Arial" w:eastAsia="Arial" w:hAnsi="Arial"/>
                <w:sz w:val="14"/>
                <w:szCs w:val="14"/>
                <w:color w:val="auto"/>
                <w:w w:val="93"/>
              </w:rPr>
              <w:t>Note and Warrant Exchange Agreement, dated as of December 28, 2011 between Platinum Long Term Growth VII, LLC and VistaGen Therapeutics, Inc., incorporated by reference</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from Exhibit 10.1 to the Current Report on Form 8-K filed on January 4, 2012.</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10.15</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w w:val="95"/>
              </w:rPr>
              <w:t>License Agreement No. 1, dated as of October 24, 2011 between University Health Network and VistaGen Therapeutics, Inc., incorporated by reference from Exhibit 10.1 to the</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Company’s Current Report on Form 8-K filed on November 30, 2011.</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10.16</w:t>
            </w:r>
          </w:p>
        </w:tc>
        <w:tc>
          <w:tcPr>
            <w:tcW w:w="20" w:type="dxa"/>
            <w:vAlign w:val="bottom"/>
          </w:tcPr>
          <w:p>
            <w:pPr>
              <w:spacing w:after="0"/>
              <w:rPr>
                <w:sz w:val="13"/>
                <w:szCs w:val="13"/>
                <w:color w:val="auto"/>
              </w:rPr>
            </w:pPr>
          </w:p>
        </w:tc>
        <w:tc>
          <w:tcPr>
            <w:tcW w:w="10540" w:type="dxa"/>
            <w:vAlign w:val="bottom"/>
          </w:tcPr>
          <w:p>
            <w:pPr>
              <w:ind w:left="120"/>
              <w:spacing w:after="0" w:line="160" w:lineRule="exact"/>
              <w:rPr>
                <w:sz w:val="20"/>
                <w:szCs w:val="20"/>
                <w:color w:val="auto"/>
              </w:rPr>
            </w:pPr>
            <w:r>
              <w:rPr>
                <w:rFonts w:ascii="Arial" w:cs="Arial" w:eastAsia="Arial" w:hAnsi="Arial"/>
                <w:sz w:val="14"/>
                <w:szCs w:val="14"/>
                <w:color w:val="auto"/>
                <w:w w:val="95"/>
              </w:rPr>
              <w:t>License Agreement No. 2, dated as of March 19, 2012 between University Health Network and VistaGen Therapeutics, Inc., incorporated by reference from Exhibit 10.57 to the</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Company’s Annual Report on Form 10-K filed on July 2, 2012.</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10.17</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w w:val="93"/>
              </w:rPr>
              <w:t>Exchange Agreement dated as of June 29, 2012 between Platinum Long Term Growth VII, LLC and VistaGen Therapeutics. Inc., incorporated by reference from Exhibit 10.58 to the</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Company’s Annual Report on Form 10-K filed on July 2, 2012.</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10.18</w:t>
            </w:r>
          </w:p>
        </w:tc>
        <w:tc>
          <w:tcPr>
            <w:tcW w:w="20" w:type="dxa"/>
            <w:vAlign w:val="bottom"/>
          </w:tcPr>
          <w:p>
            <w:pPr>
              <w:spacing w:after="0"/>
              <w:rPr>
                <w:sz w:val="13"/>
                <w:szCs w:val="13"/>
                <w:color w:val="auto"/>
              </w:rPr>
            </w:pPr>
          </w:p>
        </w:tc>
        <w:tc>
          <w:tcPr>
            <w:tcW w:w="10540" w:type="dxa"/>
            <w:vAlign w:val="bottom"/>
          </w:tcPr>
          <w:p>
            <w:pPr>
              <w:ind w:left="120"/>
              <w:spacing w:after="0" w:line="160" w:lineRule="exact"/>
              <w:rPr>
                <w:sz w:val="20"/>
                <w:szCs w:val="20"/>
                <w:color w:val="auto"/>
              </w:rPr>
            </w:pPr>
            <w:r>
              <w:rPr>
                <w:rFonts w:ascii="Arial" w:cs="Arial" w:eastAsia="Arial" w:hAnsi="Arial"/>
                <w:sz w:val="14"/>
                <w:szCs w:val="14"/>
                <w:color w:val="auto"/>
                <w:w w:val="93"/>
              </w:rPr>
              <w:t>Unsecured Promissory Note in the face amount of $1,000,000 issued to Morrison &amp; Foerster LLP on August 31, 2012 (Replacement Note A), incorporated by reference from Exhibit</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10.3 to the Company’s Current Report on Form 8-K filed on September 6, 2012.</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10.19</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w w:val="93"/>
              </w:rPr>
              <w:t>Unsecured Promissory Note in the face amount of $1,379,376 issued to Morrison &amp; Foerster LLP on August 31, 2012 (Replacement Note B), incorporated by reference from Exhibit</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10.4 to the Company’s Current Report on Form 8-K filed on September 6, 2012.</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10.20</w:t>
            </w:r>
          </w:p>
        </w:tc>
        <w:tc>
          <w:tcPr>
            <w:tcW w:w="20" w:type="dxa"/>
            <w:vAlign w:val="bottom"/>
          </w:tcPr>
          <w:p>
            <w:pPr>
              <w:spacing w:after="0"/>
              <w:rPr>
                <w:sz w:val="13"/>
                <w:szCs w:val="13"/>
                <w:color w:val="auto"/>
              </w:rPr>
            </w:pPr>
          </w:p>
        </w:tc>
        <w:tc>
          <w:tcPr>
            <w:tcW w:w="10540" w:type="dxa"/>
            <w:vAlign w:val="bottom"/>
          </w:tcPr>
          <w:p>
            <w:pPr>
              <w:ind w:left="120"/>
              <w:spacing w:after="0" w:line="160" w:lineRule="exact"/>
              <w:rPr>
                <w:sz w:val="20"/>
                <w:szCs w:val="20"/>
                <w:color w:val="auto"/>
              </w:rPr>
            </w:pPr>
            <w:r>
              <w:rPr>
                <w:rFonts w:ascii="Arial" w:cs="Arial" w:eastAsia="Arial" w:hAnsi="Arial"/>
                <w:sz w:val="14"/>
                <w:szCs w:val="14"/>
                <w:color w:val="auto"/>
                <w:w w:val="95"/>
              </w:rPr>
              <w:t>Note Exchange and Purchase Agreement dated as of October 11, 2012 by and between VistaGen Therapeutics, Inc. and Platinum Long Term Growth VII, LLP, incorporated by</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tcPr>
          <w:p>
            <w:pPr>
              <w:ind w:left="120"/>
              <w:spacing w:after="0"/>
              <w:rPr>
                <w:sz w:val="20"/>
                <w:szCs w:val="20"/>
                <w:color w:val="auto"/>
              </w:rPr>
            </w:pPr>
            <w:r>
              <w:rPr>
                <w:rFonts w:ascii="Arial" w:cs="Arial" w:eastAsia="Arial" w:hAnsi="Arial"/>
                <w:sz w:val="14"/>
                <w:szCs w:val="14"/>
                <w:color w:val="auto"/>
              </w:rPr>
              <w:t>reference from Exhibit 10.1 to the Company’s Current Report on Form 8-K filed on October 16, 2012.</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10.21</w:t>
            </w:r>
          </w:p>
        </w:tc>
        <w:tc>
          <w:tcPr>
            <w:tcW w:w="20" w:type="dxa"/>
            <w:vAlign w:val="bottom"/>
            <w:shd w:val="clear" w:color="auto" w:fill="CCEEFF"/>
          </w:tcPr>
          <w:p>
            <w:pPr>
              <w:spacing w:after="0"/>
              <w:rPr>
                <w:sz w:val="13"/>
                <w:szCs w:val="13"/>
                <w:color w:val="auto"/>
              </w:rPr>
            </w:pPr>
          </w:p>
        </w:tc>
        <w:tc>
          <w:tcPr>
            <w:tcW w:w="10540" w:type="dxa"/>
            <w:vAlign w:val="bottom"/>
            <w:shd w:val="clear" w:color="auto" w:fill="CCEEFF"/>
          </w:tcPr>
          <w:p>
            <w:pPr>
              <w:ind w:left="100"/>
              <w:spacing w:after="0" w:line="160" w:lineRule="exact"/>
              <w:rPr>
                <w:sz w:val="20"/>
                <w:szCs w:val="20"/>
                <w:color w:val="auto"/>
              </w:rPr>
            </w:pPr>
            <w:r>
              <w:rPr>
                <w:rFonts w:ascii="Arial" w:cs="Arial" w:eastAsia="Arial" w:hAnsi="Arial"/>
                <w:sz w:val="14"/>
                <w:szCs w:val="14"/>
                <w:color w:val="auto"/>
                <w:w w:val="94"/>
              </w:rPr>
              <w:t>Amendment to Note Exchange and Purchase Agreement as of November 14, 2012 between VistaGen Therapeutics Inc. and Platinum Long Term Growth VII, LLP, incorporated by</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reference from Exhibit 10.1 to the Company’s Current Report on Form 8-K filed on November 20, 2012.</w:t>
            </w:r>
          </w:p>
        </w:tc>
      </w:tr>
      <w:tr>
        <w:trPr>
          <w:trHeight w:val="479"/>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40" w:type="dxa"/>
            <w:vAlign w:val="bottom"/>
          </w:tcPr>
          <w:p>
            <w:pPr>
              <w:ind w:left="4680"/>
              <w:spacing w:after="0"/>
              <w:rPr>
                <w:sz w:val="20"/>
                <w:szCs w:val="20"/>
                <w:color w:val="auto"/>
              </w:rPr>
            </w:pPr>
            <w:r>
              <w:rPr>
                <w:rFonts w:ascii="Arial" w:cs="Arial" w:eastAsia="Arial" w:hAnsi="Arial"/>
                <w:sz w:val="14"/>
                <w:szCs w:val="14"/>
                <w:color w:val="auto"/>
              </w:rPr>
              <w:t>II-11</w:t>
            </w:r>
          </w:p>
        </w:tc>
      </w:tr>
      <w:tr>
        <w:trPr>
          <w:trHeight w:val="92"/>
        </w:trPr>
        <w:tc>
          <w:tcPr>
            <w:tcW w:w="2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5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28" w:name="page229"/>
    <w:bookmarkEnd w:id="22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85"/>
              </w:rPr>
              <w:t>10.22</w:t>
            </w: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2"/>
              </w:rPr>
              <w:t>Amendment No. 2 to Note Exchange and Purchase Agreement as of January 31, 2013 between VistaGen Therapeutics Inc. and Platinum Long Term Growth VII, LLP, incorporated by</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reference from Exhibit 10.1 to the Company’s Quarterly Report on Form 10-Q filed on February 14,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10.23</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3"/>
              </w:rPr>
              <w:t>Amendment No. 3 to Note Exchange and Purchase Agreement as of February 22, 2013 between VistaGen Therapeutics Inc. and Platinum Long Term Growth VII, LLP, incorporated</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by reference from Exhibit 10.1 to the Company’s Current Report on Form 8-K filed on February 28,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10.24</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Note Conversion Agreement as of April 4, 2013 between VistaGen Therapeutics Inc. and Platinum Long Term Growth VII, LLP, incorporated by reference from Exhibit 10.3 to the</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Company’s Current Report on Form 8-K filed on April 10,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10.25</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5"/>
              </w:rPr>
              <w:t>Assignment and Assumption Agreement between Autilion AG and Bergamo Acquisition Corp. PTE LTD dated April 12, 2013, incorporated by reference from Exhibit 10.81 to the</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Company’s Annual Report on Form 10-K filed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10.26</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3"/>
              </w:rPr>
              <w:t>Amendment No. 1 to Securities Purchase Agreement dated April 30, 2013 between VistaGen Therapeutics, Inc. and Bergamo Acquisition Corp. PTE LTD, incorporated by reference</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from Exhibit 10.1 to the Company’s Current Report on Form 8-K filed on May 1,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10.27</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4"/>
              </w:rPr>
              <w:t>Lease between Bayside Area Development, LLC and VistaGen Therapeutics, Inc. (California) dated April 24, 2013, incorporated by reference from Exhibit 10.83 to the Company’s</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Annual Report on Form 10-K filed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10.28</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Indemnification Agreement effective May 20, 2013 between the Company and Jon S. Saxe, incorporated by reference from Exhibit 10.84 to the Company's Annual Report on Form</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10-K filed on July 18,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10.29</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5"/>
              </w:rPr>
              <w:t>Indemnification Agreement effective May 20, 2013 between the Company and Shawn K. Singh, incorporated by reference from Exhibit 10.85 to the Company’s Annual Report on</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10.30</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2"/>
              </w:rPr>
              <w:t>Indemnification Agreement effective May 20, 2013 between the Company and H. Ralph Snodgrass, incorporated by reference from Exhibit 10.86 to the Company’s Annual Report on</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10.31</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3"/>
              </w:rPr>
              <w:t>Indemnification Agreement effective May 20, 2013 between the Company and Brian J. Underdown, incorporated by reference from Exhibit 10.87 to the Company’s Annual Report on</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10.32</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Indemnification Agreement effective May 20, 2013 between the Company and Jerrold D. Dotson, incorporated by reference from Exhibit 10.88 to the Company’s Annual Report on</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10.33</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5"/>
              </w:rPr>
              <w:t>Amendment and Waiver effective May 24, 2013 between the Company and Platinum Long Term Growth VII, LLC, incorporated by reference from Exhibit 10.1 to the Company’s</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Current Report on Form 8-K filed on June 3,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10.34</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2"/>
              </w:rPr>
              <w:t>Form of Subscription Agreement between the Company and investors in the Fall 2013 Unit Private Placement, incorporated by reference from Exhibit 10.93 to the Company’s Annual</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Report on Form 10-K filed on June 24, 2014.</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10.35</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4"/>
              </w:rPr>
              <w:t>Form of Convertible Promissory Note between the Company and investors in the Fall 2013 Unit Private Placement, incorporated by reference from Exhibit 10.94 to the Company’s</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Annual Report on Form 10-K filed on June 24, 2014.</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10.36</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3"/>
              </w:rPr>
              <w:t>Form of Amendment to Convertible Promissory Note and Warrant between the Company and investors in the Fall 2013 Unit Private Placement, effective May 31, 2014, incorporated</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by reference from Exhibit 10.96 to the Company’s Annual Report on Form 10-K filed on June 24, 2014.</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10.37</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2"/>
              </w:rPr>
              <w:t>Form of Unit Subscription Agreement between the Company and investors in the Spring 2014 Unit Private Placement dated April 1, 2014, incorporated by reference from Exhibit 10.1</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to the Company’s Current Report on Form 8-K filed on April 8, 2014.</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10.38</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2"/>
              </w:rPr>
              <w:t>Form of Subordinate Convertible Promissory Note between the Company and investors in the Spring 2014 Unit Private Placement dated April 1, 2014, incorporated by reference from</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Exhibit 10.2 to the Company’s Current Report on Form 8-K filed on April 8, 2014.</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10.39</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3"/>
              </w:rPr>
              <w:t>Amendment No. 3 to Sponsored Research Collaboration Agreement, dated April 25, 2011, by and between VistaGen and University Health Network, incorporated by reference from</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Exhibit 10.103 to the Company’s Annual Report on Form 10-K filed on June 24, 2014.</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10.40</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Amendment No. 5 to Sponsored Research Collaboration Agreement, dated October 10, 2012, by and between VistaGen and University Health Network, incorporated by reference</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from Exhibit 10.104 to the Company’s Annual Report on Form 10-K filed on June 24, 2014.</w:t>
            </w:r>
          </w:p>
        </w:tc>
      </w:tr>
      <w:tr>
        <w:trPr>
          <w:trHeight w:val="479"/>
        </w:trPr>
        <w:tc>
          <w:tcPr>
            <w:tcW w:w="680" w:type="dxa"/>
            <w:vAlign w:val="bottom"/>
          </w:tcPr>
          <w:p>
            <w:pPr>
              <w:spacing w:after="0"/>
              <w:rPr>
                <w:sz w:val="24"/>
                <w:szCs w:val="24"/>
                <w:color w:val="auto"/>
              </w:rPr>
            </w:pPr>
          </w:p>
        </w:tc>
        <w:tc>
          <w:tcPr>
            <w:tcW w:w="10780" w:type="dxa"/>
            <w:vAlign w:val="bottom"/>
          </w:tcPr>
          <w:p>
            <w:pPr>
              <w:ind w:left="4920"/>
              <w:spacing w:after="0"/>
              <w:rPr>
                <w:sz w:val="20"/>
                <w:szCs w:val="20"/>
                <w:color w:val="auto"/>
              </w:rPr>
            </w:pPr>
            <w:r>
              <w:rPr>
                <w:rFonts w:ascii="Arial" w:cs="Arial" w:eastAsia="Arial" w:hAnsi="Arial"/>
                <w:sz w:val="14"/>
                <w:szCs w:val="14"/>
                <w:color w:val="auto"/>
              </w:rPr>
              <w:t>II-12</w:t>
            </w:r>
          </w:p>
        </w:tc>
      </w:tr>
      <w:tr>
        <w:trPr>
          <w:trHeight w:val="92"/>
        </w:trPr>
        <w:tc>
          <w:tcPr>
            <w:tcW w:w="680" w:type="dxa"/>
            <w:vAlign w:val="bottom"/>
            <w:tcBorders>
              <w:bottom w:val="single" w:sz="8" w:color="808080"/>
            </w:tcBorders>
          </w:tcPr>
          <w:p>
            <w:pPr>
              <w:spacing w:after="0"/>
              <w:rPr>
                <w:sz w:val="7"/>
                <w:szCs w:val="7"/>
                <w:color w:val="auto"/>
              </w:rPr>
            </w:pPr>
          </w:p>
        </w:tc>
        <w:tc>
          <w:tcPr>
            <w:tcW w:w="107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29" w:name="page230"/>
    <w:bookmarkEnd w:id="22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10.41</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Amended and Restated Note Conversion Agreement and Warrant Amendment, by and between VistaGen Therapeutics, Inc. and Platinum Long Term Growth VII, LLC, dated July 18,</w:t>
            </w:r>
          </w:p>
        </w:tc>
      </w:tr>
      <w:tr>
        <w:trPr>
          <w:trHeight w:val="181"/>
        </w:trPr>
        <w:tc>
          <w:tcPr>
            <w:tcW w:w="840" w:type="dxa"/>
            <w:vAlign w:val="bottom"/>
            <w:shd w:val="clear" w:color="auto" w:fill="CCEEFF"/>
          </w:tcPr>
          <w:p>
            <w:pPr>
              <w:spacing w:after="0"/>
              <w:rPr>
                <w:sz w:val="15"/>
                <w:szCs w:val="15"/>
                <w:color w:val="auto"/>
              </w:rPr>
            </w:pP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2014, incorporated by reference from Exhibit 10.1 to the Company’s Current Report on Form 8-K filed on July 22, 2014.</w:t>
            </w:r>
          </w:p>
        </w:tc>
      </w:tr>
      <w:tr>
        <w:trPr>
          <w:trHeight w:val="160"/>
        </w:trPr>
        <w:tc>
          <w:tcPr>
            <w:tcW w:w="840" w:type="dxa"/>
            <w:vAlign w:val="bottom"/>
          </w:tcPr>
          <w:p>
            <w:pPr>
              <w:spacing w:after="0" w:line="160" w:lineRule="exact"/>
              <w:rPr>
                <w:sz w:val="20"/>
                <w:szCs w:val="20"/>
                <w:color w:val="auto"/>
              </w:rPr>
            </w:pPr>
            <w:r>
              <w:rPr>
                <w:rFonts w:ascii="Arial" w:cs="Arial" w:eastAsia="Arial" w:hAnsi="Arial"/>
                <w:sz w:val="14"/>
                <w:szCs w:val="14"/>
                <w:color w:val="auto"/>
              </w:rPr>
              <w:t>10.42</w:t>
            </w:r>
          </w:p>
        </w:tc>
        <w:tc>
          <w:tcPr>
            <w:tcW w:w="10620" w:type="dxa"/>
            <w:vAlign w:val="bottom"/>
          </w:tcPr>
          <w:p>
            <w:pPr>
              <w:ind w:left="180"/>
              <w:spacing w:after="0" w:line="160" w:lineRule="exact"/>
              <w:rPr>
                <w:sz w:val="20"/>
                <w:szCs w:val="20"/>
                <w:color w:val="auto"/>
              </w:rPr>
            </w:pPr>
            <w:r>
              <w:rPr>
                <w:rFonts w:ascii="Arial" w:cs="Arial" w:eastAsia="Arial" w:hAnsi="Arial"/>
                <w:sz w:val="14"/>
                <w:szCs w:val="14"/>
                <w:color w:val="auto"/>
                <w:w w:val="93"/>
              </w:rPr>
              <w:t>Amendment No. 1 to Amended and Restated Note Conversion Agreement and Warrant Amendment, by and between VistaGen Therapeutics, Inc. and Platinum Long Term Growth</w:t>
            </w:r>
          </w:p>
        </w:tc>
      </w:tr>
      <w:tr>
        <w:trPr>
          <w:trHeight w:val="181"/>
        </w:trPr>
        <w:tc>
          <w:tcPr>
            <w:tcW w:w="840" w:type="dxa"/>
            <w:vAlign w:val="bottom"/>
          </w:tcPr>
          <w:p>
            <w:pPr>
              <w:spacing w:after="0"/>
              <w:rPr>
                <w:sz w:val="15"/>
                <w:szCs w:val="15"/>
                <w:color w:val="auto"/>
              </w:rPr>
            </w:pPr>
          </w:p>
        </w:tc>
        <w:tc>
          <w:tcPr>
            <w:tcW w:w="10620" w:type="dxa"/>
            <w:vAlign w:val="bottom"/>
          </w:tcPr>
          <w:p>
            <w:pPr>
              <w:ind w:left="180"/>
              <w:spacing w:after="0"/>
              <w:rPr>
                <w:sz w:val="20"/>
                <w:szCs w:val="20"/>
                <w:color w:val="auto"/>
              </w:rPr>
            </w:pPr>
            <w:r>
              <w:rPr>
                <w:rFonts w:ascii="Arial" w:cs="Arial" w:eastAsia="Arial" w:hAnsi="Arial"/>
                <w:sz w:val="14"/>
                <w:szCs w:val="14"/>
                <w:color w:val="auto"/>
              </w:rPr>
              <w:t>VII, LLC, dated September 2, 2014, incorporated by reference from Exhibit 10.1 to the Company’s Current Report on Form 8-K filed on September 4, 2014.</w:t>
            </w:r>
          </w:p>
        </w:tc>
      </w:tr>
      <w:tr>
        <w:trPr>
          <w:trHeight w:val="160"/>
        </w:trPr>
        <w:tc>
          <w:tcPr>
            <w:tcW w:w="8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10.43</w:t>
            </w:r>
          </w:p>
        </w:tc>
        <w:tc>
          <w:tcPr>
            <w:tcW w:w="1062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w w:val="93"/>
              </w:rPr>
              <w:t>Amendment No. 2 to Amended and Restated Note Conversion Agreement and Warrant Amendment, by and between VistaGen Therapeutics, Inc. and Platinum Long Term Growth</w:t>
            </w:r>
          </w:p>
        </w:tc>
      </w:tr>
      <w:tr>
        <w:trPr>
          <w:trHeight w:val="181"/>
        </w:trPr>
        <w:tc>
          <w:tcPr>
            <w:tcW w:w="840" w:type="dxa"/>
            <w:vAlign w:val="bottom"/>
            <w:shd w:val="clear" w:color="auto" w:fill="CCEEFF"/>
          </w:tcPr>
          <w:p>
            <w:pPr>
              <w:spacing w:after="0"/>
              <w:rPr>
                <w:sz w:val="15"/>
                <w:szCs w:val="15"/>
                <w:color w:val="auto"/>
              </w:rPr>
            </w:pP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VII, LLC, dated September 30, 2014, incorporated by reference from Exhibit 10.1 to the Company’s Current Report on Form 8-K filed on October 3, 2014.</w:t>
            </w:r>
          </w:p>
        </w:tc>
      </w:tr>
      <w:tr>
        <w:trPr>
          <w:trHeight w:val="160"/>
        </w:trPr>
        <w:tc>
          <w:tcPr>
            <w:tcW w:w="840" w:type="dxa"/>
            <w:vAlign w:val="bottom"/>
          </w:tcPr>
          <w:p>
            <w:pPr>
              <w:spacing w:after="0" w:line="160" w:lineRule="exact"/>
              <w:rPr>
                <w:sz w:val="20"/>
                <w:szCs w:val="20"/>
                <w:color w:val="auto"/>
              </w:rPr>
            </w:pPr>
            <w:r>
              <w:rPr>
                <w:rFonts w:ascii="Arial" w:cs="Arial" w:eastAsia="Arial" w:hAnsi="Arial"/>
                <w:sz w:val="14"/>
                <w:szCs w:val="14"/>
                <w:color w:val="auto"/>
              </w:rPr>
              <w:t>10.44</w:t>
            </w:r>
          </w:p>
        </w:tc>
        <w:tc>
          <w:tcPr>
            <w:tcW w:w="10620" w:type="dxa"/>
            <w:vAlign w:val="bottom"/>
          </w:tcPr>
          <w:p>
            <w:pPr>
              <w:ind w:left="180"/>
              <w:spacing w:after="0" w:line="160" w:lineRule="exact"/>
              <w:rPr>
                <w:sz w:val="20"/>
                <w:szCs w:val="20"/>
                <w:color w:val="auto"/>
              </w:rPr>
            </w:pPr>
            <w:r>
              <w:rPr>
                <w:rFonts w:ascii="Arial" w:cs="Arial" w:eastAsia="Arial" w:hAnsi="Arial"/>
                <w:sz w:val="14"/>
                <w:szCs w:val="14"/>
                <w:color w:val="auto"/>
                <w:w w:val="99"/>
              </w:rPr>
              <w:t>Agreement, by and between VistaGen Therapeutics, Inc. and Platinum Long Term Growth VII, LLC, dated May 5, 2015, incorporated by reference from Exhibit 10.1 to the</w:t>
            </w:r>
          </w:p>
        </w:tc>
      </w:tr>
      <w:tr>
        <w:trPr>
          <w:trHeight w:val="181"/>
        </w:trPr>
        <w:tc>
          <w:tcPr>
            <w:tcW w:w="840" w:type="dxa"/>
            <w:vAlign w:val="bottom"/>
          </w:tcPr>
          <w:p>
            <w:pPr>
              <w:spacing w:after="0"/>
              <w:rPr>
                <w:sz w:val="15"/>
                <w:szCs w:val="15"/>
                <w:color w:val="auto"/>
              </w:rPr>
            </w:pPr>
          </w:p>
        </w:tc>
        <w:tc>
          <w:tcPr>
            <w:tcW w:w="10620" w:type="dxa"/>
            <w:vAlign w:val="bottom"/>
          </w:tcPr>
          <w:p>
            <w:pPr>
              <w:ind w:left="180"/>
              <w:spacing w:after="0"/>
              <w:rPr>
                <w:sz w:val="20"/>
                <w:szCs w:val="20"/>
                <w:color w:val="auto"/>
              </w:rPr>
            </w:pPr>
            <w:r>
              <w:rPr>
                <w:rFonts w:ascii="Arial" w:cs="Arial" w:eastAsia="Arial" w:hAnsi="Arial"/>
                <w:sz w:val="14"/>
                <w:szCs w:val="14"/>
                <w:color w:val="auto"/>
              </w:rPr>
              <w:t>Company’s Current Report on Form 8-K filed on May 13, 2015.</w:t>
            </w:r>
          </w:p>
        </w:tc>
      </w:tr>
      <w:tr>
        <w:trPr>
          <w:trHeight w:val="160"/>
        </w:trPr>
        <w:tc>
          <w:tcPr>
            <w:tcW w:w="8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10.45</w:t>
            </w:r>
          </w:p>
        </w:tc>
        <w:tc>
          <w:tcPr>
            <w:tcW w:w="1062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w w:val="95"/>
              </w:rPr>
              <w:t>Acknowledgement and Agreement, by and between VistaGen Therapeutics, Inc. and Platinum Long Term Growth VII, LLC, dated May 12, 2015, incorporated by reference from</w:t>
            </w:r>
          </w:p>
        </w:tc>
      </w:tr>
      <w:tr>
        <w:trPr>
          <w:trHeight w:val="181"/>
        </w:trPr>
        <w:tc>
          <w:tcPr>
            <w:tcW w:w="840" w:type="dxa"/>
            <w:vAlign w:val="bottom"/>
            <w:shd w:val="clear" w:color="auto" w:fill="CCEEFF"/>
          </w:tcPr>
          <w:p>
            <w:pPr>
              <w:spacing w:after="0"/>
              <w:rPr>
                <w:sz w:val="15"/>
                <w:szCs w:val="15"/>
                <w:color w:val="auto"/>
              </w:rPr>
            </w:pP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Exhibit 10.2 to the Company’s Current Report on Form 8-K filed on May 13, 2015.</w:t>
            </w:r>
          </w:p>
        </w:tc>
      </w:tr>
      <w:tr>
        <w:trPr>
          <w:trHeight w:val="160"/>
        </w:trPr>
        <w:tc>
          <w:tcPr>
            <w:tcW w:w="840" w:type="dxa"/>
            <w:vAlign w:val="bottom"/>
          </w:tcPr>
          <w:p>
            <w:pPr>
              <w:spacing w:after="0" w:line="160" w:lineRule="exact"/>
              <w:rPr>
                <w:sz w:val="20"/>
                <w:szCs w:val="20"/>
                <w:color w:val="auto"/>
              </w:rPr>
            </w:pPr>
            <w:r>
              <w:rPr>
                <w:rFonts w:ascii="Arial" w:cs="Arial" w:eastAsia="Arial" w:hAnsi="Arial"/>
                <w:sz w:val="14"/>
                <w:szCs w:val="14"/>
                <w:color w:val="auto"/>
              </w:rPr>
              <w:t>10.46</w:t>
            </w:r>
          </w:p>
        </w:tc>
        <w:tc>
          <w:tcPr>
            <w:tcW w:w="10620" w:type="dxa"/>
            <w:vAlign w:val="bottom"/>
          </w:tcPr>
          <w:p>
            <w:pPr>
              <w:ind w:left="180"/>
              <w:spacing w:after="0" w:line="160" w:lineRule="exact"/>
              <w:rPr>
                <w:sz w:val="20"/>
                <w:szCs w:val="20"/>
                <w:color w:val="auto"/>
              </w:rPr>
            </w:pPr>
            <w:r>
              <w:rPr>
                <w:rFonts w:ascii="Arial" w:cs="Arial" w:eastAsia="Arial" w:hAnsi="Arial"/>
                <w:sz w:val="14"/>
                <w:szCs w:val="14"/>
                <w:color w:val="auto"/>
                <w:w w:val="93"/>
              </w:rPr>
              <w:t>Form of Securities Purchase Agreement by and between VistaGen Therapeutics, Inc. and Platinum Long Term Growth VII, LLC, dated May 12, 2015, incorporated by reference from</w:t>
            </w:r>
          </w:p>
        </w:tc>
      </w:tr>
      <w:tr>
        <w:trPr>
          <w:trHeight w:val="181"/>
        </w:trPr>
        <w:tc>
          <w:tcPr>
            <w:tcW w:w="840" w:type="dxa"/>
            <w:vAlign w:val="bottom"/>
          </w:tcPr>
          <w:p>
            <w:pPr>
              <w:spacing w:after="0"/>
              <w:rPr>
                <w:sz w:val="15"/>
                <w:szCs w:val="15"/>
                <w:color w:val="auto"/>
              </w:rPr>
            </w:pPr>
          </w:p>
        </w:tc>
        <w:tc>
          <w:tcPr>
            <w:tcW w:w="10620" w:type="dxa"/>
            <w:vAlign w:val="bottom"/>
          </w:tcPr>
          <w:p>
            <w:pPr>
              <w:ind w:left="180"/>
              <w:spacing w:after="0"/>
              <w:rPr>
                <w:sz w:val="20"/>
                <w:szCs w:val="20"/>
                <w:color w:val="auto"/>
              </w:rPr>
            </w:pPr>
            <w:r>
              <w:rPr>
                <w:rFonts w:ascii="Arial" w:cs="Arial" w:eastAsia="Arial" w:hAnsi="Arial"/>
                <w:sz w:val="14"/>
                <w:szCs w:val="14"/>
                <w:color w:val="auto"/>
              </w:rPr>
              <w:t>Exhibit 10.3 to the Company’s Current Report on Form 8-K filed on May 13, 2015.</w:t>
            </w:r>
          </w:p>
        </w:tc>
      </w:tr>
      <w:tr>
        <w:trPr>
          <w:trHeight w:val="17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10.47</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Form of Warrant Exchange Agreement, incorporated by reference from Exhibit 10.2 to the Company’s Quarterly Report on Form 10-Q filed February 16, 2016.</w:t>
            </w:r>
          </w:p>
        </w:tc>
      </w:tr>
      <w:tr>
        <w:trPr>
          <w:trHeight w:val="160"/>
        </w:trPr>
        <w:tc>
          <w:tcPr>
            <w:tcW w:w="840" w:type="dxa"/>
            <w:vAlign w:val="bottom"/>
          </w:tcPr>
          <w:p>
            <w:pPr>
              <w:spacing w:after="0" w:line="160" w:lineRule="exact"/>
              <w:rPr>
                <w:sz w:val="20"/>
                <w:szCs w:val="20"/>
                <w:color w:val="auto"/>
              </w:rPr>
            </w:pPr>
            <w:r>
              <w:rPr>
                <w:rFonts w:ascii="Arial" w:cs="Arial" w:eastAsia="Arial" w:hAnsi="Arial"/>
                <w:sz w:val="14"/>
                <w:szCs w:val="14"/>
                <w:color w:val="auto"/>
              </w:rPr>
              <w:t>10.48</w:t>
            </w:r>
          </w:p>
        </w:tc>
        <w:tc>
          <w:tcPr>
            <w:tcW w:w="10620" w:type="dxa"/>
            <w:vAlign w:val="bottom"/>
          </w:tcPr>
          <w:p>
            <w:pPr>
              <w:ind w:left="180"/>
              <w:spacing w:after="0" w:line="160" w:lineRule="exact"/>
              <w:rPr>
                <w:sz w:val="20"/>
                <w:szCs w:val="20"/>
                <w:color w:val="auto"/>
              </w:rPr>
            </w:pPr>
            <w:r>
              <w:rPr>
                <w:rFonts w:ascii="Arial" w:cs="Arial" w:eastAsia="Arial" w:hAnsi="Arial"/>
                <w:sz w:val="14"/>
                <w:szCs w:val="14"/>
                <w:color w:val="auto"/>
                <w:w w:val="93"/>
              </w:rPr>
              <w:t>Exchange Agreement, by and between VistaGen Therapeutics, Inc. and Platinum Long Term Growth VII, LLC and Montsant Partners, LLC, dated January 25, 2016, incorporated by</w:t>
            </w:r>
          </w:p>
        </w:tc>
      </w:tr>
      <w:tr>
        <w:trPr>
          <w:trHeight w:val="181"/>
        </w:trPr>
        <w:tc>
          <w:tcPr>
            <w:tcW w:w="840" w:type="dxa"/>
            <w:vAlign w:val="bottom"/>
          </w:tcPr>
          <w:p>
            <w:pPr>
              <w:spacing w:after="0"/>
              <w:rPr>
                <w:sz w:val="15"/>
                <w:szCs w:val="15"/>
                <w:color w:val="auto"/>
              </w:rPr>
            </w:pPr>
          </w:p>
        </w:tc>
        <w:tc>
          <w:tcPr>
            <w:tcW w:w="10620" w:type="dxa"/>
            <w:vAlign w:val="bottom"/>
          </w:tcPr>
          <w:p>
            <w:pPr>
              <w:ind w:left="180"/>
              <w:spacing w:after="0"/>
              <w:rPr>
                <w:sz w:val="20"/>
                <w:szCs w:val="20"/>
                <w:color w:val="auto"/>
              </w:rPr>
            </w:pPr>
            <w:r>
              <w:rPr>
                <w:rFonts w:ascii="Arial" w:cs="Arial" w:eastAsia="Arial" w:hAnsi="Arial"/>
                <w:sz w:val="14"/>
                <w:szCs w:val="14"/>
                <w:color w:val="auto"/>
              </w:rPr>
              <w:t>reference from Exhibit 10.1 to the Company’s Current Report on Form 8-K filed on January 29, 2016.</w:t>
            </w:r>
          </w:p>
        </w:tc>
      </w:tr>
      <w:tr>
        <w:trPr>
          <w:trHeight w:val="17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21.1*</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List of Subsidiaries.</w:t>
            </w:r>
          </w:p>
        </w:tc>
      </w:tr>
      <w:tr>
        <w:trPr>
          <w:trHeight w:val="170"/>
        </w:trPr>
        <w:tc>
          <w:tcPr>
            <w:tcW w:w="840" w:type="dxa"/>
            <w:vAlign w:val="bottom"/>
          </w:tcPr>
          <w:p>
            <w:pPr>
              <w:spacing w:after="0"/>
              <w:rPr>
                <w:sz w:val="20"/>
                <w:szCs w:val="20"/>
                <w:color w:val="auto"/>
              </w:rPr>
            </w:pPr>
            <w:r>
              <w:rPr>
                <w:rFonts w:ascii="Arial" w:cs="Arial" w:eastAsia="Arial" w:hAnsi="Arial"/>
                <w:sz w:val="14"/>
                <w:szCs w:val="14"/>
                <w:color w:val="auto"/>
              </w:rPr>
              <w:t>23.1</w:t>
            </w:r>
          </w:p>
        </w:tc>
        <w:tc>
          <w:tcPr>
            <w:tcW w:w="10620" w:type="dxa"/>
            <w:vAlign w:val="bottom"/>
          </w:tcPr>
          <w:p>
            <w:pPr>
              <w:ind w:left="180"/>
              <w:spacing w:after="0"/>
              <w:rPr>
                <w:sz w:val="20"/>
                <w:szCs w:val="20"/>
                <w:color w:val="auto"/>
              </w:rPr>
            </w:pPr>
            <w:r>
              <w:rPr>
                <w:rFonts w:ascii="Arial" w:cs="Arial" w:eastAsia="Arial" w:hAnsi="Arial"/>
                <w:sz w:val="14"/>
                <w:szCs w:val="14"/>
                <w:color w:val="auto"/>
              </w:rPr>
              <w:t>Consent of Disclosure Law Group (included in Exhibit 5.1).</w:t>
            </w: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23.2</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Consent of OUM &amp; Co., LLP, independent registered public accounting firm (filed herewith).</w:t>
            </w:r>
          </w:p>
        </w:tc>
      </w:tr>
      <w:tr>
        <w:trPr>
          <w:trHeight w:val="170"/>
        </w:trPr>
        <w:tc>
          <w:tcPr>
            <w:tcW w:w="840" w:type="dxa"/>
            <w:vAlign w:val="bottom"/>
          </w:tcPr>
          <w:p>
            <w:pPr>
              <w:spacing w:after="0"/>
              <w:rPr>
                <w:sz w:val="20"/>
                <w:szCs w:val="20"/>
                <w:color w:val="auto"/>
              </w:rPr>
            </w:pPr>
            <w:r>
              <w:rPr>
                <w:rFonts w:ascii="Arial" w:cs="Arial" w:eastAsia="Arial" w:hAnsi="Arial"/>
                <w:sz w:val="14"/>
                <w:szCs w:val="14"/>
                <w:color w:val="auto"/>
              </w:rPr>
              <w:t>24.1</w:t>
            </w:r>
          </w:p>
        </w:tc>
        <w:tc>
          <w:tcPr>
            <w:tcW w:w="10620" w:type="dxa"/>
            <w:vAlign w:val="bottom"/>
          </w:tcPr>
          <w:p>
            <w:pPr>
              <w:ind w:left="180"/>
              <w:spacing w:after="0"/>
              <w:rPr>
                <w:sz w:val="20"/>
                <w:szCs w:val="20"/>
                <w:color w:val="auto"/>
              </w:rPr>
            </w:pPr>
            <w:r>
              <w:rPr>
                <w:rFonts w:ascii="Arial" w:cs="Arial" w:eastAsia="Arial" w:hAnsi="Arial"/>
                <w:sz w:val="14"/>
                <w:szCs w:val="14"/>
                <w:color w:val="auto"/>
              </w:rPr>
              <w:t>Power of Attorney, dated March 14, 2016 (included on the signature page of the Registration Statement filed on March 14, 2016).</w:t>
            </w: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24.2</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Power of Attorney, dated April 14, 2016 (included on the signature page of the Registration Statement filed on April 14, 2016).</w:t>
            </w:r>
          </w:p>
        </w:tc>
      </w:tr>
      <w:tr>
        <w:trPr>
          <w:trHeight w:val="170"/>
        </w:trPr>
        <w:tc>
          <w:tcPr>
            <w:tcW w:w="840" w:type="dxa"/>
            <w:vAlign w:val="bottom"/>
          </w:tcPr>
          <w:p>
            <w:pPr>
              <w:spacing w:after="0"/>
              <w:rPr>
                <w:sz w:val="14"/>
                <w:szCs w:val="14"/>
                <w:color w:val="auto"/>
              </w:rPr>
            </w:pPr>
          </w:p>
        </w:tc>
        <w:tc>
          <w:tcPr>
            <w:tcW w:w="10620" w:type="dxa"/>
            <w:vAlign w:val="bottom"/>
          </w:tcPr>
          <w:p>
            <w:pPr>
              <w:spacing w:after="0"/>
              <w:rPr>
                <w:sz w:val="14"/>
                <w:szCs w:val="14"/>
                <w:color w:val="auto"/>
              </w:rPr>
            </w:pP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101.INS**</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XBRL Instance Document</w:t>
            </w:r>
          </w:p>
        </w:tc>
      </w:tr>
      <w:tr>
        <w:trPr>
          <w:trHeight w:val="170"/>
        </w:trPr>
        <w:tc>
          <w:tcPr>
            <w:tcW w:w="840" w:type="dxa"/>
            <w:vAlign w:val="bottom"/>
          </w:tcPr>
          <w:p>
            <w:pPr>
              <w:spacing w:after="0"/>
              <w:rPr>
                <w:sz w:val="20"/>
                <w:szCs w:val="20"/>
                <w:color w:val="auto"/>
              </w:rPr>
            </w:pPr>
            <w:r>
              <w:rPr>
                <w:rFonts w:ascii="Arial" w:cs="Arial" w:eastAsia="Arial" w:hAnsi="Arial"/>
                <w:sz w:val="14"/>
                <w:szCs w:val="14"/>
                <w:color w:val="auto"/>
              </w:rPr>
              <w:t>101.SCH**</w:t>
            </w:r>
          </w:p>
        </w:tc>
        <w:tc>
          <w:tcPr>
            <w:tcW w:w="10620" w:type="dxa"/>
            <w:vAlign w:val="bottom"/>
          </w:tcPr>
          <w:p>
            <w:pPr>
              <w:ind w:left="180"/>
              <w:spacing w:after="0"/>
              <w:rPr>
                <w:sz w:val="20"/>
                <w:szCs w:val="20"/>
                <w:color w:val="auto"/>
              </w:rPr>
            </w:pPr>
            <w:r>
              <w:rPr>
                <w:rFonts w:ascii="Arial" w:cs="Arial" w:eastAsia="Arial" w:hAnsi="Arial"/>
                <w:sz w:val="14"/>
                <w:szCs w:val="14"/>
                <w:color w:val="auto"/>
              </w:rPr>
              <w:t>XBRL Taxonomy Extension Schema</w:t>
            </w: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101.CAL**</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XBRL Taxonomy Extension Calculation Linkbase</w:t>
            </w:r>
          </w:p>
        </w:tc>
      </w:tr>
      <w:tr>
        <w:trPr>
          <w:trHeight w:val="170"/>
        </w:trPr>
        <w:tc>
          <w:tcPr>
            <w:tcW w:w="840" w:type="dxa"/>
            <w:vAlign w:val="bottom"/>
          </w:tcPr>
          <w:p>
            <w:pPr>
              <w:spacing w:after="0"/>
              <w:rPr>
                <w:sz w:val="20"/>
                <w:szCs w:val="20"/>
                <w:color w:val="auto"/>
              </w:rPr>
            </w:pPr>
            <w:r>
              <w:rPr>
                <w:rFonts w:ascii="Arial" w:cs="Arial" w:eastAsia="Arial" w:hAnsi="Arial"/>
                <w:sz w:val="14"/>
                <w:szCs w:val="14"/>
                <w:color w:val="auto"/>
              </w:rPr>
              <w:t>101.DEF**</w:t>
            </w:r>
          </w:p>
        </w:tc>
        <w:tc>
          <w:tcPr>
            <w:tcW w:w="10620" w:type="dxa"/>
            <w:vAlign w:val="bottom"/>
          </w:tcPr>
          <w:p>
            <w:pPr>
              <w:ind w:left="180"/>
              <w:spacing w:after="0"/>
              <w:rPr>
                <w:sz w:val="20"/>
                <w:szCs w:val="20"/>
                <w:color w:val="auto"/>
              </w:rPr>
            </w:pPr>
            <w:r>
              <w:rPr>
                <w:rFonts w:ascii="Arial" w:cs="Arial" w:eastAsia="Arial" w:hAnsi="Arial"/>
                <w:sz w:val="14"/>
                <w:szCs w:val="14"/>
                <w:color w:val="auto"/>
              </w:rPr>
              <w:t>XBRL Taxonomy Extension Definition Linkbase</w:t>
            </w:r>
          </w:p>
        </w:tc>
      </w:tr>
      <w:tr>
        <w:trPr>
          <w:trHeight w:val="170"/>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101.LAB**</w:t>
            </w:r>
          </w:p>
        </w:tc>
        <w:tc>
          <w:tcPr>
            <w:tcW w:w="10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XBRL Taxonomy Extension Label Linkbase</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101.PRE**</w:t>
            </w:r>
          </w:p>
        </w:tc>
        <w:tc>
          <w:tcPr>
            <w:tcW w:w="10620" w:type="dxa"/>
            <w:vAlign w:val="bottom"/>
          </w:tcPr>
          <w:p>
            <w:pPr>
              <w:ind w:left="180"/>
              <w:spacing w:after="0"/>
              <w:rPr>
                <w:sz w:val="20"/>
                <w:szCs w:val="20"/>
                <w:color w:val="auto"/>
              </w:rPr>
            </w:pPr>
            <w:r>
              <w:rPr>
                <w:rFonts w:ascii="Arial" w:cs="Arial" w:eastAsia="Arial" w:hAnsi="Arial"/>
                <w:sz w:val="14"/>
                <w:szCs w:val="14"/>
                <w:color w:val="auto"/>
              </w:rPr>
              <w:t>XBRL Taxonomy Extension Presentation Linkbase</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 Incorporated by reference from our Current Report on Form 8-K on May 16, 2011.</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Previously filed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59055</wp:posOffset>
            </wp:positionV>
            <wp:extent cx="7281545" cy="196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30" w:name="page231"/>
    <w:bookmarkEnd w:id="230"/>
    <w:p>
      <w:pPr>
        <w:ind w:left="10660"/>
        <w:spacing w:after="0"/>
        <w:rPr>
          <w:sz w:val="20"/>
          <w:szCs w:val="20"/>
          <w:color w:val="auto"/>
        </w:rPr>
      </w:pPr>
      <w:r>
        <w:rPr>
          <w:rFonts w:ascii="Arial" w:cs="Arial" w:eastAsia="Arial" w:hAnsi="Arial"/>
          <w:sz w:val="15"/>
          <w:szCs w:val="15"/>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26035</wp:posOffset>
            </wp:positionV>
            <wp:extent cx="2833370" cy="16497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33370" cy="164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May 9, 2016</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VistaGen Therapeutics, Inc.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South San Francisco, CA 94080</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Re: Registration Statement on Form S-1</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80" w:lineRule="exact"/>
        <w:rPr>
          <w:sz w:val="20"/>
          <w:szCs w:val="20"/>
          <w:color w:val="auto"/>
        </w:rPr>
      </w:pPr>
    </w:p>
    <w:p>
      <w:pPr>
        <w:jc w:val="both"/>
        <w:ind w:firstLine="625"/>
        <w:spacing w:after="0" w:line="283" w:lineRule="auto"/>
        <w:rPr>
          <w:sz w:val="20"/>
          <w:szCs w:val="20"/>
          <w:color w:val="auto"/>
        </w:rPr>
      </w:pPr>
      <w:r>
        <w:rPr>
          <w:rFonts w:ascii="Arial" w:cs="Arial" w:eastAsia="Arial" w:hAnsi="Arial"/>
          <w:sz w:val="13"/>
          <w:szCs w:val="13"/>
          <w:color w:val="auto"/>
        </w:rPr>
        <w:t>We are acting as counsel for VistaGen Therapeutics, Inc., a Nevada corporation (the “</w:t>
      </w:r>
      <w:r>
        <w:rPr>
          <w:rFonts w:ascii="Arial" w:cs="Arial" w:eastAsia="Arial" w:hAnsi="Arial"/>
          <w:sz w:val="13"/>
          <w:szCs w:val="13"/>
          <w:i w:val="1"/>
          <w:iCs w:val="1"/>
          <w:color w:val="auto"/>
        </w:rPr>
        <w:t>Company</w:t>
      </w:r>
      <w:r>
        <w:rPr>
          <w:rFonts w:ascii="Arial" w:cs="Arial" w:eastAsia="Arial" w:hAnsi="Arial"/>
          <w:sz w:val="13"/>
          <w:szCs w:val="13"/>
          <w:color w:val="auto"/>
        </w:rPr>
        <w:t>”), in connection with the filing of a Registration Statement on Form S-1, Registration No. 333-210152 (such Registration Statement, as amended from time to time, is herein referred to as the “</w:t>
      </w:r>
      <w:r>
        <w:rPr>
          <w:rFonts w:ascii="Arial" w:cs="Arial" w:eastAsia="Arial" w:hAnsi="Arial"/>
          <w:sz w:val="13"/>
          <w:szCs w:val="13"/>
          <w:i w:val="1"/>
          <w:iCs w:val="1"/>
          <w:color w:val="auto"/>
        </w:rPr>
        <w:t>Registration Statement</w:t>
      </w:r>
      <w:r>
        <w:rPr>
          <w:rFonts w:ascii="Arial" w:cs="Arial" w:eastAsia="Arial" w:hAnsi="Arial"/>
          <w:sz w:val="13"/>
          <w:szCs w:val="13"/>
          <w:color w:val="auto"/>
        </w:rPr>
        <w:t>”) filed by the Company with the Securities and Exchange Commission (the “</w:t>
      </w:r>
      <w:r>
        <w:rPr>
          <w:rFonts w:ascii="Arial" w:cs="Arial" w:eastAsia="Arial" w:hAnsi="Arial"/>
          <w:sz w:val="13"/>
          <w:szCs w:val="13"/>
          <w:i w:val="1"/>
          <w:iCs w:val="1"/>
          <w:color w:val="auto"/>
        </w:rPr>
        <w:t>Commission</w:t>
      </w:r>
      <w:r>
        <w:rPr>
          <w:rFonts w:ascii="Arial" w:cs="Arial" w:eastAsia="Arial" w:hAnsi="Arial"/>
          <w:sz w:val="13"/>
          <w:szCs w:val="13"/>
          <w:color w:val="auto"/>
        </w:rPr>
        <w:t>”) under the Securities Act of 1933, as amended (the “</w:t>
      </w:r>
      <w:r>
        <w:rPr>
          <w:rFonts w:ascii="Arial" w:cs="Arial" w:eastAsia="Arial" w:hAnsi="Arial"/>
          <w:sz w:val="13"/>
          <w:szCs w:val="13"/>
          <w:i w:val="1"/>
          <w:iCs w:val="1"/>
          <w:color w:val="auto"/>
        </w:rPr>
        <w:t>Act</w:t>
      </w:r>
      <w:r>
        <w:rPr>
          <w:rFonts w:ascii="Arial" w:cs="Arial" w:eastAsia="Arial" w:hAnsi="Arial"/>
          <w:sz w:val="13"/>
          <w:szCs w:val="13"/>
          <w:color w:val="auto"/>
        </w:rPr>
        <w:t>”). The Registration Statement covers the proposed public offering of an aggregate of up to $31,188,000 of (i) shares of the Company’s common stock (“</w:t>
      </w:r>
      <w:r>
        <w:rPr>
          <w:rFonts w:ascii="Arial" w:cs="Arial" w:eastAsia="Arial" w:hAnsi="Arial"/>
          <w:sz w:val="13"/>
          <w:szCs w:val="13"/>
          <w:i w:val="1"/>
          <w:iCs w:val="1"/>
          <w:color w:val="auto"/>
        </w:rPr>
        <w:t>Common Stock</w:t>
      </w:r>
      <w:r>
        <w:rPr>
          <w:rFonts w:ascii="Arial" w:cs="Arial" w:eastAsia="Arial" w:hAnsi="Arial"/>
          <w:sz w:val="13"/>
          <w:szCs w:val="13"/>
          <w:color w:val="auto"/>
        </w:rPr>
        <w:t>”), par value $0.001 per share (the “</w:t>
      </w:r>
      <w:r>
        <w:rPr>
          <w:rFonts w:ascii="Arial" w:cs="Arial" w:eastAsia="Arial" w:hAnsi="Arial"/>
          <w:sz w:val="13"/>
          <w:szCs w:val="13"/>
          <w:i w:val="1"/>
          <w:iCs w:val="1"/>
          <w:color w:val="auto"/>
        </w:rPr>
        <w:t>Shares</w:t>
      </w:r>
      <w:r>
        <w:rPr>
          <w:rFonts w:ascii="Arial" w:cs="Arial" w:eastAsia="Arial" w:hAnsi="Arial"/>
          <w:sz w:val="13"/>
          <w:szCs w:val="13"/>
          <w:color w:val="auto"/>
        </w:rPr>
        <w:t>”), (ii) warrants (“</w:t>
      </w:r>
      <w:r>
        <w:rPr>
          <w:rFonts w:ascii="Arial" w:cs="Arial" w:eastAsia="Arial" w:hAnsi="Arial"/>
          <w:sz w:val="13"/>
          <w:szCs w:val="13"/>
          <w:i w:val="1"/>
          <w:iCs w:val="1"/>
          <w:color w:val="auto"/>
        </w:rPr>
        <w:t>Warrants</w:t>
      </w:r>
      <w:r>
        <w:rPr>
          <w:rFonts w:ascii="Arial" w:cs="Arial" w:eastAsia="Arial" w:hAnsi="Arial"/>
          <w:sz w:val="13"/>
          <w:szCs w:val="13"/>
          <w:color w:val="auto"/>
        </w:rPr>
        <w:t>”) to each purchase one share of the Company’s Common Stock (“</w:t>
      </w:r>
      <w:r>
        <w:rPr>
          <w:rFonts w:ascii="Arial" w:cs="Arial" w:eastAsia="Arial" w:hAnsi="Arial"/>
          <w:sz w:val="13"/>
          <w:szCs w:val="13"/>
          <w:i w:val="1"/>
          <w:iCs w:val="1"/>
          <w:color w:val="auto"/>
        </w:rPr>
        <w:t>Warrant Shares</w:t>
      </w:r>
      <w:r>
        <w:rPr>
          <w:rFonts w:ascii="Arial" w:cs="Arial" w:eastAsia="Arial" w:hAnsi="Arial"/>
          <w:sz w:val="13"/>
          <w:szCs w:val="13"/>
          <w:color w:val="auto"/>
        </w:rPr>
        <w:t>”); and (iii) shares of Common Stock and warrants to purchase one share of Common Stock issuable upon exercise of the underwriter’s over-allotment option (the “</w:t>
      </w:r>
      <w:r>
        <w:rPr>
          <w:rFonts w:ascii="Arial" w:cs="Arial" w:eastAsia="Arial" w:hAnsi="Arial"/>
          <w:sz w:val="13"/>
          <w:szCs w:val="13"/>
          <w:i w:val="1"/>
          <w:iCs w:val="1"/>
          <w:color w:val="auto"/>
        </w:rPr>
        <w:t>Over-Allotment Securities</w:t>
      </w:r>
      <w:r>
        <w:rPr>
          <w:rFonts w:ascii="Arial" w:cs="Arial" w:eastAsia="Arial" w:hAnsi="Arial"/>
          <w:sz w:val="13"/>
          <w:szCs w:val="13"/>
          <w:color w:val="auto"/>
        </w:rPr>
        <w:t>”). The Shares, Warrants, Warrant Shares and Over-Allotment Securities are collectively referred to herein as the “</w:t>
      </w:r>
      <w:r>
        <w:rPr>
          <w:rFonts w:ascii="Arial" w:cs="Arial" w:eastAsia="Arial" w:hAnsi="Arial"/>
          <w:sz w:val="13"/>
          <w:szCs w:val="13"/>
          <w:i w:val="1"/>
          <w:iCs w:val="1"/>
          <w:color w:val="auto"/>
        </w:rPr>
        <w:t>Securities</w:t>
      </w:r>
      <w:r>
        <w:rPr>
          <w:rFonts w:ascii="Arial" w:cs="Arial" w:eastAsia="Arial" w:hAnsi="Arial"/>
          <w:sz w:val="13"/>
          <w:szCs w:val="13"/>
          <w:color w:val="auto"/>
        </w:rPr>
        <w:t>.”</w:t>
      </w:r>
    </w:p>
    <w:p>
      <w:pPr>
        <w:spacing w:after="0" w:line="156" w:lineRule="exact"/>
        <w:rPr>
          <w:sz w:val="20"/>
          <w:szCs w:val="20"/>
          <w:color w:val="auto"/>
        </w:rPr>
      </w:pPr>
    </w:p>
    <w:p>
      <w:pPr>
        <w:jc w:val="both"/>
        <w:ind w:firstLine="625"/>
        <w:spacing w:after="0" w:line="283" w:lineRule="auto"/>
        <w:rPr>
          <w:sz w:val="20"/>
          <w:szCs w:val="20"/>
          <w:color w:val="auto"/>
        </w:rPr>
      </w:pPr>
      <w:r>
        <w:rPr>
          <w:rFonts w:ascii="Arial" w:cs="Arial" w:eastAsia="Arial" w:hAnsi="Arial"/>
          <w:sz w:val="14"/>
          <w:szCs w:val="14"/>
          <w:color w:val="auto"/>
        </w:rPr>
        <w:t>As the basis for the opinion hereinafter expressed, we have examined such statutes, Company corporate records and documents, certificates of Company and public officials, and other instruments and documents as we deemed relevant or necessary for the purposes of the opinion set forth below.</w:t>
      </w:r>
    </w:p>
    <w:p>
      <w:pPr>
        <w:spacing w:after="0" w:line="131" w:lineRule="exact"/>
        <w:rPr>
          <w:sz w:val="20"/>
          <w:szCs w:val="20"/>
          <w:color w:val="auto"/>
        </w:rPr>
      </w:pPr>
    </w:p>
    <w:p>
      <w:pPr>
        <w:jc w:val="both"/>
        <w:ind w:firstLine="625"/>
        <w:spacing w:after="0" w:line="290" w:lineRule="auto"/>
        <w:rPr>
          <w:sz w:val="20"/>
          <w:szCs w:val="20"/>
          <w:color w:val="auto"/>
        </w:rPr>
      </w:pPr>
      <w:r>
        <w:rPr>
          <w:rFonts w:ascii="Arial" w:cs="Arial" w:eastAsia="Arial" w:hAnsi="Arial"/>
          <w:sz w:val="13"/>
          <w:szCs w:val="13"/>
          <w:color w:val="auto"/>
        </w:rPr>
        <w:t>In making our examination, we have assumed the legal capacity of all natural persons, that all signatures on documents examined by us are genuine, the authenticity of all documents submitted to us as originals and the conformity with the original documents of all documents submitted to us as certified, conformed or photostatic copies. We have also assumed the accuracy and completeness of all information provided to us by the Company during the course of our investigations, on which we have relied in issuing the opinion expressed below. We have relied upon a certificate and other assurances of officers of the Company and others as to factual matters without having independently verified such factual matters.</w:t>
      </w:r>
    </w:p>
    <w:p>
      <w:pPr>
        <w:spacing w:after="0" w:line="129" w:lineRule="exact"/>
        <w:rPr>
          <w:sz w:val="20"/>
          <w:szCs w:val="20"/>
          <w:color w:val="auto"/>
        </w:rPr>
      </w:pPr>
    </w:p>
    <w:p>
      <w:pPr>
        <w:jc w:val="both"/>
        <w:ind w:firstLine="625"/>
        <w:spacing w:after="0" w:line="259" w:lineRule="auto"/>
        <w:rPr>
          <w:sz w:val="20"/>
          <w:szCs w:val="20"/>
          <w:color w:val="auto"/>
        </w:rPr>
      </w:pPr>
      <w:r>
        <w:rPr>
          <w:rFonts w:ascii="Arial" w:cs="Arial" w:eastAsia="Arial" w:hAnsi="Arial"/>
          <w:sz w:val="14"/>
          <w:szCs w:val="14"/>
          <w:color w:val="auto"/>
        </w:rPr>
        <w:t>Based on the foregoing and on such legal considerations as we deem relevant, and subject to the qualifications, assumptions and limitations stated herein and in reliance on the statements of fact contained in the documents we have examined, we are of the opinion that (i) the Shares, Warrants and Over-Allotment Securities, when issued and sold in the manner contemplated by the Registration Statement, will be duly authorized, validly issued, fully paid and nonassessable, (ii) the Warrants, including the warrants that may be issued as Over-Allotment Securities, each constitute a valid, legally binding obligation of the Company, enforceable against the Company in accordance with its terms, and (iii) the Warrant Shares, including any shares of Common Stock issuable upon exercise of warrants issued as Over-Allotment Securities, when issued by the Company upon the exercise and in accordance with the terms thereof, will be duly authorized, validly issued, fully paid and nonassessable.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opinion rendered herein is limited to the Corporation Code of the State of Nevada and the federal laws of the United States.</w:t>
      </w:r>
    </w:p>
    <w:p>
      <w:pPr>
        <w:spacing w:after="0" w:line="201" w:lineRule="exact"/>
        <w:rPr>
          <w:sz w:val="20"/>
          <w:szCs w:val="20"/>
          <w:color w:val="auto"/>
        </w:rPr>
      </w:pPr>
    </w:p>
    <w:p>
      <w:pPr>
        <w:jc w:val="both"/>
        <w:ind w:firstLine="625"/>
        <w:spacing w:after="0" w:line="268" w:lineRule="auto"/>
        <w:rPr>
          <w:sz w:val="20"/>
          <w:szCs w:val="20"/>
          <w:color w:val="auto"/>
        </w:rPr>
      </w:pPr>
      <w:r>
        <w:rPr>
          <w:rFonts w:ascii="Arial" w:cs="Arial" w:eastAsia="Arial" w:hAnsi="Arial"/>
          <w:sz w:val="14"/>
          <w:szCs w:val="14"/>
          <w:color w:val="auto"/>
        </w:rPr>
        <w:t>We hereby consent to the reference to us under the caption “</w:t>
      </w:r>
      <w:r>
        <w:rPr>
          <w:rFonts w:ascii="Arial" w:cs="Arial" w:eastAsia="Arial" w:hAnsi="Arial"/>
          <w:sz w:val="14"/>
          <w:szCs w:val="14"/>
          <w:i w:val="1"/>
          <w:iCs w:val="1"/>
          <w:color w:val="auto"/>
        </w:rPr>
        <w:t>Legal Matters</w:t>
      </w:r>
      <w:r>
        <w:rPr>
          <w:rFonts w:ascii="Arial" w:cs="Arial" w:eastAsia="Arial" w:hAnsi="Arial"/>
          <w:sz w:val="14"/>
          <w:szCs w:val="14"/>
          <w:color w:val="auto"/>
        </w:rPr>
        <w:t>” in the prospectus forming a part of the Registration Statement and to the filing of this opinion letter as an exhibit to the Registration Statement, and any amendments thereto. In giving this consent, we do not admit that we are included in the category of persons whose consent is required under Section 7 of the Securities Act of 1933, as amended, or the rules and regulations of the Commission promulgated thereunder.</w:t>
      </w:r>
    </w:p>
    <w:p>
      <w:pPr>
        <w:spacing w:after="0" w:line="142" w:lineRule="exact"/>
        <w:rPr>
          <w:sz w:val="20"/>
          <w:szCs w:val="20"/>
          <w:color w:val="auto"/>
        </w:rPr>
      </w:pPr>
    </w:p>
    <w:p>
      <w:pPr>
        <w:jc w:val="both"/>
        <w:ind w:firstLine="625"/>
        <w:spacing w:after="0" w:line="268" w:lineRule="auto"/>
        <w:rPr>
          <w:sz w:val="20"/>
          <w:szCs w:val="20"/>
          <w:color w:val="auto"/>
        </w:rPr>
      </w:pPr>
      <w:r>
        <w:rPr>
          <w:rFonts w:ascii="Arial" w:cs="Arial" w:eastAsia="Arial" w:hAnsi="Arial"/>
          <w:sz w:val="14"/>
          <w:szCs w:val="14"/>
          <w:color w:val="auto"/>
        </w:rPr>
        <w:t>This opinion letter is given to you solely for use in connection with the offer and sale of the Securities while the Registration Statement is in effect and is not to be relied upon for any other purpose. Our opinion is expressly limited to the matters set forth above, and we render no opinion, whether by implication or otherwise, as to any other matters relating to the Company, the Securities or the Registration Statement.</w:t>
      </w:r>
    </w:p>
    <w:p>
      <w:pPr>
        <w:spacing w:after="0" w:line="35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Very truly yours,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Disclosure Law Group,</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 Professional Corporation</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Daniel W. Rumsey Esq.</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Daniel W. Rumsey,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128270</wp:posOffset>
            </wp:positionV>
            <wp:extent cx="4733290" cy="1219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733290" cy="12192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4"/>
          <w:szCs w:val="14"/>
          <w:b w:val="1"/>
          <w:bCs w:val="1"/>
          <w:color w:val="auto"/>
        </w:rPr>
        <w:t>Exhibit 23.2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hereby consent to the use, in the Prospectus constituting a part of this Amendment No. 3 to the Registration Statement on Form S-1 (No. 333-210152), of our report dated June 29, 2015 (which report expresses an unqualified opinion and includes an emphasis of matter paragraph concerning the ability of VistaGen Therapeutics, Inc. to continue as a going concern) relating to the consolidated financial statements of VistaGen Therapeutics, Inc., which is contained in that Prospectus.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also consent to the reference to us under the caption Experts in the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 OUM &amp; CO. LLP</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May 8, 2016</w:t>
      </w:r>
    </w:p>
    <w:sectPr>
      <w:pgSz w:w="11900" w:h="16838" w:orient="portrait"/>
      <w:cols w:equalWidth="0" w:num="1">
        <w:col w:w="11460"/>
      </w:cols>
      <w:pgMar w:left="22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decimal"/>
      <w:start w:val="1"/>
    </w:lvl>
  </w:abstractNum>
  <w:abstractNum w:abstractNumId="1">
    <w:nsid w:val="1BA026FA"/>
    <w:multiLevelType w:val="hybridMultilevel"/>
    <w:lvl w:ilvl="0">
      <w:lvlJc w:val="left"/>
      <w:lvlText w:val="(%1)"/>
      <w:numFmt w:val="decimal"/>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1)"/>
      <w:numFmt w:val="lowerRoman"/>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1)"/>
      <w:numFmt w:val="lowerRoman"/>
      <w:start w:val="2"/>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5"/>
    </w:lvl>
  </w:abstractNum>
  <w:abstractNum w:abstractNumId="55">
    <w:nsid w:val="A0382C5"/>
    <w:multiLevelType w:val="hybridMultilevel"/>
    <w:lvl w:ilvl="0">
      <w:lvlJc w:val="left"/>
      <w:lvlText w:val="(%1)"/>
      <w:numFmt w:val="decimal"/>
      <w:start w:val="9"/>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1)"/>
      <w:numFmt w:val="lowerRoman"/>
      <w:start w:val="3"/>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1)"/>
      <w:numFmt w:val="decimal"/>
      <w:start w:val="4"/>
    </w:lvl>
  </w:abstractNum>
  <w:abstractNum w:abstractNumId="63">
    <w:nsid w:val="14330624"/>
    <w:multiLevelType w:val="hybridMultilevel"/>
    <w:lvl w:ilvl="0">
      <w:lvlJc w:val="left"/>
      <w:lvlText w:val="(%1)"/>
      <w:numFmt w:val="decimal"/>
      <w:start w:val="7"/>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1)"/>
      <w:numFmt w:val="decimal"/>
      <w:start w:val="5"/>
    </w:lvl>
  </w:abstractNum>
  <w:abstractNum w:abstractNumId="67">
    <w:nsid w:val="100F59DC"/>
    <w:multiLevelType w:val="hybridMultilevel"/>
    <w:lvl w:ilvl="0">
      <w:lvlJc w:val="left"/>
      <w:lvlText w:val="(%1)"/>
      <w:numFmt w:val="decimal"/>
      <w:start w:val="9"/>
    </w:lvl>
  </w:abstractNum>
  <w:abstractNum w:abstractNumId="68">
    <w:nsid w:val="7FB7E0AA"/>
    <w:multiLevelType w:val="hybridMultilevel"/>
    <w:lvl w:ilvl="0">
      <w:lvlJc w:val="left"/>
      <w:lvlText w:val="(%1)"/>
      <w:numFmt w:val="decimal"/>
      <w:start w:val="13"/>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1)"/>
      <w:numFmt w:val="decimal"/>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1)"/>
      <w:numFmt w:val="lowerRoman"/>
      <w:start w:val="2"/>
    </w:lvl>
  </w:abstractNum>
  <w:abstractNum w:abstractNumId="84">
    <w:nsid w:val="57FC4FBB"/>
    <w:multiLevelType w:val="hybridMultilevel"/>
    <w:lvl w:ilvl="0">
      <w:lvlJc w:val="left"/>
      <w:lvlText w:val="(%1)"/>
      <w:numFmt w:val="lowerRoman"/>
      <w:start w:val="3"/>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1)"/>
      <w:numFmt w:val="lowerLetter"/>
      <w:start w:val="2"/>
    </w:lvl>
  </w:abstractNum>
  <w:abstractNum w:abstractNumId="88">
    <w:nsid w:val="26F324BA"/>
    <w:multiLevelType w:val="hybridMultilevel"/>
    <w:lvl w:ilvl="0">
      <w:lvlJc w:val="left"/>
      <w:lvlText w:val="(%1)"/>
      <w:numFmt w:val="lowerRoman"/>
      <w:start w:val="3"/>
    </w:lvl>
  </w:abstractNum>
  <w:abstractNum w:abstractNumId="89">
    <w:nsid w:val="7F01579B"/>
    <w:multiLevelType w:val="hybridMultilevel"/>
    <w:lvl w:ilvl="0">
      <w:lvlJc w:val="left"/>
      <w:lvlText w:val="(%1)"/>
      <w:numFmt w:val="decimal"/>
      <w:start w:val="1"/>
    </w:lvl>
  </w:abstractNum>
  <w:abstractNum w:abstractNumId="90">
    <w:nsid w:val="49DA307D"/>
    <w:multiLevelType w:val="hybridMultilevel"/>
    <w:lvl w:ilvl="0">
      <w:lvlJc w:val="left"/>
      <w:lvlText w:val="(%1)"/>
      <w:numFmt w:val="lowerRoman"/>
      <w:start w:val="1"/>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
      <w:numFmt w:val="bullet"/>
      <w:start w:val="1"/>
    </w:lvl>
    <w:lvl w:ilvl="1">
      <w:lvlJc w:val="left"/>
      <w:lvlText w:val="o"/>
      <w:numFmt w:val="bullet"/>
      <w:start w:val="1"/>
    </w:lvl>
  </w:abstractNum>
  <w:abstractNum w:abstractNumId="93">
    <w:nsid w:val="50801EE1"/>
    <w:multiLevelType w:val="hybridMultilevel"/>
    <w:lvl w:ilvl="0">
      <w:lvlJc w:val="left"/>
      <w:lvlText w:val="(%1)"/>
      <w:numFmt w:val="decimal"/>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lowerLetter"/>
      <w:start w:val="1"/>
    </w:lvl>
  </w:abstractNum>
  <w:abstractNum w:abstractNumId="97">
    <w:nsid w:val="7672BD2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8">
    <w:nsid w:val="6FC75AF8"/>
    <w:multiLevelType w:val="hybridMultilevel"/>
    <w:lvl w:ilvl="0">
      <w:lvlJc w:val="left"/>
      <w:lvlText w:val="(%1)"/>
      <w:numFmt w:val="lowerRoman"/>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2020-01-20T11:52:01Z</dcterms:created>
  <dcterms:modified xsi:type="dcterms:W3CDTF">2020-01-20T11:52:01Z</dcterms:modified>
</cp:coreProperties>
</file>