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October 27, 2025,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upon recommendation from the Corporate Governance and Nominating Committee of the Board, unanimously approved of the appointment of Mr. Paul R. Edick as a director to serve until the Company’s next annual meeting of stockholders or until his successor is duly elected and qualified or until his earlier death, resignation or removal. The Board also appointed Mr. Edick to serve as a member of the Audit and Compensation Committees of the Board.</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Mr. Edick will be entitled to receive compensation under the Company’s Director Compensation Plan. In accordance with this plan, upon Mr. Edick’s appointment to the Board, Mr. Edick received stock options issued under the Company’s Amended and Restated 2019 Omnibus Equity Incentive Plan, as amended (the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to purchase up to 35,200 shares of the Company’s common stock, par value $0.001 per share (“</w:t>
      </w:r>
      <w:r>
        <w:rPr>
          <w:rFonts w:ascii="Times New Roman" w:cs="Times New Roman" w:eastAsia="Times New Roman" w:hAnsi="Times New Roman"/>
          <w:sz w:val="18"/>
          <w:szCs w:val="18"/>
          <w:i w:val="1"/>
          <w:iCs w:val="1"/>
          <w:color w:val="auto"/>
        </w:rPr>
        <w:t>Common Stoc</w:t>
      </w:r>
      <w:r>
        <w:rPr>
          <w:rFonts w:ascii="Times New Roman" w:cs="Times New Roman" w:eastAsia="Times New Roman" w:hAnsi="Times New Roman"/>
          <w:sz w:val="18"/>
          <w:szCs w:val="18"/>
          <w:color w:val="auto"/>
        </w:rPr>
        <w:t>k”), at an exercise price of $3.90 per share, an amount equal to the closing price of the Company’s Common Stock on Mr. Edick’s appointment date (the “</w:t>
      </w:r>
      <w:r>
        <w:rPr>
          <w:rFonts w:ascii="Times New Roman" w:cs="Times New Roman" w:eastAsia="Times New Roman" w:hAnsi="Times New Roman"/>
          <w:sz w:val="18"/>
          <w:szCs w:val="18"/>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The Options have a term of ten years and will vest in equal annual installments over a three-year period beginning on the one-year anniversary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Date, such that the Options will become fully vested and exercisable on the three-year anniversary of the Effective Date. Mr. Edick is also entitled to annual cash compensation and equity awards under the terms of the Company’s Director Compensation Plan.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are no arrangements or understandings between Mr. Edick and any other persons pursuant to which he was elected as a director. Mr. Edick does not have any family relationships with any of the Company’s directors or executive officers. There are no transactions and no proposed transactions between Mr. Edick and the Company that would be required to be disclosed pursuant to Item 404(a) of Regulation S-K.</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connection with his appointment, the Company and Mr. Edick entered into an Indemnification Agreement (the “</w:t>
      </w:r>
      <w:r>
        <w:rPr>
          <w:rFonts w:ascii="Times New Roman" w:cs="Times New Roman" w:eastAsia="Times New Roman" w:hAnsi="Times New Roman"/>
          <w:sz w:val="18"/>
          <w:szCs w:val="18"/>
          <w:i w:val="1"/>
          <w:iCs w:val="1"/>
          <w:color w:val="auto"/>
        </w:rPr>
        <w:t>Indemnification Agreement</w:t>
      </w:r>
      <w:r>
        <w:rPr>
          <w:rFonts w:ascii="Times New Roman" w:cs="Times New Roman" w:eastAsia="Times New Roman" w:hAnsi="Times New Roman"/>
          <w:sz w:val="18"/>
          <w:szCs w:val="18"/>
          <w:color w:val="auto"/>
        </w:rPr>
        <w:t>”), a copy of which is attached hereto as Exhibit 10.1. The Indemnification Agreement requires the Company to indemnify Mr. Edick to the fullest extent permitted under Nevada law against liability that may arise by reason of position as a director of the Company, and to advance certain expenses incurred as a result of any proceeding against him as to which he could be indemnified.</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announcing Mr. Edick’s appointment is attached to this Current Report on Form 8-K as Exhibit 99.1.</w:t>
      </w:r>
    </w:p>
    <w:p>
      <w:pPr>
        <w:spacing w:after="0" w:line="239"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information under this Item 7.01 and Exhibit 99.1 attached hereto are intended to be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52" w:lineRule="exact"/>
        <w:rPr>
          <w:sz w:val="20"/>
          <w:szCs w:val="20"/>
          <w:color w:val="auto"/>
        </w:rPr>
      </w:pPr>
    </w:p>
    <w:p>
      <w:pPr>
        <w:ind w:left="10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Indemnification Agreement by and between Vistagen Therapeutics, Inc. and P. Edick, dated October 29, 2025</w:t>
      </w:r>
    </w:p>
    <w:p>
      <w:pPr>
        <w:spacing w:after="0" w:line="50"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Vistagen Therapeutics, Inc., dated October 29, 2025</w:t>
      </w:r>
    </w:p>
    <w:p>
      <w:pPr>
        <w:spacing w:after="0" w:line="50" w:lineRule="exact"/>
        <w:rPr>
          <w:sz w:val="20"/>
          <w:szCs w:val="20"/>
          <w:color w:val="auto"/>
        </w:rPr>
      </w:pPr>
    </w:p>
    <w:p>
      <w:pPr>
        <w:ind w:left="40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17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INDEMNIFICATION AGREEMENT</w:t>
      </w:r>
    </w:p>
    <w:p>
      <w:pPr>
        <w:spacing w:after="0" w:line="85" w:lineRule="exact"/>
        <w:rPr>
          <w:sz w:val="20"/>
          <w:szCs w:val="20"/>
          <w:color w:val="auto"/>
        </w:rPr>
      </w:pPr>
    </w:p>
    <w:p>
      <w:pPr>
        <w:jc w:val="both"/>
        <w:ind w:firstLine="756"/>
        <w:spacing w:after="0" w:line="258" w:lineRule="auto"/>
        <w:rPr>
          <w:sz w:val="20"/>
          <w:szCs w:val="20"/>
          <w:color w:val="auto"/>
        </w:rPr>
      </w:pPr>
      <w:r>
        <w:rPr>
          <w:rFonts w:ascii="Times New Roman" w:cs="Times New Roman" w:eastAsia="Times New Roman" w:hAnsi="Times New Roman"/>
          <w:sz w:val="22"/>
          <w:szCs w:val="22"/>
          <w:color w:val="auto"/>
        </w:rPr>
        <w:t>THIS AGREEMENT is entered into, effective as of October 29, 2025 between Vistagen Therapeutics, Inc., a Nevada corporation (the "Company"), and Paul R. Edick (“Indemnitee”).</w:t>
      </w:r>
    </w:p>
    <w:p>
      <w:pPr>
        <w:spacing w:after="0" w:line="185" w:lineRule="exact"/>
        <w:rPr>
          <w:sz w:val="20"/>
          <w:szCs w:val="20"/>
          <w:color w:val="auto"/>
        </w:rPr>
      </w:pPr>
    </w:p>
    <w:p>
      <w:pPr>
        <w:jc w:val="both"/>
        <w:ind w:firstLine="756"/>
        <w:spacing w:after="0" w:line="258" w:lineRule="auto"/>
        <w:rPr>
          <w:sz w:val="20"/>
          <w:szCs w:val="20"/>
          <w:color w:val="auto"/>
        </w:rPr>
      </w:pPr>
      <w:r>
        <w:rPr>
          <w:rFonts w:ascii="Times New Roman" w:cs="Times New Roman" w:eastAsia="Times New Roman" w:hAnsi="Times New Roman"/>
          <w:sz w:val="22"/>
          <w:szCs w:val="22"/>
          <w:color w:val="auto"/>
        </w:rPr>
        <w:t>WHEREAS, it is essential to the Company to retain and attract as directors and officers the most capable persons available;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Indemnitee is a director of the Company;</w:t>
      </w:r>
    </w:p>
    <w:p>
      <w:pPr>
        <w:spacing w:after="0" w:line="233" w:lineRule="exact"/>
        <w:rPr>
          <w:sz w:val="20"/>
          <w:szCs w:val="20"/>
          <w:color w:val="auto"/>
        </w:rPr>
      </w:pPr>
    </w:p>
    <w:p>
      <w:pPr>
        <w:jc w:val="both"/>
        <w:ind w:firstLine="756"/>
        <w:spacing w:after="0" w:line="245" w:lineRule="auto"/>
        <w:rPr>
          <w:sz w:val="20"/>
          <w:szCs w:val="20"/>
          <w:color w:val="auto"/>
        </w:rPr>
      </w:pPr>
      <w:r>
        <w:rPr>
          <w:rFonts w:ascii="Times New Roman" w:cs="Times New Roman" w:eastAsia="Times New Roman" w:hAnsi="Times New Roman"/>
          <w:sz w:val="22"/>
          <w:szCs w:val="22"/>
          <w:color w:val="auto"/>
        </w:rPr>
        <w:t>WHEREAS, both the Company and Indemnitee recognize the increased risk of litigation and other claims currently being asserted against directors and officers of corporations; and</w:t>
      </w:r>
    </w:p>
    <w:p>
      <w:pPr>
        <w:spacing w:after="0" w:line="199" w:lineRule="exact"/>
        <w:rPr>
          <w:sz w:val="20"/>
          <w:szCs w:val="20"/>
          <w:color w:val="auto"/>
        </w:rPr>
      </w:pPr>
    </w:p>
    <w:p>
      <w:pPr>
        <w:jc w:val="both"/>
        <w:ind w:firstLine="755"/>
        <w:spacing w:after="0" w:line="236" w:lineRule="auto"/>
        <w:rPr>
          <w:sz w:val="20"/>
          <w:szCs w:val="20"/>
          <w:color w:val="auto"/>
        </w:rPr>
      </w:pPr>
      <w:r>
        <w:rPr>
          <w:rFonts w:ascii="Times New Roman" w:cs="Times New Roman" w:eastAsia="Times New Roman" w:hAnsi="Times New Roman"/>
          <w:sz w:val="22"/>
          <w:szCs w:val="22"/>
          <w:color w:val="auto"/>
        </w:rPr>
        <w:t>WHEREAS, in recognition of Indemnitee's need for substantial protection against personal liability in order to enhance Indemnitee's continued and effective service to the Company, and in order to induce Indemnitee to provide services to the Company as a director,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208" w:lineRule="exact"/>
        <w:rPr>
          <w:sz w:val="20"/>
          <w:szCs w:val="20"/>
          <w:color w:val="auto"/>
        </w:rPr>
      </w:pPr>
    </w:p>
    <w:p>
      <w:pPr>
        <w:jc w:val="both"/>
        <w:ind w:firstLine="75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above premises and of Indemnitee's continuing to serve the Company directly or, at its request, with another enterprise, and intending to be legally bound hereby, the parties agree as follows:</w:t>
      </w:r>
    </w:p>
    <w:p>
      <w:pPr>
        <w:spacing w:after="0" w:line="18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Board of Directors of the Company.</w:t>
      </w:r>
    </w:p>
    <w:p>
      <w:pPr>
        <w:spacing w:after="0" w:line="219" w:lineRule="exact"/>
        <w:rPr>
          <w:rFonts w:ascii="Times New Roman" w:cs="Times New Roman" w:eastAsia="Times New Roman" w:hAnsi="Times New Roman"/>
          <w:sz w:val="20"/>
          <w:szCs w:val="20"/>
          <w:color w:val="auto"/>
        </w:rPr>
      </w:pPr>
    </w:p>
    <w:p>
      <w:pPr>
        <w:jc w:val="both"/>
        <w:ind w:left="1300" w:hanging="320"/>
        <w:spacing w:after="0" w:line="243" w:lineRule="auto"/>
        <w:tabs>
          <w:tab w:leader="none" w:pos="1288" w:val="left"/>
        </w:tabs>
        <w:numPr>
          <w:ilvl w:val="1"/>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369" w:right="339" w:bottom="1440" w:gutter="0" w:footer="0" w:header="0"/>
        </w:sectPr>
      </w:pPr>
    </w:p>
    <w:bookmarkStart w:id="4" w:name="page5"/>
    <w:bookmarkEnd w:id="4"/>
    <w:p>
      <w:pPr>
        <w:jc w:val="both"/>
        <w:ind w:left="968"/>
        <w:spacing w:after="0" w:line="249" w:lineRule="auto"/>
        <w:rPr>
          <w:sz w:val="20"/>
          <w:szCs w:val="20"/>
          <w:color w:val="auto"/>
        </w:rPr>
      </w:pPr>
      <w:r>
        <w:rPr>
          <w:rFonts w:ascii="Times New Roman" w:cs="Times New Roman" w:eastAsia="Times New Roman" w:hAnsi="Times New Roman"/>
          <w:sz w:val="21"/>
          <w:szCs w:val="21"/>
          <w:color w:val="auto"/>
        </w:rPr>
        <w:t>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184" w:lineRule="exact"/>
        <w:rPr>
          <w:sz w:val="20"/>
          <w:szCs w:val="20"/>
          <w:color w:val="auto"/>
        </w:rPr>
      </w:pPr>
    </w:p>
    <w:p>
      <w:pPr>
        <w:jc w:val="both"/>
        <w:ind w:left="968" w:hanging="320"/>
        <w:spacing w:after="0" w:line="236" w:lineRule="auto"/>
        <w:tabs>
          <w:tab w:leader="none" w:pos="95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208" w:lineRule="exact"/>
        <w:rPr>
          <w:rFonts w:ascii="Times New Roman" w:cs="Times New Roman" w:eastAsia="Times New Roman" w:hAnsi="Times New Roman"/>
          <w:sz w:val="20"/>
          <w:szCs w:val="20"/>
          <w:color w:val="auto"/>
        </w:rPr>
      </w:pPr>
    </w:p>
    <w:p>
      <w:pPr>
        <w:jc w:val="both"/>
        <w:ind w:left="968" w:hanging="320"/>
        <w:spacing w:after="0" w:line="233" w:lineRule="auto"/>
        <w:tabs>
          <w:tab w:leader="none" w:pos="956"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Indemnifiable Event</w:t>
      </w:r>
      <w:r>
        <w:rPr>
          <w:rFonts w:ascii="Times New Roman" w:cs="Times New Roman" w:eastAsia="Times New Roman" w:hAnsi="Times New Roman"/>
          <w:sz w:val="22"/>
          <w:szCs w:val="22"/>
          <w:color w:val="auto"/>
        </w:rPr>
        <w:t>: any event or occurrence that takes place either prior to or after the execution of this Agreement, related to the fact that Indemnitee is or was a director or officer of the Company, or while a director or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206"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Independent Counsel</w:t>
      </w:r>
      <w:r>
        <w:rPr>
          <w:rFonts w:ascii="Times New Roman" w:cs="Times New Roman" w:eastAsia="Times New Roman" w:hAnsi="Times New Roman"/>
          <w:sz w:val="22"/>
          <w:szCs w:val="22"/>
          <w:color w:val="auto"/>
        </w:rPr>
        <w:t>: the person or body appointed in connection with Section 3.</w:t>
      </w:r>
    </w:p>
    <w:p>
      <w:pPr>
        <w:spacing w:after="0" w:line="233" w:lineRule="exact"/>
        <w:rPr>
          <w:rFonts w:ascii="Times New Roman" w:cs="Times New Roman" w:eastAsia="Times New Roman" w:hAnsi="Times New Roman"/>
          <w:sz w:val="20"/>
          <w:szCs w:val="20"/>
          <w:color w:val="auto"/>
        </w:rPr>
      </w:pPr>
    </w:p>
    <w:p>
      <w:pPr>
        <w:jc w:val="both"/>
        <w:ind w:left="968" w:hanging="320"/>
        <w:spacing w:after="0" w:line="239" w:lineRule="auto"/>
        <w:tabs>
          <w:tab w:leader="none" w:pos="963"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207"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Reviewing Party</w:t>
      </w:r>
      <w:r>
        <w:rPr>
          <w:rFonts w:ascii="Times New Roman" w:cs="Times New Roman" w:eastAsia="Times New Roman" w:hAnsi="Times New Roman"/>
          <w:sz w:val="22"/>
          <w:szCs w:val="22"/>
          <w:color w:val="auto"/>
        </w:rPr>
        <w:t>: the person or body appointed in accordance with Section 3.</w:t>
      </w:r>
    </w:p>
    <w:p>
      <w:pPr>
        <w:spacing w:after="0" w:line="219"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any securities of the Company that vote generally in the election of directors.</w:t>
      </w:r>
    </w:p>
    <w:p>
      <w:pPr>
        <w:spacing w:after="0" w:line="233"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Agreement to Indemnify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08"/>
          </w:cols>
          <w:pgMar w:left="652" w:top="1408" w:right="339" w:bottom="1440" w:gutter="0" w:footer="0" w:header="0"/>
        </w:sectPr>
      </w:pPr>
    </w:p>
    <w:bookmarkStart w:id="5" w:name="page6"/>
    <w:bookmarkEnd w:id="5"/>
    <w:p>
      <w:pPr>
        <w:spacing w:after="0" w:line="212" w:lineRule="exact"/>
        <w:rPr>
          <w:sz w:val="20"/>
          <w:szCs w:val="20"/>
          <w:color w:val="auto"/>
        </w:rPr>
      </w:pPr>
    </w:p>
    <w:p>
      <w:pPr>
        <w:jc w:val="both"/>
        <w:ind w:left="320" w:hanging="320"/>
        <w:spacing w:after="0" w:line="233" w:lineRule="auto"/>
        <w:tabs>
          <w:tab w:leader="none" w:pos="31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General Agreement</w:t>
      </w:r>
      <w:r>
        <w:rPr>
          <w:rFonts w:ascii="Times New Roman" w:cs="Times New Roman" w:eastAsia="Times New Roman" w:hAnsi="Times New Roman"/>
          <w:sz w:val="22"/>
          <w:szCs w:val="22"/>
          <w:color w:val="auto"/>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206" w:lineRule="exact"/>
        <w:rPr>
          <w:rFonts w:ascii="Times New Roman" w:cs="Times New Roman" w:eastAsia="Times New Roman" w:hAnsi="Times New Roman"/>
          <w:sz w:val="20"/>
          <w:szCs w:val="20"/>
          <w:color w:val="auto"/>
        </w:rPr>
      </w:pPr>
    </w:p>
    <w:p>
      <w:pPr>
        <w:jc w:val="both"/>
        <w:ind w:left="320" w:hanging="320"/>
        <w:spacing w:after="0" w:line="235" w:lineRule="auto"/>
        <w:tabs>
          <w:tab w:leader="none" w:pos="3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Initiation of Proceeding</w:t>
      </w:r>
      <w:r>
        <w:rPr>
          <w:rFonts w:ascii="Times New Roman" w:cs="Times New Roman" w:eastAsia="Times New Roman" w:hAnsi="Times New Roman"/>
          <w:sz w:val="22"/>
          <w:szCs w:val="22"/>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210" w:lineRule="exact"/>
        <w:rPr>
          <w:rFonts w:ascii="Times New Roman" w:cs="Times New Roman" w:eastAsia="Times New Roman" w:hAnsi="Times New Roman"/>
          <w:sz w:val="20"/>
          <w:szCs w:val="20"/>
          <w:color w:val="auto"/>
        </w:rPr>
      </w:pPr>
    </w:p>
    <w:p>
      <w:pPr>
        <w:jc w:val="both"/>
        <w:ind w:left="320" w:hanging="320"/>
        <w:spacing w:after="0" w:line="232" w:lineRule="auto"/>
        <w:tabs>
          <w:tab w:leader="none" w:pos="31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Expense Advances</w:t>
      </w:r>
      <w:r>
        <w:rPr>
          <w:rFonts w:ascii="Times New Roman" w:cs="Times New Roman" w:eastAsia="Times New Roman" w:hAnsi="Times New Roman"/>
          <w:sz w:val="22"/>
          <w:szCs w:val="22"/>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199" w:lineRule="exact"/>
        <w:rPr>
          <w:rFonts w:ascii="Times New Roman" w:cs="Times New Roman" w:eastAsia="Times New Roman" w:hAnsi="Times New Roman"/>
          <w:sz w:val="20"/>
          <w:szCs w:val="20"/>
          <w:color w:val="auto"/>
        </w:rPr>
      </w:pPr>
    </w:p>
    <w:p>
      <w:pPr>
        <w:jc w:val="both"/>
        <w:ind w:left="320" w:hanging="320"/>
        <w:spacing w:after="0" w:line="239" w:lineRule="auto"/>
        <w:tabs>
          <w:tab w:leader="none" w:pos="3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Mandatory Indemnification</w:t>
      </w:r>
      <w:r>
        <w:rPr>
          <w:rFonts w:ascii="Times New Roman" w:cs="Times New Roman" w:eastAsia="Times New Roman" w:hAnsi="Times New Roman"/>
          <w:sz w:val="22"/>
          <w:szCs w:val="22"/>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260"/>
          </w:cols>
          <w:pgMar w:left="1300" w:top="1440" w:right="339" w:bottom="1440" w:gutter="0" w:footer="0" w:header="0"/>
        </w:sectPr>
      </w:pPr>
    </w:p>
    <w:bookmarkStart w:id="6" w:name="page7"/>
    <w:bookmarkEnd w:id="6"/>
    <w:p>
      <w:pPr>
        <w:jc w:val="both"/>
        <w:ind w:left="968" w:hanging="320"/>
        <w:spacing w:after="0" w:line="244" w:lineRule="auto"/>
        <w:tabs>
          <w:tab w:leader="none" w:pos="95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Partial Indemnification</w:t>
      </w:r>
      <w:r>
        <w:rPr>
          <w:rFonts w:ascii="Times New Roman" w:cs="Times New Roman" w:eastAsia="Times New Roman" w:hAnsi="Times New Roman"/>
          <w:sz w:val="22"/>
          <w:szCs w:val="22"/>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200" w:lineRule="exact"/>
        <w:rPr>
          <w:rFonts w:ascii="Times New Roman" w:cs="Times New Roman" w:eastAsia="Times New Roman" w:hAnsi="Times New Roman"/>
          <w:sz w:val="20"/>
          <w:szCs w:val="20"/>
          <w:color w:val="auto"/>
        </w:rPr>
      </w:pPr>
    </w:p>
    <w:p>
      <w:pPr>
        <w:jc w:val="both"/>
        <w:ind w:left="968" w:hanging="320"/>
        <w:spacing w:after="0" w:line="235" w:lineRule="auto"/>
        <w:tabs>
          <w:tab w:leader="none" w:pos="96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Prohibited Indemnification</w:t>
      </w:r>
      <w:r>
        <w:rPr>
          <w:rFonts w:ascii="Times New Roman" w:cs="Times New Roman" w:eastAsia="Times New Roman" w:hAnsi="Times New Roman"/>
          <w:sz w:val="22"/>
          <w:szCs w:val="22"/>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205" w:lineRule="exact"/>
        <w:rPr>
          <w:rFonts w:ascii="Times New Roman" w:cs="Times New Roman" w:eastAsia="Times New Roman" w:hAnsi="Times New Roman"/>
          <w:sz w:val="20"/>
          <w:szCs w:val="20"/>
          <w:color w:val="auto"/>
        </w:rPr>
      </w:pPr>
    </w:p>
    <w:p>
      <w:pPr>
        <w:jc w:val="both"/>
        <w:ind w:left="328" w:hanging="328"/>
        <w:spacing w:after="0" w:line="231"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Reviewing Party</w:t>
      </w:r>
      <w:r>
        <w:rPr>
          <w:rFonts w:ascii="Times New Roman" w:cs="Times New Roman" w:eastAsia="Times New Roman" w:hAnsi="Times New Roman"/>
          <w:sz w:val="22"/>
          <w:szCs w:val="22"/>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Indemnitee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220"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Indemnification Process and Appeal</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0"/>
          <w:szCs w:val="20"/>
          <w:color w:val="auto"/>
        </w:rPr>
      </w:pPr>
    </w:p>
    <w:p>
      <w:pPr>
        <w:jc w:val="both"/>
        <w:ind w:left="968" w:hanging="320"/>
        <w:spacing w:after="0" w:line="239" w:lineRule="auto"/>
        <w:tabs>
          <w:tab w:leader="none" w:pos="95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Indemnification Payment</w:t>
      </w:r>
      <w:r>
        <w:rPr>
          <w:rFonts w:ascii="Times New Roman" w:cs="Times New Roman" w:eastAsia="Times New Roman" w:hAnsi="Times New Roman"/>
          <w:sz w:val="22"/>
          <w:szCs w:val="22"/>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08"/>
          </w:cols>
          <w:pgMar w:left="652" w:top="1408" w:right="339" w:bottom="1440" w:gutter="0" w:footer="0" w:header="0"/>
        </w:sectPr>
      </w:pPr>
    </w:p>
    <w:bookmarkStart w:id="7" w:name="page8"/>
    <w:bookmarkEnd w:id="7"/>
    <w:p>
      <w:pPr>
        <w:jc w:val="both"/>
        <w:ind w:left="968" w:hanging="320"/>
        <w:spacing w:after="0" w:line="245" w:lineRule="auto"/>
        <w:tabs>
          <w:tab w:leader="none" w:pos="956" w:val="left"/>
        </w:tabs>
        <w:numPr>
          <w:ilvl w:val="2"/>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Suit to Enforce Rights</w:t>
      </w:r>
      <w:r>
        <w:rPr>
          <w:rFonts w:ascii="Times New Roman" w:cs="Times New Roman" w:eastAsia="Times New Roman" w:hAnsi="Times New Roman"/>
          <w:sz w:val="21"/>
          <w:szCs w:val="21"/>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201" w:lineRule="exact"/>
        <w:rPr>
          <w:rFonts w:ascii="Times New Roman" w:cs="Times New Roman" w:eastAsia="Times New Roman" w:hAnsi="Times New Roman"/>
          <w:sz w:val="19"/>
          <w:szCs w:val="19"/>
          <w:color w:val="auto"/>
        </w:rPr>
      </w:pPr>
    </w:p>
    <w:p>
      <w:pPr>
        <w:jc w:val="both"/>
        <w:ind w:left="968" w:hanging="320"/>
        <w:spacing w:after="0" w:line="231" w:lineRule="auto"/>
        <w:tabs>
          <w:tab w:leader="none" w:pos="958"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Defense to Indemnification, Burden of Proof, and Presumptions</w:t>
      </w:r>
      <w:r>
        <w:rPr>
          <w:rFonts w:ascii="Times New Roman" w:cs="Times New Roman" w:eastAsia="Times New Roman" w:hAnsi="Times New Roman"/>
          <w:sz w:val="22"/>
          <w:szCs w:val="22"/>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221" w:lineRule="exact"/>
        <w:rPr>
          <w:rFonts w:ascii="Times New Roman" w:cs="Times New Roman" w:eastAsia="Times New Roman" w:hAnsi="Times New Roman"/>
          <w:sz w:val="20"/>
          <w:szCs w:val="20"/>
          <w:color w:val="auto"/>
        </w:rPr>
      </w:pPr>
    </w:p>
    <w:p>
      <w:pPr>
        <w:jc w:val="both"/>
        <w:ind w:left="328" w:hanging="328"/>
        <w:spacing w:after="0" w:line="244" w:lineRule="auto"/>
        <w:tabs>
          <w:tab w:leader="none" w:pos="32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Indemnification for Expenses Incurred in Enforcing Rights</w:t>
      </w:r>
      <w:r>
        <w:rPr>
          <w:rFonts w:ascii="Times New Roman" w:cs="Times New Roman" w:eastAsia="Times New Roman" w:hAnsi="Times New Roman"/>
          <w:sz w:val="21"/>
          <w:szCs w:val="21"/>
          <w:color w:val="auto"/>
        </w:rPr>
        <w:t>. The Company shall indemnify Indemnitee against any and all Expenses that are incurred by Indemnitee in connection with any action brought by Indemnitee for (i) indemnification of Expenses by the Company under this Agreement or any other agreement or under applicable law or the Company's Articles of Incorporation or Bylaws now or hereafter in effect relating to indemnification for Indemnifiable Events, and/or</w:t>
      </w:r>
    </w:p>
    <w:p>
      <w:pPr>
        <w:jc w:val="both"/>
        <w:ind w:left="328" w:hanging="4"/>
        <w:spacing w:after="0" w:line="235" w:lineRule="auto"/>
        <w:tabs>
          <w:tab w:leader="none" w:pos="66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08"/>
          </w:cols>
          <w:pgMar w:left="652" w:top="1408" w:right="339" w:bottom="1440" w:gutter="0" w:footer="0" w:header="0"/>
        </w:sectPr>
      </w:pPr>
    </w:p>
    <w:bookmarkStart w:id="8" w:name="page9"/>
    <w:bookmarkEnd w:id="8"/>
    <w:p>
      <w:pPr>
        <w:ind w:left="328"/>
        <w:spacing w:after="0"/>
        <w:rPr>
          <w:sz w:val="20"/>
          <w:szCs w:val="20"/>
          <w:color w:val="auto"/>
        </w:rPr>
      </w:pPr>
      <w:r>
        <w:rPr>
          <w:rFonts w:ascii="Times New Roman" w:cs="Times New Roman" w:eastAsia="Times New Roman" w:hAnsi="Times New Roman"/>
          <w:sz w:val="22"/>
          <w:szCs w:val="22"/>
          <w:color w:val="auto"/>
        </w:rPr>
        <w:t>Indemnitee, advance the foregoing Expenses to Indemnitee, subject to and in accordance with Section 2(c).</w:t>
      </w:r>
    </w:p>
    <w:p>
      <w:pPr>
        <w:spacing w:after="0" w:line="233" w:lineRule="exact"/>
        <w:rPr>
          <w:sz w:val="20"/>
          <w:szCs w:val="20"/>
          <w:color w:val="auto"/>
        </w:rPr>
      </w:pPr>
    </w:p>
    <w:p>
      <w:pPr>
        <w:ind w:left="328" w:hanging="328"/>
        <w:spacing w:after="0"/>
        <w:tabs>
          <w:tab w:leader="none" w:pos="32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Notification and Defense of Proceeding</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0"/>
          <w:szCs w:val="20"/>
          <w:color w:val="auto"/>
        </w:rPr>
      </w:pPr>
    </w:p>
    <w:p>
      <w:pPr>
        <w:jc w:val="both"/>
        <w:ind w:left="968" w:hanging="320"/>
        <w:spacing w:after="0" w:line="239" w:lineRule="auto"/>
        <w:tabs>
          <w:tab w:leader="none" w:pos="95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193" w:lineRule="exact"/>
        <w:rPr>
          <w:rFonts w:ascii="Times New Roman" w:cs="Times New Roman" w:eastAsia="Times New Roman" w:hAnsi="Times New Roman"/>
          <w:sz w:val="20"/>
          <w:szCs w:val="20"/>
          <w:color w:val="auto"/>
        </w:rPr>
      </w:pPr>
    </w:p>
    <w:p>
      <w:pPr>
        <w:jc w:val="both"/>
        <w:ind w:left="968" w:hanging="320"/>
        <w:spacing w:after="0" w:line="231" w:lineRule="auto"/>
        <w:tabs>
          <w:tab w:leader="none" w:pos="95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Defense</w:t>
      </w:r>
      <w:r>
        <w:rPr>
          <w:rFonts w:ascii="Times New Roman" w:cs="Times New Roman" w:eastAsia="Times New Roman" w:hAnsi="Times New Roman"/>
          <w:sz w:val="22"/>
          <w:szCs w:val="22"/>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221" w:lineRule="exact"/>
        <w:rPr>
          <w:rFonts w:ascii="Times New Roman" w:cs="Times New Roman" w:eastAsia="Times New Roman" w:hAnsi="Times New Roman"/>
          <w:sz w:val="20"/>
          <w:szCs w:val="20"/>
          <w:color w:val="auto"/>
        </w:rPr>
      </w:pPr>
    </w:p>
    <w:p>
      <w:pPr>
        <w:jc w:val="both"/>
        <w:ind w:left="968" w:hanging="320"/>
        <w:spacing w:after="0" w:line="233" w:lineRule="auto"/>
        <w:tabs>
          <w:tab w:leader="none" w:pos="95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Settlement of Claims</w:t>
      </w:r>
      <w:r>
        <w:rPr>
          <w:rFonts w:ascii="Times New Roman" w:cs="Times New Roman" w:eastAsia="Times New Roman" w:hAnsi="Times New Roman"/>
          <w:sz w:val="22"/>
          <w:szCs w:val="22"/>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08"/>
          </w:cols>
          <w:pgMar w:left="652" w:top="1408" w:right="339" w:bottom="1440" w:gutter="0" w:footer="0" w:header="0"/>
        </w:sectPr>
      </w:pPr>
    </w:p>
    <w:bookmarkStart w:id="9" w:name="page10"/>
    <w:bookmarkEnd w:id="9"/>
    <w:p>
      <w:pPr>
        <w:jc w:val="both"/>
        <w:ind w:left="968"/>
        <w:spacing w:after="0" w:line="239" w:lineRule="auto"/>
        <w:rPr>
          <w:sz w:val="20"/>
          <w:szCs w:val="20"/>
          <w:color w:val="auto"/>
        </w:rPr>
      </w:pPr>
      <w:r>
        <w:rPr>
          <w:rFonts w:ascii="Times New Roman" w:cs="Times New Roman" w:eastAsia="Times New Roman" w:hAnsi="Times New Roman"/>
          <w:sz w:val="22"/>
          <w:szCs w:val="22"/>
          <w:color w:val="auto"/>
        </w:rPr>
        <w:t>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207" w:lineRule="exact"/>
        <w:rPr>
          <w:sz w:val="20"/>
          <w:szCs w:val="20"/>
          <w:color w:val="auto"/>
        </w:rPr>
      </w:pPr>
    </w:p>
    <w:p>
      <w:pPr>
        <w:jc w:val="both"/>
        <w:ind w:left="328" w:hanging="328"/>
        <w:spacing w:after="0" w:line="231" w:lineRule="auto"/>
        <w:tabs>
          <w:tab w:leader="none" w:pos="32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Establishment of Trust</w:t>
      </w:r>
      <w:r>
        <w:rPr>
          <w:rFonts w:ascii="Times New Roman" w:cs="Times New Roman" w:eastAsia="Times New Roman" w:hAnsi="Times New Roman"/>
          <w:sz w:val="22"/>
          <w:szCs w:val="22"/>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205" w:lineRule="exact"/>
        <w:rPr>
          <w:rFonts w:ascii="Times New Roman" w:cs="Times New Roman" w:eastAsia="Times New Roman" w:hAnsi="Times New Roman"/>
          <w:sz w:val="20"/>
          <w:szCs w:val="20"/>
          <w:color w:val="auto"/>
        </w:rPr>
      </w:pPr>
    </w:p>
    <w:p>
      <w:pPr>
        <w:jc w:val="both"/>
        <w:ind w:left="328" w:hanging="328"/>
        <w:spacing w:after="0" w:line="235" w:lineRule="auto"/>
        <w:tabs>
          <w:tab w:leader="none" w:pos="32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Non-Exclusivity</w:t>
      </w:r>
      <w:r>
        <w:rPr>
          <w:rFonts w:ascii="Times New Roman" w:cs="Times New Roman" w:eastAsia="Times New Roman" w:hAnsi="Times New Roman"/>
          <w:sz w:val="22"/>
          <w:szCs w:val="22"/>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205" w:lineRule="exact"/>
        <w:rPr>
          <w:rFonts w:ascii="Times New Roman" w:cs="Times New Roman" w:eastAsia="Times New Roman" w:hAnsi="Times New Roman"/>
          <w:sz w:val="20"/>
          <w:szCs w:val="20"/>
          <w:color w:val="auto"/>
        </w:rPr>
      </w:pPr>
    </w:p>
    <w:p>
      <w:pPr>
        <w:jc w:val="both"/>
        <w:ind w:left="328" w:hanging="328"/>
        <w:spacing w:after="0" w:line="244" w:lineRule="auto"/>
        <w:tabs>
          <w:tab w:leader="none" w:pos="32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Liability Insurance</w:t>
      </w:r>
      <w:r>
        <w:rPr>
          <w:rFonts w:ascii="Times New Roman" w:cs="Times New Roman" w:eastAsia="Times New Roman" w:hAnsi="Times New Roman"/>
          <w:sz w:val="22"/>
          <w:szCs w:val="22"/>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08"/>
          </w:cols>
          <w:pgMar w:left="652" w:top="1408" w:right="339" w:bottom="1440" w:gutter="0" w:footer="0" w:header="0"/>
        </w:sectPr>
      </w:pPr>
    </w:p>
    <w:bookmarkStart w:id="10" w:name="page11"/>
    <w:bookmarkEnd w:id="10"/>
    <w:p>
      <w:pPr>
        <w:jc w:val="both"/>
        <w:ind w:left="328" w:hanging="328"/>
        <w:spacing w:after="0" w:line="234" w:lineRule="auto"/>
        <w:tabs>
          <w:tab w:leader="none" w:pos="31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Period of Limitations</w:t>
      </w:r>
      <w:r>
        <w:rPr>
          <w:rFonts w:ascii="Times New Roman" w:cs="Times New Roman" w:eastAsia="Times New Roman" w:hAnsi="Times New Roman"/>
          <w:sz w:val="22"/>
          <w:szCs w:val="22"/>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203" w:lineRule="exact"/>
        <w:rPr>
          <w:rFonts w:ascii="Times New Roman" w:cs="Times New Roman" w:eastAsia="Times New Roman" w:hAnsi="Times New Roman"/>
          <w:sz w:val="20"/>
          <w:szCs w:val="20"/>
          <w:color w:val="auto"/>
        </w:rPr>
      </w:pPr>
    </w:p>
    <w:p>
      <w:pPr>
        <w:jc w:val="both"/>
        <w:ind w:left="328" w:hanging="328"/>
        <w:spacing w:after="0" w:line="236" w:lineRule="auto"/>
        <w:tabs>
          <w:tab w:leader="none" w:pos="31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Amendment of this Agreement</w:t>
      </w:r>
      <w:r>
        <w:rPr>
          <w:rFonts w:ascii="Times New Roman" w:cs="Times New Roman" w:eastAsia="Times New Roman" w:hAnsi="Times New Roman"/>
          <w:sz w:val="22"/>
          <w:szCs w:val="22"/>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08" w:lineRule="exact"/>
        <w:rPr>
          <w:rFonts w:ascii="Times New Roman" w:cs="Times New Roman" w:eastAsia="Times New Roman" w:hAnsi="Times New Roman"/>
          <w:sz w:val="20"/>
          <w:szCs w:val="20"/>
          <w:color w:val="auto"/>
        </w:rPr>
      </w:pPr>
    </w:p>
    <w:p>
      <w:pPr>
        <w:jc w:val="both"/>
        <w:ind w:left="328" w:hanging="328"/>
        <w:spacing w:after="0" w:line="239" w:lineRule="auto"/>
        <w:tabs>
          <w:tab w:leader="none" w:pos="31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93" w:lineRule="exact"/>
        <w:rPr>
          <w:rFonts w:ascii="Times New Roman" w:cs="Times New Roman" w:eastAsia="Times New Roman" w:hAnsi="Times New Roman"/>
          <w:sz w:val="20"/>
          <w:szCs w:val="20"/>
          <w:color w:val="auto"/>
        </w:rPr>
      </w:pPr>
    </w:p>
    <w:p>
      <w:pPr>
        <w:jc w:val="both"/>
        <w:ind w:left="328" w:hanging="328"/>
        <w:spacing w:after="0" w:line="244" w:lineRule="auto"/>
        <w:tabs>
          <w:tab w:leader="none" w:pos="31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Duplication of Payments</w:t>
      </w:r>
      <w:r>
        <w:rPr>
          <w:rFonts w:ascii="Times New Roman" w:cs="Times New Roman" w:eastAsia="Times New Roman" w:hAnsi="Times New Roman"/>
          <w:sz w:val="22"/>
          <w:szCs w:val="22"/>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200" w:lineRule="exact"/>
        <w:rPr>
          <w:rFonts w:ascii="Times New Roman" w:cs="Times New Roman" w:eastAsia="Times New Roman" w:hAnsi="Times New Roman"/>
          <w:sz w:val="20"/>
          <w:szCs w:val="20"/>
          <w:color w:val="auto"/>
        </w:rPr>
      </w:pPr>
    </w:p>
    <w:p>
      <w:pPr>
        <w:jc w:val="both"/>
        <w:ind w:left="328" w:hanging="328"/>
        <w:spacing w:after="0" w:line="232" w:lineRule="auto"/>
        <w:tabs>
          <w:tab w:leader="none" w:pos="31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214" w:lineRule="exact"/>
        <w:rPr>
          <w:rFonts w:ascii="Times New Roman" w:cs="Times New Roman" w:eastAsia="Times New Roman" w:hAnsi="Times New Roman"/>
          <w:sz w:val="20"/>
          <w:szCs w:val="20"/>
          <w:color w:val="auto"/>
        </w:rPr>
      </w:pPr>
    </w:p>
    <w:p>
      <w:pPr>
        <w:jc w:val="both"/>
        <w:ind w:left="328" w:hanging="328"/>
        <w:spacing w:after="0" w:line="244" w:lineRule="auto"/>
        <w:tabs>
          <w:tab w:leader="none" w:pos="31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portion thereof) of this Agreement shall be held by a court of competent jurisdiction to be invalid, void, or otherwise unenforceable, the remaining provisions shall remain enforceable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908"/>
          </w:cols>
          <w:pgMar w:left="652" w:top="1408" w:right="339" w:bottom="1440" w:gutter="0" w:footer="0" w:header="0"/>
        </w:sectPr>
      </w:pPr>
    </w:p>
    <w:bookmarkStart w:id="11" w:name="page12"/>
    <w:bookmarkEnd w:id="11"/>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07" w:lineRule="exact"/>
        <w:rPr>
          <w:sz w:val="20"/>
          <w:szCs w:val="20"/>
          <w:color w:val="auto"/>
        </w:rPr>
      </w:pPr>
    </w:p>
    <w:p>
      <w:pPr>
        <w:jc w:val="both"/>
        <w:ind w:left="660" w:hanging="328"/>
        <w:spacing w:after="0" w:line="238" w:lineRule="auto"/>
        <w:tabs>
          <w:tab w:leader="none" w:pos="65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205" w:lineRule="exact"/>
        <w:rPr>
          <w:rFonts w:ascii="Times New Roman" w:cs="Times New Roman" w:eastAsia="Times New Roman" w:hAnsi="Times New Roman"/>
          <w:sz w:val="20"/>
          <w:szCs w:val="20"/>
          <w:color w:val="auto"/>
        </w:rPr>
      </w:pPr>
    </w:p>
    <w:p>
      <w:pPr>
        <w:jc w:val="both"/>
        <w:ind w:left="660" w:hanging="328"/>
        <w:spacing w:after="0" w:line="244" w:lineRule="auto"/>
        <w:tabs>
          <w:tab w:leader="none" w:pos="65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20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Vistagen Therapeutics, Inc. 343 Allerton Avenue</w:t>
      </w:r>
    </w:p>
    <w:p>
      <w:pPr>
        <w:spacing w:after="0" w:line="1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South San Francisco, CA 94080 Attention: Chief Executive Officer</w:t>
      </w:r>
    </w:p>
    <w:p>
      <w:pPr>
        <w:spacing w:after="0" w:line="20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and to Indemnitee at:</w:t>
      </w:r>
    </w:p>
    <w:p>
      <w:pPr>
        <w:spacing w:after="0" w:line="23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Paul R. Edick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756"/>
        <w:spacing w:after="0" w:line="258" w:lineRule="auto"/>
        <w:rPr>
          <w:sz w:val="20"/>
          <w:szCs w:val="20"/>
          <w:color w:val="auto"/>
        </w:rPr>
      </w:pPr>
      <w:r>
        <w:rPr>
          <w:rFonts w:ascii="Times New Roman" w:cs="Times New Roman" w:eastAsia="Times New Roman" w:hAnsi="Times New Roman"/>
          <w:sz w:val="22"/>
          <w:szCs w:val="22"/>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8" w:right="339"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and delivered this Agreement as of the day specified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306" w:lineRule="exact"/>
        <w:rPr>
          <w:sz w:val="20"/>
          <w:szCs w:val="20"/>
          <w:color w:val="auto"/>
        </w:rPr>
      </w:pPr>
    </w:p>
    <w:tbl>
      <w:tblPr>
        <w:tblLayout w:type="fixed"/>
        <w:tblInd w:w="1860" w:type="dxa"/>
        <w:tblCellMar>
          <w:top w:w="0" w:type="dxa"/>
          <w:left w:w="0" w:type="dxa"/>
          <w:bottom w:w="0" w:type="dxa"/>
          <w:right w:w="0" w:type="dxa"/>
        </w:tblCellMar>
      </w:tblPr>
      <w:tr>
        <w:trPr>
          <w:trHeight w:val="296"/>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VISTAGEN THERAPEUTICS, INC.</w:t>
            </w:r>
          </w:p>
        </w:tc>
        <w:tc>
          <w:tcPr>
            <w:tcW w:w="2660" w:type="dxa"/>
            <w:vAlign w:val="bottom"/>
            <w:gridSpan w:val="3"/>
          </w:tcPr>
          <w:p>
            <w:pPr>
              <w:ind w:left="740"/>
              <w:spacing w:after="0"/>
              <w:rPr>
                <w:sz w:val="20"/>
                <w:szCs w:val="20"/>
                <w:color w:val="auto"/>
              </w:rPr>
            </w:pPr>
            <w:r>
              <w:rPr>
                <w:rFonts w:ascii="Times New Roman" w:cs="Times New Roman" w:eastAsia="Times New Roman" w:hAnsi="Times New Roman"/>
                <w:sz w:val="22"/>
                <w:szCs w:val="22"/>
                <w:color w:val="auto"/>
              </w:rPr>
              <w:t>INDEMNITEE</w:t>
            </w:r>
          </w:p>
        </w:tc>
      </w:tr>
      <w:tr>
        <w:trPr>
          <w:trHeight w:val="488"/>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Shawn K. Singh</w:t>
            </w:r>
          </w:p>
        </w:tc>
        <w:tc>
          <w:tcPr>
            <w:tcW w:w="2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By: /s/ Paul R. Edick</w:t>
            </w:r>
          </w:p>
        </w:tc>
      </w:tr>
      <w:tr>
        <w:trPr>
          <w:trHeight w:val="20"/>
        </w:trPr>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0"/>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Shawn K. Singh, J.D.</w:t>
            </w:r>
          </w:p>
        </w:tc>
        <w:tc>
          <w:tcPr>
            <w:tcW w:w="2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Name: Paul R. Edick</w:t>
            </w:r>
          </w:p>
        </w:tc>
      </w:tr>
      <w:tr>
        <w:trPr>
          <w:trHeight w:val="270"/>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c>
          <w:tcPr>
            <w:tcW w:w="266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w w:val="96"/>
              </w:rPr>
              <w:t>Date: October 29, 2025</w:t>
            </w:r>
          </w:p>
        </w:tc>
      </w:t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October 29, 2025</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960"/>
          </w:cols>
          <w:pgMar w:left="320" w:top="1408" w:right="6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64592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Appoints Paul Edick to its Board of Directors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Mr. Edick brings extensive industry experience across product development, commercial launch, and growth strategy</w:t>
      </w:r>
    </w:p>
    <w:p>
      <w:pPr>
        <w:spacing w:after="0" w:line="22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SOUTH SAN FRANCISCO, Calif.--(BUSINESS WIRE)—October 29, 2025, </w:t>
      </w:r>
      <w:r>
        <w:rPr>
          <w:rFonts w:ascii="Times New Roman" w:cs="Times New Roman" w:eastAsia="Times New Roman" w:hAnsi="Times New Roman"/>
          <w:sz w:val="18"/>
          <w:szCs w:val="18"/>
          <w:color w:val="0000FF"/>
        </w:rPr>
        <w:t>Vistagen</w:t>
      </w:r>
      <w:r>
        <w:rPr>
          <w:rFonts w:ascii="Times New Roman" w:cs="Times New Roman" w:eastAsia="Times New Roman" w:hAnsi="Times New Roman"/>
          <w:sz w:val="18"/>
          <w:szCs w:val="18"/>
          <w:color w:val="auto"/>
        </w:rPr>
        <w:t xml:space="preserve"> (Nasdaq: VTGN), a late clinical-stage biopharmaceutical company pioneering neuroscience with nose-to-brain neurocircuitry to develop and commercialize a new class of intranasal product candidates called pherines, today announced the appointment of Mr. Paul Edick to its Board of Directors (“Board”). Following the appointment of Mr. Edick, Vistagen’s Board will be comprised of seven directors. Mr. Edick will serve on the Audit Committee and the Compensation Committee of the Board.</w:t>
      </w:r>
    </w:p>
    <w:p>
      <w:pPr>
        <w:spacing w:after="0" w:line="20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are pleased to welcome Mr. Edick to our Board of Directors,” said Maggie FitzPatrick, Chair of the Board. “Paul’s distinguished record of board and CEO leadership, deep industry expertise, and financial discipline will further strengthen our governance. His experience and strategic insight will be instrumental as we continue advancing innovative solutions for patients while working to deliver long-term value for shareholders.”</w:t>
      </w:r>
    </w:p>
    <w:p>
      <w:pPr>
        <w:spacing w:after="0" w:line="20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“Paul joins our Board at a monumental moment for Vistagen, bringing extensive experience and leadership in the biopharmaceutical industry,” said President and Chief Executive Officer, Shawn Singh. “His proven ability to lead complex operational initiatives, across FDA approvals, public offerings, and acquisitions, will be pivotal as we prepare for our next phase of strategic growth. We want to extend our gratitude to Dr. Jerry Gin, who served on our Board beginning in 2016 until his retirement in September of this year.”</w:t>
      </w:r>
    </w:p>
    <w:p>
      <w:pPr>
        <w:spacing w:after="0" w:line="20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Mr. Edick most recently served as the Chairman and Chief Executive Officer of Xeris Pharmaceuticals from January 2017 until his retirement in August 2024, when he moved into a senior advisory role with the company. Before Xeris, he was the Founding Partner of 3G Advisors, a consultancy to the pharmaceutical, healthcare, and healthcare investor communities. From 2010 to 2014, Mr. Edick was the Chief Executive Officer of Durata Therapeutics, which was acquired by Actavis PLC, now Allergan PLC. Prior to Durata, Mr. Edick led several pharmaceutical companies, including Ganic Pharmaceuticals and MedPointe Healthcare. He also has extensive board experience, having served on the boards of Milestone Pharmaceuticals, Iterum Therapeutics, Durata Therapeutics, PDL BioPharma, Neos Therapeutics, NewLink Genetics, Circassia Pharmaceuticals, Sucampo Pharmaceuticals, Life Cycle Pharma, Amerita, and Informed Medical Communications.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 am honored to join this talented and dynamic Board,” said Mr. Edick. “Vistagen has the opportunity to address many unmet mental health needs through its differentiated pipeline of product candidates, and I look forward to supporting the company through its next stage of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4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Headquartered in South San Francisco, CA, Vistagen (Nasdaq: VTGN) is a late clinical-stage biopharmaceutical company leveraging a deep understanding of nose-to-brain neurocircuitry to develop and commercialize a new class of intranasal product candidates called pherines. Pherines specifically and selectively bind as agonists on peripheral receptors on human nasal chemosensory neurons and are designed to rapidly trigger olfactory bulb-to-brain neurocircuits believed to regulate brain areas involved in behavior and autonomic nervous system activity. They are designed to achieve therapeutic benefits without requiring absorption into the blood or uptake into the brain, giving them the potential to be a safer alternative to other pharmacological options if successfully developed and approved.</w:t>
      </w:r>
    </w:p>
    <w:p>
      <w:pPr>
        <w:spacing w:after="0" w:line="2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Vistagen is passionate about developing transformative treatment options to improve the lives of individuals underserved by the current standard of care for multiple highly prevalent indications, including social anxiety</w:t>
      </w:r>
    </w:p>
    <w:p>
      <w:pPr>
        <w:sectPr>
          <w:pgSz w:w="11900" w:h="16838" w:orient="portrait"/>
          <w:cols w:equalWidth="0" w:num="1">
            <w:col w:w="11240"/>
          </w:cols>
          <w:pgMar w:left="320" w:top="364" w:right="339" w:bottom="1440" w:gutter="0" w:footer="0" w:header="0"/>
        </w:sectPr>
      </w:pPr>
    </w:p>
    <w:bookmarkStart w:id="14" w:name="page15"/>
    <w:bookmarkEnd w:id="14"/>
    <w:p>
      <w:pPr>
        <w:ind w:right="560"/>
        <w:spacing w:after="0" w:line="266" w:lineRule="auto"/>
        <w:rPr>
          <w:sz w:val="20"/>
          <w:szCs w:val="20"/>
          <w:color w:val="auto"/>
        </w:rPr>
      </w:pPr>
      <w:r>
        <w:rPr>
          <w:rFonts w:ascii="Times New Roman" w:cs="Times New Roman" w:eastAsia="Times New Roman" w:hAnsi="Times New Roman"/>
          <w:sz w:val="18"/>
          <w:szCs w:val="18"/>
          <w:color w:val="auto"/>
        </w:rPr>
        <w:t>disorder, major depressive disorder, vasomotor symptoms (hot flashes) associated with menopause, and premenstrual dysphoric disorder. Connect at www.Vistagen.com.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This press release contains certain forward-looking statements within the meaning of the federal securities laws, including, without limitation, statements regarding Mr. Edick’s service on the Board and Board committees, and the potential attributes and benefits of Vistagen’s product candidates.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Risks that may impact the outcome of these forward-looking statements are more fully discussed in the section entitled “Risk Factors” in Vistagen’s Annual Report on Form 10-K for the fiscal year ended March 31, 2025, and Quarterly Report on Form 10-Q for the period ended June 30, 2025, as well as discussions of potential risks, uncertainties, and other important factors in Vistagen’s other filings with the U.S. Securities and Exchange Commission (“SEC”). Vistagen’s SEC filings are available on the SEC’s website at </w:t>
      </w:r>
      <w:r>
        <w:rPr>
          <w:rFonts w:ascii="Times New Roman" w:cs="Times New Roman" w:eastAsia="Times New Roman" w:hAnsi="Times New Roman"/>
          <w:sz w:val="18"/>
          <w:szCs w:val="18"/>
          <w:color w:val="0000FF"/>
        </w:rPr>
        <w:t>www.sec.gov</w:t>
      </w:r>
      <w:r>
        <w:rPr>
          <w:rFonts w:ascii="Times New Roman" w:cs="Times New Roman" w:eastAsia="Times New Roman" w:hAnsi="Times New Roman"/>
          <w:sz w:val="18"/>
          <w:szCs w:val="18"/>
          <w:color w:val="auto"/>
        </w:rPr>
        <w:t>.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Inquiries: </w:t>
      </w:r>
      <w:r>
        <w:rPr>
          <w:rFonts w:ascii="Times New Roman" w:cs="Times New Roman" w:eastAsia="Times New Roman" w:hAnsi="Times New Roman"/>
          <w:sz w:val="18"/>
          <w:szCs w:val="18"/>
          <w:color w:val="auto"/>
        </w:rPr>
        <w:t>Mark A. McPartland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markmcp@vistagen.com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Inquiries: </w:t>
      </w:r>
      <w:r>
        <w:rPr>
          <w:rFonts w:ascii="Times New Roman" w:cs="Times New Roman" w:eastAsia="Times New Roman" w:hAnsi="Times New Roman"/>
          <w:sz w:val="18"/>
          <w:szCs w:val="18"/>
          <w:color w:val="auto"/>
        </w:rPr>
        <w:t>Michelle P. Wellington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mwellington@vistagen.com</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lvl w:ilvl="1">
      <w:lvlJc w:val="left"/>
      <w:lvlText w:val="(%2)"/>
      <w:numFmt w:val="lowerLetter"/>
      <w:start w:val="1"/>
    </w:lvl>
  </w:abstractNum>
  <w:abstractNum w:abstractNumId="1">
    <w:nsid w:val="41B71EFB"/>
    <w:multiLevelType w:val="hybridMultilevel"/>
    <w:lvl w:ilvl="0">
      <w:lvlJc w:val="left"/>
      <w:lvlText w:val="%1"/>
      <w:numFmt w:val="decimal"/>
      <w:start w:val="1"/>
    </w:lvl>
    <w:lvl w:ilvl="1">
      <w:lvlJc w:val="left"/>
      <w:lvlText w:val="(%2)"/>
      <w:numFmt w:val="lowerLetter"/>
      <w:start w:val="3"/>
    </w:lvl>
  </w:abstractNum>
  <w:abstractNum w:abstractNumId="2">
    <w:nsid w:val="79E2A9E3"/>
    <w:multiLevelType w:val="hybridMultilevel"/>
    <w:lvl w:ilvl="0">
      <w:lvlJc w:val="left"/>
      <w:lvlText w:val="%1."/>
      <w:numFmt w:val="decimal"/>
      <w:start w:val="2"/>
    </w:lvl>
    <w:lvl w:ilvl="1">
      <w:lvlJc w:val="left"/>
      <w:lvlText w:val="%2"/>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1"/>
    </w:lvl>
    <w:lvl w:ilvl="1">
      <w:lvlJc w:val="left"/>
      <w:lvlText w:val="(%2)"/>
      <w:numFmt w:val="lowerLetter"/>
      <w:start w:val="5"/>
    </w:lvl>
  </w:abstractNum>
  <w:abstractNum w:abstractNumId="5">
    <w:nsid w:val="5BD062C2"/>
    <w:multiLevelType w:val="hybridMultilevel"/>
    <w:lvl w:ilvl="0">
      <w:lvlJc w:val="left"/>
      <w:lvlText w:val="%1."/>
      <w:numFmt w:val="decimal"/>
      <w:start w:val="3"/>
    </w:lvl>
    <w:lvl w:ilvl="1">
      <w:lvlJc w:val="left"/>
      <w:lvlText w:val="(%2)"/>
      <w:numFmt w:val="lowerLetter"/>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4DB127F8"/>
    <w:multiLevelType w:val="hybridMultilevel"/>
    <w:lvl w:ilvl="0">
      <w:lvlJc w:val="left"/>
      <w:lvlText w:val="%1."/>
      <w:numFmt w:val="decimal"/>
      <w:start w:val="5"/>
    </w:lvl>
    <w:lvl w:ilvl="1">
      <w:lvlJc w:val="left"/>
      <w:lvlText w:val="(%2)"/>
      <w:numFmt w:val="lowerLetter"/>
      <w:start w:val="35"/>
    </w:lvl>
    <w:lvl w:ilvl="2">
      <w:lvlJc w:val="left"/>
      <w:lvlText w:val="%3"/>
      <w:numFmt w:val="lowerLetter"/>
      <w:start w:val="1"/>
    </w:lvl>
  </w:abstractNum>
  <w:abstractNum w:abstractNumId="8">
    <w:nsid w:val="216231B"/>
    <w:multiLevelType w:val="hybridMultilevel"/>
    <w:lvl w:ilvl="0">
      <w:lvlJc w:val="left"/>
      <w:lvlText w:val="%1."/>
      <w:numFmt w:val="decimal"/>
      <w:start w:val="6"/>
    </w:lvl>
    <w:lvl w:ilvl="1">
      <w:lvlJc w:val="left"/>
      <w:lvlText w:val="(%2)"/>
      <w:numFmt w:val="lowerLetter"/>
      <w:start w:val="1"/>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2025-10-29T16:52:05Z</dcterms:created>
  <dcterms:modified xsi:type="dcterms:W3CDTF">2025-10-29T16:52:05Z</dcterms:modified>
</cp:coreProperties>
</file>