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sta8k_sep302014.htm"/>
      <w:bookmarkStart w:id="1" w:name="ksvsta8k_sep302014"/>
      <w:bookmarkStart w:id="2" w:name="vsta8k_sep302014.htm"/>
      <w:bookmarkStart w:id="3" w:name="ksvsta8k_sep302014"/>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Date of report (Date of earliest event reported):  </w:t>
      </w:r>
      <w:r>
        <w:rPr>
          <w:rFonts w:ascii="Times New Roman" w:hAnsi="Times New Roman"/>
          <w:sz w:val="20"/>
          <w:u w:val="single"/>
        </w:rPr>
        <w:t>September 30, 2014</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Commission File Number:  </w:t>
      </w:r>
      <w:r>
        <w:rPr>
          <w:rFonts w:ascii="Times New Roman" w:hAnsi="Times New Roman"/>
          <w:sz w:val="20"/>
          <w:u w:val="single"/>
        </w:rPr>
        <w:t>000-54014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36"/>
        </w:rPr>
      </w:pPr>
      <w:r>
        <w:rPr>
          <w:rFonts w:ascii="Times New Roman" w:hAnsi="Times New Roman"/>
          <w:b/>
          <w:sz w:val="36"/>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small business issuer as specified in its charter)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Nevada</w:t>
      </w:r>
    </w:p>
    <w:p>
      <w:pPr>
        <w:pStyle w:val="TextBody"/>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20-5093315</w:t>
      </w:r>
    </w:p>
    <w:p>
      <w:pPr>
        <w:pStyle w:val="TextBody"/>
        <w:spacing w:before="0" w:after="0"/>
        <w:ind w:left="0" w:right="0" w:hanging="0"/>
        <w:jc w:val="center"/>
        <w:rPr>
          <w:rFonts w:ascii="Times New Roman" w:hAnsi="Times New Roman"/>
          <w:sz w:val="20"/>
        </w:rPr>
      </w:pPr>
      <w:r>
        <w:rPr>
          <w:rFonts w:ascii="Times New Roman" w:hAnsi="Times New Roman"/>
          <w:sz w:val="20"/>
        </w:rPr>
        <w:t>(IRS Employer Identification No.)</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343 Allerton Avenue, South San Francisco, California 94080</w:t>
      </w:r>
    </w:p>
    <w:p>
      <w:pPr>
        <w:pStyle w:val="TextBody"/>
        <w:spacing w:before="0" w:after="0"/>
        <w:ind w:left="0" w:right="0" w:hanging="0"/>
        <w:jc w:val="center"/>
        <w:rPr>
          <w:rFonts w:ascii="Times New Roman" w:hAnsi="Times New Roman"/>
          <w:sz w:val="20"/>
        </w:rPr>
      </w:pPr>
      <w:r>
        <w:rPr>
          <w:rFonts w:ascii="Times New Roman" w:hAnsi="Times New Roman"/>
          <w:sz w:val="20"/>
        </w:rPr>
        <w:t>(Address of principal executive offices)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(650) 577-3600</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Not Applicable</w:t>
      </w:r>
    </w:p>
    <w:p>
      <w:pPr>
        <w:pStyle w:val="TextBody"/>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Pre-commencement communications pursuant to Rule 13e-4(c) under the Exchange Act (17 CFR 240.13e-4(c))</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TextBody"/>
        <w:spacing w:before="0" w:after="0"/>
        <w:jc w:val="center"/>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1.01 Entry into a Material Definitive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September 30, 2014, VistaGen Therapeutics, Inc., a Nevada corporation (the “</w:t>
      </w:r>
      <w:r>
        <w:rPr>
          <w:rFonts w:ascii="Times New Roman" w:hAnsi="Times New Roman"/>
          <w:i/>
          <w:sz w:val="20"/>
        </w:rPr>
        <w:t>Company</w:t>
      </w:r>
      <w:r>
        <w:rPr>
          <w:rFonts w:ascii="Times New Roman" w:hAnsi="Times New Roman"/>
          <w:sz w:val="20"/>
        </w:rPr>
        <w:t>”), and Platinum Long Term Growth VII, LLC (“</w:t>
      </w:r>
      <w:r>
        <w:rPr>
          <w:rFonts w:ascii="Times New Roman" w:hAnsi="Times New Roman"/>
          <w:i/>
          <w:sz w:val="20"/>
        </w:rPr>
        <w:t>Platinum</w:t>
      </w:r>
      <w:r>
        <w:rPr>
          <w:rFonts w:ascii="Times New Roman" w:hAnsi="Times New Roman"/>
          <w:sz w:val="20"/>
        </w:rPr>
        <w:t>”) entered into Amendment No. 2 to the Amended and Restated Note Conversion Agreement and Warrant Amendment (the “</w:t>
      </w:r>
      <w:r>
        <w:rPr>
          <w:rFonts w:ascii="Times New Roman" w:hAnsi="Times New Roman"/>
          <w:i/>
          <w:sz w:val="20"/>
        </w:rPr>
        <w:t>Amendment</w:t>
      </w:r>
      <w:r>
        <w:rPr>
          <w:rFonts w:ascii="Times New Roman" w:hAnsi="Times New Roman"/>
          <w:sz w:val="20"/>
        </w:rPr>
        <w:t>”) to extend the date by which the Company is able to consummate a Qualified Financing (defined below) from September 30, 2014 to October 31, 2014. Under the Amendment, in the event that, on or before October 31, 2014, the Company either (i) consummates a public common stock financing transaction resulting in gross proceeds to the Company of at least $10.0 million pursuant to an effective registration statement on file with the SEC, or (ii) completes a private equity financing resulting in gross proceeds of at least $36.0 million (each a “</w:t>
      </w:r>
      <w:r>
        <w:rPr>
          <w:rFonts w:ascii="Times New Roman" w:hAnsi="Times New Roman"/>
          <w:i/>
          <w:sz w:val="20"/>
        </w:rPr>
        <w:t>Qualified Financing</w:t>
      </w:r>
      <w:r>
        <w:rPr>
          <w:rFonts w:ascii="Times New Roman" w:hAnsi="Times New Roman"/>
          <w:sz w:val="20"/>
        </w:rPr>
        <w:t>”), Platinum will convert the entire outstanding balance of principal and accrued interest of all Senior Secured Convertible Promissory Notes currently held by Platinum, in the aggregate amount of approximately $4.2 million, into shares of the Company’s equity securities.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 w:name="TAB1"/>
      <w:bookmarkEnd w:id="4"/>
      <w:r>
        <w:rPr>
          <w:rFonts w:ascii="Times New Roman" w:hAnsi="Times New Roman"/>
          <w:sz w:val="20"/>
        </w:rPr>
        <w:t>The foregoing description of the Amendment and the Amended and Restated Note Conversion Agreement and Warrant Amendment (the “</w:t>
      </w:r>
      <w:r>
        <w:rPr>
          <w:rFonts w:ascii="Times New Roman" w:hAnsi="Times New Roman"/>
          <w:i/>
          <w:sz w:val="20"/>
        </w:rPr>
        <w:t>Agreement</w:t>
      </w:r>
      <w:r>
        <w:rPr>
          <w:rFonts w:ascii="Times New Roman" w:hAnsi="Times New Roman"/>
          <w:sz w:val="20"/>
        </w:rPr>
        <w:t>”) do not purport to be complete, and are qualified in their entirety by reference to the full text of the Amendment, which is attached hereto as Exhibit 10.1, and the Agreement attached as Exhibit 10.1 to the Current Report on Form 8-K filed with the SEC on July 22, 2014, each of which are incorporated by reference herein.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See Exhibit Index.</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 w:name="GLFTR"/>
      <w:bookmarkEnd w:id="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 w:name="PN"/>
      <w:bookmarkEnd w:id="1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 w:name="GLHDR"/>
      <w:bookmarkEnd w:id="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579"/>
        <w:gridCol w:w="523"/>
        <w:gridCol w:w="392"/>
        <w:gridCol w:w="4711"/>
      </w:tblGrid>
      <w:tr>
        <w:trPr/>
        <w:tc>
          <w:tcPr>
            <w:tcW w:w="4579" w:type="dxa"/>
            <w:tcBorders/>
            <w:shd w:fill="auto" w:val="clear"/>
          </w:tcPr>
          <w:p>
            <w:pPr>
              <w:pStyle w:val="TableContents"/>
              <w:spacing w:before="0" w:after="283"/>
              <w:jc w:val="left"/>
              <w:rPr/>
            </w:pPr>
            <w:r>
              <w:rPr/>
              <w:t xml:space="preserve">  </w:t>
            </w:r>
          </w:p>
        </w:tc>
        <w:tc>
          <w:tcPr>
            <w:tcW w:w="523" w:type="dxa"/>
            <w:tcBorders/>
            <w:shd w:fill="auto" w:val="clear"/>
          </w:tcPr>
          <w:p>
            <w:pPr>
              <w:pStyle w:val="TableContents"/>
              <w:spacing w:before="0" w:after="283"/>
              <w:jc w:val="left"/>
              <w:rPr/>
            </w:pPr>
            <w:r>
              <w:rPr/>
              <w:t xml:space="preserve">  </w:t>
            </w:r>
          </w:p>
        </w:tc>
        <w:tc>
          <w:tcPr>
            <w:tcW w:w="5103"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tc>
      </w:tr>
      <w:tr>
        <w:trPr/>
        <w:tc>
          <w:tcPr>
            <w:tcW w:w="4579" w:type="dxa"/>
            <w:tcBorders/>
            <w:shd w:fill="auto" w:val="clear"/>
            <w:vAlign w:val="center"/>
          </w:tcPr>
          <w:p>
            <w:pPr>
              <w:pStyle w:val="TableContents"/>
              <w:spacing w:before="0" w:after="283"/>
              <w:rPr/>
            </w:pPr>
            <w:r>
              <w:rPr/>
              <w:t xml:space="preserve">  </w:t>
            </w:r>
          </w:p>
        </w:tc>
        <w:tc>
          <w:tcPr>
            <w:tcW w:w="523" w:type="dxa"/>
            <w:tcBorders/>
            <w:shd w:fill="auto" w:val="clear"/>
            <w:vAlign w:val="center"/>
          </w:tcPr>
          <w:p>
            <w:pPr>
              <w:pStyle w:val="TableContents"/>
              <w:spacing w:before="0" w:after="283"/>
              <w:rPr/>
            </w:pPr>
            <w:r>
              <w:rPr/>
              <w:t xml:space="preserve">  </w:t>
            </w:r>
          </w:p>
        </w:tc>
        <w:tc>
          <w:tcPr>
            <w:tcW w:w="392" w:type="dxa"/>
            <w:tcBorders/>
            <w:shd w:fill="auto" w:val="clear"/>
            <w:vAlign w:val="center"/>
          </w:tcPr>
          <w:p>
            <w:pPr>
              <w:pStyle w:val="TableContents"/>
              <w:spacing w:before="0" w:after="283"/>
              <w:rPr/>
            </w:pPr>
            <w:r>
              <w:rPr/>
              <w:t xml:space="preserve">  </w:t>
            </w:r>
          </w:p>
        </w:tc>
        <w:tc>
          <w:tcPr>
            <w:tcW w:w="4711" w:type="dxa"/>
            <w:tcBorders/>
            <w:shd w:fill="auto" w:val="clear"/>
            <w:vAlign w:val="center"/>
          </w:tcPr>
          <w:p>
            <w:pPr>
              <w:pStyle w:val="TableContents"/>
              <w:spacing w:before="0" w:after="283"/>
              <w:rPr/>
            </w:pPr>
            <w:r>
              <w:rPr/>
              <w:t xml:space="preserve">  </w:t>
            </w:r>
          </w:p>
        </w:tc>
      </w:tr>
      <w:tr>
        <w:trPr/>
        <w:tc>
          <w:tcPr>
            <w:tcW w:w="457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October 3, 2014</w:t>
            </w:r>
          </w:p>
        </w:tc>
        <w:tc>
          <w:tcPr>
            <w:tcW w:w="523" w:type="dxa"/>
            <w:tcBorders/>
            <w:shd w:fill="auto" w:val="clear"/>
          </w:tcPr>
          <w:p>
            <w:pPr>
              <w:pStyle w:val="TableContents"/>
              <w:spacing w:before="0" w:after="283"/>
              <w:jc w:val="left"/>
              <w:rPr/>
            </w:pPr>
            <w:r>
              <w:rPr/>
              <w:t xml:space="preserve">  </w:t>
            </w:r>
          </w:p>
        </w:tc>
        <w:tc>
          <w:tcPr>
            <w:tcW w:w="3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711" w:type="dxa"/>
            <w:tcBorders>
              <w:bottom w:val="single" w:sz="12" w:space="0" w:color="000000"/>
            </w:tcBorders>
            <w:shd w:fill="auto" w:val="clear"/>
            <w:tcMar>
              <w:bottom w:w="28" w:type="dxa"/>
            </w:tcMar>
            <w:vAlign w:val="center"/>
          </w:tcPr>
          <w:p>
            <w:pPr>
              <w:pStyle w:val="TableContents"/>
              <w:spacing w:before="0" w:after="0"/>
              <w:ind w:left="0" w:right="0" w:hanging="0"/>
              <w:jc w:val="left"/>
              <w:rPr/>
            </w:pPr>
            <w:r>
              <w:rPr/>
              <w:t> </w:t>
            </w:r>
            <w:r>
              <w:rPr>
                <w:rFonts w:ascii="times new roman" w:hAnsi="times new roman"/>
                <w:sz w:val="20"/>
              </w:rPr>
              <w:t>/s/ Shawn K. Singh</w:t>
            </w:r>
          </w:p>
        </w:tc>
      </w:tr>
      <w:tr>
        <w:trPr/>
        <w:tc>
          <w:tcPr>
            <w:tcW w:w="4579" w:type="dxa"/>
            <w:tcBorders/>
            <w:shd w:fill="auto" w:val="clear"/>
          </w:tcPr>
          <w:p>
            <w:pPr>
              <w:pStyle w:val="TableContents"/>
              <w:spacing w:before="0" w:after="283"/>
              <w:jc w:val="left"/>
              <w:rPr/>
            </w:pPr>
            <w:r>
              <w:rPr/>
              <w:t xml:space="preserve">  </w:t>
            </w:r>
          </w:p>
        </w:tc>
        <w:tc>
          <w:tcPr>
            <w:tcW w:w="523" w:type="dxa"/>
            <w:tcBorders/>
            <w:shd w:fill="auto" w:val="clear"/>
          </w:tcPr>
          <w:p>
            <w:pPr>
              <w:pStyle w:val="TableContents"/>
              <w:spacing w:before="0" w:after="283"/>
              <w:jc w:val="left"/>
              <w:rPr/>
            </w:pPr>
            <w:r>
              <w:rPr/>
              <w:t xml:space="preserve">  </w:t>
            </w:r>
          </w:p>
        </w:tc>
        <w:tc>
          <w:tcPr>
            <w:tcW w:w="392" w:type="dxa"/>
            <w:tcBorders/>
            <w:shd w:fill="auto" w:val="clear"/>
          </w:tcPr>
          <w:p>
            <w:pPr>
              <w:pStyle w:val="TableContents"/>
              <w:spacing w:before="0" w:after="283"/>
              <w:jc w:val="left"/>
              <w:rPr/>
            </w:pPr>
            <w:r>
              <w:rPr/>
              <w:t xml:space="preserve">  </w:t>
            </w:r>
          </w:p>
        </w:tc>
        <w:tc>
          <w:tcPr>
            <w:tcW w:w="471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Shawn K. Singh</w:t>
            </w:r>
          </w:p>
        </w:tc>
      </w:tr>
      <w:tr>
        <w:trPr/>
        <w:tc>
          <w:tcPr>
            <w:tcW w:w="4579" w:type="dxa"/>
            <w:tcBorders/>
            <w:shd w:fill="auto" w:val="clear"/>
          </w:tcPr>
          <w:p>
            <w:pPr>
              <w:pStyle w:val="TableContents"/>
              <w:spacing w:before="0" w:after="283"/>
              <w:jc w:val="left"/>
              <w:rPr/>
            </w:pPr>
            <w:r>
              <w:rPr/>
              <w:t xml:space="preserve">  </w:t>
            </w:r>
          </w:p>
        </w:tc>
        <w:tc>
          <w:tcPr>
            <w:tcW w:w="523" w:type="dxa"/>
            <w:tcBorders/>
            <w:shd w:fill="auto" w:val="clear"/>
            <w:vAlign w:val="bottom"/>
          </w:tcPr>
          <w:p>
            <w:pPr>
              <w:pStyle w:val="TableContents"/>
              <w:spacing w:before="0" w:after="283"/>
              <w:jc w:val="left"/>
              <w:rPr/>
            </w:pPr>
            <w:r>
              <w:rPr/>
              <w:t xml:space="preserve">  </w:t>
            </w:r>
          </w:p>
        </w:tc>
        <w:tc>
          <w:tcPr>
            <w:tcW w:w="392" w:type="dxa"/>
            <w:tcBorders/>
            <w:shd w:fill="auto" w:val="clear"/>
          </w:tcPr>
          <w:p>
            <w:pPr>
              <w:pStyle w:val="TableContents"/>
              <w:spacing w:before="0" w:after="283"/>
              <w:jc w:val="left"/>
              <w:rPr/>
            </w:pPr>
            <w:r>
              <w:rPr/>
              <w:t xml:space="preserve">  </w:t>
            </w:r>
          </w:p>
        </w:tc>
        <w:tc>
          <w:tcPr>
            <w:tcW w:w="471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4" w:name="PGBRK1"/>
      <w:bookmarkStart w:id="15" w:name="PGBRK1"/>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6" w:name="FTR1"/>
      <w:bookmarkStart w:id="17" w:name="FTR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8" w:name="GLFTR1"/>
      <w:bookmarkEnd w:id="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 w:name="PN1"/>
      <w:bookmarkEnd w:id="1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0" w:name="HDR1"/>
      <w:bookmarkStart w:id="21" w:name="HDR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2" w:name="GLHDR1"/>
      <w:bookmarkEnd w:id="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192"/>
        <w:gridCol w:w="264"/>
        <w:gridCol w:w="8749"/>
      </w:tblGrid>
      <w:tr>
        <w:trPr/>
        <w:tc>
          <w:tcPr>
            <w:tcW w:w="1192"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Exhibit Number</w:t>
            </w:r>
          </w:p>
        </w:tc>
        <w:tc>
          <w:tcPr>
            <w:tcW w:w="264" w:type="dxa"/>
            <w:tcBorders/>
            <w:shd w:fill="auto" w:val="clear"/>
            <w:tcMar>
              <w:bottom w:w="0" w:type="dxa"/>
            </w:tcMar>
            <w:vAlign w:val="center"/>
          </w:tcPr>
          <w:p>
            <w:pPr>
              <w:pStyle w:val="TableContents"/>
              <w:spacing w:before="0" w:after="283"/>
              <w:rPr/>
            </w:pPr>
            <w:r>
              <w:rPr/>
              <w:t xml:space="preserve">  </w:t>
            </w:r>
          </w:p>
        </w:tc>
        <w:tc>
          <w:tcPr>
            <w:tcW w:w="8749"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r>
      <w:tr>
        <w:trPr/>
        <w:tc>
          <w:tcPr>
            <w:tcW w:w="1192"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w:t>
            </w:r>
          </w:p>
        </w:tc>
        <w:tc>
          <w:tcPr>
            <w:tcW w:w="264" w:type="dxa"/>
            <w:tcBorders/>
            <w:shd w:fill="CCEEFF" w:val="clear"/>
            <w:tcMar>
              <w:bottom w:w="0" w:type="dxa"/>
            </w:tcMar>
          </w:tcPr>
          <w:p>
            <w:pPr>
              <w:pStyle w:val="TableContents"/>
              <w:spacing w:before="0" w:after="283"/>
              <w:rPr/>
            </w:pPr>
            <w:r>
              <w:rPr/>
              <w:t xml:space="preserve">  </w:t>
            </w:r>
          </w:p>
        </w:tc>
        <w:tc>
          <w:tcPr>
            <w:tcW w:w="8749"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 No. 2 to Amended and Restated Note Conversion Agreement and Warrant Amendment, by and between VistaGen Therapeutics, Inc. and Platinum Long Term Growth VII, LLC, dated September 30, 2014.</w:t>
            </w:r>
          </w:p>
        </w:tc>
      </w:tr>
    </w:tbl>
    <w:p>
      <w:pPr>
        <w:pStyle w:val="TextBody"/>
        <w:spacing w:before="0" w:after="0"/>
        <w:ind w:left="0" w:right="0" w:hanging="0"/>
        <w:rPr/>
      </w:pPr>
      <w:r>
        <w:rPr/>
      </w:r>
    </w:p>
    <w:p>
      <w:pPr>
        <w:pStyle w:val="TextBody"/>
        <w:ind w:left="0" w:right="0" w:hanging="0"/>
        <w:rPr/>
      </w:pPr>
      <w:r>
        <w:rPr/>
        <w:br/>
        <w:t> </w:t>
      </w:r>
      <w:r>
        <w:br w:type="page"/>
      </w:r>
    </w:p>
    <w:p>
      <w:pPr>
        <w:pStyle w:val="TextBody"/>
        <w:spacing w:before="0" w:after="0"/>
        <w:jc w:val="right"/>
        <w:rPr>
          <w:b/>
        </w:rPr>
      </w:pPr>
      <w:bookmarkStart w:id="23" w:name="ex10-1.htm"/>
      <w:bookmarkStart w:id="24" w:name="ksex101"/>
      <w:bookmarkEnd w:id="23"/>
      <w:bookmarkEnd w:id="24"/>
      <w:r>
        <w:rPr>
          <w:b/>
        </w:rPr>
        <w:t>Exhibit 10.1</w:t>
      </w:r>
    </w:p>
    <w:p>
      <w:pPr>
        <w:pStyle w:val="TextBody"/>
        <w:spacing w:before="0" w:after="0"/>
        <w:jc w:val="center"/>
        <w:rPr/>
      </w:pPr>
      <w:r>
        <w:rPr>
          <w:b/>
        </w:rPr>
        <w:br/>
      </w:r>
      <w:r>
        <w:rPr>
          <w:rFonts w:ascii="Times New Roman" w:hAnsi="Times New Roman"/>
          <w:b/>
          <w:sz w:val="20"/>
        </w:rPr>
        <w:t>AMENDMENT NO. 2</w:t>
      </w:r>
    </w:p>
    <w:p>
      <w:pPr>
        <w:pStyle w:val="TextBody"/>
        <w:spacing w:before="0" w:after="0"/>
        <w:ind w:left="0" w:right="0" w:hanging="0"/>
        <w:jc w:val="center"/>
        <w:rPr>
          <w:rFonts w:ascii="Times New Roman" w:hAnsi="Times New Roman"/>
          <w:b/>
          <w:sz w:val="20"/>
        </w:rPr>
      </w:pPr>
      <w:r>
        <w:rPr>
          <w:rFonts w:ascii="Times New Roman" w:hAnsi="Times New Roman"/>
          <w:b/>
          <w:sz w:val="20"/>
        </w:rPr>
        <w:t>TO</w:t>
      </w:r>
    </w:p>
    <w:p>
      <w:pPr>
        <w:pStyle w:val="TextBody"/>
        <w:spacing w:before="0" w:after="0"/>
        <w:ind w:left="0" w:right="0" w:hanging="0"/>
        <w:jc w:val="center"/>
        <w:rPr>
          <w:rFonts w:ascii="Times New Roman" w:hAnsi="Times New Roman"/>
          <w:b/>
          <w:sz w:val="20"/>
        </w:rPr>
      </w:pPr>
      <w:r>
        <w:rPr>
          <w:rFonts w:ascii="Times New Roman" w:hAnsi="Times New Roman"/>
          <w:b/>
          <w:sz w:val="20"/>
        </w:rPr>
        <w:t>AMENDED AND RESTATED</w:t>
      </w:r>
    </w:p>
    <w:p>
      <w:pPr>
        <w:pStyle w:val="TextBody"/>
        <w:spacing w:before="0" w:after="0"/>
        <w:ind w:left="0" w:right="0" w:hanging="0"/>
        <w:jc w:val="center"/>
        <w:rPr>
          <w:rFonts w:ascii="Times New Roman" w:hAnsi="Times New Roman"/>
          <w:b/>
          <w:sz w:val="20"/>
        </w:rPr>
      </w:pPr>
      <w:r>
        <w:rPr>
          <w:rFonts w:ascii="Times New Roman" w:hAnsi="Times New Roman"/>
          <w:b/>
          <w:sz w:val="20"/>
        </w:rPr>
        <w:t>NOTE CONVERSION AGREEMENT</w:t>
      </w:r>
    </w:p>
    <w:p>
      <w:pPr>
        <w:pStyle w:val="TextBody"/>
        <w:spacing w:before="0" w:after="0"/>
        <w:ind w:left="0" w:right="0" w:hanging="0"/>
        <w:jc w:val="center"/>
        <w:rPr>
          <w:rFonts w:ascii="Times New Roman" w:hAnsi="Times New Roman"/>
          <w:b/>
          <w:sz w:val="20"/>
        </w:rPr>
      </w:pPr>
      <w:r>
        <w:rPr>
          <w:rFonts w:ascii="Times New Roman" w:hAnsi="Times New Roman"/>
          <w:b/>
          <w:sz w:val="20"/>
        </w:rPr>
        <w:t>AND</w:t>
      </w:r>
    </w:p>
    <w:p>
      <w:pPr>
        <w:pStyle w:val="TextBody"/>
        <w:spacing w:before="0" w:after="0"/>
        <w:ind w:left="0" w:right="0" w:hanging="0"/>
        <w:jc w:val="center"/>
        <w:rPr>
          <w:rFonts w:ascii="Times New Roman" w:hAnsi="Times New Roman"/>
          <w:b/>
          <w:sz w:val="20"/>
        </w:rPr>
      </w:pPr>
      <w:r>
        <w:rPr>
          <w:rFonts w:ascii="Times New Roman" w:hAnsi="Times New Roman"/>
          <w:b/>
          <w:sz w:val="20"/>
        </w:rPr>
        <w:t>WARRANT AMENDMENT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THIS AMENDMENT NO. 2 TO AMENDED AND RESTATED NOTE CONVERSION AGREEMENT</w:t>
      </w:r>
      <w:r>
        <w:rPr>
          <w:rFonts w:ascii="Times New Roman" w:hAnsi="Times New Roman"/>
          <w:sz w:val="20"/>
        </w:rPr>
        <w:t xml:space="preserve"> </w:t>
      </w:r>
      <w:r>
        <w:rPr>
          <w:rFonts w:ascii="Times New Roman" w:hAnsi="Times New Roman"/>
          <w:b/>
          <w:sz w:val="20"/>
        </w:rPr>
        <w:t>AND WARRANT AMENDMENT</w:t>
      </w:r>
      <w:r>
        <w:rPr>
          <w:rFonts w:ascii="Times New Roman" w:hAnsi="Times New Roman"/>
          <w:sz w:val="20"/>
        </w:rPr>
        <w:t xml:space="preserve"> (this “</w:t>
      </w:r>
      <w:r>
        <w:rPr>
          <w:rFonts w:ascii="Times New Roman" w:hAnsi="Times New Roman"/>
          <w:i/>
          <w:sz w:val="20"/>
        </w:rPr>
        <w:t>Agreement</w:t>
      </w:r>
      <w:r>
        <w:rPr>
          <w:rFonts w:ascii="Times New Roman" w:hAnsi="Times New Roman"/>
          <w:sz w:val="20"/>
        </w:rPr>
        <w:t>”) is entered into on September 30, 2014, by and between VistaGen Therapeutics, Inc., a Nevada corporation (the “</w:t>
      </w:r>
      <w:r>
        <w:rPr>
          <w:rFonts w:ascii="Times New Roman" w:hAnsi="Times New Roman"/>
          <w:i/>
          <w:sz w:val="20"/>
        </w:rPr>
        <w:t>Company</w:t>
      </w:r>
      <w:r>
        <w:rPr>
          <w:rFonts w:ascii="Times New Roman" w:hAnsi="Times New Roman"/>
          <w:sz w:val="20"/>
        </w:rPr>
        <w:t>”), and Platinum Long Term Growth VII, LLC, a Delaware limited liability company (“</w:t>
      </w:r>
      <w:r>
        <w:rPr>
          <w:rFonts w:ascii="Times New Roman" w:hAnsi="Times New Roman"/>
          <w:i/>
          <w:sz w:val="20"/>
        </w:rPr>
        <w:t>Platinum</w:t>
      </w:r>
      <w:r>
        <w:rPr>
          <w:rFonts w:ascii="Times New Roman" w:hAnsi="Times New Roman"/>
          <w:sz w:val="20"/>
        </w:rPr>
        <w: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the parties entered into an Amended and Restated Note Conversion Agreement and Warrant Amendment on July 18, 2014 (“</w:t>
      </w:r>
      <w:r>
        <w:rPr>
          <w:rFonts w:ascii="Times New Roman" w:hAnsi="Times New Roman"/>
          <w:i/>
          <w:sz w:val="20"/>
        </w:rPr>
        <w:t>Amendment</w:t>
      </w:r>
      <w:r>
        <w:rPr>
          <w:rFonts w:ascii="Times New Roman" w:hAnsi="Times New Roman"/>
          <w:sz w:val="20"/>
        </w:rPr>
        <w:t>”), which Amendment amends and restates that certain Note Conversion Agreement, dated April 4, 2013, and amends certain warrants issued to Platinum prior to the date of the Amendment, each as more particularly set forth in the Amendment; and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 xml:space="preserve">WHEREAS, </w:t>
      </w:r>
      <w:r>
        <w:rPr>
          <w:rFonts w:ascii="Times New Roman" w:hAnsi="Times New Roman"/>
          <w:sz w:val="20"/>
        </w:rPr>
        <w:t>the parties further amended the Amendment pursuant to Amendment No. 1 to Amended and Restated Note Conversion Agreement and Warrant Amendment, dated September 2, 2014 (“</w:t>
      </w:r>
      <w:r>
        <w:rPr>
          <w:rFonts w:ascii="Times New Roman" w:hAnsi="Times New Roman"/>
          <w:i/>
          <w:sz w:val="20"/>
        </w:rPr>
        <w:t>Amendment No. 1</w:t>
      </w:r>
      <w:r>
        <w:rPr>
          <w:rFonts w:ascii="Times New Roman" w:hAnsi="Times New Roman"/>
          <w:sz w:val="20"/>
        </w:rPr>
        <w:t>”), pursuant to which the parties agreed to extend the date upon which the Company is able to consummate a Qualified Financing, as such term is defined in the Amendment, to September 30, 2014;</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the parties agree to amend the Amendment, as amended by Amendment No. 1, as more particularly set forth below, in order to further extend the date upon which the Company is able to consummate a Qualified Financing, as such term is defined in the Amendment.</w:t>
      </w:r>
    </w:p>
    <w:p>
      <w:pPr>
        <w:pStyle w:val="TextBody"/>
        <w:spacing w:before="0" w:after="0"/>
        <w:ind w:left="0" w:right="0" w:hanging="0"/>
        <w:rPr/>
      </w:pPr>
      <w:r>
        <w:rPr/>
      </w:r>
    </w:p>
    <w:p>
      <w:pPr>
        <w:pStyle w:val="TextBody"/>
        <w:spacing w:before="0" w:after="0"/>
        <w:ind w:left="0" w:right="0" w:firstLine="720"/>
        <w:jc w:val="both"/>
        <w:rPr/>
      </w:pPr>
      <w:r>
        <w:rPr/>
        <w:t> </w:t>
      </w:r>
      <w:r>
        <w:rPr>
          <w:rFonts w:ascii="Times New Roman" w:hAnsi="Times New Roman"/>
          <w:b/>
          <w:sz w:val="20"/>
        </w:rPr>
        <w:t>NOW, THEREFORE</w:t>
      </w:r>
      <w:r>
        <w:rPr>
          <w:rFonts w:ascii="Times New Roman" w:hAnsi="Times New Roman"/>
          <w:sz w:val="20"/>
        </w:rPr>
        <w:t>, for and in consideration of the mutual agreements set forth herein, the parties hereto agree as follows: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            The definition of “Closing Date”, as such term is defined in Section 1 of the Amendment, shall be revised to October 31, 2014, and each reference to August 31, 2014 in the Amendment shall be amended and replaced with October 31, 2014.</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2.           The provisions of the Amendment, as modified herein, shall remain in full force and effect in accordance with its terms and are hereby ratified and confirmed.  Platinum does not in any way waive the Company’s obligations to comply with any of the provisions, covenants and terms of the Amendment (as amended hereby) and the other agreements referred to in the Amendment.  This Agreement shall be governed by the laws of the State of New York without regard to the conflict of laws provisions thereof.</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3.           As a result of the execution of this Agreement, the parties agree and acknowledge that Amendment No. 1 shall terminate and be of no further force and effect.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[REMAINDER OF PAGE INTENTIONALLY LEFT BLANK]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 w:name="PGBRK2"/>
      <w:bookmarkStart w:id="26" w:name="PGBRK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FTR2"/>
      <w:bookmarkStart w:id="28" w:name="FTR2"/>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 w:name="GLFTR2"/>
      <w:bookmarkEnd w:id="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 w:name="PN2"/>
      <w:bookmarkEnd w:id="3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HDR2"/>
      <w:bookmarkStart w:id="32" w:name="HD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 w:name="GLHDR2"/>
      <w:bookmarkEnd w:id="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signed this instrument as of the date first set forth above.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39"/>
        <w:gridCol w:w="380"/>
        <w:gridCol w:w="253"/>
        <w:gridCol w:w="5233"/>
      </w:tblGrid>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tc>
      </w:tr>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343 Allerton Avenue</w:t>
            </w:r>
          </w:p>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California 94080</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Shawn K. Singh</w:t>
            </w:r>
          </w:p>
          <w:p>
            <w:pPr>
              <w:pStyle w:val="TableContents"/>
              <w:spacing w:before="0" w:after="0"/>
              <w:ind w:left="0" w:right="0" w:hanging="0"/>
              <w:jc w:val="left"/>
              <w:rPr>
                <w:rFonts w:ascii="times new roman" w:hAnsi="times new roman"/>
                <w:sz w:val="20"/>
              </w:rPr>
            </w:pPr>
            <w:r>
              <w:rPr>
                <w:rFonts w:ascii="times new roman" w:hAnsi="times new roman"/>
                <w:sz w:val="20"/>
              </w:rPr>
              <w:t>Name: Shawn K. Singh</w:t>
            </w:r>
          </w:p>
          <w:p>
            <w:pPr>
              <w:pStyle w:val="TableContents"/>
              <w:spacing w:before="0" w:after="0"/>
              <w:ind w:left="0" w:right="0" w:hanging="0"/>
              <w:jc w:val="left"/>
              <w:rPr>
                <w:rFonts w:ascii="times new roman" w:hAnsi="times new roman"/>
                <w:sz w:val="20"/>
              </w:rPr>
            </w:pPr>
            <w:r>
              <w:rPr>
                <w:rFonts w:ascii="times new roman" w:hAnsi="times new roman"/>
                <w:sz w:val="20"/>
              </w:rPr>
              <w:t>Title: Chief Executive Officer</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PLATINUM LONG TERM GROWTH VII, LLC</w:t>
            </w:r>
          </w:p>
        </w:tc>
      </w:tr>
      <w:tr>
        <w:trPr/>
        <w:tc>
          <w:tcPr>
            <w:tcW w:w="4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152 West 57th Street, 4th Floor</w:t>
            </w:r>
          </w:p>
          <w:p>
            <w:pPr>
              <w:pStyle w:val="TableContents"/>
              <w:spacing w:before="0" w:after="0"/>
              <w:ind w:left="0" w:right="0" w:hanging="0"/>
              <w:jc w:val="left"/>
              <w:rPr>
                <w:rFonts w:ascii="times new roman" w:hAnsi="times new roman"/>
                <w:sz w:val="20"/>
              </w:rPr>
            </w:pPr>
            <w:r>
              <w:rPr>
                <w:rFonts w:ascii="times new roman" w:hAnsi="times new roman"/>
                <w:sz w:val="20"/>
              </w:rPr>
              <w:t>New York, NY 10019</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Mark Nordlicht</w:t>
            </w:r>
          </w:p>
          <w:p>
            <w:pPr>
              <w:pStyle w:val="TableContents"/>
              <w:spacing w:before="0" w:after="0"/>
              <w:ind w:left="0" w:right="0" w:hanging="0"/>
              <w:jc w:val="left"/>
              <w:rPr>
                <w:rFonts w:ascii="times new roman" w:hAnsi="times new roman"/>
                <w:sz w:val="20"/>
              </w:rPr>
            </w:pPr>
            <w:r>
              <w:rPr>
                <w:rFonts w:ascii="times new roman" w:hAnsi="times new roman"/>
                <w:sz w:val="20"/>
              </w:rPr>
              <w:t>Name: Mark Nordlicht</w:t>
            </w:r>
          </w:p>
          <w:p>
            <w:pPr>
              <w:pStyle w:val="TableContents"/>
              <w:spacing w:before="0" w:after="0"/>
              <w:ind w:left="0" w:right="0" w:hanging="0"/>
              <w:jc w:val="left"/>
              <w:rPr>
                <w:rFonts w:ascii="times new roman" w:hAnsi="times new roman"/>
                <w:sz w:val="20"/>
              </w:rPr>
            </w:pPr>
            <w:r>
              <w:rPr>
                <w:rFonts w:ascii="times new roman" w:hAnsi="times new roman"/>
                <w:sz w:val="20"/>
              </w:rPr>
              <w:t>Title: Authorized Signatory</w:t>
            </w:r>
          </w:p>
        </w:tc>
      </w:tr>
      <w:tr>
        <w:trPr/>
        <w:tc>
          <w:tcPr>
            <w:tcW w:w="4339" w:type="dxa"/>
            <w:tcBorders/>
            <w:shd w:fill="auto" w:val="clear"/>
          </w:tcPr>
          <w:p>
            <w:pPr>
              <w:pStyle w:val="TableContents"/>
              <w:spacing w:before="0" w:after="283"/>
              <w:rPr/>
            </w:pPr>
            <w:r>
              <w:rPr/>
              <w:t xml:space="preserve">  </w:t>
            </w:r>
          </w:p>
        </w:tc>
        <w:tc>
          <w:tcPr>
            <w:tcW w:w="380" w:type="dxa"/>
            <w:tcBorders/>
            <w:shd w:fill="auto" w:val="clear"/>
          </w:tcPr>
          <w:p>
            <w:pPr>
              <w:pStyle w:val="TableContents"/>
              <w:spacing w:before="0" w:after="283"/>
              <w:rPr/>
            </w:pPr>
            <w:r>
              <w:rPr/>
              <w:t xml:space="preserve">  </w:t>
            </w:r>
          </w:p>
        </w:tc>
        <w:tc>
          <w:tcPr>
            <w:tcW w:w="253" w:type="dxa"/>
            <w:tcBorders/>
            <w:shd w:fill="auto" w:val="clear"/>
          </w:tcPr>
          <w:p>
            <w:pPr>
              <w:pStyle w:val="TableContents"/>
              <w:spacing w:before="0" w:after="283"/>
              <w:rPr/>
            </w:pPr>
            <w:r>
              <w:rPr/>
              <w:t xml:space="preserve">  </w:t>
            </w:r>
          </w:p>
        </w:tc>
        <w:tc>
          <w:tcPr>
            <w:tcW w:w="5233"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[Signature Page to Amendment No. 2 to Amended and Restated Note Conversion Agreement and Warrant Amendment]</w:t>
      </w:r>
    </w:p>
    <w:p>
      <w:pPr>
        <w:pStyle w:val="TextBody"/>
        <w:spacing w:before="0" w:after="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1033</Words>
  <CharactersWithSpaces>6682</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