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1260" w:hanging="989"/>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3" w:lineRule="exact"/>
        <w:rPr>
          <w:sz w:val="24"/>
          <w:szCs w:val="24"/>
          <w:color w:val="auto"/>
        </w:rPr>
      </w:pPr>
    </w:p>
    <w:p>
      <w:pPr>
        <w:ind w:left="1260" w:hanging="989"/>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8" w:lineRule="exact"/>
        <w:rPr>
          <w:sz w:val="24"/>
          <w:szCs w:val="24"/>
          <w:color w:val="auto"/>
        </w:rPr>
      </w:pPr>
    </w:p>
    <w:tbl>
      <w:tblPr>
        <w:tblLayout w:type="fixed"/>
        <w:tblInd w:w="146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2740" w:type="dxa"/>
            <w:vAlign w:val="bottom"/>
          </w:tcPr>
          <w:p>
            <w:pPr>
              <w:jc w:val="right"/>
              <w:ind w:right="255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1"/>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6"/>
          </w:tcPr>
          <w:p>
            <w:pPr>
              <w:jc w:val="center"/>
              <w:ind w:right="2000"/>
              <w:spacing w:after="0"/>
              <w:rPr>
                <w:sz w:val="20"/>
                <w:szCs w:val="20"/>
                <w:color w:val="auto"/>
              </w:rPr>
            </w:pPr>
            <w:r>
              <w:rPr>
                <w:rFonts w:ascii="Arial" w:cs="Arial" w:eastAsia="Arial" w:hAnsi="Arial"/>
                <w:sz w:val="18"/>
                <w:szCs w:val="18"/>
                <w:b w:val="1"/>
                <w:bCs w:val="1"/>
                <w:color w:val="auto"/>
                <w:w w:val="88"/>
              </w:rPr>
              <w:t>Commission File Number: 001-37761</w:t>
            </w:r>
          </w:p>
        </w:tc>
      </w:tr>
      <w:tr>
        <w:trPr>
          <w:trHeight w:val="574"/>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520" w:type="dxa"/>
            <w:vAlign w:val="bottom"/>
            <w:gridSpan w:val="8"/>
          </w:tcPr>
          <w:p>
            <w:pPr>
              <w:jc w:val="center"/>
              <w:ind w:right="1160"/>
              <w:spacing w:after="0"/>
              <w:rPr>
                <w:sz w:val="20"/>
                <w:szCs w:val="20"/>
                <w:color w:val="auto"/>
              </w:rPr>
            </w:pPr>
            <w:r>
              <w:rPr>
                <w:rFonts w:ascii="Arial" w:cs="Arial" w:eastAsia="Arial" w:hAnsi="Arial"/>
                <w:sz w:val="32"/>
                <w:szCs w:val="32"/>
                <w:b w:val="1"/>
                <w:bCs w:val="1"/>
                <w:color w:val="auto"/>
                <w:w w:val="92"/>
              </w:rPr>
              <w:t>VistaGen Therapeutics, Inc.</w:t>
            </w:r>
          </w:p>
        </w:tc>
      </w:tr>
      <w:tr>
        <w:trPr>
          <w:trHeight w:val="210"/>
        </w:trPr>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00" w:type="dxa"/>
            <w:vAlign w:val="bottom"/>
            <w:gridSpan w:val="6"/>
          </w:tcPr>
          <w:p>
            <w:pPr>
              <w:jc w:val="center"/>
              <w:ind w:right="2000"/>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190"/>
        </w:trPr>
        <w:tc>
          <w:tcPr>
            <w:tcW w:w="1000" w:type="dxa"/>
            <w:vAlign w:val="bottom"/>
          </w:tcPr>
          <w:p>
            <w:pPr>
              <w:spacing w:after="0"/>
              <w:rPr>
                <w:sz w:val="16"/>
                <w:szCs w:val="16"/>
                <w:color w:val="auto"/>
              </w:rPr>
            </w:pPr>
          </w:p>
        </w:tc>
        <w:tc>
          <w:tcPr>
            <w:tcW w:w="58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90"/>
              </w:rPr>
              <w:t>Nevada</w:t>
            </w:r>
          </w:p>
        </w:tc>
        <w:tc>
          <w:tcPr>
            <w:tcW w:w="82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40" w:type="dxa"/>
            <w:vAlign w:val="bottom"/>
            <w:gridSpan w:val="3"/>
          </w:tcPr>
          <w:p>
            <w:pPr>
              <w:jc w:val="center"/>
              <w:ind w:left="3512"/>
              <w:spacing w:after="0" w:line="190" w:lineRule="exact"/>
              <w:rPr>
                <w:sz w:val="20"/>
                <w:szCs w:val="20"/>
                <w:color w:val="auto"/>
              </w:rPr>
            </w:pPr>
            <w:r>
              <w:rPr>
                <w:rFonts w:ascii="Arial" w:cs="Arial" w:eastAsia="Arial" w:hAnsi="Arial"/>
                <w:sz w:val="18"/>
                <w:szCs w:val="18"/>
                <w:b w:val="1"/>
                <w:bCs w:val="1"/>
                <w:color w:val="auto"/>
                <w:w w:val="87"/>
              </w:rPr>
              <w:t>20-5093315</w:t>
            </w:r>
          </w:p>
        </w:tc>
        <w:tc>
          <w:tcPr>
            <w:tcW w:w="2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8"/>
        </w:trPr>
        <w:tc>
          <w:tcPr>
            <w:tcW w:w="2400" w:type="dxa"/>
            <w:vAlign w:val="bottom"/>
            <w:gridSpan w:val="4"/>
          </w:tcPr>
          <w:p>
            <w:pPr>
              <w:jc w:val="center"/>
              <w:ind w:left="92"/>
              <w:spacing w:after="0"/>
              <w:rPr>
                <w:sz w:val="20"/>
                <w:szCs w:val="20"/>
                <w:color w:val="auto"/>
              </w:rPr>
            </w:pPr>
            <w:r>
              <w:rPr>
                <w:rFonts w:ascii="Arial" w:cs="Arial" w:eastAsia="Arial" w:hAnsi="Arial"/>
                <w:sz w:val="18"/>
                <w:szCs w:val="18"/>
                <w:i w:val="1"/>
                <w:iCs w:val="1"/>
                <w:color w:val="auto"/>
                <w:w w:val="91"/>
              </w:rPr>
              <w:t>(State or other jurisdiction of</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0" w:type="dxa"/>
            <w:vAlign w:val="bottom"/>
            <w:gridSpan w:val="3"/>
          </w:tcPr>
          <w:p>
            <w:pPr>
              <w:jc w:val="center"/>
              <w:ind w:left="2412"/>
              <w:spacing w:after="0"/>
              <w:rPr>
                <w:sz w:val="20"/>
                <w:szCs w:val="20"/>
                <w:color w:val="auto"/>
              </w:rPr>
            </w:pPr>
            <w:r>
              <w:rPr>
                <w:rFonts w:ascii="Arial" w:cs="Arial" w:eastAsia="Arial" w:hAnsi="Arial"/>
                <w:sz w:val="18"/>
                <w:szCs w:val="18"/>
                <w:i w:val="1"/>
                <w:iCs w:val="1"/>
                <w:color w:val="auto"/>
                <w:w w:val="89"/>
              </w:rPr>
              <w:t>(I.R.S. Employer</w:t>
            </w:r>
          </w:p>
        </w:tc>
      </w:tr>
      <w:tr>
        <w:trPr>
          <w:trHeight w:val="222"/>
        </w:trPr>
        <w:tc>
          <w:tcPr>
            <w:tcW w:w="2400" w:type="dxa"/>
            <w:vAlign w:val="bottom"/>
            <w:gridSpan w:val="4"/>
          </w:tcPr>
          <w:p>
            <w:pPr>
              <w:jc w:val="center"/>
              <w:ind w:left="92"/>
              <w:spacing w:after="0"/>
              <w:rPr>
                <w:sz w:val="20"/>
                <w:szCs w:val="20"/>
                <w:color w:val="auto"/>
              </w:rPr>
            </w:pPr>
            <w:r>
              <w:rPr>
                <w:rFonts w:ascii="Arial" w:cs="Arial" w:eastAsia="Arial" w:hAnsi="Arial"/>
                <w:sz w:val="18"/>
                <w:szCs w:val="18"/>
                <w:i w:val="1"/>
                <w:iCs w:val="1"/>
                <w:color w:val="auto"/>
                <w:w w:val="93"/>
              </w:rPr>
              <w:t>incorporation or organization)</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0" w:type="dxa"/>
            <w:vAlign w:val="bottom"/>
            <w:gridSpan w:val="3"/>
          </w:tcPr>
          <w:p>
            <w:pPr>
              <w:jc w:val="center"/>
              <w:ind w:left="2412"/>
              <w:spacing w:after="0"/>
              <w:rPr>
                <w:sz w:val="20"/>
                <w:szCs w:val="20"/>
                <w:color w:val="auto"/>
              </w:rPr>
            </w:pPr>
            <w:r>
              <w:rPr>
                <w:rFonts w:ascii="Arial" w:cs="Arial" w:eastAsia="Arial" w:hAnsi="Arial"/>
                <w:sz w:val="18"/>
                <w:szCs w:val="18"/>
                <w:i w:val="1"/>
                <w:iCs w:val="1"/>
                <w:color w:val="auto"/>
                <w:w w:val="92"/>
              </w:rPr>
              <w:t>Identification No.)</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343 Allerton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9"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440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4400" w:type="dxa"/>
            <w:vAlign w:val="bottom"/>
          </w:tcPr>
          <w:p>
            <w:pPr>
              <w:ind w:left="1700"/>
              <w:spacing w:after="0"/>
              <w:rPr>
                <w:sz w:val="20"/>
                <w:szCs w:val="20"/>
                <w:color w:val="auto"/>
              </w:rPr>
            </w:pPr>
            <w:r>
              <w:rPr>
                <w:rFonts w:ascii="Arial" w:cs="Arial" w:eastAsia="Arial" w:hAnsi="Arial"/>
                <w:sz w:val="18"/>
                <w:szCs w:val="18"/>
                <w:color w:val="auto"/>
              </w:rPr>
              <w:t>Smaller reporting company</w:t>
            </w:r>
          </w:p>
        </w:tc>
        <w:tc>
          <w:tcPr>
            <w:tcW w:w="1020" w:type="dxa"/>
            <w:vAlign w:val="bottom"/>
            <w:gridSpan w:val="2"/>
          </w:tcPr>
          <w:p>
            <w:pPr>
              <w:ind w:left="7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3240" w:type="dxa"/>
            <w:vAlign w:val="bottom"/>
            <w:vMerge w:val="restart"/>
          </w:tcPr>
          <w:p>
            <w:pPr>
              <w:spacing w:after="0"/>
              <w:rPr>
                <w:sz w:val="20"/>
                <w:szCs w:val="20"/>
                <w:color w:val="auto"/>
              </w:rPr>
            </w:pPr>
            <w:r>
              <w:rPr>
                <w:rFonts w:ascii="Arial" w:cs="Arial" w:eastAsia="Arial" w:hAnsi="Arial"/>
                <w:sz w:val="18"/>
                <w:szCs w:val="18"/>
                <w:color w:val="auto"/>
                <w:w w:val="89"/>
              </w:rPr>
              <w:t>(do not check if a smaller reporting company)</w:t>
            </w: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40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August 14, 2018, 25,815,615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340" w:type="dxa"/>
            <w:vAlign w:val="bottom"/>
            <w:gridSpan w:val="10"/>
          </w:tcPr>
          <w:p>
            <w:pPr>
              <w:ind w:left="92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780" w:type="dxa"/>
            <w:vAlign w:val="bottom"/>
            <w:gridSpan w:val="12"/>
            <w:vMerge w:val="restart"/>
          </w:tcPr>
          <w:p>
            <w:pPr>
              <w:jc w:val="center"/>
              <w:ind w:right="322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1220" w:type="dxa"/>
            <w:vAlign w:val="bottom"/>
          </w:tcPr>
          <w:p>
            <w:pPr>
              <w:jc w:val="center"/>
              <w:ind w:left="92"/>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780" w:type="dxa"/>
            <w:vAlign w:val="bottom"/>
            <w:gridSpan w:val="12"/>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2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 (Unaudited)</w:t>
              </w:r>
            </w:hyperlink>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80" w:type="dxa"/>
            <w:vAlign w:val="bottom"/>
            <w:gridSpan w:val="19"/>
          </w:tcPr>
          <w:p>
            <w:pPr>
              <w:ind w:left="1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June 30, 2018 and March 31, 2018</w:t>
              </w:r>
            </w:hyperlink>
          </w:p>
        </w:tc>
        <w:tc>
          <w:tcPr>
            <w:tcW w:w="1220" w:type="dxa"/>
            <w:vAlign w:val="bottom"/>
          </w:tcPr>
          <w:p>
            <w:pPr>
              <w:jc w:val="center"/>
              <w:ind w:left="112"/>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80" w:type="dxa"/>
            <w:vAlign w:val="bottom"/>
            <w:gridSpan w:val="19"/>
            <w:shd w:val="clear" w:color="auto" w:fill="CCEEFF"/>
          </w:tcPr>
          <w:p>
            <w:pPr>
              <w:ind w:left="140"/>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and Comprehensive Loss for the three months ended June 30, 2018 and 2017</w:t>
              </w:r>
            </w:hyperlink>
          </w:p>
        </w:tc>
        <w:tc>
          <w:tcPr>
            <w:tcW w:w="1220" w:type="dxa"/>
            <w:vAlign w:val="bottom"/>
            <w:shd w:val="clear" w:color="auto" w:fill="CCEEFF"/>
          </w:tcPr>
          <w:p>
            <w:pPr>
              <w:jc w:val="center"/>
              <w:ind w:left="112"/>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80" w:type="dxa"/>
            <w:vAlign w:val="bottom"/>
            <w:gridSpan w:val="19"/>
          </w:tcPr>
          <w:p>
            <w:pPr>
              <w:ind w:left="1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June 30, 2018 and 2017</w:t>
              </w:r>
            </w:hyperlink>
          </w:p>
        </w:tc>
        <w:tc>
          <w:tcPr>
            <w:tcW w:w="1220" w:type="dxa"/>
            <w:vAlign w:val="bottom"/>
          </w:tcPr>
          <w:p>
            <w:pPr>
              <w:jc w:val="center"/>
              <w:ind w:left="112"/>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80" w:type="dxa"/>
            <w:vAlign w:val="bottom"/>
            <w:gridSpan w:val="19"/>
            <w:shd w:val="clear" w:color="auto" w:fill="CCEEFF"/>
          </w:tcPr>
          <w:p>
            <w:pPr>
              <w:ind w:left="1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1220" w:type="dxa"/>
            <w:vAlign w:val="bottom"/>
            <w:shd w:val="clear" w:color="auto" w:fill="CCEEFF"/>
          </w:tcPr>
          <w:p>
            <w:pPr>
              <w:jc w:val="center"/>
              <w:ind w:left="112"/>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20" w:type="dxa"/>
            <w:vAlign w:val="bottom"/>
            <w:gridSpan w:val="20"/>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1220" w:type="dxa"/>
            <w:vAlign w:val="bottom"/>
          </w:tcPr>
          <w:p>
            <w:pPr>
              <w:jc w:val="center"/>
              <w:ind w:left="112"/>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20" w:type="dxa"/>
            <w:vAlign w:val="bottom"/>
            <w:gridSpan w:val="20"/>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4. Controls and Procedures</w:t>
              </w:r>
            </w:hyperlink>
          </w:p>
        </w:tc>
        <w:tc>
          <w:tcPr>
            <w:tcW w:w="1220" w:type="dxa"/>
            <w:vAlign w:val="bottom"/>
            <w:shd w:val="clear" w:color="auto" w:fill="CCEEFF"/>
          </w:tcPr>
          <w:p>
            <w:pPr>
              <w:jc w:val="center"/>
              <w:ind w:left="112"/>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340" w:type="dxa"/>
            <w:vAlign w:val="bottom"/>
            <w:gridSpan w:val="10"/>
            <w:shd w:val="clear" w:color="auto" w:fill="CCEEFF"/>
          </w:tcPr>
          <w:p>
            <w:pPr>
              <w:jc w:val="center"/>
              <w:ind w:right="3660"/>
              <w:spacing w:after="0" w:line="176" w:lineRule="exact"/>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PART II. OTHER INFORMATION</w:t>
              </w:r>
            </w:hyperlink>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1.</w:t>
              </w:r>
            </w:hyperlink>
          </w:p>
        </w:tc>
        <w:tc>
          <w:tcPr>
            <w:tcW w:w="1340" w:type="dxa"/>
            <w:vAlign w:val="bottom"/>
            <w:tcBorders>
              <w:bottom w:val="single" w:sz="8" w:color="0000EE"/>
            </w:tcBorders>
            <w:gridSpan w:val="5"/>
            <w:shd w:val="clear" w:color="auto" w:fill="CCEEFF"/>
          </w:tcPr>
          <w:p>
            <w:pPr>
              <w:ind w:left="20"/>
              <w:spacing w:after="0" w:line="17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Legal Proceedings</w:t>
              </w:r>
            </w:hyperlink>
          </w:p>
        </w:tc>
        <w:tc>
          <w:tcPr>
            <w:tcW w:w="8340" w:type="dxa"/>
            <w:vAlign w:val="bottom"/>
            <w:tcBorders>
              <w:bottom w:val="single" w:sz="8" w:color="CCEEFF"/>
            </w:tcBorders>
            <w:gridSpan w:val="14"/>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center"/>
              <w:ind w:left="112"/>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80" w:type="dxa"/>
            <w:vAlign w:val="bottom"/>
            <w:gridSpan w:val="21"/>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1A. Risk Factors</w:t>
              </w:r>
            </w:hyperlink>
          </w:p>
        </w:tc>
        <w:tc>
          <w:tcPr>
            <w:tcW w:w="1220" w:type="dxa"/>
            <w:vAlign w:val="bottom"/>
          </w:tcPr>
          <w:p>
            <w:pPr>
              <w:jc w:val="center"/>
              <w:ind w:left="112"/>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Item 2.</w:t>
              </w:r>
            </w:hyperlink>
          </w:p>
        </w:tc>
        <w:tc>
          <w:tcPr>
            <w:tcW w:w="4280" w:type="dxa"/>
            <w:vAlign w:val="bottom"/>
            <w:tcBorders>
              <w:bottom w:val="single" w:sz="8" w:color="0000EE"/>
            </w:tcBorders>
            <w:gridSpan w:val="10"/>
            <w:shd w:val="clear" w:color="auto" w:fill="CCEEFF"/>
          </w:tcPr>
          <w:p>
            <w:pPr>
              <w:ind w:left="20"/>
              <w:spacing w:after="0" w:line="17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Unregistered Sales of Equity Securities and Use of Proceeds</w:t>
              </w:r>
            </w:hyperlink>
          </w:p>
        </w:tc>
        <w:tc>
          <w:tcPr>
            <w:tcW w:w="5400" w:type="dxa"/>
            <w:vAlign w:val="bottom"/>
            <w:tcBorders>
              <w:bottom w:val="single" w:sz="8" w:color="CCEEFF"/>
            </w:tcBorders>
            <w:gridSpan w:val="9"/>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center"/>
              <w:ind w:left="112"/>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gridSpan w:val="2"/>
          </w:tcPr>
          <w:p>
            <w:pPr>
              <w:spacing w:after="0" w:line="17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Item 3.</w:t>
              </w:r>
            </w:hyperlink>
          </w:p>
        </w:tc>
        <w:tc>
          <w:tcPr>
            <w:tcW w:w="9680" w:type="dxa"/>
            <w:vAlign w:val="bottom"/>
            <w:gridSpan w:val="19"/>
          </w:tcPr>
          <w:p>
            <w:pPr>
              <w:ind w:left="2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Defaults Upon Senior Secured Securities</w:t>
              </w:r>
            </w:hyperlink>
          </w:p>
        </w:tc>
        <w:tc>
          <w:tcPr>
            <w:tcW w:w="1220" w:type="dxa"/>
            <w:vAlign w:val="bottom"/>
          </w:tcPr>
          <w:p>
            <w:pPr>
              <w:jc w:val="center"/>
              <w:ind w:left="112"/>
              <w:spacing w:after="0" w:line="17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gridSpan w:val="2"/>
            <w:shd w:val="clear" w:color="auto" w:fill="CCEEFF"/>
          </w:tcPr>
          <w:p>
            <w:pPr>
              <w:spacing w:after="0" w:line="17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Item 6.</w:t>
              </w:r>
            </w:hyperlink>
          </w:p>
        </w:tc>
        <w:tc>
          <w:tcPr>
            <w:tcW w:w="96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1220" w:type="dxa"/>
            <w:vAlign w:val="bottom"/>
            <w:shd w:val="clear" w:color="auto" w:fill="CCEEFF"/>
          </w:tcPr>
          <w:p>
            <w:pPr>
              <w:jc w:val="center"/>
              <w:ind w:left="112"/>
              <w:spacing w:after="0" w:line="17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gridSpan w:val="2"/>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20" w:type="dxa"/>
            <w:vAlign w:val="bottom"/>
            <w:gridSpan w:val="20"/>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1220" w:type="dxa"/>
            <w:vAlign w:val="bottom"/>
            <w:shd w:val="clear" w:color="auto" w:fill="CCEEFF"/>
          </w:tcPr>
          <w:p>
            <w:pPr>
              <w:jc w:val="right"/>
              <w:ind w:right="312"/>
              <w:spacing w:after="0" w:line="17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6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1240" w:type="dxa"/>
            <w:vAlign w:val="bottom"/>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8"/>
              </w:rPr>
              <w:t>VISTAGEN THERAPEUTICS, INC.</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0"/>
        </w:trPr>
        <w:tc>
          <w:tcPr>
            <w:tcW w:w="1240" w:type="dxa"/>
            <w:vAlign w:val="bottom"/>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8"/>
        </w:trPr>
        <w:tc>
          <w:tcPr>
            <w:tcW w:w="1240" w:type="dxa"/>
            <w:vAlign w:val="bottom"/>
          </w:tcPr>
          <w:p>
            <w:pPr>
              <w:spacing w:after="0"/>
              <w:rPr>
                <w:sz w:val="19"/>
                <w:szCs w:val="19"/>
                <w:color w:val="auto"/>
              </w:rPr>
            </w:pPr>
          </w:p>
        </w:tc>
        <w:tc>
          <w:tcPr>
            <w:tcW w:w="7580" w:type="dxa"/>
            <w:vAlign w:val="bottom"/>
          </w:tcPr>
          <w:p>
            <w:pPr>
              <w:jc w:val="center"/>
              <w:ind w:left="1292"/>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9"/>
        </w:trPr>
        <w:tc>
          <w:tcPr>
            <w:tcW w:w="12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March 31,</w:t>
            </w:r>
          </w:p>
        </w:tc>
      </w:tr>
      <w:tr>
        <w:trPr>
          <w:trHeight w:val="252"/>
        </w:trPr>
        <w:tc>
          <w:tcPr>
            <w:tcW w:w="12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1"/>
                <w:szCs w:val="21"/>
                <w:color w:val="auto"/>
              </w:rPr>
            </w:pPr>
          </w:p>
        </w:tc>
      </w:tr>
      <w:tr>
        <w:trPr>
          <w:trHeight w:val="241"/>
        </w:trPr>
        <w:tc>
          <w:tcPr>
            <w:tcW w:w="124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(Note 2)</w:t>
            </w:r>
          </w:p>
        </w:tc>
      </w:tr>
      <w:tr>
        <w:trPr>
          <w:trHeight w:val="486"/>
        </w:trPr>
        <w:tc>
          <w:tcPr>
            <w:tcW w:w="1240" w:type="dxa"/>
            <w:vAlign w:val="bottom"/>
          </w:tcPr>
          <w:p>
            <w:pPr>
              <w:spacing w:after="0"/>
              <w:rPr>
                <w:sz w:val="24"/>
                <w:szCs w:val="24"/>
                <w:color w:val="auto"/>
              </w:rPr>
            </w:pPr>
          </w:p>
        </w:tc>
        <w:tc>
          <w:tcPr>
            <w:tcW w:w="7580" w:type="dxa"/>
            <w:vAlign w:val="bottom"/>
          </w:tcPr>
          <w:p>
            <w:pPr>
              <w:jc w:val="center"/>
              <w:ind w:right="1232"/>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4"/>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10,378,300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617,300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644,800</w:t>
            </w:r>
          </w:p>
        </w:tc>
        <w:tc>
          <w:tcPr>
            <w:tcW w:w="140" w:type="dxa"/>
            <w:vAlign w:val="bottom"/>
          </w:tcPr>
          <w:p>
            <w:pPr>
              <w:spacing w:after="0"/>
              <w:rPr>
                <w:sz w:val="19"/>
                <w:szCs w:val="19"/>
                <w:color w:val="auto"/>
              </w:rPr>
            </w:pPr>
          </w:p>
        </w:tc>
      </w:tr>
      <w:tr>
        <w:trPr>
          <w:trHeight w:val="216"/>
        </w:trPr>
        <w:tc>
          <w:tcPr>
            <w:tcW w:w="8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11,023,100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207,400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Security deposits and 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ind w:left="5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8,255,300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11,278,300</w:t>
            </w:r>
          </w:p>
        </w:tc>
        <w:tc>
          <w:tcPr>
            <w:tcW w:w="140" w:type="dxa"/>
            <w:vAlign w:val="bottom"/>
          </w:tcPr>
          <w:p>
            <w:pPr>
              <w:spacing w:after="0"/>
              <w:rPr>
                <w:sz w:val="18"/>
                <w:szCs w:val="18"/>
                <w:color w:val="auto"/>
              </w:rPr>
            </w:pPr>
          </w:p>
        </w:tc>
      </w:tr>
      <w:tr>
        <w:trPr>
          <w:trHeight w:val="21"/>
        </w:trPr>
        <w:tc>
          <w:tcPr>
            <w:tcW w:w="1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jc w:val="center"/>
              <w:ind w:right="1232"/>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629,500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1,195,700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Current notes payable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181,100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53,900</w:t>
            </w:r>
          </w:p>
        </w:tc>
        <w:tc>
          <w:tcPr>
            <w:tcW w:w="140" w:type="dxa"/>
            <w:vAlign w:val="bottom"/>
          </w:tcPr>
          <w:p>
            <w:pPr>
              <w:spacing w:after="0"/>
              <w:rPr>
                <w:sz w:val="18"/>
                <w:szCs w:val="18"/>
                <w:color w:val="auto"/>
              </w:rPr>
            </w:pPr>
          </w:p>
        </w:tc>
      </w:tr>
      <w:tr>
        <w:trPr>
          <w:trHeight w:val="277"/>
        </w:trPr>
        <w:tc>
          <w:tcPr>
            <w:tcW w:w="8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77"/>
        </w:trPr>
        <w:tc>
          <w:tcPr>
            <w:tcW w:w="8820" w:type="dxa"/>
            <w:vAlign w:val="bottom"/>
            <w:gridSpan w:val="2"/>
          </w:tcPr>
          <w:p>
            <w:pPr>
              <w:ind w:left="54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1,871,200</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1,458,500</w:t>
            </w:r>
          </w:p>
        </w:tc>
        <w:tc>
          <w:tcPr>
            <w:tcW w:w="140" w:type="dxa"/>
            <w:vAlign w:val="bottom"/>
          </w:tcPr>
          <w:p>
            <w:pPr>
              <w:spacing w:after="0"/>
              <w:rPr>
                <w:sz w:val="24"/>
                <w:szCs w:val="24"/>
                <w:color w:val="auto"/>
              </w:rPr>
            </w:pP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dividends on Series B Preferred Stock</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2,881,800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Deferred rent liability</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285,600</w:t>
            </w:r>
          </w:p>
        </w:tc>
        <w:tc>
          <w:tcPr>
            <w:tcW w:w="140" w:type="dxa"/>
            <w:vAlign w:val="bottom"/>
          </w:tcPr>
          <w:p>
            <w:pPr>
              <w:spacing w:after="0"/>
              <w:rPr>
                <w:sz w:val="18"/>
                <w:szCs w:val="18"/>
                <w:color w:val="auto"/>
              </w:rPr>
            </w:pPr>
          </w:p>
        </w:tc>
      </w:tr>
      <w:tr>
        <w:trPr>
          <w:trHeight w:val="277"/>
        </w:trPr>
        <w:tc>
          <w:tcPr>
            <w:tcW w:w="8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77"/>
        </w:trPr>
        <w:tc>
          <w:tcPr>
            <w:tcW w:w="8820" w:type="dxa"/>
            <w:vAlign w:val="bottom"/>
            <w:gridSpan w:val="2"/>
          </w:tcPr>
          <w:p>
            <w:pPr>
              <w:ind w:left="54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3,162,400</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2,903,200</w:t>
            </w:r>
          </w:p>
        </w:tc>
        <w:tc>
          <w:tcPr>
            <w:tcW w:w="140" w:type="dxa"/>
            <w:vAlign w:val="bottom"/>
          </w:tcPr>
          <w:p>
            <w:pPr>
              <w:spacing w:after="0"/>
              <w:rPr>
                <w:sz w:val="24"/>
                <w:szCs w:val="24"/>
                <w:color w:val="auto"/>
              </w:rPr>
            </w:pPr>
          </w:p>
        </w:tc>
      </w:tr>
      <w:tr>
        <w:trPr>
          <w:trHeight w:val="277"/>
        </w:trPr>
        <w:tc>
          <w:tcPr>
            <w:tcW w:w="8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5,033,600</w:t>
            </w: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4,361,700</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2"/>
        </w:trPr>
        <w:tc>
          <w:tcPr>
            <w:tcW w:w="8820" w:type="dxa"/>
            <w:vAlign w:val="bottom"/>
            <w:gridSpan w:val="2"/>
          </w:tcPr>
          <w:p>
            <w:pPr>
              <w:ind w:left="180"/>
              <w:spacing w:after="0"/>
              <w:rPr>
                <w:sz w:val="20"/>
                <w:szCs w:val="20"/>
                <w:color w:val="auto"/>
              </w:rPr>
            </w:pPr>
            <w:r>
              <w:rPr>
                <w:rFonts w:ascii="Arial" w:cs="Arial" w:eastAsia="Arial" w:hAnsi="Arial"/>
                <w:sz w:val="18"/>
                <w:szCs w:val="18"/>
                <w:color w:val="auto"/>
              </w:rPr>
              <w:t>Preferred stock, $0.001 par value; 10,000,000 shares authorized at June 30, 2018 and March 31, 2018: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Series A Preferred, 500,000 shares authorized, issued and outstanding at June 30, 2018 and March 31, 2018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r>
      <w:tr>
        <w:trPr>
          <w:trHeight w:val="208"/>
        </w:trPr>
        <w:tc>
          <w:tcPr>
            <w:tcW w:w="8820" w:type="dxa"/>
            <w:vAlign w:val="bottom"/>
            <w:gridSpan w:val="2"/>
          </w:tcPr>
          <w:p>
            <w:pPr>
              <w:ind w:left="340"/>
              <w:spacing w:after="0"/>
              <w:rPr>
                <w:sz w:val="20"/>
                <w:szCs w:val="20"/>
                <w:color w:val="auto"/>
              </w:rPr>
            </w:pPr>
            <w:r>
              <w:rPr>
                <w:rFonts w:ascii="Arial" w:cs="Arial" w:eastAsia="Arial" w:hAnsi="Arial"/>
                <w:sz w:val="18"/>
                <w:szCs w:val="18"/>
                <w:color w:val="auto"/>
              </w:rPr>
              <w:t>Series B Preferred; 4,000,000 shares authorized at June 30, 2018 and March 31, 2018; 1,160,240 shares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820" w:type="dxa"/>
            <w:vAlign w:val="bottom"/>
            <w:gridSpan w:val="2"/>
          </w:tcPr>
          <w:p>
            <w:pPr>
              <w:ind w:left="500"/>
              <w:spacing w:after="0"/>
              <w:rPr>
                <w:sz w:val="20"/>
                <w:szCs w:val="20"/>
                <w:color w:val="auto"/>
              </w:rPr>
            </w:pPr>
            <w:r>
              <w:rPr>
                <w:rFonts w:ascii="Arial" w:cs="Arial" w:eastAsia="Arial" w:hAnsi="Arial"/>
                <w:sz w:val="18"/>
                <w:szCs w:val="18"/>
                <w:color w:val="auto"/>
              </w:rPr>
              <w:t>issued and outstanding at June 30, 2018 and March 31, 2018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9"/>
                <w:szCs w:val="19"/>
                <w:color w:val="auto"/>
              </w:rPr>
            </w:pPr>
          </w:p>
        </w:tc>
      </w:tr>
      <w:tr>
        <w:trPr>
          <w:trHeight w:val="209"/>
        </w:trPr>
        <w:tc>
          <w:tcPr>
            <w:tcW w:w="8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Series C Preferred; 3,000,000 shares authorized at June 30, 2018 and March 31, 2018; 2,318,012 shares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issued and outstanding at June 30, 2018 and March 31, 2018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9"/>
                <w:szCs w:val="19"/>
                <w:color w:val="auto"/>
              </w:rPr>
            </w:pPr>
          </w:p>
        </w:tc>
      </w:tr>
      <w:tr>
        <w:trPr>
          <w:trHeight w:val="235"/>
        </w:trPr>
        <w:tc>
          <w:tcPr>
            <w:tcW w:w="8820" w:type="dxa"/>
            <w:vAlign w:val="bottom"/>
            <w:gridSpan w:val="2"/>
          </w:tcPr>
          <w:p>
            <w:pPr>
              <w:ind w:left="120"/>
              <w:spacing w:after="0"/>
              <w:rPr>
                <w:sz w:val="20"/>
                <w:szCs w:val="20"/>
                <w:color w:val="auto"/>
              </w:rPr>
            </w:pPr>
            <w:r>
              <w:rPr>
                <w:rFonts w:ascii="Arial" w:cs="Arial" w:eastAsia="Arial" w:hAnsi="Arial"/>
                <w:sz w:val="18"/>
                <w:szCs w:val="18"/>
                <w:color w:val="auto"/>
              </w:rPr>
              <w:t>Common stock, $0.001 par value; 100,000,000 shares authorized at June 30, 2018 and March 31, 2018;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8820" w:type="dxa"/>
            <w:vAlign w:val="bottom"/>
            <w:gridSpan w:val="2"/>
          </w:tcPr>
          <w:p>
            <w:pPr>
              <w:ind w:left="340"/>
              <w:spacing w:after="0"/>
              <w:rPr>
                <w:sz w:val="20"/>
                <w:szCs w:val="20"/>
                <w:color w:val="auto"/>
              </w:rPr>
            </w:pPr>
            <w:r>
              <w:rPr>
                <w:rFonts w:ascii="Arial" w:cs="Arial" w:eastAsia="Arial" w:hAnsi="Arial"/>
                <w:sz w:val="18"/>
                <w:szCs w:val="18"/>
                <w:color w:val="auto"/>
                <w:w w:val="96"/>
              </w:rPr>
              <w:t>23,213,280 and 23,068,280 shares issued and outstanding at June 30, 2018 and March 31, 2018, respectively</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23,100</w:t>
            </w:r>
          </w:p>
        </w:tc>
        <w:tc>
          <w:tcPr>
            <w:tcW w:w="140" w:type="dxa"/>
            <w:vAlign w:val="bottom"/>
          </w:tcPr>
          <w:p>
            <w:pPr>
              <w:spacing w:after="0"/>
              <w:rPr>
                <w:sz w:val="19"/>
                <w:szCs w:val="19"/>
                <w:color w:val="auto"/>
              </w:rPr>
            </w:pPr>
          </w:p>
        </w:tc>
      </w:tr>
      <w:tr>
        <w:trPr>
          <w:trHeight w:val="244"/>
        </w:trPr>
        <w:tc>
          <w:tcPr>
            <w:tcW w:w="8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167,920,900</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167,401,400</w:t>
            </w:r>
          </w:p>
        </w:tc>
        <w:tc>
          <w:tcPr>
            <w:tcW w:w="140" w:type="dxa"/>
            <w:vAlign w:val="bottom"/>
            <w:shd w:val="clear" w:color="auto" w:fill="CCEEFF"/>
          </w:tcPr>
          <w:p>
            <w:pPr>
              <w:spacing w:after="0"/>
              <w:rPr>
                <w:sz w:val="21"/>
                <w:szCs w:val="21"/>
                <w:color w:val="auto"/>
              </w:rPr>
            </w:pPr>
          </w:p>
        </w:tc>
      </w:tr>
      <w:tr>
        <w:trPr>
          <w:trHeight w:val="242"/>
        </w:trPr>
        <w:tc>
          <w:tcPr>
            <w:tcW w:w="8820" w:type="dxa"/>
            <w:vAlign w:val="bottom"/>
            <w:gridSpan w:val="2"/>
          </w:tcPr>
          <w:p>
            <w:pPr>
              <w:ind w:left="120"/>
              <w:spacing w:after="0"/>
              <w:rPr>
                <w:sz w:val="20"/>
                <w:szCs w:val="20"/>
                <w:color w:val="auto"/>
              </w:rPr>
            </w:pPr>
            <w:r>
              <w:rPr>
                <w:rFonts w:ascii="Arial" w:cs="Arial" w:eastAsia="Arial" w:hAnsi="Arial"/>
                <w:sz w:val="18"/>
                <w:szCs w:val="18"/>
                <w:color w:val="auto"/>
              </w:rPr>
              <w:t>Treasury stock, at cost, 135,665 shares of common stock held at June 30, 2018 and March 31, 2018</w:t>
            </w:r>
          </w:p>
        </w:tc>
        <w:tc>
          <w:tcPr>
            <w:tcW w:w="1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r>
      <w:tr>
        <w:trPr>
          <w:trHeight w:val="305"/>
        </w:trPr>
        <w:tc>
          <w:tcPr>
            <w:tcW w:w="8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(160,758,300)</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(156,543,800)</w:t>
            </w:r>
          </w:p>
        </w:tc>
      </w:tr>
      <w:tr>
        <w:trPr>
          <w:trHeight w:val="277"/>
        </w:trPr>
        <w:tc>
          <w:tcPr>
            <w:tcW w:w="8820" w:type="dxa"/>
            <w:vAlign w:val="bottom"/>
            <w:tcBorders>
              <w:top w:val="single" w:sz="8" w:color="CCEEFF"/>
            </w:tcBorders>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3,221,700</w:t>
            </w:r>
          </w:p>
        </w:tc>
        <w:tc>
          <w:tcPr>
            <w:tcW w:w="28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6,916,600</w:t>
            </w:r>
          </w:p>
        </w:tc>
        <w:tc>
          <w:tcPr>
            <w:tcW w:w="140" w:type="dxa"/>
            <w:vAlign w:val="bottom"/>
            <w:tcBorders>
              <w:top w:val="single" w:sz="8" w:color="CCEEFF"/>
            </w:tcBorders>
          </w:tcPr>
          <w:p>
            <w:pPr>
              <w:spacing w:after="0"/>
              <w:rPr>
                <w:sz w:val="24"/>
                <w:szCs w:val="24"/>
                <w:color w:val="auto"/>
              </w:rPr>
            </w:pPr>
          </w:p>
        </w:tc>
      </w:tr>
      <w:tr>
        <w:trPr>
          <w:trHeight w:val="257"/>
        </w:trPr>
        <w:tc>
          <w:tcPr>
            <w:tcW w:w="88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8,255,300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11,278,300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Three Months Ended June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2,743,700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1,466,300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1,164,300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4,210,000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2,260,500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(4,210,000)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(2,260,500)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(4,212,100)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(2,262,900)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(4,214,500)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(2,265,300)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Accrued dividend on Series B Preferred stock</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(273,500)</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(247,300)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(4,488,000)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(2,512,600)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Basic and diluted net loss attributable to common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basic</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and diluted net loss attributable to common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stockholders per common share</w:t>
            </w: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22,987,066</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9,034,213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67"/>
        </w:trPr>
        <w:tc>
          <w:tcPr>
            <w:tcW w:w="1240" w:type="dxa"/>
            <w:vAlign w:val="bottom"/>
            <w:tcBorders>
              <w:top w:val="single" w:sz="8" w:color="0000EE"/>
            </w:tcBorders>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8"/>
              </w:rPr>
              <w:t>VISTAGEN THERAPEUTICS, INC.</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0"/>
        </w:trPr>
        <w:tc>
          <w:tcPr>
            <w:tcW w:w="1240" w:type="dxa"/>
            <w:vAlign w:val="bottom"/>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6"/>
              </w:rPr>
              <w:t>CONDENSED CONSOLIDATED STATEMENTS OF CASH FLOWS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1240" w:type="dxa"/>
            <w:vAlign w:val="bottom"/>
          </w:tcPr>
          <w:p>
            <w:pPr>
              <w:spacing w:after="0"/>
              <w:rPr>
                <w:sz w:val="19"/>
                <w:szCs w:val="19"/>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89"/>
              </w:rPr>
              <w:t>(Amounts in Dollars)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68"/>
        </w:trPr>
        <w:tc>
          <w:tcPr>
            <w:tcW w:w="12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Three Months Ended June 30,</w:t>
            </w:r>
          </w:p>
        </w:tc>
      </w:tr>
      <w:tr>
        <w:trPr>
          <w:trHeight w:val="250"/>
        </w:trPr>
        <w:tc>
          <w:tcPr>
            <w:tcW w:w="12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r>
      <w:tr>
        <w:trPr>
          <w:trHeight w:val="242"/>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(4,214,500)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(2,265,300)</w:t>
            </w:r>
          </w:p>
        </w:tc>
      </w:tr>
      <w:tr>
        <w:trPr>
          <w:trHeight w:val="242"/>
        </w:trPr>
        <w:tc>
          <w:tcPr>
            <w:tcW w:w="8820" w:type="dxa"/>
            <w:vAlign w:val="bottom"/>
            <w:gridSpan w:val="2"/>
          </w:tcPr>
          <w:p>
            <w:pPr>
              <w:ind w:left="1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612,600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367,000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deferred rent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140"/>
              <w:spacing w:after="0"/>
              <w:rPr>
                <w:sz w:val="20"/>
                <w:szCs w:val="20"/>
                <w:color w:val="auto"/>
              </w:rPr>
            </w:pPr>
            <w:r>
              <w:rPr>
                <w:rFonts w:ascii="Arial" w:cs="Arial" w:eastAsia="Arial" w:hAnsi="Arial"/>
                <w:sz w:val="18"/>
                <w:szCs w:val="18"/>
                <w:color w:val="auto"/>
              </w:rPr>
              <w:t>Fair value of common stock granted for services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148,500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101,000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 including accrued interest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(473,500)</w:t>
            </w:r>
          </w:p>
        </w:tc>
      </w:tr>
      <w:tr>
        <w:trPr>
          <w:trHeight w:val="27"/>
        </w:trPr>
        <w:tc>
          <w:tcPr>
            <w:tcW w:w="124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(3,135,300)</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(2,134,100)</w:t>
            </w: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Cash flows from property and investing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Construction of tenant improvements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7"/>
        </w:trPr>
        <w:tc>
          <w:tcPr>
            <w:tcW w:w="124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(35,400)</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100"/>
              <w:spacing w:after="0"/>
              <w:rPr>
                <w:sz w:val="20"/>
                <w:szCs w:val="20"/>
                <w:color w:val="auto"/>
              </w:rPr>
            </w:pPr>
            <w:r>
              <w:rPr>
                <w:rFonts w:ascii="Arial" w:cs="Arial" w:eastAsia="Arial" w:hAnsi="Arial"/>
                <w:sz w:val="18"/>
                <w:szCs w:val="18"/>
                <w:color w:val="auto"/>
              </w:rPr>
              <w:t>Repayment of capital lease obligations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r>
      <w:tr>
        <w:trPr>
          <w:trHeight w:val="223"/>
        </w:trPr>
        <w:tc>
          <w:tcPr>
            <w:tcW w:w="8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Repayment of notes payable</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(33,300)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(31,700)</w:t>
            </w:r>
          </w:p>
        </w:tc>
      </w:tr>
      <w:tr>
        <w:trPr>
          <w:trHeight w:val="223"/>
        </w:trPr>
        <w:tc>
          <w:tcPr>
            <w:tcW w:w="882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23,600</w:t>
            </w: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841,000</w:t>
            </w:r>
          </w:p>
        </w:tc>
        <w:tc>
          <w:tcPr>
            <w:tcW w:w="140" w:type="dxa"/>
            <w:vAlign w:val="bottom"/>
            <w:tcBorders>
              <w:top w:val="single" w:sz="8" w:color="CCEEFF"/>
            </w:tcBorders>
          </w:tcPr>
          <w:p>
            <w:pPr>
              <w:spacing w:after="0"/>
              <w:rPr>
                <w:sz w:val="19"/>
                <w:szCs w:val="19"/>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(3,147,100)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(1,293,100)</w:t>
            </w:r>
          </w:p>
        </w:tc>
      </w:tr>
      <w:tr>
        <w:trPr>
          <w:trHeight w:val="223"/>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10,378,300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2,921,300</w:t>
            </w:r>
          </w:p>
        </w:tc>
        <w:tc>
          <w:tcPr>
            <w:tcW w:w="140" w:type="dxa"/>
            <w:vAlign w:val="bottom"/>
          </w:tcPr>
          <w:p>
            <w:pPr>
              <w:spacing w:after="0"/>
              <w:rPr>
                <w:sz w:val="19"/>
                <w:szCs w:val="19"/>
                <w:color w:val="auto"/>
              </w:rPr>
            </w:pPr>
          </w:p>
        </w:tc>
      </w:tr>
      <w:tr>
        <w:trPr>
          <w:trHeight w:val="257"/>
        </w:trPr>
        <w:tc>
          <w:tcPr>
            <w:tcW w:w="88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7,231,200</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1,628,200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Supplemental disclosure of noncash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Insurance premiums settled by issuing note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142,400</w:t>
            </w:r>
          </w:p>
        </w:tc>
        <w:tc>
          <w:tcPr>
            <w:tcW w:w="140" w:type="dxa"/>
            <w:vAlign w:val="bottom"/>
            <w:shd w:val="clear" w:color="auto" w:fill="CCEEFF"/>
          </w:tcPr>
          <w:p>
            <w:pPr>
              <w:spacing w:after="0"/>
              <w:rPr>
                <w:sz w:val="18"/>
                <w:szCs w:val="18"/>
                <w:color w:val="auto"/>
              </w:rPr>
            </w:pPr>
          </w:p>
        </w:tc>
      </w:tr>
      <w:tr>
        <w:trPr>
          <w:trHeight w:val="208"/>
        </w:trPr>
        <w:tc>
          <w:tcPr>
            <w:tcW w:w="8820" w:type="dxa"/>
            <w:vAlign w:val="bottom"/>
            <w:gridSpan w:val="2"/>
          </w:tcPr>
          <w:p>
            <w:pPr>
              <w:ind w:left="180"/>
              <w:spacing w:after="0"/>
              <w:rPr>
                <w:sz w:val="20"/>
                <w:szCs w:val="20"/>
                <w:color w:val="auto"/>
              </w:rPr>
            </w:pPr>
            <w:r>
              <w:rPr>
                <w:rFonts w:ascii="Arial" w:cs="Arial" w:eastAsia="Arial" w:hAnsi="Arial"/>
                <w:sz w:val="18"/>
                <w:szCs w:val="18"/>
                <w:color w:val="auto"/>
              </w:rPr>
              <w:t>Accrued dividends on Series B Preferred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273,500</w:t>
            </w:r>
          </w:p>
        </w:tc>
        <w:tc>
          <w:tcPr>
            <w:tcW w:w="28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247,300</w:t>
            </w:r>
          </w:p>
        </w:tc>
        <w:tc>
          <w:tcPr>
            <w:tcW w:w="140" w:type="dxa"/>
            <w:vAlign w:val="bottom"/>
          </w:tcPr>
          <w:p>
            <w:pPr>
              <w:spacing w:after="0"/>
              <w:rPr>
                <w:sz w:val="18"/>
                <w:szCs w:val="18"/>
                <w:color w:val="auto"/>
              </w:rPr>
            </w:pPr>
          </w:p>
        </w:tc>
      </w:tr>
      <w:tr>
        <w:trPr>
          <w:trHeight w:val="222"/>
        </w:trPr>
        <w:tc>
          <w:tcPr>
            <w:tcW w:w="1240" w:type="dxa"/>
            <w:vAlign w:val="bottom"/>
          </w:tcPr>
          <w:p>
            <w:pPr>
              <w:spacing w:after="0"/>
              <w:rPr>
                <w:sz w:val="19"/>
                <w:szCs w:val="19"/>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color w:val="auto"/>
                <w:w w:val="86"/>
              </w:rPr>
              <w:t>See accompanying notes to Condensed Consolidated Financial Statements.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873"/>
        </w:trPr>
        <w:tc>
          <w:tcPr>
            <w:tcW w:w="8820" w:type="dxa"/>
            <w:vAlign w:val="bottom"/>
            <w:tcBorders>
              <w:bottom w:val="single" w:sz="8" w:color="auto"/>
            </w:tcBorders>
            <w:gridSpan w:val="2"/>
          </w:tcPr>
          <w:p>
            <w:pPr>
              <w:jc w:val="center"/>
              <w:ind w:left="2532"/>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VistaGen Therapeutics. Inc., a Nevada corporation (which may be referred to as </w:t>
      </w:r>
      <w:r>
        <w:rPr>
          <w:rFonts w:ascii="Arial" w:cs="Arial" w:eastAsia="Arial" w:hAnsi="Arial"/>
          <w:sz w:val="18"/>
          <w:szCs w:val="18"/>
          <w:i w:val="1"/>
          <w:iCs w:val="1"/>
          <w:color w:val="auto"/>
        </w:rPr>
        <w:t>VistaGen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our</w:t>
      </w:r>
      <w:r>
        <w:rPr>
          <w:rFonts w:ascii="Arial" w:cs="Arial" w:eastAsia="Arial" w:hAnsi="Arial"/>
          <w:sz w:val="18"/>
          <w:szCs w:val="18"/>
          <w:color w:val="auto"/>
        </w:rPr>
        <w:t xml:space="preserve">, or </w:t>
      </w:r>
      <w:r>
        <w:rPr>
          <w:rFonts w:ascii="Arial" w:cs="Arial" w:eastAsia="Arial" w:hAnsi="Arial"/>
          <w:sz w:val="18"/>
          <w:szCs w:val="18"/>
          <w:i w:val="1"/>
          <w:iCs w:val="1"/>
          <w:color w:val="auto"/>
        </w:rPr>
        <w:t>us</w:t>
      </w:r>
      <w:r>
        <w:rPr>
          <w:rFonts w:ascii="Arial" w:cs="Arial" w:eastAsia="Arial" w:hAnsi="Arial"/>
          <w:sz w:val="18"/>
          <w:szCs w:val="18"/>
          <w:color w:val="auto"/>
        </w:rPr>
        <w:t>), is a clinical-stage biopharmaceutical company focused on developing new generation medicines for depression and other diseases and disorders of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with high unmet need.</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lead CNS product candidate, AV-101, is an oral, non-opioid and non-sedating therapy that we believe offers the potential to be a new at-home treatment for multiple CNS indications with high unmet medical need. These indications include potential use as a new generation treatment alternative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as a non-addictive, non-sedating option for management of chronic neuropathic pain (</w:t>
      </w:r>
      <w:r>
        <w:rPr>
          <w:rFonts w:ascii="Arial" w:cs="Arial" w:eastAsia="Arial" w:hAnsi="Arial"/>
          <w:sz w:val="16"/>
          <w:szCs w:val="16"/>
          <w:i w:val="1"/>
          <w:iCs w:val="1"/>
          <w:color w:val="auto"/>
        </w:rPr>
        <w:t>CNP</w:t>
      </w:r>
      <w:r>
        <w:rPr>
          <w:rFonts w:ascii="Arial" w:cs="Arial" w:eastAsia="Arial" w:hAnsi="Arial"/>
          <w:sz w:val="16"/>
          <w:szCs w:val="16"/>
          <w:color w:val="auto"/>
        </w:rPr>
        <w:t>), to reduce dyskinesia induced by levodopa (L-DOPA) therapy for Parkinson’s disease (</w:t>
      </w:r>
      <w:r>
        <w:rPr>
          <w:rFonts w:ascii="Arial" w:cs="Arial" w:eastAsia="Arial" w:hAnsi="Arial"/>
          <w:sz w:val="16"/>
          <w:szCs w:val="16"/>
          <w:i w:val="1"/>
          <w:iCs w:val="1"/>
          <w:color w:val="auto"/>
        </w:rPr>
        <w:t>PD LID</w:t>
      </w:r>
      <w:r>
        <w:rPr>
          <w:rFonts w:ascii="Arial" w:cs="Arial" w:eastAsia="Arial" w:hAnsi="Arial"/>
          <w:sz w:val="16"/>
          <w:szCs w:val="16"/>
          <w:color w:val="auto"/>
        </w:rPr>
        <w:t>), to reduce suicidal ideation and for additional CNS indications where modulation of NMDA (N-methyl-D-aspartate) receptor and AMPA (alpha-amino-3-hydroxy-5-methyl-4-isoxazolepropionic acid) receptor pathways may achieve therapeutic benefit.</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MDD, we believe AV-101 has potential as an oral, at home, stand-alone first line therapy and as an adjunctive therapy. As an adjunctive therapy, we believe AV-101 has potential to both (i) augment current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and displace atypical antipsychotics, such as aripiprazole, in the current MDD drug treatment paradigm for patients with MDD who have an inadequate response to standard antidepressants, and (ii) prevent relapse of MDD and/or suicidal ideation following successful treatment with the FDA-approved anesthetic, ketamine hydrochloride (</w:t>
      </w:r>
      <w:r>
        <w:rPr>
          <w:rFonts w:ascii="Arial" w:cs="Arial" w:eastAsia="Arial" w:hAnsi="Arial"/>
          <w:sz w:val="16"/>
          <w:szCs w:val="16"/>
          <w:i w:val="1"/>
          <w:iCs w:val="1"/>
          <w:color w:val="auto"/>
        </w:rPr>
        <w:t>ketamine</w:t>
      </w:r>
      <w:r>
        <w:rPr>
          <w:rFonts w:ascii="Arial" w:cs="Arial" w:eastAsia="Arial" w:hAnsi="Arial"/>
          <w:sz w:val="16"/>
          <w:szCs w:val="16"/>
          <w:color w:val="auto"/>
        </w:rPr>
        <w:t>) when used to treat patients with treatment-resistant MDD, whether administered by intravenous (</w:t>
      </w:r>
      <w:r>
        <w:rPr>
          <w:rFonts w:ascii="Arial" w:cs="Arial" w:eastAsia="Arial" w:hAnsi="Arial"/>
          <w:sz w:val="16"/>
          <w:szCs w:val="16"/>
          <w:i w:val="1"/>
          <w:iCs w:val="1"/>
          <w:color w:val="auto"/>
        </w:rPr>
        <w:t>IV</w:t>
      </w:r>
      <w:r>
        <w:rPr>
          <w:rFonts w:ascii="Arial" w:cs="Arial" w:eastAsia="Arial" w:hAnsi="Arial"/>
          <w:sz w:val="16"/>
          <w:szCs w:val="16"/>
          <w:color w:val="auto"/>
        </w:rPr>
        <w:t>) injection or as an intranasal spray formulation. We believe AV-101 may have potential to deliver ketamine-like antidepressant effects as an oral therapy on an at-home basis, without the requirement for inconvenient administration in a medical setting or the use of needles, and without causing psychological or other side effects and safety concerns associated with ketamine therapy.</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AV-101 is currently in Phase 2 development in the United States. In the fourth quarter of 2017, we received authorization from the FDA to initiate ELEVATE, our Phase 2 multi-center, multi-dose, double blind, placebo-controlled clinical study to evaluate the efficacy and safety of AV-101 as an adjunctive treatment of MDD in adult patients with an inadequate therapeutic response to current FDA-approved antidepressants (the </w:t>
      </w:r>
      <w:r>
        <w:rPr>
          <w:rFonts w:ascii="Arial" w:cs="Arial" w:eastAsia="Arial" w:hAnsi="Arial"/>
          <w:sz w:val="16"/>
          <w:szCs w:val="16"/>
          <w:i w:val="1"/>
          <w:iCs w:val="1"/>
          <w:color w:val="auto"/>
        </w:rPr>
        <w:t>ELEVATE Study</w:t>
      </w:r>
      <w:r>
        <w:rPr>
          <w:rFonts w:ascii="Arial" w:cs="Arial" w:eastAsia="Arial" w:hAnsi="Arial"/>
          <w:sz w:val="16"/>
          <w:szCs w:val="16"/>
          <w:color w:val="auto"/>
        </w:rPr>
        <w:t>). As planned, we initiated the ELEVATE Study in the first quarter of 2018.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xml:space="preserve">) Research Institute, is the Principal Investigator of the ELEVATE Study assisting our internal team, which is led by Mark Smith, MD, PhD, our Chief Medical Officer. Dr. Fava was the co-Principal Investigator with Dr. A. John Rush of the STAR*D study, the largest clinical trial conducted in depression to date, whose findings were published in journals such as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w:t>
      </w:r>
      <w:r>
        <w:rPr>
          <w:rFonts w:ascii="Arial" w:cs="Arial" w:eastAsia="Arial" w:hAnsi="Arial"/>
          <w:sz w:val="16"/>
          <w:szCs w:val="16"/>
          <w:i w:val="1"/>
          <w:iCs w:val="1"/>
          <w:color w:val="auto"/>
        </w:rPr>
        <w:t>NEJM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Journal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American Medical Association </w:t>
      </w:r>
      <w:r>
        <w:rPr>
          <w:rFonts w:ascii="Arial" w:cs="Arial" w:eastAsia="Arial" w:hAnsi="Arial"/>
          <w:sz w:val="16"/>
          <w:szCs w:val="16"/>
          <w:color w:val="auto"/>
        </w:rPr>
        <w:t>(</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top line results from the ELEVATE Study by the end of the first half of 2019.</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AV-101 is also the subject of two small government-funded clinical studies. The first study is a small Phase 2 clinical study being conducted and funded by the U.S. National Institute of Mental Health (the </w:t>
      </w:r>
      <w:r>
        <w:rPr>
          <w:rFonts w:ascii="Arial" w:cs="Arial" w:eastAsia="Arial" w:hAnsi="Arial"/>
          <w:sz w:val="16"/>
          <w:szCs w:val="16"/>
          <w:i w:val="1"/>
          <w:iCs w:val="1"/>
          <w:color w:val="auto"/>
        </w:rPr>
        <w:t>NIMH</w:t>
      </w:r>
      <w:r>
        <w:rPr>
          <w:rFonts w:ascii="Arial" w:cs="Arial" w:eastAsia="Arial" w:hAnsi="Arial"/>
          <w:sz w:val="16"/>
          <w:szCs w:val="16"/>
          <w:color w:val="auto"/>
        </w:rPr>
        <w:t>), 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w:t>
      </w:r>
      <w:r>
        <w:rPr>
          <w:rFonts w:ascii="Arial" w:cs="Arial" w:eastAsia="Arial" w:hAnsi="Arial"/>
          <w:sz w:val="16"/>
          <w:szCs w:val="16"/>
          <w:i w:val="1"/>
          <w:iCs w:val="1"/>
          <w:color w:val="auto"/>
        </w:rPr>
        <w:t>NIMH</w:t>
      </w:r>
      <w:r>
        <w:rPr>
          <w:rFonts w:ascii="Arial" w:cs="Arial" w:eastAsia="Arial" w:hAnsi="Arial"/>
          <w:sz w:val="16"/>
          <w:szCs w:val="16"/>
          <w:color w:val="auto"/>
        </w:rPr>
        <w:t xml:space="preserve"> </w:t>
      </w:r>
      <w:r>
        <w:rPr>
          <w:rFonts w:ascii="Arial" w:cs="Arial" w:eastAsia="Arial" w:hAnsi="Arial"/>
          <w:sz w:val="16"/>
          <w:szCs w:val="16"/>
          <w:i w:val="1"/>
          <w:iCs w:val="1"/>
          <w:color w:val="auto"/>
        </w:rPr>
        <w:t>Study</w:t>
      </w:r>
      <w:r>
        <w:rPr>
          <w:rFonts w:ascii="Arial" w:cs="Arial" w:eastAsia="Arial" w:hAnsi="Arial"/>
          <w:sz w:val="16"/>
          <w:szCs w:val="16"/>
          <w:color w:val="auto"/>
        </w:rPr>
        <w:t>). Dr. Carlos Zarate, Jr., Chief of the NIMH’s Experimental Therapeutics &amp; Pathophysiology Branch and its Section on Neurobiology and Treatment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Mood and Anxiety Disorders, is acting as the Principal Investigator for the NIMH Study, which is focused on AV-101 monotherapy for subjects with treatment-resistant MDD and certain biomarkers. Dr. Zarate and the NIMH were among the first in the U.S. to conduct clinical studies in MDD patients with inadequate responses to multiple current FDA-approved antidepressants that demonstrated the robust, fast-acting antidepressant effects of ketamine within twenty-four hours of a single sub-anesthetic dose administered by IV injection. We are collaborating with Baylor College of Medicine (</w:t>
      </w:r>
      <w:r>
        <w:rPr>
          <w:rFonts w:ascii="Arial" w:cs="Arial" w:eastAsia="Arial" w:hAnsi="Arial"/>
          <w:sz w:val="16"/>
          <w:szCs w:val="16"/>
          <w:i w:val="1"/>
          <w:iCs w:val="1"/>
          <w:color w:val="auto"/>
        </w:rPr>
        <w:t>Baylor</w:t>
      </w:r>
      <w:r>
        <w:rPr>
          <w:rFonts w:ascii="Arial" w:cs="Arial" w:eastAsia="Arial" w:hAnsi="Arial"/>
          <w:sz w:val="16"/>
          <w:szCs w:val="16"/>
          <w:color w:val="auto"/>
        </w:rPr>
        <w:t>) and the U.S.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xml:space="preserve">) on the second study, which is a small first-step clinical trial involving healthy volunteer Veterans from either Operation Enduring Freedom, Operation Iraqi Freedom or Operation New Dawn designed to test potential anti-suicidal effects of AV-101 in Veterans (the </w:t>
      </w:r>
      <w:r>
        <w:rPr>
          <w:rFonts w:ascii="Arial" w:cs="Arial" w:eastAsia="Arial" w:hAnsi="Arial"/>
          <w:sz w:val="16"/>
          <w:szCs w:val="16"/>
          <w:i w:val="1"/>
          <w:iCs w:val="1"/>
          <w:color w:val="auto"/>
        </w:rPr>
        <w:t>Baylor Study</w:t>
      </w:r>
      <w:r>
        <w:rPr>
          <w:rFonts w:ascii="Arial" w:cs="Arial" w:eastAsia="Arial" w:hAnsi="Arial"/>
          <w:sz w:val="16"/>
          <w:szCs w:val="16"/>
          <w:color w:val="auto"/>
        </w:rPr>
        <w:t>). Dr. Marijn Lijffijt of Baylor is the Principal Investigator of the Baylor Study. VistaGen and the VA entered into a Material Transfer Cooperative Research and Development Agreement (</w:t>
      </w:r>
      <w:r>
        <w:rPr>
          <w:rFonts w:ascii="Arial" w:cs="Arial" w:eastAsia="Arial" w:hAnsi="Arial"/>
          <w:sz w:val="16"/>
          <w:szCs w:val="16"/>
          <w:i w:val="1"/>
          <w:iCs w:val="1"/>
          <w:color w:val="auto"/>
        </w:rPr>
        <w:t>MT CRADA</w:t>
      </w:r>
      <w:r>
        <w:rPr>
          <w:rFonts w:ascii="Arial" w:cs="Arial" w:eastAsia="Arial" w:hAnsi="Arial"/>
          <w:sz w:val="16"/>
          <w:szCs w:val="16"/>
          <w:color w:val="auto"/>
        </w:rPr>
        <w:t>) regarding clinical trial material for the Baylor Study, and government funding from the VA will be provided for substantially all other study costs.</w:t>
      </w:r>
    </w:p>
    <w:p>
      <w:pPr>
        <w:spacing w:after="0" w:line="181"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In addition to our CNS business, we have two additional programs through our wholly-owned subsidiary VistaGen Therapeutics, Inc., a California corporation, dba VistaStem Therapeutics (</w:t>
      </w:r>
      <w:r>
        <w:rPr>
          <w:rFonts w:ascii="Arial" w:cs="Arial" w:eastAsia="Arial" w:hAnsi="Arial"/>
          <w:sz w:val="15"/>
          <w:szCs w:val="15"/>
          <w:i w:val="1"/>
          <w:iCs w:val="1"/>
          <w:color w:val="auto"/>
        </w:rPr>
        <w:t>VistaStem</w:t>
      </w:r>
      <w:r>
        <w:rPr>
          <w:rFonts w:ascii="Arial" w:cs="Arial" w:eastAsia="Arial" w:hAnsi="Arial"/>
          <w:sz w:val="15"/>
          <w:szCs w:val="15"/>
          <w:color w:val="auto"/>
        </w:rPr>
        <w:t>). VistaStem is focused on applying human pluripotent stem cell (</w:t>
      </w:r>
      <w:r>
        <w:rPr>
          <w:rFonts w:ascii="Arial" w:cs="Arial" w:eastAsia="Arial" w:hAnsi="Arial"/>
          <w:sz w:val="15"/>
          <w:szCs w:val="15"/>
          <w:i w:val="1"/>
          <w:iCs w:val="1"/>
          <w:color w:val="auto"/>
        </w:rPr>
        <w:t>hPSC</w:t>
      </w:r>
      <w:r>
        <w:rPr>
          <w:rFonts w:ascii="Arial" w:cs="Arial" w:eastAsia="Arial" w:hAnsi="Arial"/>
          <w:sz w:val="15"/>
          <w:szCs w:val="15"/>
          <w:color w:val="auto"/>
        </w:rPr>
        <w:t>) technology to rescue, develop and commercialize</w:t>
      </w:r>
    </w:p>
    <w:p>
      <w:pPr>
        <w:jc w:val="both"/>
        <w:ind w:firstLine="8"/>
        <w:spacing w:after="0" w:line="288" w:lineRule="auto"/>
        <w:tabs>
          <w:tab w:leader="none" w:pos="212"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pipeline or out-licensing. To advance potential RM applications of VistaStem’s cardiac stem cell technology, we have exclusively sublicensed to BlueRock Therapeutics LP, a next generation cell therapy and RM company established in 2016 with $225 million of committed capital from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the BlueRock Agreement, we may pursue additional VistaStem collaborations or licensing transactions involving blood, cartilage, and/or liver cells derived from hPSCs for cell-based therapy, cell repair therapy, RM and/or tissue engineering.</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VistaStem is our wholly-owned subsidiary. Our Condensed Consolidated Financial Statements in this Quarterly Report on Form 10-Q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VistaStem’s two wholly-owned inactive subsidiaries, Artemis Neuroscience, Inc., a Maryland corporation, and VistaStem Canada, Inc., a corporation organized under the laws of Ontario,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w:t>
      </w:r>
      <w:r>
        <w:rPr>
          <w:rFonts w:ascii="Arial" w:cs="Arial" w:eastAsia="Arial" w:hAnsi="Arial"/>
          <w:sz w:val="16"/>
          <w:szCs w:val="16"/>
          <w:i w:val="1"/>
          <w:iCs w:val="1"/>
          <w:color w:val="auto"/>
        </w:rPr>
        <w:t>U.S. GAAP</w:t>
      </w:r>
      <w:r>
        <w:rPr>
          <w:rFonts w:ascii="Arial" w:cs="Arial" w:eastAsia="Arial" w:hAnsi="Arial"/>
          <w:sz w:val="16"/>
          <w:szCs w:val="16"/>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2018 has been derived from our audited consolidated financial statements at that date but does not include all disclosures required by U.S. GAAP. The operating results for the three months ended June 30, 2018 are not necessarily indicative of the operating results to be expected for our fiscal year ending March 31, 2019, or for any other future interim or other period.</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and notes to Condensed Consolidated Financial Statements contained in this Report should be read in conjunction with our audited Consolidated Financial Statements for our fiscal year ended March 31, 2018 contained in our Annual Report on Form 10-K, as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on June 26, 2018.</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assuming we will continue as a going concern. As a clinical-stage biopharmaceutical company having not yet developed commercial products or achieved sustainable revenues, we have experienced recurring losses and negative cash flows from operations resulting in a deficit of approximately $160.8 million accumulated from inception (May 1998) through June 30, 2018. We expect losses and negative cash flows from operations to continue for the foreseeable future as we engage in further potential development of AV-101, initially as an adjunctive treatment for MDD and subsequently as a new treatment alternative for other CNS conditions, execute our drug rescue programs and pursue potential drug development and regenerative medicine opportunities.</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Since our inception in May 1998 through June 30, 2018, we have financed our operations and technology acquisitions primarily through the issuance and sale of our equity and debt securities for cash proceeds of approximately $61.4 million, as well as from an aggregate of approximately $17.6 million of government research grant awards (excluding the fair market value of the NIMH Study and the Baylor Study), strategic collaboration payments, intellectual property sublicensing and other revenues. Additionally, we have issued equity securities with an approximate value at issuance of $33.7 million in non-cash settlements of certain liabilities, including liabilities for professional services rendered to us or as compensation for such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June 30, 2018, we had cash and cash equivalents of $7.2 million.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cash position at June 30, 2018 considered with our recurring and anticipated losses, negative cash flows from operations and limited stockholders’ equity make it probable, in the absence of additional financing, that we will not have sufficient resources to fund our planned operations for the twelve months following the issuance of these financial statements, including expenditures required to satisfy a significant portion of the projected expense associated with our ELEVATE Study, raising substantial doubt that we can continue as a going concern. However, to alleviate that doubt, since June 30, 2018 we have raised $3.36 million of additional capital as described below, and we plan, as we have numerous times in the past, to raise additional capital when and as needed, primarily through the sale of our equity securities in one or more private placements to accredited investors or public offerings.</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Between July 1, 2018 and August 13, 2018, we sold to accredited investors units consisting of an aggregate of 2,688,000 unregistered shares of our common stock, par value $0.001 per share, and warrants exercisable at least six months and one day following issuance and through February 28, 2022 to purchase 2,688,000 unregistered shares of our common stock at $1.50 per share, from which we received cash proceeds of $3,360,000 (the </w:t>
      </w:r>
      <w:r>
        <w:rPr>
          <w:rFonts w:ascii="Arial" w:cs="Arial" w:eastAsia="Arial" w:hAnsi="Arial"/>
          <w:sz w:val="16"/>
          <w:szCs w:val="16"/>
          <w:i w:val="1"/>
          <w:iCs w:val="1"/>
          <w:color w:val="auto"/>
        </w:rPr>
        <w:t>2018 Private Placement</w:t>
      </w:r>
      <w:r>
        <w:rPr>
          <w:rFonts w:ascii="Arial" w:cs="Arial" w:eastAsia="Arial" w:hAnsi="Arial"/>
          <w:sz w:val="16"/>
          <w:szCs w:val="16"/>
          <w:color w:val="auto"/>
        </w:rPr>
        <w:t xml:space="preserve">). See Note 10,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for additional information regarding the 2018 Private Placement. Further, subject to certain restrictions, our effective Registration Statement on Form S-3 (Registration No. 333-215671)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remains available for future sales of our equity securities in one or more public offerings from time to time. While we may make additional sales of our equity securities under the S-3 Registration Statement, we do not have an obligation to do so. As we have been in the past, we expect that, if and as necessary, we will be successful in raising additional capital from the sale of our equity securities either in one or more public offerings or in one or more private placement transactions with individual accredited investors or institutions.</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potential sale of our equity securities, we may also seek to enter research, development and commercialization collaborations that could generate revenue or provide funding, including non-dilutive funding, for development of AV-101 and/or additional product candidates. We may also seek additional government grant awards or agreements similar, for example, to our current CRADA with the NIMH, which provides for the NIMH to fully fund the NIMH Study, or similar to our relationships with Baylor and the VA in connection with the Baylor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involving our intellectual property. Although we may seek additional collaborations that could generate revenue and/or non-dilutive funding for development of AV-101 and other product candidates, as well as new government grant awards and/or agreements similar to our CRADA with NIMH, no assurance can be provided that any such collaborations, awards or agreements will occur in the future.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as an adjunctive treatment for MDD and other potential CNS conditions, and various applications of our stem cell technology platform, the availability of, and our ability to obtain, government grant awards and agreements,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Notwithstanding the foregoing, there can be no assurance that future financings will be available in sufficient amounts, in a timely manner, or on terms acceptable to us, if at all. If we are unable to obtain substantial additional financing on a timely basis when needed in 2018 or 2019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historically to value warrants and warrant modifications. With the exception of the BlueRock Agreement pursuant to which we recorded sublicense revenue in the third quarter of our fiscal year ended March 31, 2017, we do not currently have, nor have we had during the periods covered by this Report, any arrangements requiring the recognition of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3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AV-101, stem cell research and development costs, and costs related to the application and prosecution of patents related to AV-101 and, to a lesser extent, our stem cell technology platform. All such costs are charged to expense as incurred. We also record accruals for estimated ongoing clinical trial costs. Clinical trial costs represent costs incurred by contract research organizations (</w:t>
      </w:r>
      <w:r>
        <w:rPr>
          <w:rFonts w:ascii="Arial" w:cs="Arial" w:eastAsia="Arial" w:hAnsi="Arial"/>
          <w:sz w:val="15"/>
          <w:szCs w:val="15"/>
          <w:i w:val="1"/>
          <w:iCs w:val="1"/>
          <w:color w:val="auto"/>
        </w:rPr>
        <w:t>CRO</w:t>
      </w:r>
      <w:r>
        <w:rPr>
          <w:rFonts w:ascii="Arial" w:cs="Arial" w:eastAsia="Arial" w:hAnsi="Arial"/>
          <w:sz w:val="15"/>
          <w:szCs w:val="15"/>
          <w:color w:val="auto"/>
        </w:rPr>
        <w:t>s) and clinical trial sites. Progress payments are generally made to CROs, clinical sites, investigators and other professional service providers. We analyze the progress of the clinical trial, including levels of subject enrollment, invoices received and contracted costs when evaluating the adequacy of accrued liabilities. Significant judgments and estimates must be made and used in determining the clinical trial accrual in any reporting period. Actual results could differ from those estimates under different assumptions. Revisions are charged to research and development expense in the period in which the facts that give rise to the revision become known.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 compensation cost for all stock-based awards to employees and non-employee consultants based on the grant date fair value of the award. We record non-cash, stock-based compensation expense over the period during which the employee is required to perform services in exchange for the award, which generally represents the scheduled vesting period. We have not granted restricted stock awards to employees nor do we have any awards with market or performance conditions. For option grants to non-employees, we re-measure the fair value of the awards as they vest and the resulting value is recognized as an expense during the period over which the services are performed. Compensatory grants of stock to non-employees are generally treated as fully-earned at the time of the grant and the non-cash expense recognized is based on the quoted market price of the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summarizes stock-based compensation expense included in the accompanying Condensed Consolidated Statements of Operations and Comprehensive Loss for the three months ended June 30, 2018 and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Three Months Ended June 30,</w:t>
            </w:r>
          </w:p>
        </w:tc>
      </w:tr>
      <w:tr>
        <w:trPr>
          <w:trHeight w:val="250"/>
        </w:trPr>
        <w:tc>
          <w:tcPr>
            <w:tcW w:w="88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r>
      <w:tr>
        <w:trPr>
          <w:trHeight w:val="485"/>
        </w:trPr>
        <w:tc>
          <w:tcPr>
            <w:tcW w:w="8820" w:type="dxa"/>
            <w:vAlign w:val="bottom"/>
          </w:tcPr>
          <w:p>
            <w:pPr>
              <w:ind w:left="60"/>
              <w:spacing w:after="0"/>
              <w:rPr>
                <w:sz w:val="20"/>
                <w:szCs w:val="20"/>
                <w:color w:val="auto"/>
              </w:rPr>
            </w:pPr>
            <w:r>
              <w:rPr>
                <w:rFonts w:ascii="Arial" w:cs="Arial" w:eastAsia="Arial" w:hAnsi="Arial"/>
                <w:sz w:val="18"/>
                <w:szCs w:val="18"/>
                <w:color w:val="auto"/>
              </w:rPr>
              <w:t>Research and development expense:</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4"/>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 grants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191,400</w:t>
            </w:r>
          </w:p>
        </w:tc>
        <w:tc>
          <w:tcPr>
            <w:tcW w:w="140" w:type="dxa"/>
            <w:vAlign w:val="bottom"/>
            <w:shd w:val="clear" w:color="auto" w:fill="CCEEFF"/>
          </w:tcPr>
          <w:p>
            <w:pPr>
              <w:spacing w:after="0"/>
              <w:rPr>
                <w:sz w:val="19"/>
                <w:szCs w:val="19"/>
                <w:color w:val="auto"/>
              </w:rPr>
            </w:pPr>
          </w:p>
        </w:tc>
      </w:tr>
      <w:tr>
        <w:trPr>
          <w:trHeight w:val="223"/>
        </w:trPr>
        <w:tc>
          <w:tcPr>
            <w:tcW w:w="88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230,100</w:t>
            </w:r>
          </w:p>
        </w:tc>
        <w:tc>
          <w:tcPr>
            <w:tcW w:w="2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191,400</w:t>
            </w:r>
          </w:p>
        </w:tc>
        <w:tc>
          <w:tcPr>
            <w:tcW w:w="140" w:type="dxa"/>
            <w:vAlign w:val="bottom"/>
            <w:tcBorders>
              <w:top w:val="single" w:sz="8" w:color="CCEEFF"/>
            </w:tcBorders>
          </w:tcPr>
          <w:p>
            <w:pPr>
              <w:spacing w:after="0"/>
              <w:rPr>
                <w:sz w:val="19"/>
                <w:szCs w:val="19"/>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220"/>
              <w:spacing w:after="0"/>
              <w:rPr>
                <w:sz w:val="20"/>
                <w:szCs w:val="20"/>
                <w:color w:val="auto"/>
              </w:rPr>
            </w:pPr>
            <w:r>
              <w:rPr>
                <w:rFonts w:ascii="Arial" w:cs="Arial" w:eastAsia="Arial" w:hAnsi="Arial"/>
                <w:sz w:val="18"/>
                <w:szCs w:val="18"/>
                <w:color w:val="auto"/>
              </w:rPr>
              <w:t>Stock option grants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382,500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175,600</w:t>
            </w: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612,600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367,000</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did not grant any options pursuant to our 2016 Amended and Restated Stock Incentive Plan (the </w:t>
      </w:r>
      <w:r>
        <w:rPr>
          <w:rFonts w:ascii="Arial" w:cs="Arial" w:eastAsia="Arial" w:hAnsi="Arial"/>
          <w:sz w:val="18"/>
          <w:szCs w:val="18"/>
          <w:i w:val="1"/>
          <w:iCs w:val="1"/>
          <w:color w:val="auto"/>
        </w:rPr>
        <w:t>2016 Plan</w:t>
      </w:r>
      <w:r>
        <w:rPr>
          <w:rFonts w:ascii="Arial" w:cs="Arial" w:eastAsia="Arial" w:hAnsi="Arial"/>
          <w:sz w:val="18"/>
          <w:szCs w:val="18"/>
          <w:color w:val="auto"/>
        </w:rPr>
        <w:t>) to employees or consultants during the three months ended June 30, 2018.</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June 30, 2018, there were stock options outstanding to purchase 5,300,338 shares of our common stock at a weighted average exercise price of $2.43 per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Subsequent Events</w:t>
      </w:r>
      <w:r>
        <w:rPr>
          <w:rFonts w:ascii="Arial" w:cs="Arial" w:eastAsia="Arial" w:hAnsi="Arial"/>
          <w:sz w:val="18"/>
          <w:szCs w:val="18"/>
          <w:color w:val="auto"/>
        </w:rPr>
        <w:t>, for information regarding option grants made during August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net loss attributable to common stockholders per share of common stock excludes the effect of dilution and is computed by dividing net loss increased by the accrual of dividends on outstanding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 In calculating diluted net loss attributable to common stockholders per share, we have generally not increased the denominator to include the number of potentially dilutive common shares assumed to be outstanding during the period using the treasury stock method because the result is antidilutive.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net loss for both periods presented, potentially dilutive securities were excluded from the computation of diluted loss per share, as their effect would be antidilutive. Potentially dilutive securities excluded in determining diluted net loss attributable to common stockholders per common share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ind w:left="56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1,160,240</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1,160,240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Outstanding options under the Amended and Restated 2016 (formerly 2008) and 1999 Stock Incentive Plans (1999 Plan in</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only)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5,300,338</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2,522,593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16,638,516</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4,796,506</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26,167,106</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11,547,351</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ind w:left="200" w:hanging="192"/>
        <w:spacing w:after="0" w:line="195" w:lineRule="auto"/>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6"/>
          <w:szCs w:val="16"/>
          <w:color w:val="auto"/>
        </w:rPr>
        <w:t>Assumes exchange under the terms of the October 11, 2012 Note Exchange and Purchase Agreement, as amended</w:t>
      </w:r>
    </w:p>
    <w:p>
      <w:pPr>
        <w:spacing w:after="0" w:line="8" w:lineRule="exact"/>
        <w:rPr>
          <w:rFonts w:ascii="Arial" w:cs="Arial" w:eastAsia="Arial" w:hAnsi="Arial"/>
          <w:sz w:val="23"/>
          <w:szCs w:val="23"/>
          <w:color w:val="auto"/>
          <w:vertAlign w:val="superscript"/>
        </w:rPr>
      </w:pPr>
    </w:p>
    <w:p>
      <w:pPr>
        <w:ind w:right="180" w:firstLine="8"/>
        <w:spacing w:after="0" w:line="239" w:lineRule="auto"/>
        <w:tabs>
          <w:tab w:leader="none" w:pos="187"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B 10% Convertible Preferred Stock, effective May 5, 2015</w:t>
      </w:r>
    </w:p>
    <w:p>
      <w:pPr>
        <w:ind w:right="560" w:firstLine="8"/>
        <w:spacing w:after="0" w:line="248" w:lineRule="auto"/>
        <w:tabs>
          <w:tab w:leader="none" w:pos="187"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C Convertible Preferred Stock, effective January 25, 2016</w:t>
      </w:r>
    </w:p>
    <w:p>
      <w:pPr>
        <w:sectPr>
          <w:pgSz w:w="11900" w:h="16838" w:orient="portrait"/>
          <w:cols w:equalWidth="0" w:num="1">
            <w:col w:w="11420"/>
          </w:cols>
          <w:pgMar w:left="240" w:top="131" w:right="239"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724" w:gutter="0" w:footer="0" w:header="0"/>
          <w:type w:val="continuous"/>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use derivative instruments for hedging of market risks or for trading or speculative purposes. We carried no assets or liabilities at fair value at June 30, 2018 or March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described below, there have been no recent accounting pronouncements or changes in accounting pronouncements during the three months ended June 30, 2018, as compared to the recent accounting pronouncements described in our Form 10-K for our fiscal year ended March 31, 2018, that are of significance or potential significance to us.</w:t>
      </w:r>
    </w:p>
    <w:p>
      <w:pPr>
        <w:spacing w:after="0" w:line="19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June 2018,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xml:space="preserve">) 2018-07, </w:t>
      </w:r>
      <w:r>
        <w:rPr>
          <w:rFonts w:ascii="Arial" w:cs="Arial" w:eastAsia="Arial" w:hAnsi="Arial"/>
          <w:sz w:val="16"/>
          <w:szCs w:val="16"/>
          <w:i w:val="1"/>
          <w:iCs w:val="1"/>
          <w:color w:val="auto"/>
        </w:rPr>
        <w:t>Compensation-Stock Compensation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718), Improvements to Nonemployee Share-Based Payment Accounting </w:t>
      </w:r>
      <w:r>
        <w:rPr>
          <w:rFonts w:ascii="Arial" w:cs="Arial" w:eastAsia="Arial" w:hAnsi="Arial"/>
          <w:sz w:val="16"/>
          <w:szCs w:val="16"/>
          <w:color w:val="auto"/>
        </w:rPr>
        <w:t>(</w:t>
      </w:r>
      <w:r>
        <w:rPr>
          <w:rFonts w:ascii="Arial" w:cs="Arial" w:eastAsia="Arial" w:hAnsi="Arial"/>
          <w:sz w:val="16"/>
          <w:szCs w:val="16"/>
          <w:i w:val="1"/>
          <w:iCs w:val="1"/>
          <w:color w:val="auto"/>
        </w:rPr>
        <w:t>ASU 2018-07</w:t>
      </w:r>
      <w:r>
        <w:rPr>
          <w:rFonts w:ascii="Arial" w:cs="Arial" w:eastAsia="Arial" w:hAnsi="Arial"/>
          <w:sz w:val="16"/>
          <w:szCs w:val="16"/>
          <w:color w:val="auto"/>
        </w:rPr>
        <w:t>). ASU 2018-07 expands the scope of Topic 718 to include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 transactions for acquiring goods and services from nonemployees. Under ASU 2018-07, consistent with the accounting requirement for employee share-based payment awards, nonemployee share-based payment awards within the scope of Topic 718 are to be measured at the grant-date fair value of the equity instruments that an entity is obligated to issue when the good has been delivered or the service has been rendered and any other conditions necessary to earn the right to benefit from the instruments have been satisfied. Equity-classified nonemployee share-based payment awards are to be measured at the grant date. The definition of the term grant date is amended to generally state the date at which a grantor and a grantee reach a mutual understanding of the key terms and conditions of a share-based payment award. ASU 2018-07 specifies that Topic 718 applies to all share-based payment transactions in which a grantor acquires goods or services to be used or consumed in its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w:t>
      </w:r>
      <w:r>
        <w:rPr>
          <w:rFonts w:ascii="Arial" w:cs="Arial" w:eastAsia="Arial" w:hAnsi="Arial"/>
          <w:sz w:val="16"/>
          <w:szCs w:val="16"/>
          <w:color w:val="auto"/>
        </w:rPr>
        <w:t>). ASU 2018-07 is effective for public business entities for fiscal years beginning after December 15, 2018, including interim periods within that fiscal year. Early adoption is permitted, but no earlier than an entity’s adoption date of Topic 606. We expect to adopt ASU 2018-07 as of April 1, 2019, and we are evaluating the expected impact of this new guidance on our financial statements.</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which will replace the existing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and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the current guidance for operating leases. This standard will become effective for our fiscal year beginning April 1, 2019, with early adoption permitted. We expect to adopt the standard as of April 1, 2019, and are continuing to evaluate the expected impact of this new guidance on our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tcPr>
          <w:p>
            <w:pPr>
              <w:spacing w:after="0"/>
              <w:rPr>
                <w:sz w:val="20"/>
                <w:szCs w:val="20"/>
                <w:color w:val="auto"/>
              </w:rPr>
            </w:pPr>
            <w:r>
              <w:rPr>
                <w:rFonts w:ascii="Arial" w:cs="Arial" w:eastAsia="Arial" w:hAnsi="Arial"/>
                <w:sz w:val="18"/>
                <w:szCs w:val="18"/>
                <w:b w:val="1"/>
                <w:bCs w:val="1"/>
                <w:color w:val="auto"/>
              </w:rPr>
              <w:t>Note 4. Prepaid Expenses and Other Current Assets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w w:val="98"/>
              </w:rPr>
              <w:t>Prepaid expenses and other current assets are composed of the following at June 30, 2018 and March 31, 2018:</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9"/>
        </w:trPr>
        <w:tc>
          <w:tcPr>
            <w:tcW w:w="8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March 31,</w:t>
            </w:r>
          </w:p>
        </w:tc>
      </w:tr>
      <w:tr>
        <w:trPr>
          <w:trHeight w:val="252"/>
        </w:trPr>
        <w:tc>
          <w:tcPr>
            <w:tcW w:w="88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2018</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1"/>
                <w:szCs w:val="21"/>
                <w:color w:val="auto"/>
              </w:rPr>
            </w:pPr>
          </w:p>
        </w:tc>
      </w:tr>
      <w:tr>
        <w:trPr>
          <w:trHeight w:val="243"/>
        </w:trPr>
        <w:tc>
          <w:tcPr>
            <w:tcW w:w="8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AV-101 materials and 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Insurance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227,400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88,300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Public offering filing fees and expenses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24,700</w:t>
            </w:r>
          </w:p>
        </w:tc>
        <w:tc>
          <w:tcPr>
            <w:tcW w:w="140" w:type="dxa"/>
            <w:vAlign w:val="bottom"/>
          </w:tcPr>
          <w:p>
            <w:pPr>
              <w:spacing w:after="0"/>
              <w:rPr>
                <w:sz w:val="19"/>
                <w:szCs w:val="19"/>
                <w:color w:val="auto"/>
              </w:rPr>
            </w:pPr>
          </w:p>
        </w:tc>
      </w:tr>
      <w:tr>
        <w:trPr>
          <w:trHeight w:val="257"/>
        </w:trPr>
        <w:tc>
          <w:tcPr>
            <w:tcW w:w="88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424"/>
        </w:trPr>
        <w:tc>
          <w:tcPr>
            <w:tcW w:w="8820" w:type="dxa"/>
            <w:vAlign w:val="bottom"/>
          </w:tcPr>
          <w:p>
            <w:pPr>
              <w:spacing w:after="0"/>
              <w:rPr>
                <w:sz w:val="20"/>
                <w:szCs w:val="20"/>
                <w:color w:val="auto"/>
              </w:rPr>
            </w:pPr>
            <w:r>
              <w:rPr>
                <w:rFonts w:ascii="Arial" w:cs="Arial" w:eastAsia="Arial" w:hAnsi="Arial"/>
                <w:sz w:val="18"/>
                <w:szCs w:val="18"/>
                <w:b w:val="1"/>
                <w:bCs w:val="1"/>
                <w:color w:val="auto"/>
              </w:rPr>
              <w:t>Note 5. Property and Equipment</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Property and equipment is composed of the following at June 30, 2018 and March 31, 2018:</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9"/>
        </w:trPr>
        <w:tc>
          <w:tcPr>
            <w:tcW w:w="8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March 31,</w:t>
            </w:r>
          </w:p>
        </w:tc>
      </w:tr>
      <w:tr>
        <w:trPr>
          <w:trHeight w:val="252"/>
        </w:trPr>
        <w:tc>
          <w:tcPr>
            <w:tcW w:w="88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2018</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1"/>
                <w:szCs w:val="21"/>
                <w:color w:val="auto"/>
              </w:rPr>
            </w:pPr>
          </w:p>
        </w:tc>
      </w:tr>
      <w:tr>
        <w:trPr>
          <w:trHeight w:val="243"/>
        </w:trPr>
        <w:tc>
          <w:tcPr>
            <w:tcW w:w="8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Laboratory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color w:val="auto"/>
              </w:rPr>
              <w:t>Tenant improvements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Computers and network equipment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60"/>
              <w:spacing w:after="0"/>
              <w:rPr>
                <w:sz w:val="20"/>
                <w:szCs w:val="20"/>
                <w:color w:val="auto"/>
              </w:rPr>
            </w:pPr>
            <w:r>
              <w:rPr>
                <w:rFonts w:ascii="Arial" w:cs="Arial" w:eastAsia="Arial" w:hAnsi="Arial"/>
                <w:sz w:val="18"/>
                <w:szCs w:val="18"/>
                <w:color w:val="auto"/>
              </w:rPr>
              <w:t>Office furniture and equipment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79,700</w:t>
            </w:r>
          </w:p>
        </w:tc>
        <w:tc>
          <w:tcPr>
            <w:tcW w:w="14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1,216,100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(857,100)</w:t>
            </w: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(842,100)</w:t>
            </w:r>
          </w:p>
        </w:tc>
      </w:tr>
      <w:tr>
        <w:trPr>
          <w:trHeight w:val="257"/>
        </w:trPr>
        <w:tc>
          <w:tcPr>
            <w:tcW w:w="8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207,400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6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643"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tenant improvements reflects construction in progress at our South San Francisco, California offices at June 30, 2018, including approximately $113,700 of which is included in our Accounts Payable balance at that date. Under the terms of our November 2016 lease extension agreement, our landlord will reimburse us for up to $163,600 of such tenant improvement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Accrued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are composed of the following at June 30, 2018 and March 31, 2018:</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5"/>
          </w:tcPr>
          <w:p>
            <w:pPr>
              <w:ind w:left="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52"/>
        </w:trPr>
        <w:tc>
          <w:tcPr>
            <w:tcW w:w="4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4"/>
              </w:rPr>
              <w:t>2018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Accrued AV-101 development and related expenses</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889,500</w:t>
            </w:r>
          </w:p>
        </w:tc>
        <w:tc>
          <w:tcPr>
            <w:tcW w:w="1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0"/>
              <w:spacing w:after="0"/>
              <w:rPr>
                <w:sz w:val="20"/>
                <w:szCs w:val="20"/>
                <w:color w:val="auto"/>
              </w:rPr>
            </w:pPr>
            <w:r>
              <w:rPr>
                <w:rFonts w:ascii="Arial" w:cs="Arial" w:eastAsia="Arial" w:hAnsi="Arial"/>
                <w:sz w:val="18"/>
                <w:szCs w:val="18"/>
                <w:color w:val="auto"/>
              </w:rPr>
              <w:t>Accrued professional services</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164,900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5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1,057,900</w:t>
            </w:r>
          </w:p>
        </w:tc>
        <w:tc>
          <w:tcPr>
            <w:tcW w:w="140" w:type="dxa"/>
            <w:vAlign w:val="bottom"/>
          </w:tcPr>
          <w:p>
            <w:pPr>
              <w:spacing w:after="0"/>
              <w:rPr>
                <w:sz w:val="18"/>
                <w:szCs w:val="18"/>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206,300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Note 7. Notes Payable</w:t>
            </w: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41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60" w:type="dxa"/>
            <w:vAlign w:val="bottom"/>
            <w:gridSpan w:val="8"/>
          </w:tcPr>
          <w:p>
            <w:pPr>
              <w:spacing w:after="0"/>
              <w:rPr>
                <w:sz w:val="20"/>
                <w:szCs w:val="20"/>
                <w:color w:val="auto"/>
              </w:rPr>
            </w:pPr>
            <w:r>
              <w:rPr>
                <w:rFonts w:ascii="Arial" w:cs="Arial" w:eastAsia="Arial" w:hAnsi="Arial"/>
                <w:sz w:val="18"/>
                <w:szCs w:val="18"/>
                <w:color w:val="auto"/>
                <w:w w:val="87"/>
              </w:rPr>
              <w:t>The following table summarizes our unsecured promissory notes at June 30, 2018 and March 31, 2018.</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8"/>
                <w:szCs w:val="18"/>
                <w:b w:val="1"/>
                <w:bCs w:val="1"/>
                <w:color w:val="auto"/>
              </w:rPr>
              <w:t>June 30, 2018</w:t>
            </w:r>
          </w:p>
        </w:tc>
        <w:tc>
          <w:tcPr>
            <w:tcW w:w="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March 31, 2018</w:t>
            </w: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Principal</w:t>
            </w:r>
          </w:p>
        </w:tc>
        <w:tc>
          <w:tcPr>
            <w:tcW w:w="240" w:type="dxa"/>
            <w:vAlign w:val="bottom"/>
          </w:tcPr>
          <w:p>
            <w:pPr>
              <w:spacing w:after="0"/>
              <w:rPr>
                <w:sz w:val="20"/>
                <w:szCs w:val="20"/>
                <w:color w:val="auto"/>
              </w:rPr>
            </w:pPr>
          </w:p>
        </w:tc>
        <w:tc>
          <w:tcPr>
            <w:tcW w:w="800" w:type="dxa"/>
            <w:vAlign w:val="bottom"/>
          </w:tcPr>
          <w:p>
            <w:pPr>
              <w:jc w:val="center"/>
              <w:ind w:left="12"/>
              <w:spacing w:after="0"/>
              <w:rPr>
                <w:sz w:val="20"/>
                <w:szCs w:val="20"/>
                <w:color w:val="auto"/>
              </w:rPr>
            </w:pPr>
            <w:r>
              <w:rPr>
                <w:rFonts w:ascii="Arial" w:cs="Arial" w:eastAsia="Arial" w:hAnsi="Arial"/>
                <w:sz w:val="18"/>
                <w:szCs w:val="18"/>
                <w:color w:val="auto"/>
                <w:w w:val="87"/>
              </w:rPr>
              <w:t>Accrued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20"/>
                <w:szCs w:val="20"/>
                <w:color w:val="auto"/>
              </w:rPr>
            </w:pPr>
          </w:p>
        </w:tc>
        <w:tc>
          <w:tcPr>
            <w:tcW w:w="80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Accrued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Balance</w:t>
            </w:r>
          </w:p>
        </w:tc>
        <w:tc>
          <w:tcPr>
            <w:tcW w:w="240" w:type="dxa"/>
            <w:vAlign w:val="bottom"/>
          </w:tcPr>
          <w:p>
            <w:pPr>
              <w:spacing w:after="0"/>
              <w:rPr>
                <w:sz w:val="21"/>
                <w:szCs w:val="21"/>
                <w:color w:val="auto"/>
              </w:rPr>
            </w:pPr>
          </w:p>
        </w:tc>
        <w:tc>
          <w:tcPr>
            <w:tcW w:w="800" w:type="dxa"/>
            <w:vAlign w:val="bottom"/>
          </w:tcPr>
          <w:p>
            <w:pPr>
              <w:jc w:val="center"/>
              <w:ind w:left="12"/>
              <w:spacing w:after="0"/>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w w:val="84"/>
              </w:rPr>
              <w:t>Total</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Balance</w:t>
            </w:r>
          </w:p>
        </w:tc>
        <w:tc>
          <w:tcPr>
            <w:tcW w:w="220" w:type="dxa"/>
            <w:vAlign w:val="bottom"/>
          </w:tcPr>
          <w:p>
            <w:pPr>
              <w:spacing w:after="0"/>
              <w:rPr>
                <w:sz w:val="21"/>
                <w:szCs w:val="21"/>
                <w:color w:val="auto"/>
              </w:rPr>
            </w:pPr>
          </w:p>
        </w:tc>
        <w:tc>
          <w:tcPr>
            <w:tcW w:w="80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Interest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6.50% and 7.15% Notes payable to insurance</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80" w:type="dxa"/>
            <w:vAlign w:val="bottom"/>
          </w:tcPr>
          <w:p>
            <w:pPr>
              <w:ind w:left="100"/>
              <w:spacing w:after="0"/>
              <w:rPr>
                <w:sz w:val="20"/>
                <w:szCs w:val="20"/>
                <w:color w:val="auto"/>
              </w:rPr>
            </w:pPr>
            <w:r>
              <w:rPr>
                <w:rFonts w:ascii="Arial" w:cs="Arial" w:eastAsia="Arial" w:hAnsi="Arial"/>
                <w:sz w:val="18"/>
                <w:szCs w:val="18"/>
                <w:color w:val="auto"/>
              </w:rPr>
              <w:t>premium financing company (current)</w:t>
            </w:r>
          </w:p>
        </w:tc>
        <w:tc>
          <w:tcPr>
            <w:tcW w:w="1440" w:type="dxa"/>
            <w:vAlign w:val="bottom"/>
            <w:gridSpan w:val="2"/>
          </w:tcPr>
          <w:p>
            <w:pPr>
              <w:jc w:val="center"/>
              <w:ind w:left="432"/>
              <w:spacing w:after="0"/>
              <w:rPr>
                <w:sz w:val="20"/>
                <w:szCs w:val="20"/>
                <w:color w:val="auto"/>
              </w:rPr>
            </w:pPr>
            <w:r>
              <w:rPr>
                <w:rFonts w:ascii="Arial" w:cs="Arial" w:eastAsia="Arial" w:hAnsi="Arial"/>
                <w:sz w:val="18"/>
                <w:szCs w:val="18"/>
                <w:color w:val="auto"/>
              </w:rPr>
              <w:t>$   181,100</w:t>
            </w:r>
          </w:p>
        </w:tc>
        <w:tc>
          <w:tcPr>
            <w:tcW w:w="104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181,100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53,900</w:t>
            </w:r>
          </w:p>
        </w:tc>
        <w:tc>
          <w:tcPr>
            <w:tcW w:w="88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53,900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In May 2018, we executed a 6.50% promissory note in the principal amount of $160,500 in connection with certain insurance policy premiums. The note is payable in monthly installments of $16,500, including principal and interest, through March 2019, and had an outstanding balance of $144,800 at June 30, 2018. In February 2018, we executed a 7.15% promissory note in the principal amount of $59,700 in connection with other insurance policy premiums. That note is payable in monthly installments of $6,200, including principal and interest, through December 2018, and had an outstanding balance of $36,300 at June 30,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Private Placement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During the quarter ended June 30, 2018, in connection with our self-placed 2018 Private Placement, we accepted a subscription agreement from an accredited investor, pursuant to which we sold units, at a purchase price of $1.25 per unit, consisting of 40,000 unregistered shares of our common stock and warrants, exercisable through February 28, 2022, to purchase 40,000 unregistered shares of our common stock at an exercise price of $1.50 per share. The purchaser of the units has no registration rights with respect to the shares of common stock, warrants or the shares of common stock issuable upon exercise of the warrants comprising the units sold. The warrants are not exercisable until at least six months and one day following the date of issuance. We received aggregate cash proceeds of $50,000 in connection with this self-placed private placement transaction, and the entire amount of the proceeds was credited to stockholders’ equity. Refer to Note 10, </w:t>
      </w:r>
      <w:r>
        <w:rPr>
          <w:rFonts w:ascii="Arial" w:cs="Arial" w:eastAsia="Arial" w:hAnsi="Arial"/>
          <w:sz w:val="18"/>
          <w:szCs w:val="18"/>
          <w:i w:val="1"/>
          <w:iCs w:val="1"/>
          <w:color w:val="auto"/>
        </w:rPr>
        <w:t>Subsequent Events</w:t>
      </w:r>
      <w:r>
        <w:rPr>
          <w:rFonts w:ascii="Arial" w:cs="Arial" w:eastAsia="Arial" w:hAnsi="Arial"/>
          <w:sz w:val="18"/>
          <w:szCs w:val="18"/>
          <w:color w:val="auto"/>
        </w:rPr>
        <w:t>, for disclosure of additional cash proceeds to us from sales of units in the 2018 Private Placement consummated after June 30, 2018.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Professional Services Providers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June 30, 2018, we issued 25,000 shares of our unregistered common stock having a fair value on the date of issuance of $24,000 as partial compensation to an investor relations service provider. We also issued 75,000 shares of our unregistered common stock having a fair value on the date of issuance of $99,000 as compensation under a financial advisory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quarter ended June 30, 2018, the holder of a warrant to purchase 5,000 shares of our common stock at $1.50 per share issued in our December 2017 public offering fully exercised the warrant and we received cash proceeds of $7,500. Following the warrant issuance in the 2018 Private Placement and the warrant exercise, at June 30, 2018, we had outstanding warrants to purchase shares of our common stock at a weighted average exercise price of $2.85 per share as follows:</w:t>
      </w:r>
    </w:p>
    <w:p>
      <w:pPr>
        <w:spacing w:after="0" w:line="218" w:lineRule="exact"/>
        <w:rPr>
          <w:sz w:val="20"/>
          <w:szCs w:val="20"/>
          <w:color w:val="auto"/>
        </w:rPr>
      </w:pPr>
    </w:p>
    <w:tbl>
      <w:tblPr>
        <w:tblLayout w:type="fixed"/>
        <w:tblInd w:w="2520" w:type="dxa"/>
        <w:tblCellMar>
          <w:top w:w="0" w:type="dxa"/>
          <w:left w:w="0" w:type="dxa"/>
          <w:bottom w:w="0" w:type="dxa"/>
          <w:right w:w="0" w:type="dxa"/>
        </w:tblCellMar>
      </w:tblPr>
      <w:tr>
        <w:trPr>
          <w:trHeight w:val="228"/>
        </w:trPr>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Warrants</w:t>
            </w:r>
          </w:p>
        </w:tc>
      </w:tr>
      <w:tr>
        <w:trPr>
          <w:trHeight w:val="243"/>
        </w:trPr>
        <w:tc>
          <w:tcPr>
            <w:tcW w:w="200" w:type="dxa"/>
            <w:vAlign w:val="bottom"/>
          </w:tcPr>
          <w:p>
            <w:pPr>
              <w:spacing w:after="0"/>
              <w:rPr>
                <w:sz w:val="21"/>
                <w:szCs w:val="21"/>
                <w:color w:val="auto"/>
              </w:rPr>
            </w:pPr>
          </w:p>
        </w:tc>
        <w:tc>
          <w:tcPr>
            <w:tcW w:w="1220" w:type="dxa"/>
            <w:vAlign w:val="bottom"/>
          </w:tcPr>
          <w:p>
            <w:pPr>
              <w:jc w:val="center"/>
              <w:ind w:left="332"/>
              <w:spacing w:after="0"/>
              <w:rPr>
                <w:sz w:val="20"/>
                <w:szCs w:val="20"/>
                <w:color w:val="auto"/>
              </w:rPr>
            </w:pPr>
            <w:r>
              <w:rPr>
                <w:rFonts w:ascii="Arial" w:cs="Arial" w:eastAsia="Arial" w:hAnsi="Arial"/>
                <w:sz w:val="18"/>
                <w:szCs w:val="18"/>
                <w:b w:val="1"/>
                <w:bCs w:val="1"/>
                <w:color w:val="auto"/>
                <w:w w:val="86"/>
              </w:rPr>
              <w:t>Exercise</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 at</w:t>
            </w:r>
          </w:p>
        </w:tc>
      </w:tr>
      <w:tr>
        <w:trPr>
          <w:trHeight w:val="243"/>
        </w:trPr>
        <w:tc>
          <w:tcPr>
            <w:tcW w:w="200" w:type="dxa"/>
            <w:vAlign w:val="bottom"/>
          </w:tcPr>
          <w:p>
            <w:pPr>
              <w:spacing w:after="0"/>
              <w:rPr>
                <w:sz w:val="21"/>
                <w:szCs w:val="21"/>
                <w:color w:val="auto"/>
              </w:rPr>
            </w:pPr>
          </w:p>
        </w:tc>
        <w:tc>
          <w:tcPr>
            <w:tcW w:w="1220" w:type="dxa"/>
            <w:vAlign w:val="bottom"/>
          </w:tcPr>
          <w:p>
            <w:pPr>
              <w:jc w:val="center"/>
              <w:ind w:left="332"/>
              <w:spacing w:after="0"/>
              <w:rPr>
                <w:sz w:val="20"/>
                <w:szCs w:val="20"/>
                <w:color w:val="auto"/>
              </w:rPr>
            </w:pPr>
            <w:r>
              <w:rPr>
                <w:rFonts w:ascii="Arial" w:cs="Arial" w:eastAsia="Arial" w:hAnsi="Arial"/>
                <w:sz w:val="18"/>
                <w:szCs w:val="18"/>
                <w:b w:val="1"/>
                <w:bCs w:val="1"/>
                <w:color w:val="auto"/>
                <w:w w:val="90"/>
              </w:rPr>
              <w:t>Price</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tcPr>
          <w:p>
            <w:pPr>
              <w:ind w:left="640"/>
              <w:spacing w:after="0"/>
              <w:rPr>
                <w:sz w:val="20"/>
                <w:szCs w:val="20"/>
                <w:color w:val="auto"/>
              </w:rPr>
            </w:pPr>
            <w:r>
              <w:rPr>
                <w:rFonts w:ascii="Arial" w:cs="Arial" w:eastAsia="Arial" w:hAnsi="Arial"/>
                <w:sz w:val="18"/>
                <w:szCs w:val="18"/>
                <w:b w:val="1"/>
                <w:bCs w:val="1"/>
                <w:color w:val="auto"/>
              </w:rPr>
              <w:t>Expiration</w:t>
            </w:r>
          </w:p>
        </w:tc>
        <w:tc>
          <w:tcPr>
            <w:tcW w:w="240" w:type="dxa"/>
            <w:vAlign w:val="bottom"/>
          </w:tcPr>
          <w:p>
            <w:pPr>
              <w:spacing w:after="0"/>
              <w:rPr>
                <w:sz w:val="21"/>
                <w:szCs w:val="21"/>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June 30,</w:t>
            </w:r>
          </w:p>
        </w:tc>
      </w:tr>
      <w:tr>
        <w:trPr>
          <w:trHeight w:val="252"/>
        </w:trPr>
        <w:tc>
          <w:tcPr>
            <w:tcW w:w="200" w:type="dxa"/>
            <w:vAlign w:val="bottom"/>
          </w:tcPr>
          <w:p>
            <w:pPr>
              <w:spacing w:after="0"/>
              <w:rPr>
                <w:sz w:val="21"/>
                <w:szCs w:val="21"/>
                <w:color w:val="auto"/>
              </w:rPr>
            </w:pPr>
          </w:p>
        </w:tc>
        <w:tc>
          <w:tcPr>
            <w:tcW w:w="1220" w:type="dxa"/>
            <w:vAlign w:val="bottom"/>
          </w:tcPr>
          <w:p>
            <w:pPr>
              <w:jc w:val="center"/>
              <w:ind w:left="332"/>
              <w:spacing w:after="0"/>
              <w:rPr>
                <w:sz w:val="20"/>
                <w:szCs w:val="20"/>
                <w:color w:val="auto"/>
              </w:rPr>
            </w:pPr>
            <w:r>
              <w:rPr>
                <w:rFonts w:ascii="Arial" w:cs="Arial" w:eastAsia="Arial" w:hAnsi="Arial"/>
                <w:sz w:val="18"/>
                <w:szCs w:val="18"/>
                <w:b w:val="1"/>
                <w:bCs w:val="1"/>
                <w:color w:val="auto"/>
                <w:w w:val="86"/>
              </w:rPr>
              <w:t>per Share</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tcPr>
          <w:p>
            <w:pPr>
              <w:ind w:left="880"/>
              <w:spacing w:after="0"/>
              <w:rPr>
                <w:sz w:val="20"/>
                <w:szCs w:val="20"/>
                <w:color w:val="auto"/>
              </w:rPr>
            </w:pPr>
            <w:r>
              <w:rPr>
                <w:rFonts w:ascii="Arial" w:cs="Arial" w:eastAsia="Arial" w:hAnsi="Arial"/>
                <w:sz w:val="18"/>
                <w:szCs w:val="18"/>
                <w:b w:val="1"/>
                <w:bCs w:val="1"/>
                <w:color w:val="auto"/>
              </w:rPr>
              <w:t>Date</w:t>
            </w:r>
          </w:p>
        </w:tc>
        <w:tc>
          <w:tcPr>
            <w:tcW w:w="202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84"/>
              </w:rPr>
              <w:t>2018</w:t>
            </w:r>
          </w:p>
        </w:tc>
        <w:tc>
          <w:tcPr>
            <w:tcW w:w="220" w:type="dxa"/>
            <w:vAlign w:val="bottom"/>
          </w:tcPr>
          <w:p>
            <w:pPr>
              <w:spacing w:after="0"/>
              <w:rPr>
                <w:sz w:val="21"/>
                <w:szCs w:val="21"/>
                <w:color w:val="auto"/>
              </w:rPr>
            </w:pPr>
          </w:p>
        </w:tc>
      </w:tr>
      <w:tr>
        <w:trPr>
          <w:trHeight w:val="243"/>
        </w:trPr>
        <w:tc>
          <w:tcPr>
            <w:tcW w:w="20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1420" w:type="dxa"/>
            <w:vAlign w:val="bottom"/>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11/30/2021 to 12/13/2022</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10,185,000</w:t>
            </w:r>
          </w:p>
        </w:tc>
        <w:tc>
          <w:tcPr>
            <w:tcW w:w="220" w:type="dxa"/>
            <w:vAlign w:val="bottom"/>
            <w:shd w:val="clear" w:color="auto" w:fill="CCEEFF"/>
          </w:tcPr>
          <w:p>
            <w:pPr>
              <w:spacing w:after="0"/>
              <w:rPr>
                <w:sz w:val="18"/>
                <w:szCs w:val="18"/>
                <w:color w:val="auto"/>
              </w:rPr>
            </w:pPr>
          </w:p>
        </w:tc>
      </w:tr>
      <w:tr>
        <w:trPr>
          <w:trHeight w:val="216"/>
        </w:trPr>
        <w:tc>
          <w:tcPr>
            <w:tcW w:w="142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3/7/2023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1,388,931</w:t>
            </w:r>
          </w:p>
        </w:tc>
        <w:tc>
          <w:tcPr>
            <w:tcW w:w="220" w:type="dxa"/>
            <w:vAlign w:val="bottom"/>
          </w:tcPr>
          <w:p>
            <w:pPr>
              <w:spacing w:after="0"/>
              <w:rPr>
                <w:sz w:val="18"/>
                <w:szCs w:val="18"/>
                <w:color w:val="auto"/>
              </w:rPr>
            </w:pPr>
          </w:p>
        </w:tc>
      </w:tr>
      <w:tr>
        <w:trPr>
          <w:trHeight w:val="216"/>
        </w:trPr>
        <w:tc>
          <w:tcPr>
            <w:tcW w:w="1420" w:type="dxa"/>
            <w:vAlign w:val="bottom"/>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4/30/2021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523,573</w:t>
            </w:r>
          </w:p>
        </w:tc>
        <w:tc>
          <w:tcPr>
            <w:tcW w:w="220" w:type="dxa"/>
            <w:vAlign w:val="bottom"/>
            <w:shd w:val="clear" w:color="auto" w:fill="CCEEFF"/>
          </w:tcPr>
          <w:p>
            <w:pPr>
              <w:spacing w:after="0"/>
              <w:rPr>
                <w:sz w:val="18"/>
                <w:szCs w:val="18"/>
                <w:color w:val="auto"/>
              </w:rPr>
            </w:pPr>
          </w:p>
        </w:tc>
      </w:tr>
      <w:tr>
        <w:trPr>
          <w:trHeight w:val="216"/>
        </w:trPr>
        <w:tc>
          <w:tcPr>
            <w:tcW w:w="142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12/31/2021</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r>
      <w:tr>
        <w:trPr>
          <w:trHeight w:val="216"/>
        </w:trPr>
        <w:tc>
          <w:tcPr>
            <w:tcW w:w="1420" w:type="dxa"/>
            <w:vAlign w:val="bottom"/>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9/26/2019</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8"/>
                <w:szCs w:val="18"/>
                <w:color w:val="auto"/>
              </w:rPr>
            </w:pPr>
          </w:p>
        </w:tc>
      </w:tr>
      <w:tr>
        <w:trPr>
          <w:trHeight w:val="216"/>
        </w:trPr>
        <w:tc>
          <w:tcPr>
            <w:tcW w:w="142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5/16/2021</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2,705,883</w:t>
            </w:r>
          </w:p>
        </w:tc>
        <w:tc>
          <w:tcPr>
            <w:tcW w:w="220" w:type="dxa"/>
            <w:vAlign w:val="bottom"/>
          </w:tcPr>
          <w:p>
            <w:pPr>
              <w:spacing w:after="0"/>
              <w:rPr>
                <w:sz w:val="18"/>
                <w:szCs w:val="18"/>
                <w:color w:val="auto"/>
              </w:rPr>
            </w:pPr>
          </w:p>
        </w:tc>
      </w:tr>
      <w:tr>
        <w:trPr>
          <w:trHeight w:val="216"/>
        </w:trPr>
        <w:tc>
          <w:tcPr>
            <w:tcW w:w="1420" w:type="dxa"/>
            <w:vAlign w:val="bottom"/>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9/26/2019 to 11/30/2019</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97,750</w:t>
            </w:r>
          </w:p>
        </w:tc>
        <w:tc>
          <w:tcPr>
            <w:tcW w:w="220" w:type="dxa"/>
            <w:vAlign w:val="bottom"/>
            <w:shd w:val="clear" w:color="auto" w:fill="CCEEFF"/>
          </w:tcPr>
          <w:p>
            <w:pPr>
              <w:spacing w:after="0"/>
              <w:rPr>
                <w:sz w:val="18"/>
                <w:szCs w:val="18"/>
                <w:color w:val="auto"/>
              </w:rPr>
            </w:pPr>
          </w:p>
        </w:tc>
      </w:tr>
      <w:tr>
        <w:trPr>
          <w:trHeight w:val="216"/>
        </w:trPr>
        <w:tc>
          <w:tcPr>
            <w:tcW w:w="142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12/11/2018 to 3/3/2023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1,346,931</w:t>
            </w:r>
          </w:p>
        </w:tc>
        <w:tc>
          <w:tcPr>
            <w:tcW w:w="220" w:type="dxa"/>
            <w:vAlign w:val="bottom"/>
          </w:tcPr>
          <w:p>
            <w:pPr>
              <w:spacing w:after="0"/>
              <w:rPr>
                <w:sz w:val="18"/>
                <w:szCs w:val="18"/>
                <w:color w:val="auto"/>
              </w:rPr>
            </w:pPr>
          </w:p>
        </w:tc>
      </w:tr>
      <w:tr>
        <w:trPr>
          <w:trHeight w:val="216"/>
        </w:trPr>
        <w:tc>
          <w:tcPr>
            <w:tcW w:w="1420" w:type="dxa"/>
            <w:vAlign w:val="bottom"/>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3/25/2021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220" w:type="dxa"/>
            <w:vAlign w:val="bottom"/>
            <w:shd w:val="clear" w:color="auto" w:fill="CCEEFF"/>
          </w:tcPr>
          <w:p>
            <w:pPr>
              <w:spacing w:after="0"/>
              <w:rPr>
                <w:sz w:val="18"/>
                <w:szCs w:val="18"/>
                <w:color w:val="auto"/>
              </w:rPr>
            </w:pPr>
          </w:p>
        </w:tc>
      </w:tr>
      <w:tr>
        <w:trPr>
          <w:trHeight w:val="216"/>
        </w:trPr>
        <w:tc>
          <w:tcPr>
            <w:tcW w:w="142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1/11/2020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8"/>
                <w:szCs w:val="18"/>
                <w:color w:val="auto"/>
              </w:rPr>
            </w:pPr>
          </w:p>
        </w:tc>
      </w:tr>
      <w:tr>
        <w:trPr>
          <w:trHeight w:val="223"/>
        </w:trPr>
        <w:tc>
          <w:tcPr>
            <w:tcW w:w="1420" w:type="dxa"/>
            <w:vAlign w:val="bottom"/>
            <w:tcBorders>
              <w:bottom w:val="single" w:sz="8" w:color="CCEEFF"/>
            </w:tcBorders>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20.00</w:t>
            </w:r>
          </w:p>
        </w:tc>
        <w:tc>
          <w:tcPr>
            <w:tcW w:w="20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9/15/2019</w:t>
            </w:r>
          </w:p>
        </w:tc>
        <w:tc>
          <w:tcPr>
            <w:tcW w:w="24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110,448</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16,638,516</w:t>
            </w:r>
          </w:p>
        </w:tc>
        <w:tc>
          <w:tcPr>
            <w:tcW w:w="220" w:type="dxa"/>
            <w:vAlign w:val="bottom"/>
          </w:tcPr>
          <w:p>
            <w:pPr>
              <w:spacing w:after="0"/>
              <w:rPr>
                <w:sz w:val="18"/>
                <w:szCs w:val="18"/>
                <w:color w:val="auto"/>
              </w:rPr>
            </w:pPr>
          </w:p>
        </w:tc>
      </w:tr>
      <w:tr>
        <w:trPr>
          <w:trHeight w:val="21"/>
        </w:trPr>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the warrants outstanding at June 30, 2018, 2,705,883 shares of common stock underlying the warrants exercisable at $5.30 per share issued in our May 2016 public offering, 1,388,931 shares of common stock underlying the warrants exercisable at $1.82 per share issued in our September 2017 public offering and 9,995,000 shares of common stock underlying the warrants exercisable at $1.50 per share issued in our December 2017 public offering are registered for resale by the warrant holders. The common shares issuable upon exercise of our remaining outstanding warrants are unregistered. At June 30, 2018, none of our outstanding warrants are subject to down round anti-dilution protection features and all of the outstanding warrants are exercisable by the holders only by payment in cash of the stated exercise price per share.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is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CRL is a contract research, development and regulatory services organization (</w:t>
      </w:r>
      <w:r>
        <w:rPr>
          <w:rFonts w:ascii="Arial" w:cs="Arial" w:eastAsia="Arial" w:hAnsi="Arial"/>
          <w:sz w:val="16"/>
          <w:szCs w:val="16"/>
          <w:i w:val="1"/>
          <w:iCs w:val="1"/>
          <w:color w:val="auto"/>
        </w:rPr>
        <w:t>CRO</w:t>
      </w:r>
      <w:r>
        <w:rPr>
          <w:rFonts w:ascii="Arial" w:cs="Arial" w:eastAsia="Arial" w:hAnsi="Arial"/>
          <w:sz w:val="16"/>
          <w:szCs w:val="16"/>
          <w:color w:val="auto"/>
        </w:rPr>
        <w:t>) that we have engaged for a wide range of material aspects related to the nonclinical and clinical development and regulatory affairs associated with our efforts to develop and commercialize AV-101 for MDD, including our ELEVATE Study, and other potential CNS indications. CBV is among our largest institutional stockholders at June 30, 2018, holding approximately 4% of our outstanding common stock.</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2017, we entered into a Master Services Agreement (</w:t>
      </w:r>
      <w:r>
        <w:rPr>
          <w:rFonts w:ascii="Arial" w:cs="Arial" w:eastAsia="Arial" w:hAnsi="Arial"/>
          <w:sz w:val="16"/>
          <w:szCs w:val="16"/>
          <w:i w:val="1"/>
          <w:iCs w:val="1"/>
          <w:color w:val="auto"/>
        </w:rPr>
        <w:t>MSA</w:t>
      </w:r>
      <w:r>
        <w:rPr>
          <w:rFonts w:ascii="Arial" w:cs="Arial" w:eastAsia="Arial" w:hAnsi="Arial"/>
          <w:sz w:val="16"/>
          <w:szCs w:val="16"/>
          <w:color w:val="auto"/>
        </w:rPr>
        <w:t>) with CRL, which replaced a substantially similar May 2007 master services agreement, pursuant to which CRL may assist us in the evaluation, development, commercialization and marketing of our potential product candidates, including AV-101, and provide regulatory and strategic consulting services as requested from time to time. Specific projects or services are and will be delineated in individual work orders negotiated from time-to-time under the MSA. Under the terms of work orders issued pursuant to the July 2017 MSA and our prior May 2007 master services agreement, we incurred expenses of $877,500 and $128,200 during the quarters ended June 30, 2018 and 2017, respectively. We anticipate periodic expenses for CRO services from CRL related to nonclinical and clinical development of, and regulatory affairs related to, AV-101 and other potential product candidates will increase in future periods.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August 13, 2018 and have identified the following matters requiring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2018 Private Placement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Between July 1 and August 14, 2018, in connection with our self-placed 2018 Private Placement, we accepted subscription agreements from accredited investors, pursuant to which we sold to such investors units, at a purchase price of $1.25 per unit, consisting of an aggregate of 2,688,000 unregistered shares of our common stock and warrants, exercisable through February 28, 2022, to purchase 2,688,000 unregistered shares of our common stock at an exercise price of $1.50 per share. The purchasers of the units have no registration rights with respect to the shares of common stock, warrants or the shares of common stock issuable upon exercise of the warrants comprising the units sold. The warrants are not exercisable until at least six months and one day following the date of issuance. We received aggregate cash proceeds of $3,360,000 in connection with these self-placed private placement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and Warrants to Professional Services Providers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July 2018, we issued: (i) a four-year warrant to purchase 48,000 unregistered shares of our common stock at an exercise price of $1.50 per share as compensation under a financial advisory consulting agreement; and (ii) 50,000 unregistered shares of our common stock having a fair value on the date of issuance of $68,000 and a four-year warrant to purchase 150,000 unregistered shares of our common stock at an exercise price of $1.50 per share as partial compensation under an additional financial advisory consulting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of Options from 2016 Plan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5, 2018, the Compensation Committee of the Board approved the grant of options to independent members of the Board, certain officers and employees to purchase an aggregate of 860,000 shares of our common stock at an exercise price of $1.27 per share, the quoted closing price of our common stock on the Nasdaq Capital Markets on the trading date preceding the grant. 25% of the options will vest immediately upon grant, and the remaining shares will vest ratably over the next twenty-four months.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Quarterly Report on Form 10-Q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“believe,” “may,”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agencies, the impact of competitive products, product development, commercialization and technological difficulties, the effect of our accounting policies, and other risks as detailed in the section entitled “Risk Factors” in this Report. Further, even if our product candidates appear promising at various stages of development, our share price may decrease such that we are unable to raise additional capital without significant dilution or other terms that may be unacceptable to our management, Board and stockholders.</w:t>
      </w:r>
    </w:p>
    <w:p>
      <w:pPr>
        <w:spacing w:after="0" w:line="3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diseases and disorders of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with high unmet need.</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lead CNS product candidate, AV-101, is an oral, non-opioid and non-sedating therapy that we believe offers the potential to be a new at-home treatment for multiple CNS indications with high unmet medical need. These indications include potential use as a new generation treatment alternative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as a non-addictive, non-sedating option for management of chronic neuropathic pain (</w:t>
      </w:r>
      <w:r>
        <w:rPr>
          <w:rFonts w:ascii="Arial" w:cs="Arial" w:eastAsia="Arial" w:hAnsi="Arial"/>
          <w:sz w:val="16"/>
          <w:szCs w:val="16"/>
          <w:i w:val="1"/>
          <w:iCs w:val="1"/>
          <w:color w:val="auto"/>
        </w:rPr>
        <w:t>CNP</w:t>
      </w:r>
      <w:r>
        <w:rPr>
          <w:rFonts w:ascii="Arial" w:cs="Arial" w:eastAsia="Arial" w:hAnsi="Arial"/>
          <w:sz w:val="16"/>
          <w:szCs w:val="16"/>
          <w:color w:val="auto"/>
        </w:rPr>
        <w:t>), to reduce dyskinesia induced by levodopa (L-DOPA) therapy for Parkinson’s disease (</w:t>
      </w:r>
      <w:r>
        <w:rPr>
          <w:rFonts w:ascii="Arial" w:cs="Arial" w:eastAsia="Arial" w:hAnsi="Arial"/>
          <w:sz w:val="16"/>
          <w:szCs w:val="16"/>
          <w:i w:val="1"/>
          <w:iCs w:val="1"/>
          <w:color w:val="auto"/>
        </w:rPr>
        <w:t>PD LID</w:t>
      </w:r>
      <w:r>
        <w:rPr>
          <w:rFonts w:ascii="Arial" w:cs="Arial" w:eastAsia="Arial" w:hAnsi="Arial"/>
          <w:sz w:val="16"/>
          <w:szCs w:val="16"/>
          <w:color w:val="auto"/>
        </w:rPr>
        <w:t xml:space="preserve">), to reduce suicidal ideation and for additional CNS indications </w:t>
      </w:r>
      <w:r>
        <w:rPr>
          <w:rFonts w:ascii="Arial" w:cs="Arial" w:eastAsia="Arial" w:hAnsi="Arial"/>
          <w:sz w:val="16"/>
          <w:szCs w:val="16"/>
          <w:color w:val="333333"/>
        </w:rPr>
        <w:t>where modulation of NMDA (N-methyl-D-aspartate) receptor and AMPA (alpha-amino-3-hydroxy-5-methyl-4-isoxazolepropionic acid) receptor pathways may achieve therapeutic benefit.</w:t>
      </w:r>
    </w:p>
    <w:p>
      <w:pPr>
        <w:spacing w:after="0" w:line="170"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For MDD, we believe AV-101 has potential as an oral, at home, stand-alone first line therapy and as an adjunctive therapy. As an adjunctive therapy, we believe AV-101 has potential to both (i) augment current antidepressants approved by the U.S. Food and Drug Administration (</w:t>
      </w:r>
      <w:r>
        <w:rPr>
          <w:rFonts w:ascii="Arial" w:cs="Arial" w:eastAsia="Arial" w:hAnsi="Arial"/>
          <w:sz w:val="15"/>
          <w:szCs w:val="15"/>
          <w:i w:val="1"/>
          <w:iCs w:val="1"/>
          <w:color w:val="auto"/>
        </w:rPr>
        <w:t>FDA</w:t>
      </w:r>
      <w:r>
        <w:rPr>
          <w:rFonts w:ascii="Arial" w:cs="Arial" w:eastAsia="Arial" w:hAnsi="Arial"/>
          <w:sz w:val="15"/>
          <w:szCs w:val="15"/>
          <w:color w:val="auto"/>
        </w:rPr>
        <w:t>) and displace atypical antipsychotics, such as aripiprazole, in the current MDD drug treatment paradigm both for patients with MDD who have an inadequate response to standard antidepressants, and</w:t>
      </w:r>
    </w:p>
    <w:p>
      <w:pPr>
        <w:spacing w:after="0" w:line="1" w:lineRule="exact"/>
        <w:rPr>
          <w:sz w:val="20"/>
          <w:szCs w:val="20"/>
          <w:color w:val="auto"/>
        </w:rPr>
      </w:pPr>
    </w:p>
    <w:p>
      <w:pPr>
        <w:jc w:val="both"/>
        <w:ind w:firstLine="8"/>
        <w:spacing w:after="0" w:line="320" w:lineRule="auto"/>
        <w:tabs>
          <w:tab w:leader="none" w:pos="264" w:val="left"/>
        </w:tabs>
        <w:numPr>
          <w:ilvl w:val="0"/>
          <w:numId w:val="5"/>
        </w:numPr>
        <w:rPr>
          <w:rFonts w:ascii="Arial" w:cs="Arial" w:eastAsia="Arial" w:hAnsi="Arial"/>
          <w:sz w:val="15"/>
          <w:szCs w:val="15"/>
          <w:color w:val="auto"/>
        </w:rPr>
      </w:pPr>
      <w:r>
        <w:rPr>
          <w:rFonts w:ascii="Arial" w:cs="Arial" w:eastAsia="Arial" w:hAnsi="Arial"/>
          <w:sz w:val="15"/>
          <w:szCs w:val="15"/>
          <w:color w:val="auto"/>
        </w:rPr>
        <w:t>prevent relapse of MDD and/or suicidal ideation following successful treatment with the FDA-approved anesthetic, ketamine hydrochloride (</w:t>
      </w:r>
      <w:r>
        <w:rPr>
          <w:rFonts w:ascii="Arial" w:cs="Arial" w:eastAsia="Arial" w:hAnsi="Arial"/>
          <w:sz w:val="15"/>
          <w:szCs w:val="15"/>
          <w:i w:val="1"/>
          <w:iCs w:val="1"/>
          <w:color w:val="auto"/>
        </w:rPr>
        <w:t>ketamine</w:t>
      </w:r>
      <w:r>
        <w:rPr>
          <w:rFonts w:ascii="Arial" w:cs="Arial" w:eastAsia="Arial" w:hAnsi="Arial"/>
          <w:sz w:val="15"/>
          <w:szCs w:val="15"/>
          <w:color w:val="auto"/>
        </w:rPr>
        <w:t>) when used to treat patients with treatment-resistant MDD, whether administered by intravenous (</w:t>
      </w:r>
      <w:r>
        <w:rPr>
          <w:rFonts w:ascii="Arial" w:cs="Arial" w:eastAsia="Arial" w:hAnsi="Arial"/>
          <w:sz w:val="15"/>
          <w:szCs w:val="15"/>
          <w:i w:val="1"/>
          <w:iCs w:val="1"/>
          <w:color w:val="auto"/>
        </w:rPr>
        <w:t>IV</w:t>
      </w:r>
      <w:r>
        <w:rPr>
          <w:rFonts w:ascii="Arial" w:cs="Arial" w:eastAsia="Arial" w:hAnsi="Arial"/>
          <w:sz w:val="15"/>
          <w:szCs w:val="15"/>
          <w:color w:val="auto"/>
        </w:rPr>
        <w:t>) injection or as an intranasal spray formulation. We believe AV-101 may have potential to deliver ketamine-like antidepressant effects as an oral therapy on an at-home basis, without the requirement for inconvenient administration in a medical setting or the use of needles, and without causing psychological or other side effects and safety concerns associated with ketamine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AV-101 is currently in Phase 2 development in the United States. In the fourth quarter of 2017, we received authorization from the FDA to initiate ELEVATE, our Phase 2 multi-center, multi-dose, double blind, placebo-controlled clinical study to evaluate the efficacy and safety of AV-101 as an adjunctive treatment of MDD in adult patients with an inadequate therapeutic response to current FDA-approved antidepressants (the </w:t>
      </w:r>
      <w:r>
        <w:rPr>
          <w:rFonts w:ascii="Arial" w:cs="Arial" w:eastAsia="Arial" w:hAnsi="Arial"/>
          <w:sz w:val="16"/>
          <w:szCs w:val="16"/>
          <w:i w:val="1"/>
          <w:iCs w:val="1"/>
          <w:color w:val="auto"/>
        </w:rPr>
        <w:t>ELEVATE Study</w:t>
      </w:r>
      <w:r>
        <w:rPr>
          <w:rFonts w:ascii="Arial" w:cs="Arial" w:eastAsia="Arial" w:hAnsi="Arial"/>
          <w:sz w:val="16"/>
          <w:szCs w:val="16"/>
          <w:color w:val="auto"/>
        </w:rPr>
        <w:t>). As planned, we initiated the ELEVATE Study in the first quarter of 2018.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xml:space="preserve">) Research Institute, is the Principal Investigator of the ELEVATE Study assisting our internal team, which is led by Mark Smith, MD, PhD, our Chief Medical Officer. Dr. Fava was the co-Principal Investigator with Dr. A. John Rush of the STAR*D study, the largest clinical trial conducted in depression to date, whose findings were published in journals such as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w:t>
      </w:r>
      <w:r>
        <w:rPr>
          <w:rFonts w:ascii="Arial" w:cs="Arial" w:eastAsia="Arial" w:hAnsi="Arial"/>
          <w:sz w:val="16"/>
          <w:szCs w:val="16"/>
          <w:i w:val="1"/>
          <w:iCs w:val="1"/>
          <w:color w:val="auto"/>
        </w:rPr>
        <w:t>NEJM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Journal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American Medical Association </w:t>
      </w:r>
      <w:r>
        <w:rPr>
          <w:rFonts w:ascii="Arial" w:cs="Arial" w:eastAsia="Arial" w:hAnsi="Arial"/>
          <w:sz w:val="16"/>
          <w:szCs w:val="16"/>
          <w:color w:val="auto"/>
        </w:rPr>
        <w:t>(</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top line results from the ELEVATE Study by the end of the first half of 2019.</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AV-101 is also the subject of two small government-funded clinical studies. The first study is a small Phase 2 clinical study being conducted and funded by the U.S. National Institute of Mental Health (the </w:t>
      </w:r>
      <w:r>
        <w:rPr>
          <w:rFonts w:ascii="Arial" w:cs="Arial" w:eastAsia="Arial" w:hAnsi="Arial"/>
          <w:sz w:val="16"/>
          <w:szCs w:val="16"/>
          <w:i w:val="1"/>
          <w:iCs w:val="1"/>
          <w:color w:val="auto"/>
        </w:rPr>
        <w:t>NIMH</w:t>
      </w:r>
      <w:r>
        <w:rPr>
          <w:rFonts w:ascii="Arial" w:cs="Arial" w:eastAsia="Arial" w:hAnsi="Arial"/>
          <w:sz w:val="16"/>
          <w:szCs w:val="16"/>
          <w:color w:val="auto"/>
        </w:rPr>
        <w:t>), 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w:t>
      </w:r>
      <w:r>
        <w:rPr>
          <w:rFonts w:ascii="Arial" w:cs="Arial" w:eastAsia="Arial" w:hAnsi="Arial"/>
          <w:sz w:val="16"/>
          <w:szCs w:val="16"/>
          <w:i w:val="1"/>
          <w:iCs w:val="1"/>
          <w:color w:val="auto"/>
        </w:rPr>
        <w:t>NIMH</w:t>
      </w:r>
      <w:r>
        <w:rPr>
          <w:rFonts w:ascii="Arial" w:cs="Arial" w:eastAsia="Arial" w:hAnsi="Arial"/>
          <w:sz w:val="16"/>
          <w:szCs w:val="16"/>
          <w:color w:val="auto"/>
        </w:rPr>
        <w:t xml:space="preserve"> </w:t>
      </w:r>
      <w:r>
        <w:rPr>
          <w:rFonts w:ascii="Arial" w:cs="Arial" w:eastAsia="Arial" w:hAnsi="Arial"/>
          <w:sz w:val="16"/>
          <w:szCs w:val="16"/>
          <w:i w:val="1"/>
          <w:iCs w:val="1"/>
          <w:color w:val="auto"/>
        </w:rPr>
        <w:t>Study</w:t>
      </w:r>
      <w:r>
        <w:rPr>
          <w:rFonts w:ascii="Arial" w:cs="Arial" w:eastAsia="Arial" w:hAnsi="Arial"/>
          <w:sz w:val="16"/>
          <w:szCs w:val="16"/>
          <w:color w:val="auto"/>
        </w:rPr>
        <w:t>). Dr. Carlos Zarate, Jr., Chief of the NIMH’s Experimental Therapeutics &amp; Pathophysiology Branch and its Section on Neurobiology and Treatment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Mood and Anxiety Disorders, is acting as the Principal Investigator for the NIMH Study, which is focused on AV-101 monotherapy for subjects with treatment-resistant MDD and certain biomarkers. Dr. Zarate and the NIMH were among the first in the U.S. to conduct clinical studies in MDD patients with inadequate responses to multiple current FDA-approved antidepressants that demonstrated the robust, fast-acting antidepressant effects of ketamine within twenty-four hours of a single sub-anesthetic dose administered by IV injection. We are collaborating with Baylor College of Medicine (</w:t>
      </w:r>
      <w:r>
        <w:rPr>
          <w:rFonts w:ascii="Arial" w:cs="Arial" w:eastAsia="Arial" w:hAnsi="Arial"/>
          <w:sz w:val="16"/>
          <w:szCs w:val="16"/>
          <w:i w:val="1"/>
          <w:iCs w:val="1"/>
          <w:color w:val="auto"/>
        </w:rPr>
        <w:t>Baylor</w:t>
      </w:r>
      <w:r>
        <w:rPr>
          <w:rFonts w:ascii="Arial" w:cs="Arial" w:eastAsia="Arial" w:hAnsi="Arial"/>
          <w:sz w:val="16"/>
          <w:szCs w:val="16"/>
          <w:color w:val="auto"/>
        </w:rPr>
        <w:t>) and the U.S.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xml:space="preserve">) on the second study, which is a small first-step clinical trial involving healthy volunteer Veterans from either Operation Enduring Freedom, Operation Iraqi Freedom or Operation New Dawn designed to test potential anti-suicidal effects of AV-101 in Veterans (the </w:t>
      </w:r>
      <w:r>
        <w:rPr>
          <w:rFonts w:ascii="Arial" w:cs="Arial" w:eastAsia="Arial" w:hAnsi="Arial"/>
          <w:sz w:val="16"/>
          <w:szCs w:val="16"/>
          <w:i w:val="1"/>
          <w:iCs w:val="1"/>
          <w:color w:val="auto"/>
        </w:rPr>
        <w:t>Baylor Study</w:t>
      </w:r>
      <w:r>
        <w:rPr>
          <w:rFonts w:ascii="Arial" w:cs="Arial" w:eastAsia="Arial" w:hAnsi="Arial"/>
          <w:sz w:val="16"/>
          <w:szCs w:val="16"/>
          <w:color w:val="auto"/>
        </w:rPr>
        <w:t>). Dr. Marijn Lijffijt of Baylor is the Principal Investigator of the Baylor Study. VistaGen and the VA entered into a Material Transfer Cooperative Research and Development Agreement (</w:t>
      </w:r>
      <w:r>
        <w:rPr>
          <w:rFonts w:ascii="Arial" w:cs="Arial" w:eastAsia="Arial" w:hAnsi="Arial"/>
          <w:sz w:val="16"/>
          <w:szCs w:val="16"/>
          <w:i w:val="1"/>
          <w:iCs w:val="1"/>
          <w:color w:val="auto"/>
        </w:rPr>
        <w:t>MT CRADA</w:t>
      </w:r>
      <w:r>
        <w:rPr>
          <w:rFonts w:ascii="Arial" w:cs="Arial" w:eastAsia="Arial" w:hAnsi="Arial"/>
          <w:sz w:val="16"/>
          <w:szCs w:val="16"/>
          <w:color w:val="auto"/>
        </w:rPr>
        <w:t>) regarding clinical trial material for the Baylor Study, and government funding from the VA will be provided for substantially all other study costs.</w:t>
      </w:r>
    </w:p>
    <w:p>
      <w:pPr>
        <w:spacing w:after="0" w:line="181"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In addition to our CNS business, we have two additional programs through our wholly-owned subsidiary VistaGen Therapeutics, Inc., a California corporation, dba VistaStem Therapeutics (</w:t>
      </w:r>
      <w:r>
        <w:rPr>
          <w:rFonts w:ascii="Arial" w:cs="Arial" w:eastAsia="Arial" w:hAnsi="Arial"/>
          <w:sz w:val="15"/>
          <w:szCs w:val="15"/>
          <w:i w:val="1"/>
          <w:iCs w:val="1"/>
          <w:color w:val="auto"/>
        </w:rPr>
        <w:t>VistaStem</w:t>
      </w:r>
      <w:r>
        <w:rPr>
          <w:rFonts w:ascii="Arial" w:cs="Arial" w:eastAsia="Arial" w:hAnsi="Arial"/>
          <w:sz w:val="15"/>
          <w:szCs w:val="15"/>
          <w:color w:val="auto"/>
        </w:rPr>
        <w:t>). VistaStem is focused on applying human pluripotent stem cell (</w:t>
      </w:r>
      <w:r>
        <w:rPr>
          <w:rFonts w:ascii="Arial" w:cs="Arial" w:eastAsia="Arial" w:hAnsi="Arial"/>
          <w:sz w:val="15"/>
          <w:szCs w:val="15"/>
          <w:i w:val="1"/>
          <w:iCs w:val="1"/>
          <w:color w:val="auto"/>
        </w:rPr>
        <w:t>hPSC</w:t>
      </w:r>
      <w:r>
        <w:rPr>
          <w:rFonts w:ascii="Arial" w:cs="Arial" w:eastAsia="Arial" w:hAnsi="Arial"/>
          <w:sz w:val="15"/>
          <w:szCs w:val="15"/>
          <w:color w:val="auto"/>
        </w:rPr>
        <w:t>) technology to rescue, develop and commercialize</w:t>
      </w:r>
    </w:p>
    <w:p>
      <w:pPr>
        <w:jc w:val="both"/>
        <w:ind w:firstLine="8"/>
        <w:spacing w:after="0" w:line="288" w:lineRule="auto"/>
        <w:tabs>
          <w:tab w:leader="none" w:pos="212"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pipeline or out-licensing. To advance potential RM applications of VistaStem’s cardiac stem cell technology, we have exclusively sublicensed to BlueRock Therapeutics LP, a next generation cell therapy and RM company established in 2016 with $225 million of committed capital from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the BlueRock Agreement, we may pursue additional VistaStem collaborations or licensing transactions involving blood, cartilage, and/or liver cells derived from hPSCs for cell-based therapy, cell repair therapy, RM and/or tissue engineering.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VistaStem is our wholly-owned subsidiary. Our Condensed Consolidated Financial Statements in this Report also include the accounts of VistaStem’s two wholly-owned inactive subsidiaries, Artemis Neuroscience, Inc., a Maryland corporation, and VistaStem Canada, Inc., a corporation organized under the laws of Ontario,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Annual Report on Form 10-K for the fiscal year ended March 31, 2018, as filed with the SEC on June 26, 2018, and in Note 3 to the accompanying unaudited Condensed Consolidated Financial Statements included in Part 1, Item 1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not yet achieved recurring revenue-generating status from any of our product candidates or technologies. Since inception, we have devoted substantially all of our time and efforts to developing our lead CNS product candidate, AV-101, from early nonclinical studies to our ongoing Phase 2 clinical development program in MDD, as well as stem cell technology research and development, bioassay development, small molecule drug development, and creating, protecting and patenting intellectual property (</w:t>
      </w:r>
      <w:r>
        <w:rPr>
          <w:rFonts w:ascii="Arial" w:cs="Arial" w:eastAsia="Arial" w:hAnsi="Arial"/>
          <w:sz w:val="16"/>
          <w:szCs w:val="16"/>
          <w:i w:val="1"/>
          <w:iCs w:val="1"/>
          <w:color w:val="auto"/>
        </w:rPr>
        <w:t>IP</w:t>
      </w:r>
      <w:r>
        <w:rPr>
          <w:rFonts w:ascii="Arial" w:cs="Arial" w:eastAsia="Arial" w:hAnsi="Arial"/>
          <w:sz w:val="16"/>
          <w:szCs w:val="16"/>
          <w:color w:val="auto"/>
        </w:rPr>
        <w:t>) related to our product candidates and technologies, with the corollary initiatives of recruiting and retaining personnel and raising working capital. As of June 30, 2018, we had an accumulated deficit of approximately $160.8 million. Our net loss for the quarters ended June 30, 2018 and 2017 was approximately $4.2 million and $2.3 million, respectively. We expect losses to continue for the foreseeable future, primarily as a result of our ELEVATE Study and further clinical development of AV-101 for the adjunctive treatment of MDD, as well as a range of other CNS indications.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Quarter Ended June 30, 2018</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During the quarter ended June 30, 2018, we continued to (i) advance nonclinical development, including manufacturing, and clinical development of AV-101 as a potential new generation antidepressant and as a potential new therapeutic alternative for several other CNS indications with significant unmet need, (ii) expand the regulatory and intellectual property foundation to support broad clinical development and, ultimately, commercialization of AV-101 in the U.S. and foreign markets, and (iii) on a limited basis, advance the predictive toxicology capabilities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small molecule NCE drug rescue and development applications and collaborative cell therapy and/or RM opportunities related to our stem cell technology platform.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continued to conduct our ELEVATE Study during the quarter, following its on-target launch in the fourth quarter of fiscal 2018. In anticipation of successful results from the ELEVATE Study, we continue to produce additional supplies of AV-101 for potential use in Phase 3-enabling studies of AV-101 in MDD or for additional nonclinical and clinical studies in other potential indications.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our CRADA with the NIH, the NIH continues to fund, and Dr. Carlos Zarate Jr. of the NIMH continues to conduct, the NIMH Study at no cost to us other than having supplied AV-101 and placebo for use in connection with the NIMH Study.</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333333"/>
        </w:rPr>
        <w:t xml:space="preserve">We continue to pursue </w:t>
      </w:r>
      <w:r>
        <w:rPr>
          <w:rFonts w:ascii="Arial" w:cs="Arial" w:eastAsia="Arial" w:hAnsi="Arial"/>
          <w:sz w:val="16"/>
          <w:szCs w:val="16"/>
          <w:color w:val="0E0E0E"/>
        </w:rPr>
        <w:t>initiatives to secure a broad portfolio of patent protection for AV-101 that covers multiple CNS indications, unit dose formulations and</w:t>
      </w:r>
      <w:r>
        <w:rPr>
          <w:rFonts w:ascii="Arial" w:cs="Arial" w:eastAsia="Arial" w:hAnsi="Arial"/>
          <w:sz w:val="16"/>
          <w:szCs w:val="16"/>
          <w:color w:val="333333"/>
        </w:rPr>
        <w:t xml:space="preserve"> </w:t>
      </w:r>
      <w:r>
        <w:rPr>
          <w:rFonts w:ascii="Arial" w:cs="Arial" w:eastAsia="Arial" w:hAnsi="Arial"/>
          <w:sz w:val="16"/>
          <w:szCs w:val="16"/>
          <w:color w:val="0E0E0E"/>
        </w:rPr>
        <w:t>chemical synthesis methods. During fiscal 2018 and subsequently, we filed and have pursued several patent applications in the U.S., Europe, Japan, China and other selected countries and regions with significant commercial potential. Several of these patent applications were allowed or have been granted in the U.S. and other major pharmaceutical markets, including for (i) certain novel therapeutic methods for the use of AV-101, including treatment of depression, (ii) certain unit dose formulations of AV-101, and (iii) treatment of levodopa-induced dyskinesia, as well as for the chemical synthesis of AV-101. We have also recently filed a new U.S. provisional patent application for the AV-101 patent portfolio. Based on our U.S. patent issuances or allowances to-date, we believe that counterpart patent applications related to AV-101 currently under review in other countries are likely to be granted, although there can be no assurance that all pending applications will ultimately be granted.</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0E0E0E"/>
        </w:rPr>
        <w:t>We have obtained and are pursuing patent rights to the production of several types of stem cells, including cardiomyocytes, hematopoietic cells, chondrocytes, cartilage cells and hepatocytes, as well as the use of certain cell types that have been differentiated from pluripotent stem cells for therapeutic purposes, including cell-based therapy and regenerative medicine.</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Beginning late in the first quarter of fiscal 2019 and continuing through the date of this Report, we entered into self-placed private placement transactions with accredited investors, pursuant to which we sold units consisting of an aggregate of 2,728,000 shares of our unregistered common stock and warrants expiring on February 28, 2022, which are not exercisable until at least six months and one day following issuance, to purchase an aggregate of 2,728,000 unregistered shares of our common stock at a fixed exercise price of $1.50 per share. We received aggregate cash proceeds of $3,410,000 in these self-placed private placement transactions.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matter of course, we continue to minimize, to the greatest extent possible, cash commitments and expenditures for both internal and external research and development and general and administrative services. To further advance the clinical and nonclinical development of AV-101 and our stem cell technology platform,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2018 and 2017</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the results of our operations, including both cash and noncash components, for the three months ended June 30, 2018 and 2017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Three Months Ended June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5"/>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(4,212)</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(4,214)</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Accrued dividend on Series B Preferred Stock</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(4,488)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reported no revenue for either the quarter ended June 30, 2018 or 2017 and we presently have no recurring revenue generating arrangements with respect to AV-101 or other potential product candidates. While we may potentially receive additional payments and royalties under the BlueRock Agreement in the future in the event certain performance-based milestones and commercial sales are achieved, there can be no assurance that the BlueRock Agreement will provide additional revenue to us in the near term or at all.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 increased to $2.7 million compared to $1.1 million for the quarters ended June 30, 2018 and 2017, respectively. Expenses related to the conduct of the ELEVATE Study and various nonclinical activities, including manufacturing additional quantities of AV-101, primarily account for the increase in research and development expense. The total of noncash items included in our research and development expense, including stock compensation, depreciation and a portion of rent expense in both periods and a portion of AV-101 project expenses in the quarter ended June 30, 2018, was essentially unchanged between the periods, aggregating approximately $255,000 and $251,000 for the quarters ended June 30, 2018 and 2017 respectively. The following table indicates the primary components of research and development expense for each of the periods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3"/>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7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spacing w:after="0"/>
              <w:rPr>
                <w:sz w:val="20"/>
                <w:szCs w:val="20"/>
                <w:color w:val="auto"/>
              </w:rPr>
            </w:pPr>
            <w:r>
              <w:rPr>
                <w:rFonts w:ascii="Arial" w:cs="Arial" w:eastAsia="Arial" w:hAnsi="Arial"/>
                <w:sz w:val="18"/>
                <w:szCs w:val="18"/>
                <w:b w:val="1"/>
                <w:bCs w:val="1"/>
                <w:color w:val="auto"/>
                <w:w w:val="97"/>
              </w:rPr>
              <w:t>Three Months Ended June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Technology licenses and royalties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ELEVATE Study and other AV-101 expenses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VistaStem and all other projects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2,744</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Salaries and benefits expense is essentially flat between periods, reflecting the impact of salary increases granted to our Chief Medical Officer (</w:t>
      </w:r>
      <w:r>
        <w:rPr>
          <w:rFonts w:ascii="Arial" w:cs="Arial" w:eastAsia="Arial" w:hAnsi="Arial"/>
          <w:sz w:val="18"/>
          <w:szCs w:val="18"/>
          <w:i w:val="1"/>
          <w:iCs w:val="1"/>
          <w:color w:val="auto"/>
        </w:rPr>
        <w:t>CMO</w:t>
      </w:r>
      <w:r>
        <w:rPr>
          <w:rFonts w:ascii="Arial" w:cs="Arial" w:eastAsia="Arial" w:hAnsi="Arial"/>
          <w:sz w:val="18"/>
          <w:szCs w:val="18"/>
          <w:color w:val="auto"/>
        </w:rPr>
        <w:t>) and Chief Scientific Officer (</w:t>
      </w:r>
      <w:r>
        <w:rPr>
          <w:rFonts w:ascii="Arial" w:cs="Arial" w:eastAsia="Arial" w:hAnsi="Arial"/>
          <w:sz w:val="18"/>
          <w:szCs w:val="18"/>
          <w:i w:val="1"/>
          <w:iCs w:val="1"/>
          <w:color w:val="auto"/>
        </w:rPr>
        <w:t>CSO</w:t>
      </w:r>
      <w:r>
        <w:rPr>
          <w:rFonts w:ascii="Arial" w:cs="Arial" w:eastAsia="Arial" w:hAnsi="Arial"/>
          <w:sz w:val="18"/>
          <w:szCs w:val="18"/>
          <w:color w:val="auto"/>
        </w:rPr>
        <w:t>) in July 2017 and to the non-officer members of our scientific staff in June 2017, offset by the impact of a staff position terminated in April 2017.</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Noncash stock-based compensation expense increased modestly in the current period primarily from the routine amortization of option grants made to our CSO, CMO and scientific staff in February 2018, September 2017, and April 2017. Grants awarded after June 2017 account for approximately $83,000 of 2018 expense. Expense attributable to these grants is generally being amortized over two-year to four-year vesting periods, based on the terms of the respective grants. Offsetting this increase is the effect of option forfeitures related to the staff position terminated in the first quarter of 2017. Current year expense is attributable to grants made in June 2016 and thereafter, all earlier grants having become fully vested and amortized prior to the quarter ended June 30, 2018.</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Consulting services reflects fees paid or accrued for scientific, nonclinical and clinical development and regulatory advisory services rendered to us by third-parties, primarily by members of our scientific and CNS clinical and regulatory advisory boards.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Technology license expense reflects both recurring annual license fees as well as legal counsel and other costs related to patent prosecution and protection pursuant to our stem cell technology license agreements or that we have elected to pursue for commercial purposes. We recognize these costs as they are invoiced to us by the licensors or counsel and they do not occur ratably throughout the year or between years. In both periods, this expense includes legal counsel and other costs we have incurred to advance pending patent applications in the U.S. and numerous foreign countries with respect to AV-101 and our stem cell technology platform.</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AV-101 project expense for the quarter ended June 30, 2018, primarily reflects the costs of conducting the ELEVATE Study, including various CRO, investigator and site costs. A further component is expense incurred to manufacture additional quantities of AV-101 for use in future nonclinical trials and clinical trials of AV-101 for MDD and other potential CNS indications. AV-101 project expense for the quarter ended June 30, 2017 primarily reflected costs incurred to develop our currently employed more efficient and cost-effective proprietary manufacturing methods for AV-101, and to produce quantities of AV-101 in preparation for the ELEVATE Study. Stem cell and other project related expenses reflects costs associated with our in-house stem cell technology-related initiatives in both years, and, in 2017, our participation in the FDA’s Comprehensive In Vitro Proarrhythmia Assay (</w:t>
      </w:r>
      <w:r>
        <w:rPr>
          <w:rFonts w:ascii="Arial" w:cs="Arial" w:eastAsia="Arial" w:hAnsi="Arial"/>
          <w:sz w:val="16"/>
          <w:szCs w:val="16"/>
          <w:i w:val="1"/>
          <w:iCs w:val="1"/>
          <w:color w:val="auto"/>
        </w:rPr>
        <w:t>CiPA</w:t>
      </w:r>
      <w:r>
        <w:rPr>
          <w:rFonts w:ascii="Arial" w:cs="Arial" w:eastAsia="Arial" w:hAnsi="Arial"/>
          <w:sz w:val="16"/>
          <w:szCs w:val="16"/>
          <w:color w:val="auto"/>
        </w:rPr>
        <w:t>) project.</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 expense is essentially unchanged between the periods and reflects commercial property rents prevalent in the South San Francisco real estate market at the time of our November 2016 lease amendment extending the lease of our headquarters facilities in South San Francisco by five years from July 31, 2017 to July 31, 2022 and the related accounting for the extension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General and administrative expense increased to approximately $1.5 million, from approximately $1.2 million for the quarters ended June 30, 2018 and 2017, respectively. Noncash expense components represented approximately $503,000 and $253,000 for the quarters ended June 30, 2018 and 2017, respectively, accounting for over 80% of the overall increase in general and administrative expense and including, in both periods, stock compensation expense, a portion of investor relations expense, and a portion of rent expense. The overall increase in general and administrative expense resulted primarily from increased noncash stock compensation expense and an increase in professional services expense, notably attributable to increased noncash expense attributable to grants of common stock for services. The following table indicates the primary components of general and administrative expense for each of the periods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spacing w:after="0"/>
              <w:rPr>
                <w:sz w:val="20"/>
                <w:szCs w:val="20"/>
                <w:color w:val="auto"/>
              </w:rPr>
            </w:pPr>
            <w:r>
              <w:rPr>
                <w:rFonts w:ascii="Arial" w:cs="Arial" w:eastAsia="Arial" w:hAnsi="Arial"/>
                <w:sz w:val="18"/>
                <w:szCs w:val="18"/>
                <w:b w:val="1"/>
                <w:bCs w:val="1"/>
                <w:color w:val="auto"/>
                <w:w w:val="97"/>
              </w:rPr>
              <w:t>Three Months Ended June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 expenses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increase in salaries and benefits primarily reflects the impact of salary increases granted in July 2017 to our Chief Executive Officer (</w:t>
      </w:r>
      <w:r>
        <w:rPr>
          <w:rFonts w:ascii="Arial" w:cs="Arial" w:eastAsia="Arial" w:hAnsi="Arial"/>
          <w:sz w:val="16"/>
          <w:szCs w:val="16"/>
          <w:i w:val="1"/>
          <w:iCs w:val="1"/>
          <w:color w:val="auto"/>
        </w:rPr>
        <w:t>CEO</w:t>
      </w:r>
      <w:r>
        <w:rPr>
          <w:rFonts w:ascii="Arial" w:cs="Arial" w:eastAsia="Arial" w:hAnsi="Arial"/>
          <w:sz w:val="16"/>
          <w:szCs w:val="16"/>
          <w:color w:val="auto"/>
        </w:rPr>
        <w:t>), Chief Financial Officer (</w:t>
      </w:r>
      <w:r>
        <w:rPr>
          <w:rFonts w:ascii="Arial" w:cs="Arial" w:eastAsia="Arial" w:hAnsi="Arial"/>
          <w:sz w:val="16"/>
          <w:szCs w:val="16"/>
          <w:i w:val="1"/>
          <w:iCs w:val="1"/>
          <w:color w:val="auto"/>
        </w:rPr>
        <w:t>CFO</w:t>
      </w:r>
      <w:r>
        <w:rPr>
          <w:rFonts w:ascii="Arial" w:cs="Arial" w:eastAsia="Arial" w:hAnsi="Arial"/>
          <w:sz w:val="16"/>
          <w:szCs w:val="16"/>
          <w:color w:val="auto"/>
        </w:rPr>
        <w:t>), and Vice President-Corporate Development (</w:t>
      </w:r>
      <w:r>
        <w:rPr>
          <w:rFonts w:ascii="Arial" w:cs="Arial" w:eastAsia="Arial" w:hAnsi="Arial"/>
          <w:sz w:val="16"/>
          <w:szCs w:val="16"/>
          <w:i w:val="1"/>
          <w:iCs w:val="1"/>
          <w:color w:val="auto"/>
        </w:rPr>
        <w:t>VP-Corporate Development</w:t>
      </w:r>
      <w:r>
        <w:rPr>
          <w:rFonts w:ascii="Arial" w:cs="Arial" w:eastAsia="Arial" w:hAnsi="Arial"/>
          <w:sz w:val="16"/>
          <w:szCs w:val="16"/>
          <w:color w:val="auto"/>
        </w:rPr>
        <w:t>) and, in June 2017, to a non-officer member of our administrative staff.</w:t>
      </w:r>
    </w:p>
    <w:p>
      <w:pPr>
        <w:spacing w:after="0" w:line="13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Stock based compensation expense increased in the current period primarily as a result of the routine amortization of option grants to independent members of our Board and our CEO, CFO, VP Corporate Development and administrative staff in February 2018, September 2017, April 2017. Grants awarded after June 2017 account for approximately $168,000 of 2018 expense. Expense attributable to these grants is generally being amortized over two-year to four-year vesting periods, based on the terms of the respective grants. Current year expense is attributable to grants made in June 2016 and thereafter, all earlier grants having become fully vested and amortized prior to the quarter ended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Board fees represents fees paid as consideration for the Board and Board Committee services of the independent members of our Board.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Legal, accounting and other professional fees for the quarters ended June 30, 2018 and 2017 includes expense related to routine legal fees as well as the accounting expense related to the annual audit of the prior year’s financial statements and the review of the financial statements for the first quarter of the current fiscal year. We incurred no non-cash expense in the quarters ended June 30, 2018 or 2017.</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Investor relations expense includes the fees of our various external service providers for a broad spectrum of investor relations, public relations, market awareness and strategic advisory and support functions, as well as initiatives that included numerous meetings in multiple U.S. markets and other communication activities focused on expanding market awareness of the Company and its research and development programs, including among registered investment professionals and investment advisors, and individual and institutional investors. In the quarters ended June 30, 2018 and 2017, in addition to cash fees and expenses we incurred, we granted an aggregate of 100,000 and 25,000 unregistered shares of our common stock, respectively, to certain investor relations, market awareness and financial advisory service providers as full or partial compensation for their services and recognized noncash expense of approximately $123,000 and $50,000, respectively, representing the fair value of the stock at the time of issuance.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both periods, travel expense reflects costs associated with management presentations to and meetings in multiple U.S. markets with existing and potential individual and institutional investors, investment professionals and advisors, media, and securities analysts, as well as various investor relations, market awareness and corporate development and partnering initiatives.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 expense is essentially unchanged between the periods and primarily reflects commercial property rents prevalent in the South San Francisco real estate market at the time of our November 2016 lease amendment extending the lease of our headquarters facilities in South San Francisco by five years from July 31, 2017 to July 31, 2022 and the related accounting for the extension amendment.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totaled $2,100 for the quarter ended June 30, 2018 compared to $2,400 reported for the quarter ended June 30, 2017. Interest expense in both periods relates to interest paid on insurance premium financing and on a capital lease of office equipment.</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recognized $273,500 and $247,300 for the quarters ended June 30, 2018 and 2017, respectively, representing the 10% cumulative dividend payable on outstanding shares of Series B Preferred as an additional deduction in arriving at net loss attributable to common stockholders in the accompanying Condensed Consolidated Statement of Operations and Comprehensive Loss included in Part I of this Report. There have been no conversions of outstanding shares of Series B Preferred stock into shares of our common stock since August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Since our inception in May 1998 through June 30, 2018, we have financed our operations primarily through the issuance and sale of our equity and debt securities for cash proceeds of approximately $61.4 million, as well as from an aggregate of approximately $17.6 million of government research grant awards excluding the fair market value of the NIMH Study and the Baylor Study), strategic collaboration payments, intellectual property sublicensing and other revenues. Additionally, we have issued equity securities with an approximate value at issuance of $33.7 million in non-cash settlements of certain liabilities, including liabilities for professional services rendered to us or as compensation for such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June 30, 2018, we had cash and cash equivalents of $7.2 million.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cash position at June 30, 2018, considered with our recurring and anticipated losses, negative cash flows from operations and limited stockholders’ equity make it probable, in the absence of additional financing, that we will not have sufficient resources to enable us to fund our planned operations for the twelve months following the issuance of these financial statements, including expenditures required to satisfy a significant portion of the projected expense associated with our ELEVATE Study, raising substantial doubt that we can continue as a going concern. However, to alleviate that doubt, since June 30, 2018 we have raised $3.36 million of additional capital as described below, and we plan, as we have numerous times in the past, to raise additional capital when and as needed, primarily through the sale of our equity securities in one or more private placements to accredited investors or public offerings.</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Between July 1, 2018 and August 14, 2018, we sold to accredited investors units consisting of an aggregate of 2,688,000 unregistered shares of our common stock, par value $0.001 per share, and warrants exercisable after at least six months and one day following issuance and through February 28, 2022 to purchase 2,688,000 unregistered shares of our common stock at $1.50 per share, from which we received cash proceeds of $3,360,000 (the </w:t>
      </w:r>
      <w:r>
        <w:rPr>
          <w:rFonts w:ascii="Arial" w:cs="Arial" w:eastAsia="Arial" w:hAnsi="Arial"/>
          <w:sz w:val="16"/>
          <w:szCs w:val="16"/>
          <w:i w:val="1"/>
          <w:iCs w:val="1"/>
          <w:color w:val="auto"/>
        </w:rPr>
        <w:t>2018 Private Placement</w:t>
      </w:r>
      <w:r>
        <w:rPr>
          <w:rFonts w:ascii="Arial" w:cs="Arial" w:eastAsia="Arial" w:hAnsi="Arial"/>
          <w:sz w:val="16"/>
          <w:szCs w:val="16"/>
          <w:color w:val="auto"/>
        </w:rPr>
        <w:t xml:space="preserve">). Further, subject to certain restrictions, our effective Registration Statement on Form S-3 (Registration No. 333-215671)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remains available for future sales of our equity securities in one or more public offerings from time to time. While we may make additional sales of our equity securities under the S-3 Registration Statement, we do not have an obligation to do so. As we have been in the past, we expect that, if and as necessary, we will be successful in raising additional capital from the sale of our equity securities either in one or more public offerings or in one or more private placement transactions with individual accredited investors or institutions.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potential sale of our equity securities, we may also seek to enter research and development collaborations that could generate revenue or provide funding, including non-dilutive funding, for development of AV-101 and additional product candidates. We may also seek additional government grant awards or agreements similar, for example, to our current CRADA with the NIMH, which provides for the NIMH to fully fund the NIMH Study, or similar to our relationships with Baylor and the VA in connection with the Baylor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involving our intellectual property. Although we may seek additional collaborations that could generate revenue and/or non-dilutive funding for development of AV-101 and other product candidates, as well as new government grant awards and/or agreements similar to our CRADA with NIMH, no assurance can be provided that any such collaborations, awards or agreements will occur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as an adjunctive treatment for MDD and other potential CNS conditions, and various applications of our stem cell technology platform, the availability of, and our ability to obtain, government grant awards and agreements,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Notwithstanding the foregoing, there can be no assurance that future financing will be available in sufficient amounts, in a timely manner, or on terms acceptable to us, if at all. If we are unable to obtain substantial additional financing on a timely basis when needed in 2018 or 2019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7"/>
              </w:rPr>
              <w:t>Three Months Ended June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(3,135)</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(3,147)</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10,378</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7,231</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Off-Balance Sheet Arrangements</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88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We have no off-balance sheet arrangements.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8040" w:type="dxa"/>
            <w:vAlign w:val="bottom"/>
          </w:tcPr>
          <w:p>
            <w:pPr>
              <w:ind w:left="240"/>
              <w:spacing w:after="0"/>
              <w:rPr>
                <w:sz w:val="20"/>
                <w:szCs w:val="20"/>
                <w:color w:val="auto"/>
              </w:rPr>
            </w:pPr>
            <w:r>
              <w:rPr>
                <w:rFonts w:ascii="Arial" w:cs="Arial" w:eastAsia="Arial" w:hAnsi="Arial"/>
                <w:sz w:val="18"/>
                <w:szCs w:val="18"/>
                <w:b w:val="1"/>
                <w:bCs w:val="1"/>
                <w:color w:val="auto"/>
              </w:rPr>
              <w:t>CONTROLS AND PROCEDURES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Annual Report on Form 10-K for our fiscal year ended March 31, 2018 filed with the Securities and Exchange Commission on June 26, 2018, we identified two material weaknesses in our internal control over financial reporting relating to (i) segregation of duties and (ii) the functionality of our accounting software. Management has determined that current resources would be more appropriately applied elsewhere and when resources permit, they will alleviate such material weaknesses through various steps, which may include the addition of qualified financial personnel and/or the acquisition and implementation of alternative accounting software. Accordingly, 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Investing in our securities involves a high degree of risk. You should consider carefully the risks and uncertainties described below, together with all of the other information in this Quarterly Report on Form 10-Q (Report) and in our Annual Report on Form 10-K filed with the Securities and Exchange Commission for the fiscal year ended March 31, 2018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currently depends heavily on the successful development, regulatory approval and commercialization of AV-101 for depression, including for MDD, and, potentially, various other diseases and disorders involving the CNS, as well as, but to a more limited extent, our ability to acquire, license or produce, develop and commercialize additional product candidates. AV-101 will require substantial additional nonclinical and clinical testing and regulatory approval before it may be commercialized. It is unlikely to achieve regulatory approval, if at all, until at least 2021. Each drug rescue NCE will require substantial nonclinical development, all phases of clinical development,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and surveillance obligations, which would require the expenditure of substantial resources beyond the proceeds we have raised to date. Of the large number of drug candidates in development in the United States, only a small percentage will successfully complete the FDA regulatory approval process and will be commercialized. Accordingly, we cannot assure you that AV-101, or any other future product candidate will be successfully developed or commercialized.</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not permitted to market our product candidates in the United States until we receive approval of an NDA from the FDA, or in any foreign countries until we receive the requisite approval from such countries. We expect the FDA to require us to complete our ELEVATE Study, our double-blind, placebo-controlled Phase 2 clinical study to evaluate the efficacy and safety of AV-101 as an adjunctive treatment of MDD in patients with an inadequate response to current FDA-approved antidepressants, and at least two pivotal Phase 3 clinical trials in order to submit an NDA for AV-101 as an adjunctive treatment for MDD patients with an inadequate response to standard, FDA-approved antidepressants. Also, we anticipate that the FDA will require that we conduct additional toxicology studies, additional nonclinical and certain small clinical studies before submitting an NDA for AV-101. The results of all of these studies will not be known until after the studies are concluded.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Obtaining FDA approval of an NDA is a complex, lengthy, expensive and uncertain process. The FDA may refuse to permit the filing of our NDA, delay, limit or deny approval of an NDA for many reasons, including, among others:</w:t>
      </w:r>
    </w:p>
    <w:p>
      <w:pPr>
        <w:spacing w:after="0" w:line="186" w:lineRule="exact"/>
        <w:rPr>
          <w:sz w:val="20"/>
          <w:szCs w:val="20"/>
          <w:color w:val="auto"/>
        </w:rPr>
      </w:pPr>
    </w:p>
    <w:p>
      <w:pPr>
        <w:jc w:val="both"/>
        <w:ind w:left="980" w:hanging="486"/>
        <w:spacing w:after="0" w:line="306"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submit an NDA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60" w:lineRule="exact"/>
        <w:rPr>
          <w:rFonts w:ascii="Arial" w:cs="Arial" w:eastAsia="Arial" w:hAnsi="Arial"/>
          <w:sz w:val="16"/>
          <w:szCs w:val="16"/>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may require development of a REMS as a condition of approval or post-approval;</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applicable regulatory agency may determine that there is insufficient evidence of overall effectiveness in an NDA and require additional clinical studies;</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the applicable foreign regulatory agency may determine that the manufacturing processes or facilities of third-party contract manufacturers with which we contract do not conform to applicable requirements, including cGMPs; or</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AV-101 or any other product candidate we may develop. Any such setback in our pursuit of regulatory approval for any product candidate would have a material adverse effect on our business and prospects.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have been granted Fast Track designation from the FDA for AV-101 for the adjunctive treatment of MDD. However, this designation may not actually lead to a faster development or regulatory review or approval process for AV-101. Further, there is no guarantee the FDA will grant Fast Track designation for AV-101 as a treatment option for other CNS indications or for other product candidates in the future.</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December 2017, the FDA granted Fast Track designation for AV-101 for the adjunctive treatment of MDD in patients with an inadequate response to current antidepressants. However, this designation may not lead to a faster development or regulatory review or approval process for AV-101 and the FDA may withdraw Fast Track designation of AV-101 if it believes that the designation is no longer supported by data from our AV-101 MDD clinical development program.</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apply for Fast Track designation for AV-101 as a treatment option for other CNS indications, as well as for other product candidates. The FDA has broad discretion whether or not to grant a Fast Track designation, and even if we believe AV-101 and other product candidates may be eligible for this designation, we cannot be sure that the review or approval will compare to conventional FDA procedures.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preclinical studies and early clinical trials of AV-101 and/or other product candidates, including positive results,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 clinical trial for AV-101, and if the NIMH Study and/or our ELEVATE Study, or any future clinical study of AV-101 fail(s) to produce positive results, the development timeline and regulatory approval and commercialization prospects for AV-101 and, correspondingly, our business and financial prospects, could be materially adversely affected.</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drug candidate development risk is heightened by any changes in planned timing or nature of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or safety concerns attributable to AV-101 are identified during the NIMH Study, other investigator-sponsored clinical trials or in our clinical trials of AV-101, including our ELEVATE Study, it may adversely affect or delay our clinical development and commercialization of AV-101.</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AV-101, as a monotherapy in patients with treatment-resistant depression, is currently being tested by the NIMH in the NIMH Study and may be subjected to testing in the future for other CNS indications in additional investigator-sponsored clinical trials. If serious adverse events or other undesirable side effects or safety concerns, or unexpected characteristics attributable to AV-101 are observed in the NIMH Study, other investigator-sponsored clinical trials of AV-101, or in our clinical trials of AV-101, including our ELEVATE Study, it may adversely affect or delay our clinical development and commercialization of AV-101, and the occurrence of these events could have a material adverse effect on our business and financial prospects.</w:t>
      </w:r>
    </w:p>
    <w:p>
      <w:pPr>
        <w:spacing w:after="0" w:line="17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clinical trials and nonclinical studies of AV-101 or other our product candidates could result in increased costs to us and could delay, prevent or limit our ability to generate revenue and continue our business.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our CRADA with the NIMH, the NIMH is conducting and funding the NIMH Study. We will need to complete our ELEVATE Study, at least two additional large Phase 3 pivotal clinical trials, additional toxicology and other standard nonclinical studies, as well as certain standard smaller clinical studies prior to the submission of an NDA to the FDA for AV-101 as an adjunctive treatment for MDD in patients with an inadequate response to current antidepressants, or any other CNS indication. Successful completion of our nonclinical and clinical trials is a prerequisite to submitting an NDA to the FDA and, consequently, the ultimate approval required before commercial marketing of any product candidate we may develop. Except as disclosed herein, we do not know whether the NIMH Study, our ELEVATE Study or any of our future-planned nonclinical and clinical trials of AV-101 or any other product candidate will be completed on schedule, if at all, as the commencement and completion of nonclinical and clinical trials can be delayed or prevented for a number of reasons, including, among others:</w:t>
      </w:r>
    </w:p>
    <w:p>
      <w:pPr>
        <w:spacing w:after="0" w:line="199" w:lineRule="exact"/>
        <w:rPr>
          <w:sz w:val="20"/>
          <w:szCs w:val="20"/>
          <w:color w:val="auto"/>
        </w:rPr>
      </w:pPr>
    </w:p>
    <w:p>
      <w:pPr>
        <w:ind w:left="980" w:right="20" w:hanging="486"/>
        <w:spacing w:after="0" w:line="26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deny permission to proceed with planned clinical trials or any other clinical trials we may initiate, or may place a planned or ongoing clinical trial on hold;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results from nonclinical studies;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980" w:hanging="486"/>
        <w:spacing w:after="0" w:line="33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the manufacturing of, or insufficient supply of product candidates necessary to conduct nonclinical or clinical trials, including delays in the manufacturing of sufficient supply or finished drug product;</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difficulties obtaining Institutional Review Board (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severe or unexpected adverse drug-related side effects experienced by patients in a clinical trial;</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Clinical trials may also be delayed or terminated prior to completion as a result of ambiguous or negative interim results. In addition, a clinical trial may be suspended or terminated by us, the FDA, the IRBs at the sites where the IRBs are overseeing a clinical trial, a data and safety monitoring board (</w:t>
      </w:r>
      <w:r>
        <w:rPr>
          <w:rFonts w:ascii="Arial" w:cs="Arial" w:eastAsia="Arial" w:hAnsi="Arial"/>
          <w:sz w:val="16"/>
          <w:szCs w:val="16"/>
          <w:i w:val="1"/>
          <w:iCs w:val="1"/>
          <w:color w:val="auto"/>
        </w:rPr>
        <w:t>DSMB</w:t>
      </w:r>
      <w:r>
        <w:rPr>
          <w:rFonts w:ascii="Arial" w:cs="Arial" w:eastAsia="Arial" w:hAnsi="Arial"/>
          <w:sz w:val="16"/>
          <w:szCs w:val="16"/>
          <w:color w:val="auto"/>
        </w:rPr>
        <w:t>), overseeing the clinical trial at issue or other regulatory authorities due to a number of factors, including, among others:</w:t>
      </w:r>
    </w:p>
    <w:p>
      <w:pPr>
        <w:spacing w:after="0" w:line="161"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approved clinical protocols;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unforeseen safety issues, including any that could be identified in nonclinical carcinogenicity studies, adverse side effects or lack of effectiveness;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problems with clinical supply materials that may lead to regulatory actions;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Changes in regulatory requirements, FDA guidance or unanticipated events during our nonclinical studies and clinical trials of AV-101 or other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Changes in regulatory requirements, FDA guidance or unanticipated events during our nonclinical studies and clinical trials of AV-101 or other product candidates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AV-101 or other product candidates may be harmed and our ability to generate product revenue will be delayed.</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rely, and expect that we will continue to rely, on third parties to conduct our nonclinical and clinical trials of AV-101 and any other product candidates. If these third parties do not successfully carry out their contractual duties and/or meet expected deadlines, completion of our nonclinical or clinical trials and development of AV-101 or other product candidates may be delayed and we may not be able to obtain regulatory approval for or commercialize AV-101 or other product candidates and our business could be substantially harmed.</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do not have the internal staff resources to independently conduct nonclinical and clinical trials completely on our own. We rely on our network of strategic relationships with various academic research centers, medical institutions, nonclinical and clinical investigators, contract laboratories and other third parties, such as CROs, to conduct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in coordinating activities. Outside parties may:</w:t>
      </w:r>
    </w:p>
    <w:p>
      <w:pPr>
        <w:spacing w:after="0" w:line="172"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in accordance with the applicable protocol, legal, regulatory and scientific requirements and standards, and our reliance on CROs, the NIMH or other independent investigators does not relieve us of our regulatory responsibilities. We and our CROs, the NIMH and any investigator in an investigator-sponsored study are required to comply with regulations and guidelines, including current Good Clinical Practice regulations (</w:t>
      </w:r>
      <w:r>
        <w:rPr>
          <w:rFonts w:ascii="Arial" w:cs="Arial" w:eastAsia="Arial" w:hAnsi="Arial"/>
          <w:sz w:val="16"/>
          <w:szCs w:val="16"/>
          <w:i w:val="1"/>
          <w:iCs w:val="1"/>
          <w:color w:val="auto"/>
        </w:rPr>
        <w:t>cGCPs</w:t>
      </w:r>
      <w:r>
        <w:rPr>
          <w:rFonts w:ascii="Arial" w:cs="Arial" w:eastAsia="Arial" w:hAnsi="Arial"/>
          <w:sz w:val="16"/>
          <w:szCs w:val="16"/>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any of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NIMH Study and other investigator-sponsored clinical studies, we cannot control the amount and timing of resources these third-parties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our relationships with one or more of these third-parties terminates, we may not be able to enter into arrangements with alternative collaborators. If such third-party collaborators, including our CROs and the NIMH,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20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rely completely on third-parties to manufacture, formulate, hold and distribute supplies of our product candidates for all nonclinical and clinical studies, and we intend to continue to rely on third parties to produce all nonclinical, clinical and commercial supplies of our product candidates in the future.</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currently have, nor do we plan to acquire or develop, any internal infrastructure or technical capabilities to manufacture, formulate, hold or distribute supplies of our product candidates, for use in nonclinical and clinical studies or commercial scale. As a result, with respect to our product candidates, we rely, and will continue to rely, completely on third party contract manufacturing organizations (</w:t>
      </w:r>
      <w:r>
        <w:rPr>
          <w:rFonts w:ascii="Arial" w:cs="Arial" w:eastAsia="Arial" w:hAnsi="Arial"/>
          <w:sz w:val="16"/>
          <w:szCs w:val="16"/>
          <w:i w:val="1"/>
          <w:iCs w:val="1"/>
          <w:color w:val="auto"/>
        </w:rPr>
        <w:t>CMO</w:t>
      </w:r>
      <w:r>
        <w:rPr>
          <w:rFonts w:ascii="Arial" w:cs="Arial" w:eastAsia="Arial" w:hAnsi="Arial"/>
          <w:sz w:val="16"/>
          <w:szCs w:val="16"/>
          <w:color w:val="auto"/>
        </w:rPr>
        <w:t>s) to manufacture active pharmaceutical ingredient (</w:t>
      </w:r>
      <w:r>
        <w:rPr>
          <w:rFonts w:ascii="Arial" w:cs="Arial" w:eastAsia="Arial" w:hAnsi="Arial"/>
          <w:sz w:val="16"/>
          <w:szCs w:val="16"/>
          <w:i w:val="1"/>
          <w:iCs w:val="1"/>
          <w:color w:val="auto"/>
        </w:rPr>
        <w:t>API</w:t>
      </w:r>
      <w:r>
        <w:rPr>
          <w:rFonts w:ascii="Arial" w:cs="Arial" w:eastAsia="Arial" w:hAnsi="Arial"/>
          <w:sz w:val="16"/>
          <w:szCs w:val="16"/>
          <w:color w:val="auto"/>
        </w:rPr>
        <w:t>) and formulate, hold and distribute final drug product. The facilities used by our CMOs to manufacture AV-101 API and AV-101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do not directly control the manufacturing process or the supply or quality of materials used in the manufacturing and formulation of our product candidates, and, with respect to all of our product candidates, we are completely dependent on our CMOs to comply with all applicable cGMPs for manufacture of both API and finished drug product. If our CMOs cannot secure adequate supplies of suitable raw materials or successfully manufacture our product candidates, including AV-101 API and finished drug product, that conforms to our specifications and the strict regulatory requirements of the FDA or applicable foreign regulatory agencies, production of sufficient supplies of our product candidates, including AV-101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AV-101 for required or planned nonclinical and/or clinical studies of our product candidates.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With respect to AV-101, we do not yet have long-term supply agreements in place with our CMOs and each batch of AV-101 is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manufacturing for AV-101 and current and projected supply of AV-101 API and finished drug product will be adequate to support our planned nonclinical and clinical studies of AV-101, no assurance can be given that unanticipated AV-101 supply shortages or CMO-related delays in the manufacture and formulation of AV-101 API and/or finished drug product will not occur in the future.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AV-101 or any other product candidate in the United States, we may never receive regulatory approval to market AV-101 or any other product candidate outside of the United States.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not yet selected any markets outside of the United States where we intend to seek regulatory approval to market AV-101 or any other product candidate. In order to market AV-101 or any other product candidate outside of the United States,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any of our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Before we can commercialize our product candidates, the United States Drug Enforcement Administration (</w:t>
      </w:r>
      <w:r>
        <w:rPr>
          <w:rFonts w:ascii="Arial" w:cs="Arial" w:eastAsia="Arial" w:hAnsi="Arial"/>
          <w:sz w:val="16"/>
          <w:szCs w:val="16"/>
          <w:i w:val="1"/>
          <w:iCs w:val="1"/>
          <w:color w:val="auto"/>
        </w:rPr>
        <w:t>DEA</w:t>
      </w:r>
      <w:r>
        <w:rPr>
          <w:rFonts w:ascii="Arial" w:cs="Arial" w:eastAsia="Arial" w:hAnsi="Arial"/>
          <w:sz w:val="16"/>
          <w:szCs w:val="16"/>
          <w:color w:val="auto"/>
        </w:rPr>
        <w:t>) may need to determine whether such product candidates will be considered to be a controlled substance, taking into account the recommendation of the FDA.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will consider any of our product candidates, including AV-101, to be controlled substances, we cannot yet give any assurance that certain of our product candidates, including AV-101, will not be regulated as controlled substances.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any of our product candidates are regulated as controlled substances, depending on the DEA controlled substance schedule in which the product candidates are placed,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Moreover, if any of our product candidates are regulated as controlled substances, we and our CMOs would be subject to initial and periodic DEA inspection. If we or our CMOs are not able to obtain or maintain any necessary DEA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currently have any internal resources for the sale, marketing and distribution of pharmaceutical products, nor do we intend to create such internal capabilities in the foreseeable future. Therefore, to market our product candidates,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94" w:lineRule="exact"/>
        <w:rPr>
          <w:sz w:val="20"/>
          <w:szCs w:val="20"/>
          <w:color w:val="auto"/>
        </w:rPr>
      </w:pPr>
    </w:p>
    <w:p>
      <w:pPr>
        <w:jc w:val="both"/>
        <w:ind w:left="980" w:hanging="486"/>
        <w:spacing w:after="0" w:line="259"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94"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limitations or warnings contained in the labeling approved for our product candidates by the FDA or other applicable regulatory authorities;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3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Undesirable safety concerns and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67"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8"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our product candidates or address similar markets. It is probable that the number of companies seeking to develop product candidates similar to our product candidates will increase.</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Currently, management is unaware of any FDA-approved oral adjunctive therapy for MDD patients with an inadequate response to standard antidepressants having the same mechanism of action and safety profile as our orally administered AV-101. However, new antidepressant products with other mechanisms of action or products approved for other indications, including the FDA-approved anesthetic ketamine hydrochloride, are being or may be used off-label for treatment of MDD, as well as other CNS indications for which AV-101 may have therapeutic potential. Additionally, other non-pharmaceutical treatment options, such psychotherapy and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are used before or instead of standard antidepressant medications to treat patients with MDD.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field of new generation, oral adjunctive treatments for adult patients with MDD with an inadequate response to standard FDA-approved antidepressants, we believe our principal competitor may be Alkermes’ oral opioid modulator, ALKS-5461, which adjunctive treatment product candidate is the subject of an NDA recently submitted to the FDA by Alkermes.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Parkinson’s disease levodopa-induced dyskinesia, neuropathic pain, epilepsy, and other neurological conditions and diseases, including, but not limited to, Abbott Laboratories, Acadia, Allergan, Alkermes, AstraZeneca, Eli Lilly, GlaxoSmithKline, IntraCellular, Johnson &amp; Johnson/Janssen, Lundbeck, Merck, Novartis, Ono, Otsuka, Pfizer, Roche, Sage, Sumitomo Dainippon, and Takeda,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product candidates with commercial and therapeutic potential. Although AV-101 is in Phase 2 clinical development for treatment of MDD, we may fail to pursue additional CNS-related Phase 2 development opportunities for AV-101,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Because we currently have limited financial and management resources, we necessarily focus on a limited number of research and development programs and product candidates and are currently focused primarily on development of AV-101, with additional limited focus on NCE drug rescue and RM. As a result, we may forego or delay pursuit of opportunities with other product candidates or for other potential CNS-related indications for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4" w:lineRule="exact"/>
        <w:rPr>
          <w:sz w:val="20"/>
          <w:szCs w:val="20"/>
          <w:color w:val="auto"/>
        </w:rPr>
      </w:pPr>
    </w:p>
    <w:p>
      <w:pPr>
        <w:jc w:val="both"/>
        <w:ind w:left="980" w:hanging="486"/>
        <w:spacing w:after="0" w:line="306"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60" w:lineRule="exact"/>
        <w:rPr>
          <w:rFonts w:ascii="Arial" w:cs="Arial" w:eastAsia="Arial" w:hAnsi="Arial"/>
          <w:sz w:val="16"/>
          <w:szCs w:val="16"/>
          <w:color w:val="auto"/>
        </w:rPr>
      </w:pPr>
    </w:p>
    <w:p>
      <w:pPr>
        <w:jc w:val="both"/>
        <w:ind w:left="980" w:hanging="486"/>
        <w:spacing w:after="0" w:line="306"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980" w:hanging="486"/>
        <w:spacing w:after="0" w:line="256"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9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85" w:lineRule="exact"/>
        <w:rPr>
          <w:rFonts w:ascii="Arial" w:cs="Arial" w:eastAsia="Arial" w:hAnsi="Arial"/>
          <w:sz w:val="18"/>
          <w:szCs w:val="18"/>
          <w:color w:val="auto"/>
        </w:rPr>
      </w:pPr>
    </w:p>
    <w:p>
      <w:pPr>
        <w:jc w:val="both"/>
        <w:ind w:left="980" w:hanging="486"/>
        <w:spacing w:after="0" w:line="256"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7" w:lineRule="exact"/>
        <w:rPr>
          <w:rFonts w:ascii="Arial" w:cs="Arial" w:eastAsia="Arial" w:hAnsi="Arial"/>
          <w:sz w:val="18"/>
          <w:szCs w:val="18"/>
          <w:color w:val="auto"/>
        </w:rPr>
      </w:pPr>
    </w:p>
    <w:p>
      <w:pPr>
        <w:jc w:val="both"/>
        <w:ind w:left="980" w:hanging="486"/>
        <w:spacing w:after="0" w:line="256"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9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FDA marketing approval for AV-101 as an adjunctive treatment of MDD, physicians may prescribe AV-101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seek FDA Orphan Drug designation for one or more of our product candidates. Even if we have obtained FDA Orphan Drug designation for a product candidate, there may be limits to the regulatory exclusivity afforded by such designation.</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in the future, choose to seek FDA Orphan Drug designation for one or more of our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39"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a development stage biopharmaceutical company with no current revenues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a development stage biopharmaceutical company. Although our lead drug candidate is in Phase 2 development,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collaborators:</w:t>
      </w:r>
    </w:p>
    <w:p>
      <w:pPr>
        <w:spacing w:after="0" w:line="167"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AV-101 and other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establish and maintain sales, distribution and marketing capabilities, and/or enter into strategic partnering arrangements to access such capabilities;</w:t>
      </w:r>
    </w:p>
    <w:p>
      <w:pPr>
        <w:spacing w:after="0" w:line="259" w:lineRule="exact"/>
        <w:rPr>
          <w:rFonts w:ascii="Arial" w:cs="Arial" w:eastAsia="Arial" w:hAnsi="Arial"/>
          <w:sz w:val="15"/>
          <w:szCs w:val="15"/>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and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Our future success is highly dependent upon our ability to successfully develop and commercialize AV-101, acquire or license additional product candidates, or discover, as well as produce, develop and commercialize proprietary drug rescue NCEs using our stem cell technology, and we cannot provide any assurance that we will successfully develop and commercialize AV-101, acquire or license additional product candidates or discover and develop drug rescue NCEs, or that, if produced, AV-101 or any other product candidate will be successfully commercialized.</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Business development and research and development programs designed to identify, acquire or license additional product candidates, or, as the case may be, produce drug rescue NCEs require substantial technical, financial and human resources, whether or not any additional product candidate is acquired or licensed or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67"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drug rescue research and development methodology may not be successful in identifying and developing potential drug rescue NCEs;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drug rescue NCEs obsolete;</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drug rescue NCE may not be capable of being produced in commercial quantities at an acceptable cost, or at all;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drug rescue NCE may not be accepted as safe and effective by regulatory authorities, patients, the medical community or third-party payors.</w:t>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acquired and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limited operating history with respect to drug development, including our anticipated focus on the identification and acquisition of additional product candidates or the assessment of potential drug rescue NCEs and no operating history with respect to the production of drug rescue NCEs, and we may never be able to produce a drug rescue NCE.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unable to develop and commercialize AV-101, acquire or license additional product candidates,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With respect to drug rescue, 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partners, including:</w:t>
      </w:r>
    </w:p>
    <w:p>
      <w:pPr>
        <w:spacing w:after="0" w:line="186" w:lineRule="exact"/>
        <w:rPr>
          <w:sz w:val="20"/>
          <w:szCs w:val="20"/>
          <w:color w:val="auto"/>
        </w:rPr>
      </w:pPr>
    </w:p>
    <w:p>
      <w:pPr>
        <w:ind w:left="980" w:hanging="486"/>
        <w:spacing w:after="0" w:line="26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identify potential drug rescue candidates in the public domain, obtain sufficient quantities of them, and assess them using our bioassay systems;</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85" w:lineRule="exact"/>
        <w:rPr>
          <w:rFonts w:ascii="Arial" w:cs="Arial" w:eastAsia="Arial" w:hAnsi="Arial"/>
          <w:sz w:val="18"/>
          <w:szCs w:val="18"/>
          <w:color w:val="auto"/>
        </w:rPr>
      </w:pPr>
    </w:p>
    <w:p>
      <w:pPr>
        <w:ind w:left="980" w:right="20" w:hanging="486"/>
        <w:spacing w:after="0" w:line="33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financial resources available to us to develop and commercialize lead drug rescue NCEs internally, or, if we sell or out-license them to partners, the resources such partners choose to dedicate to development and commercialization of any drug rescue NCEs they acquire or license from us.</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we do acquire additional product candidates or produce proprietary drug rescue NCEs, we can give no assurance that we will be able to develop and commercialize them as marketable drugs, on our own or in collaboration with others. Before we generate any revenues from AV-101, additional acquired or licensed products candidates or any drug rescue NCEs, we or our potential collaborators must complete preclinical and clinical development programs, submit clinical and manufacturing data to the FDA, qualify a third party CMO, receive regulatory approval in one or more jurisdictions, satisfy the FDA that our CMO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Success of our subsidiary, VistaStem, is partly dependent on our ability to use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to identify and predict, accurately and efficiently, the potential toxic and nontoxic cardiac effects of drug rescue candidates and drug rescue NCEs.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not capable of providing physiologically relevant and clinically predictive information regarding human cardiac biology, our drug rescue business will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The success of our drug rescue programs is highly dependent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be more efficient or accurate at predicting the heart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RM programs involving blood, bone, cartilage, and/or liver cells. Although we and our collaborators have developed proprietary protocols to produce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9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Some of our research and development programs may involve the use of human cells derived from our controlled differentiation of human embryonic stem cells (</w:t>
      </w:r>
      <w:r>
        <w:rPr>
          <w:rFonts w:ascii="Arial" w:cs="Arial" w:eastAsia="Arial" w:hAnsi="Arial"/>
          <w:sz w:val="15"/>
          <w:szCs w:val="15"/>
          <w:i w:val="1"/>
          <w:iCs w:val="1"/>
          <w:color w:val="auto"/>
        </w:rPr>
        <w:t>hESC</w:t>
      </w:r>
      <w:r>
        <w:rPr>
          <w:rFonts w:ascii="Arial" w:cs="Arial" w:eastAsia="Arial" w:hAnsi="Arial"/>
          <w:sz w:val="15"/>
          <w:szCs w:val="15"/>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fertilization (</w:t>
      </w:r>
      <w:r>
        <w:rPr>
          <w:rFonts w:ascii="Arial" w:cs="Arial" w:eastAsia="Arial" w:hAnsi="Arial"/>
          <w:sz w:val="15"/>
          <w:szCs w:val="15"/>
          <w:i w:val="1"/>
          <w:iCs w:val="1"/>
          <w:color w:val="auto"/>
        </w:rPr>
        <w:t>IVF</w:t>
      </w:r>
      <w:r>
        <w:rPr>
          <w:rFonts w:ascii="Arial" w:cs="Arial" w:eastAsia="Arial" w:hAnsi="Arial"/>
          <w:sz w:val="15"/>
          <w:szCs w:val="15"/>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such regulation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Compliance with these laws and regulations can be costly,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social and ethical concerns surrounding the use of iPSCs, biological materials and genetic information could impair our operations.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$14.3 million and $10.3 million during the fiscal years ended March 31, 2018 and 2017, respectively. We incurred a net loss of approximately $4.2 million in the quarter ended June 30, 2018, and, as of that date, we had an accumulated deficit of approximately $160.8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to become profitable depends upon our ability to generate revenues. To date, we have generated approximately $17.7 million in revenues, including receipt of non-dilutive cash payments from collaborators, sublicense revenue, and research and development grant awards from the NIH, however not including the fair market value of the NIMH Study sponsored and conducted by the NIMH under our NIMH CRADA, or the Baylor Study.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another product candidate, or we enter into one or more development and commercialization agreements with respect to AV-101 or one or more other product candidates. Our ability to generate revenue depends on a number of factors, including, but not limited to, our ability to:</w:t>
      </w:r>
    </w:p>
    <w:p>
      <w:pPr>
        <w:spacing w:after="0" w:line="172"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initiate and successfully complete all safety studies required to obtain U.S. and foreign marketing approval for our product candidates;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timely complete and compose successful regulatory submissions such as NDAs or comparable documents for both U.S. and foreign jurisdictions;</w:t>
      </w:r>
    </w:p>
    <w:p>
      <w:pPr>
        <w:spacing w:after="0" w:line="248"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commercialize our product candidates, if approved, by developing a sales force or entering into collaborations with third parties for sales and marketing capabilities; and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we enter into a commercialization collaboration or partnership with respect to the commercialization of our product candidates, we expect to incur significant sales and marketing costs as we prepare to commercialize our product candidates. Even if we initiate and successfully complete pivotal clinical trials of our product candidates, and our product candidates are approved for commercial sale, and despite expending these costs, our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business plan and continue to operate as a going concern.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audited consolidated financial statements for the year ended March 31, 2018 as well as the unaudited condensed consolidated financial statements for the quarter ended June 30, 2018 included elsewhere in this Report have been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the sale of our securities or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drug rescue capabilities of our stem cell technology platform. In particular, we have expended substantial resources on research and development of methods and processes relating to the production of AV-101 API, advancing AV-101 through IND-enabling preclinical development, Phase 1 clinical safety studies, and into ongoing Phase 2 clinical development, including preparation for and recent launch of our ELEVATE Study, as well as research and development of our stem cell technology platform, including development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drug rescue and our cardiac stem cell technology for potential regenerative medicine applications in connection with the Bluerock Agreement, and we expect to continue to expend substantial resources for the foreseeable future developing and commercializing our product candidates on our own or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2018, we had cash and cash equivalents of approximately $7.2 million. We do not believe this amount is sufficient to enable us to fund our planned operations for at least the twelve months following the issuance of the financial statements included in this Report. We expect to seek additional capital to finalize the results from our ELEVATE Study, produce additional AV-101 study material, conduct Phase 3-enabling studies, conduct Phase 3 studies in MDD, conduct AV-101 Phase 2 studies in CNS indications other than MDD, acquire or license and conduct research and development of additional product candidates and to fund our internal operations throughout 2019 and beyond.</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we have no current source of revenue to sustain our present activities, and we do not expect to generate revenue until, and unless, we (i) out-license or sell a product candidate to a third-party, (ii) enter into additional license arrangements involving our stem cell technology, or (iii) obtain approval from the FDA or other regulatory authorities and successfully commercialize, on our own or through a future collaboration, one or more of our product candidates.</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the outcome of our ongoing research and development activities, including the outcome of ongoing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We have completed in the past, and are considering,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later in 2018 or thereafter.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ability to establish and maintain strategic partnerships, licensing or other collaborative arrangements and the financial terms of such agreements;</w:t>
      </w:r>
    </w:p>
    <w:p>
      <w:pPr>
        <w:spacing w:after="0" w:line="286" w:lineRule="exact"/>
        <w:rPr>
          <w:rFonts w:ascii="Arial" w:cs="Arial" w:eastAsia="Arial" w:hAnsi="Arial"/>
          <w:sz w:val="15"/>
          <w:szCs w:val="15"/>
          <w:color w:val="auto"/>
        </w:rPr>
      </w:pPr>
    </w:p>
    <w:p>
      <w:pPr>
        <w:ind w:left="1120" w:hanging="626"/>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252" w:lineRule="exact"/>
        <w:rPr>
          <w:rFonts w:ascii="Arial" w:cs="Arial" w:eastAsia="Arial" w:hAnsi="Arial"/>
          <w:sz w:val="18"/>
          <w:szCs w:val="18"/>
          <w:color w:val="auto"/>
        </w:rPr>
      </w:pPr>
    </w:p>
    <w:p>
      <w:pPr>
        <w:ind w:left="1080" w:hanging="586"/>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government funding for our research and development programs;</w:t>
      </w:r>
    </w:p>
    <w:p>
      <w:pPr>
        <w:spacing w:after="0" w:line="252" w:lineRule="exact"/>
        <w:rPr>
          <w:rFonts w:ascii="Arial" w:cs="Arial" w:eastAsia="Arial" w:hAnsi="Arial"/>
          <w:sz w:val="18"/>
          <w:szCs w:val="18"/>
          <w:color w:val="auto"/>
        </w:rPr>
      </w:pPr>
    </w:p>
    <w:p>
      <w:pPr>
        <w:ind w:left="1220" w:hanging="726"/>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obtaining and enforcing patents to preserve our intellectual property;</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may acquire or invest in additional businesses, product candidates and technologies.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In addition,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6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5"/>
          <w:szCs w:val="15"/>
          <w:b w:val="1"/>
          <w:bCs w:val="1"/>
          <w:color w:val="auto"/>
        </w:rPr>
        <w:t>.</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identified material weaknesses in our internal control over financial reporting. In particular, we concluded that (i) the size and capabilities of the Company’s staff does not permit appropriate segregation of duties to prevent one individual from overriding the internal control system by initiating, authorizing and completing all transactions, and (ii) the Company utilizes accounting software that does not prevent erroneous or unauthorized changes to previous reporting periods and/or can be adjusted so as to not provide an adequate auditing trail of entries made in the accounting software.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86"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We intend to pursue private and public equity offerings, debt financings, strategic collaborations and licensing arrangements during 2018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 awards, which may not be available to us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w:t>
      </w:r>
      <w:r>
        <w:rPr>
          <w:rFonts w:ascii="Arial" w:cs="Arial" w:eastAsia="Arial" w:hAnsi="Arial"/>
          <w:sz w:val="16"/>
          <w:szCs w:val="16"/>
          <w:i w:val="1"/>
          <w:iCs w:val="1"/>
          <w:color w:val="auto"/>
        </w:rPr>
        <w:t>NINDS</w:t>
      </w:r>
      <w:r>
        <w:rPr>
          <w:rFonts w:ascii="Arial" w:cs="Arial" w:eastAsia="Arial" w:hAnsi="Arial"/>
          <w:sz w:val="16"/>
          <w:szCs w:val="16"/>
          <w:color w:val="auto"/>
        </w:rPr>
        <w:t>) and the NIMH, and the California Institute for Regenerative Medicine (</w:t>
      </w:r>
      <w:r>
        <w:rPr>
          <w:rFonts w:ascii="Arial" w:cs="Arial" w:eastAsia="Arial" w:hAnsi="Arial"/>
          <w:sz w:val="16"/>
          <w:szCs w:val="16"/>
          <w:i w:val="1"/>
          <w:iCs w:val="1"/>
          <w:color w:val="auto"/>
        </w:rPr>
        <w:t>CIRM</w:t>
      </w:r>
      <w:r>
        <w:rPr>
          <w:rFonts w:ascii="Arial" w:cs="Arial" w:eastAsia="Arial" w:hAnsi="Arial"/>
          <w:sz w:val="16"/>
          <w:szCs w:val="16"/>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of March 31, 2018, we had federal and state net operating loss carryforwards of approximately $88.5 million and $63.5 million, respectively, which begin to expire in fiscal 2019.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senior management and key scientific personnel, we may be unable to successfully produce, develop and commercialize our product candidates.</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Chief Financial Officer, and Vice President – Corporate Development as well as our other employees, consultants and scientific collaborators. As of the date of this Report, we have nine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should we elect to expand our research and development and administrative activities. We may not be able to attract and retain quality personnel on acceptable terms.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rely on a broad and diverse range of strategic consultants and advisors, including manufacturing, nonclinical and clinical development, and regulatory advisors,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seek to advance development of our product candidates, we may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2"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product candidates that we may develop;</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Our efforts to comply with these regulations are likely to result in increased general and administrative expenses and management time and attention directed to compliance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 development programs or otherwise materially harm our operations.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product candidates, or form strategic alliances, in the future, and we may not realize the benefits of such acquisitions.</w:t>
      </w: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acquire additional businesses or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including seeking patents intended to cover our products and compositions, their methods of use and any other inventions we consider important to the development of our business. We also rely on trade secrets to protect aspects of our business that are not amenable to, or that we do not consider appropriate for, patent protection.</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AV-101 and human pluripotent stem cell technology.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have issued patents relating to AV-101 in the U.S. and the European Union, we cannot yet provide any assurances that any of our other numerous pending U.S. and additional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patent positions of biotechnology and pharmaceutical companies, including our patent position, involve complex legal and factual questions, and, therefore, the issuance, scope, validity and enforceability of any additional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6"/>
          <w:szCs w:val="16"/>
          <w:i w:val="1"/>
          <w:iCs w:val="1"/>
          <w:color w:val="auto"/>
        </w:rPr>
        <w:t>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 </w:t>
      </w:r>
      <w:r>
        <w:rPr>
          <w:rFonts w:ascii="Arial" w:cs="Arial" w:eastAsia="Arial" w:hAnsi="Arial"/>
          <w:sz w:val="16"/>
          <w:szCs w:val="16"/>
          <w:color w:val="auto"/>
        </w:rPr>
        <w:t>reexamination, or</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Furthermore, though a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25" w:lineRule="exact"/>
        <w:rPr>
          <w:sz w:val="20"/>
          <w:szCs w:val="20"/>
          <w:color w:val="auto"/>
        </w:rPr>
      </w:pPr>
    </w:p>
    <w:p>
      <w:pPr>
        <w:ind w:left="980" w:hanging="486"/>
        <w:spacing w:after="0" w:line="332"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of our issued patents related to AV-101 or pending patent applications, if issued, will include claims having a scope sufficient to protect AV-101 or any other products or product candidates, particularly considering that the compound patent to AV-101 has expired;</w:t>
      </w:r>
    </w:p>
    <w:p>
      <w:pPr>
        <w:spacing w:after="0" w:line="139" w:lineRule="exact"/>
        <w:rPr>
          <w:rFonts w:ascii="Arial" w:cs="Arial" w:eastAsia="Arial" w:hAnsi="Arial"/>
          <w:sz w:val="16"/>
          <w:szCs w:val="16"/>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225"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or proprietary rights of others.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97"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248"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7"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U.S. Patent and Trademark Office (</w:t>
      </w:r>
      <w:r>
        <w:rPr>
          <w:rFonts w:ascii="Arial" w:cs="Arial" w:eastAsia="Arial" w:hAnsi="Arial"/>
          <w:sz w:val="16"/>
          <w:szCs w:val="16"/>
          <w:i w:val="1"/>
          <w:iCs w:val="1"/>
          <w:color w:val="auto"/>
        </w:rPr>
        <w:t>USPTO</w:t>
      </w:r>
      <w:r>
        <w:rPr>
          <w:rFonts w:ascii="Arial" w:cs="Arial" w:eastAsia="Arial" w:hAnsi="Arial"/>
          <w:sz w:val="16"/>
          <w:szCs w:val="16"/>
          <w:color w:val="auto"/>
        </w:rPr>
        <w:t>), European Patent Office (</w:t>
      </w:r>
      <w:r>
        <w:rPr>
          <w:rFonts w:ascii="Arial" w:cs="Arial" w:eastAsia="Arial" w:hAnsi="Arial"/>
          <w:sz w:val="16"/>
          <w:szCs w:val="16"/>
          <w:i w:val="1"/>
          <w:iCs w:val="1"/>
          <w:color w:val="auto"/>
        </w:rPr>
        <w:t>EPO</w:t>
      </w:r>
      <w:r>
        <w:rPr>
          <w:rFonts w:ascii="Arial" w:cs="Arial" w:eastAsia="Arial" w:hAnsi="Arial"/>
          <w:sz w:val="16"/>
          <w:szCs w:val="16"/>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 Any lawsuit we are engaged in to protect or enforce our patents or the patents of our licensors could be expensive, time-consuming and unsuccessful.</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before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 can.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or one of our licensing partners initiated legal proceedings against a third party to enforce a patent covering one of our product candidates, including patents related to AV-101,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EPO,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6"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entered into several licenses to support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0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39"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Arial" w:cs="Arial" w:eastAsia="Arial" w:hAnsi="Arial"/>
          <w:sz w:val="16"/>
          <w:szCs w:val="16"/>
          <w:i w:val="1"/>
          <w:iCs w:val="1"/>
          <w:color w:val="auto"/>
        </w:rPr>
        <w:t>Mayo Collaborative Services, DBA Mayo</w:t>
      </w:r>
      <w:r>
        <w:rPr>
          <w:rFonts w:ascii="Arial" w:cs="Arial" w:eastAsia="Arial" w:hAnsi="Arial"/>
          <w:sz w:val="16"/>
          <w:szCs w:val="16"/>
          <w:color w:val="auto"/>
        </w:rPr>
        <w:t xml:space="preserve"> </w:t>
      </w:r>
      <w:r>
        <w:rPr>
          <w:rFonts w:ascii="Arial" w:cs="Arial" w:eastAsia="Arial" w:hAnsi="Arial"/>
          <w:sz w:val="16"/>
          <w:szCs w:val="16"/>
          <w:i w:val="1"/>
          <w:iCs w:val="1"/>
          <w:color w:val="auto"/>
        </w:rPr>
        <w:t>Medical Laboratories, et al. v. Prometheus Laboratories, Inc.</w:t>
      </w:r>
      <w:r>
        <w:rPr>
          <w:rFonts w:ascii="Arial" w:cs="Arial" w:eastAsia="Arial" w:hAnsi="Arial"/>
          <w:sz w:val="16"/>
          <w:szCs w:val="16"/>
          <w:color w:val="auto"/>
        </w:rPr>
        <w:t>, the Court held that several claims drawn to measuring drug metabolite levels from patient samples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the Court held that claims to isolated genomic DNA are not patentable, but claims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Arial" w:cs="Arial" w:eastAsia="Arial" w:hAnsi="Arial"/>
          <w:sz w:val="16"/>
          <w:szCs w:val="16"/>
          <w:i w:val="1"/>
          <w:iCs w:val="1"/>
          <w:color w:val="auto"/>
        </w:rPr>
        <w:t>Ariosa Diagnostics, Inc. v. Sequenom, Inc</w:t>
      </w:r>
      <w:r>
        <w:rPr>
          <w:rFonts w:ascii="Arial" w:cs="Arial" w:eastAsia="Arial" w:hAnsi="Arial"/>
          <w:sz w:val="16"/>
          <w:szCs w:val="16"/>
          <w:color w:val="auto"/>
        </w:rPr>
        <w:t>., the Court of Appeals for the Federal Circuit held that methods for detecting fetal genetic defects were not patent eligible subject matter.</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7" w:lineRule="exact"/>
        <w:rPr>
          <w:sz w:val="20"/>
          <w:szCs w:val="20"/>
          <w:color w:val="auto"/>
        </w:rPr>
      </w:pPr>
    </w:p>
    <w:p>
      <w:pPr>
        <w:ind w:left="980" w:right="20" w:hanging="486"/>
        <w:spacing w:after="0" w:line="268"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highly volatile. The market price of our common stock may fluctuate significantly in response to a number of factors, most of which we cannot control, including, among others:</w:t>
      </w:r>
    </w:p>
    <w:p>
      <w:pPr>
        <w:spacing w:after="0" w:line="186" w:lineRule="exact"/>
        <w:rPr>
          <w:sz w:val="20"/>
          <w:szCs w:val="20"/>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failure of the FDA to approve our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limited number of institutional stockholders could limit your ability to influence the outcome of key transactions, including changes in control.</w:t>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limited number of institutional stockholders own a substantial portion of our outstanding preferred stock, consisting of shares of our Series A Preferred, Series B Preferred, and Series C Preferred, all of which is convertible, at the option of the holders (but subject to certain beneficial ownership restrictions), into a substantial number of shares of our common stock. Accordingly, should a few of these institutional holders convert their shares of preferred stock into common stock, such stockholders may exert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the Company, even if such a change of control is approved by our Board and would benefit our other stockholders. Furthermore, the interests of such institutional stockholders may not always coincide with your interests or the interests of other common stockholders and an institutional holder may act in a manner that advances its best interests and not necessarily those of other stockholders.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Our Restated Articles of Incorporation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has authorized the issuance of (i) 500,000 shares of Series A Preferred, all of which shares are issued and outstanding at June 30, 2018; (ii) 4.0 million shares of Series B 10% Convertible Preferred stock, of which approximately 1.2 million shares remain issued and outstanding at June 30, 2018; and (iii) 3.0 million shares of Series C Convertible Preferred Stock, of which approximately 2.3 million shares are issued and outstanding at June 30, 2018. Our Board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the reporting requirements of the Securities Exchange Act of 1934, as amended (</w:t>
      </w:r>
      <w:r>
        <w:rPr>
          <w:rFonts w:ascii="Arial" w:cs="Arial" w:eastAsia="Arial" w:hAnsi="Arial"/>
          <w:sz w:val="18"/>
          <w:szCs w:val="18"/>
          <w:i w:val="1"/>
          <w:iCs w:val="1"/>
          <w:color w:val="auto"/>
        </w:rPr>
        <w:t>Exchange Act</w:t>
      </w:r>
      <w:r>
        <w:rPr>
          <w:rFonts w:ascii="Arial" w:cs="Arial" w:eastAsia="Arial" w:hAnsi="Arial"/>
          <w:sz w:val="18"/>
          <w:szCs w:val="18"/>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resources that we could otherwise use to achieve our research and development and other strategic objectives.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Subsequent to the Current Report on Form 8-K that we filed on August 9, 2018 and through the date of this Report, in self-placed private placement transactions, we sold to accredited investors units consisting of (i) 930,000 shares of our unregistered common stock and (ii) warrants exercisable through February 28, 2022 to purchase 930,000 unregistered shares of our common stock at an exercise price of $1.50 per share. The warrants are not exercisable until at least six months and one day following the date of issuance. We received cash proceeds of $1,162,500 from these sales of our securities.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April 2018, we issued 25,000 shares of our unregistered common stock as partial compensation for services provided by an investor relations consultant under the terms of a consulting agreement.</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May 2018, we issued 75,000 shares of our unregistered common stock to a financial institution as compensation under the terms of a financial advisory agreement.</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July 2018, we issued (i) a four-year warrant to purchase 48,000 unregistered shares of our common stock at an exercise price of $1.50 per share as compensation to a consultant under a financial advisory consulting agreement, and (ii) 50,000 unregistered shares of our common stock having a fair value on the date of issuance of $68,000, and a four-year warrant to purchase 150,000 unregistered shares of our common stock at an exercise price of $1.50 per share, to a financial advisory entity as partial compensation under an additional financial advisory consulting agreement.</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Proceeds from each of the offerings were used for general corporate purposes. All of the above sales were made in reliance on Section 4(a)(2) of the Securities Act as transactions by and issuer not involving any public offering, Regulation D of the Securities Act, and/or Section 3(a)(9) under the Securities Act. In all such transactions, certain inquiries were made by the Company to establish that such sales qualified for such exemption from the registration requirements. In particular, the Company confirmed that, with respect to the exemption claimed under Section 4(a)(2)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380" w:type="dxa"/>
            <w:vAlign w:val="bottom"/>
          </w:tcPr>
          <w:p>
            <w:pPr>
              <w:ind w:left="47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line="176" w:lineRule="exact"/>
              <w:rPr>
                <w:rFonts w:ascii="Arial" w:cs="Arial" w:eastAsia="Arial" w:hAnsi="Arial"/>
                <w:sz w:val="18"/>
                <w:szCs w:val="18"/>
                <w:color w:val="auto"/>
                <w:w w:val="79"/>
              </w:rPr>
            </w:pPr>
            <w:hyperlink r:id="rId67">
              <w:r>
                <w:rPr>
                  <w:rFonts w:ascii="Arial" w:cs="Arial" w:eastAsia="Arial" w:hAnsi="Arial"/>
                  <w:sz w:val="18"/>
                  <w:szCs w:val="18"/>
                  <w:color w:val="auto"/>
                  <w:w w:val="79"/>
                </w:rPr>
                <w:t>10.</w:t>
              </w:r>
              <w:r>
                <w:rPr>
                  <w:rFonts w:ascii="Arial" w:cs="Arial" w:eastAsia="Arial" w:hAnsi="Arial"/>
                  <w:sz w:val="18"/>
                  <w:szCs w:val="18"/>
                  <w:u w:val="single" w:color="auto"/>
                  <w:color w:val="auto"/>
                  <w:w w:val="79"/>
                </w:rPr>
                <w:t>1</w:t>
              </w:r>
            </w:hyperlink>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Form of 2018 Private Placement Subscription Agreement, incorporated by reference from Exhibit 10.1 to the Company's Current Report on Form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8-K filed on August 9,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auto"/>
            </w:tcBorders>
            <w:shd w:val="clear" w:color="auto" w:fill="CCEEFF"/>
          </w:tcPr>
          <w:p>
            <w:pPr>
              <w:spacing w:after="0" w:line="176" w:lineRule="exact"/>
              <w:rPr>
                <w:rFonts w:ascii="Arial" w:cs="Arial" w:eastAsia="Arial" w:hAnsi="Arial"/>
                <w:sz w:val="18"/>
                <w:szCs w:val="18"/>
                <w:color w:val="auto"/>
                <w:w w:val="79"/>
              </w:rPr>
            </w:pPr>
            <w:hyperlink r:id="rId68">
              <w:r>
                <w:rPr>
                  <w:rFonts w:ascii="Arial" w:cs="Arial" w:eastAsia="Arial" w:hAnsi="Arial"/>
                  <w:sz w:val="18"/>
                  <w:szCs w:val="18"/>
                  <w:color w:val="auto"/>
                  <w:w w:val="79"/>
                </w:rPr>
                <w:t>10.</w:t>
              </w:r>
              <w:r>
                <w:rPr>
                  <w:rFonts w:ascii="Arial" w:cs="Arial" w:eastAsia="Arial" w:hAnsi="Arial"/>
                  <w:sz w:val="18"/>
                  <w:szCs w:val="18"/>
                  <w:u w:val="single" w:color="auto"/>
                  <w:color w:val="auto"/>
                  <w:w w:val="79"/>
                </w:rPr>
                <w:t>2</w:t>
              </w:r>
            </w:hyperlink>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Form of 2018 Private Placement Warrant, incorporated by reference from Exhibit 10.2 to the Company's Current Report on Form 8-K filed 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August 9,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auto"/>
            </w:tcBorders>
            <w:shd w:val="clear" w:color="auto" w:fill="CCEEFF"/>
          </w:tcPr>
          <w:p>
            <w:pPr>
              <w:spacing w:after="0" w:line="176" w:lineRule="exact"/>
              <w:rPr>
                <w:rFonts w:ascii="Arial" w:cs="Arial" w:eastAsia="Arial" w:hAnsi="Arial"/>
                <w:sz w:val="18"/>
                <w:szCs w:val="18"/>
                <w:color w:val="auto"/>
                <w:w w:val="79"/>
              </w:rPr>
            </w:pPr>
            <w:hyperlink w:anchor="page59">
              <w:r>
                <w:rPr>
                  <w:rFonts w:ascii="Arial" w:cs="Arial" w:eastAsia="Arial" w:hAnsi="Arial"/>
                  <w:sz w:val="18"/>
                  <w:szCs w:val="18"/>
                  <w:color w:val="auto"/>
                  <w:w w:val="79"/>
                </w:rPr>
                <w:t>31.</w:t>
              </w:r>
              <w:r>
                <w:rPr>
                  <w:rFonts w:ascii="Arial" w:cs="Arial" w:eastAsia="Arial" w:hAnsi="Arial"/>
                  <w:sz w:val="18"/>
                  <w:szCs w:val="18"/>
                  <w:u w:val="single" w:color="auto"/>
                  <w:color w:val="auto"/>
                  <w:w w:val="79"/>
                </w:rPr>
                <w:t>1</w:t>
              </w:r>
            </w:hyperlink>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Certification of the Principal Executive Officer required by Rule 13a-14(a) under the Securities Exchange Act of 1934, as amended, as adopted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auto"/>
            </w:tcBorders>
            <w:shd w:val="clear" w:color="auto" w:fill="CCEEFF"/>
          </w:tcPr>
          <w:p>
            <w:pPr>
              <w:spacing w:after="0" w:line="176" w:lineRule="exact"/>
              <w:rPr>
                <w:rFonts w:ascii="Arial" w:cs="Arial" w:eastAsia="Arial" w:hAnsi="Arial"/>
                <w:sz w:val="18"/>
                <w:szCs w:val="18"/>
                <w:color w:val="auto"/>
                <w:w w:val="79"/>
              </w:rPr>
            </w:pPr>
            <w:hyperlink w:anchor="page60">
              <w:r>
                <w:rPr>
                  <w:rFonts w:ascii="Arial" w:cs="Arial" w:eastAsia="Arial" w:hAnsi="Arial"/>
                  <w:sz w:val="18"/>
                  <w:szCs w:val="18"/>
                  <w:color w:val="auto"/>
                  <w:w w:val="79"/>
                </w:rPr>
                <w:t>31.</w:t>
              </w:r>
              <w:r>
                <w:rPr>
                  <w:rFonts w:ascii="Arial" w:cs="Arial" w:eastAsia="Arial" w:hAnsi="Arial"/>
                  <w:sz w:val="18"/>
                  <w:szCs w:val="18"/>
                  <w:u w:val="single" w:color="auto"/>
                  <w:color w:val="auto"/>
                  <w:w w:val="79"/>
                </w:rPr>
                <w:t>2</w:t>
              </w:r>
            </w:hyperlink>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Certification of the Principal Financial Officer required by Rule 13a-14(a) under the Securities Exchange Act of 1934, as amended, as adopted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40" w:hanging="1032"/>
        <w:spacing w:after="0" w:line="268" w:lineRule="auto"/>
        <w:tabs>
          <w:tab w:leader="none" w:pos="1040" w:val="left"/>
        </w:tabs>
        <w:numPr>
          <w:ilvl w:val="0"/>
          <w:numId w:val="29"/>
        </w:numPr>
        <w:rPr>
          <w:rFonts w:ascii="Arial" w:cs="Arial" w:eastAsia="Arial" w:hAnsi="Arial"/>
          <w:sz w:val="18"/>
          <w:szCs w:val="18"/>
          <w:u w:val="single" w:color="auto"/>
          <w:color w:val="auto"/>
        </w:rPr>
      </w:pPr>
      <w:r>
        <w:rPr>
          <w:rFonts w:ascii="Arial" w:cs="Arial" w:eastAsia="Arial" w:hAnsi="Arial"/>
          <w:sz w:val="18"/>
          <w:szCs w:val="18"/>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Instance Document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19"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firstLine="332"/>
        <w:spacing w:after="0" w:line="259" w:lineRule="auto"/>
        <w:tabs>
          <w:tab w:leader="none" w:pos="943"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firstLine="332"/>
        <w:spacing w:after="0" w:line="259" w:lineRule="auto"/>
        <w:tabs>
          <w:tab w:leader="none" w:pos="9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firstLine="332"/>
        <w:spacing w:after="0" w:line="332" w:lineRule="auto"/>
        <w:tabs>
          <w:tab w:leader="none" w:pos="958"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332"/>
        <w:spacing w:after="0" w:line="259" w:lineRule="auto"/>
        <w:tabs>
          <w:tab w:leader="none" w:pos="94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firstLine="332"/>
        <w:spacing w:after="0" w:line="268" w:lineRule="auto"/>
        <w:tabs>
          <w:tab w:leader="none" w:pos="108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332"/>
        <w:spacing w:after="0" w:line="268" w:lineRule="auto"/>
        <w:tabs>
          <w:tab w:leader="none" w:pos="9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tcPr>
          <w:p>
            <w:pPr>
              <w:spacing w:after="0"/>
              <w:rPr>
                <w:sz w:val="20"/>
                <w:szCs w:val="20"/>
                <w:color w:val="auto"/>
              </w:rPr>
            </w:pPr>
            <w:r>
              <w:rPr>
                <w:rFonts w:ascii="Arial" w:cs="Arial" w:eastAsia="Arial" w:hAnsi="Arial"/>
                <w:sz w:val="18"/>
                <w:szCs w:val="18"/>
                <w:color w:val="auto"/>
              </w:rPr>
              <w:t>August 14, 2018</w:t>
            </w: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Shawn K. Singh</w:t>
            </w:r>
          </w:p>
        </w:tc>
        <w:tc>
          <w:tcPr>
            <w:tcW w:w="2920" w:type="dxa"/>
            <w:vAlign w:val="bottom"/>
          </w:tcPr>
          <w:p>
            <w:pPr>
              <w:spacing w:after="0"/>
              <w:rPr>
                <w:sz w:val="18"/>
                <w:szCs w:val="18"/>
                <w:color w:val="auto"/>
              </w:rPr>
            </w:pPr>
          </w:p>
        </w:tc>
      </w:tr>
      <w:tr>
        <w:trPr>
          <w:trHeight w:val="228"/>
        </w:trPr>
        <w:tc>
          <w:tcPr>
            <w:tcW w:w="714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Shawn K. Singh</w:t>
            </w:r>
          </w:p>
        </w:tc>
      </w:tr>
      <w:tr>
        <w:trPr>
          <w:trHeight w:val="222"/>
        </w:trPr>
        <w:tc>
          <w:tcPr>
            <w:tcW w:w="714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41"/>
        </w:trPr>
        <w:tc>
          <w:tcPr>
            <w:tcW w:w="7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firstLine="332"/>
        <w:spacing w:after="0" w:line="259" w:lineRule="auto"/>
        <w:tabs>
          <w:tab w:leader="none" w:pos="94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firstLine="332"/>
        <w:spacing w:after="0" w:line="259" w:lineRule="auto"/>
        <w:tabs>
          <w:tab w:leader="none" w:pos="9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firstLine="332"/>
        <w:spacing w:after="0" w:line="332" w:lineRule="auto"/>
        <w:tabs>
          <w:tab w:leader="none" w:pos="958"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332"/>
        <w:spacing w:after="0" w:line="259" w:lineRule="auto"/>
        <w:tabs>
          <w:tab w:leader="none" w:pos="94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firstLine="332"/>
        <w:spacing w:after="0" w:line="268" w:lineRule="auto"/>
        <w:tabs>
          <w:tab w:leader="none" w:pos="1087"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332"/>
        <w:spacing w:after="0" w:line="268" w:lineRule="auto"/>
        <w:tabs>
          <w:tab w:leader="none" w:pos="9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20"/>
                <w:szCs w:val="20"/>
                <w:color w:val="auto"/>
              </w:rPr>
            </w:pPr>
            <w:r>
              <w:rPr>
                <w:rFonts w:ascii="Arial" w:cs="Arial" w:eastAsia="Arial" w:hAnsi="Arial"/>
                <w:sz w:val="18"/>
                <w:szCs w:val="18"/>
                <w:color w:val="auto"/>
              </w:rPr>
              <w:t>August 14, 2018</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Jerrold D. Dotson</w:t>
            </w:r>
          </w:p>
        </w:tc>
        <w:tc>
          <w:tcPr>
            <w:tcW w:w="3460" w:type="dxa"/>
            <w:vAlign w:val="bottom"/>
          </w:tcPr>
          <w:p>
            <w:pPr>
              <w:spacing w:after="0"/>
              <w:rPr>
                <w:sz w:val="18"/>
                <w:szCs w:val="18"/>
                <w:color w:val="auto"/>
              </w:rPr>
            </w:pPr>
          </w:p>
        </w:tc>
      </w:tr>
      <w:tr>
        <w:trPr>
          <w:trHeight w:val="228"/>
        </w:trPr>
        <w:tc>
          <w:tcPr>
            <w:tcW w:w="650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Jerrold D. Dotson</w:t>
            </w:r>
          </w:p>
        </w:tc>
      </w:tr>
      <w:tr>
        <w:trPr>
          <w:trHeight w:val="222"/>
        </w:trPr>
        <w:tc>
          <w:tcPr>
            <w:tcW w:w="650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873"/>
        </w:trPr>
        <w:tc>
          <w:tcPr>
            <w:tcW w:w="65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June 30, 2018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97"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August 14,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lowerRoman"/>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lowerRoman"/>
      <w:start w:val="2"/>
    </w:lvl>
  </w:abstractNum>
  <w:abstractNum w:abstractNumId="5">
    <w:nsid w:val="7C83E458"/>
    <w:multiLevelType w:val="hybridMultilevel"/>
    <w:lvl w:ilvl="0">
      <w:lvlJc w:val="left"/>
      <w:lvlText w:val="(%1)"/>
      <w:numFmt w:val="lowerRoman"/>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32"/>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67" Type="http://schemas.openxmlformats.org/officeDocument/2006/relationships/hyperlink" Target="http://www.sec.gov/Archives/edgar/data/1411685/000165495418008742/ex10-1.htm" TargetMode="External"/><Relationship Id="rId68" Type="http://schemas.openxmlformats.org/officeDocument/2006/relationships/hyperlink" Target="http://www.sec.gov/Archives/edgar/data/1411685/000165495418008742/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2020-01-13T08:45:21Z</dcterms:created>
  <dcterms:modified xsi:type="dcterms:W3CDTF">2020-01-13T08:45:21Z</dcterms:modified>
</cp:coreProperties>
</file>