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294005</wp:posOffset>
            </wp:positionH>
            <wp:positionV relativeFrom="page">
              <wp:posOffset>706120</wp:posOffset>
            </wp:positionV>
            <wp:extent cx="68580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58000" cy="8890"/>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732155</wp:posOffset>
            </wp:positionV>
            <wp:extent cx="68580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17, 2025</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28"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000-54014</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20-5093315</w:t>
      </w:r>
    </w:p>
    <w:p>
      <w:pPr>
        <w:spacing w:after="0" w:line="52" w:lineRule="exact"/>
        <w:rPr>
          <w:sz w:val="24"/>
          <w:szCs w:val="24"/>
          <w:color w:val="auto"/>
        </w:rPr>
      </w:pPr>
    </w:p>
    <w:p>
      <w:pPr>
        <w:sectPr>
          <w:pgSz w:w="11900" w:h="16838" w:orient="portrait"/>
          <w:cols w:equalWidth="0" w:num="3">
            <w:col w:w="4500" w:space="720"/>
            <w:col w:w="2980" w:space="720"/>
            <w:col w:w="2320"/>
          </w:cols>
          <w:pgMar w:left="320" w:top="1440" w:right="339" w:bottom="1440" w:gutter="0" w:footer="0" w:header="0"/>
          <w:type w:val="continuous"/>
        </w:sectPr>
      </w:pPr>
    </w:p>
    <w:p>
      <w:pPr>
        <w:jc w:val="center"/>
        <w:ind w:right="160"/>
        <w:spacing w:after="0"/>
        <w:rPr>
          <w:sz w:val="20"/>
          <w:szCs w:val="20"/>
          <w:color w:val="auto"/>
        </w:rPr>
      </w:pPr>
      <w:r>
        <w:rPr>
          <w:rFonts w:ascii="Times New Roman" w:cs="Times New Roman" w:eastAsia="Times New Roman" w:hAnsi="Times New Roman"/>
          <w:sz w:val="17"/>
          <w:szCs w:val="17"/>
          <w:i w:val="1"/>
          <w:iCs w:val="1"/>
          <w:color w:val="auto"/>
        </w:rPr>
        <w:t>(State or other jurisdiction of</w:t>
      </w:r>
    </w:p>
    <w:p>
      <w:pPr>
        <w:spacing w:after="0" w:line="29"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i w:val="1"/>
          <w:iCs w:val="1"/>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i w:val="1"/>
          <w:iCs w:val="1"/>
          <w:color w:val="auto"/>
        </w:rPr>
        <w:t>(Commission 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Times New Roman" w:cs="Times New Roman" w:eastAsia="Times New Roman" w:hAnsi="Times New Roman"/>
          <w:sz w:val="18"/>
          <w:szCs w:val="18"/>
          <w:i w:val="1"/>
          <w:iCs w:val="1"/>
          <w:color w:val="auto"/>
        </w:rPr>
        <w:t>(IRS Employer</w:t>
      </w:r>
    </w:p>
    <w:p>
      <w:pPr>
        <w:spacing w:after="0" w:line="1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i w:val="1"/>
          <w:iCs w:val="1"/>
          <w:color w:val="auto"/>
        </w:rPr>
        <w:t>Identification Number)</w:t>
      </w:r>
    </w:p>
    <w:p>
      <w:pPr>
        <w:spacing w:after="0" w:line="200" w:lineRule="exact"/>
        <w:rPr>
          <w:sz w:val="24"/>
          <w:szCs w:val="24"/>
          <w:color w:val="auto"/>
        </w:rPr>
      </w:pPr>
    </w:p>
    <w:p>
      <w:pPr>
        <w:sectPr>
          <w:pgSz w:w="11900" w:h="16838" w:orient="portrait"/>
          <w:cols w:equalWidth="0" w:num="3">
            <w:col w:w="3900" w:space="720"/>
            <w:col w:w="3200" w:space="720"/>
            <w:col w:w="2700"/>
          </w:cols>
          <w:pgMar w:left="320" w:top="1440" w:right="339" w:bottom="1440" w:gutter="0" w:footer="0" w:header="0"/>
          <w:type w:val="continuous"/>
        </w:sectPr>
      </w:pPr>
    </w:p>
    <w:p>
      <w:pPr>
        <w:spacing w:after="0" w:line="82"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343 Allerton Ave.</w:t>
      </w:r>
    </w:p>
    <w:p>
      <w:pPr>
        <w:spacing w:after="0" w:line="3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(650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577-3600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telephone number, including area code)</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(Former name or former address, if changed since last report)</w:t>
      </w:r>
    </w:p>
    <w:p>
      <w:pPr>
        <w:sectPr>
          <w:pgSz w:w="11900" w:h="16838" w:orient="portrait"/>
          <w:cols w:equalWidth="0" w:num="1">
            <w:col w:w="11240"/>
          </w:cols>
          <w:pgMar w:left="320" w:top="1440" w:right="339" w:bottom="1440" w:gutter="0" w:footer="0" w:header="0"/>
          <w:type w:val="continuous"/>
        </w:sectPr>
      </w:pPr>
    </w:p>
    <w:p>
      <w:pPr>
        <w:spacing w:after="0" w:line="19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Soliciting material pursuant to Rule 14a-12 under the Exchange Act (17 CFR 240.14a -12)</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2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66"/>
        </w:trPr>
        <w:tc>
          <w:tcPr>
            <w:tcW w:w="45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43"/>
        </w:trPr>
        <w:tc>
          <w:tcPr>
            <w:tcW w:w="4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VTGN</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26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898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8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1336040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0205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05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0205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056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41"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On December 17, 2025, Vistagen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announced that the PALISADE-3 Phase 3 study of intranasal fasedienol for the acute treatment of social anxiety disorder did not achieve its primary endpoint, as measured by the least squares ("</w:t>
      </w:r>
      <w:r>
        <w:rPr>
          <w:rFonts w:ascii="Times New Roman" w:cs="Times New Roman" w:eastAsia="Times New Roman" w:hAnsi="Times New Roman"/>
          <w:sz w:val="18"/>
          <w:szCs w:val="18"/>
          <w:i w:val="1"/>
          <w:iCs w:val="1"/>
          <w:color w:val="auto"/>
        </w:rPr>
        <w:t>LS"</w:t>
      </w:r>
      <w:r>
        <w:rPr>
          <w:rFonts w:ascii="Times New Roman" w:cs="Times New Roman" w:eastAsia="Times New Roman" w:hAnsi="Times New Roman"/>
          <w:sz w:val="18"/>
          <w:szCs w:val="18"/>
          <w:color w:val="auto"/>
        </w:rPr>
        <w:t>) mean change from baseline on the the Subjective Units of Distress Scale score for fasedienol (13.6 +/-1.54 standard error, SE) compared with placebo (14.0 +/-1.51 SE). There was no treatment difference between fasedienol and placebo for the secondary endpoints. The favorable safety data of fasedienol were consistent with previously completed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880110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59" w:right="4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210" w:lineRule="exact"/>
        <w:rPr>
          <w:sz w:val="20"/>
          <w:szCs w:val="20"/>
          <w:color w:val="auto"/>
        </w:rPr>
      </w:pPr>
    </w:p>
    <w:p>
      <w:pPr>
        <w:ind w:left="20"/>
        <w:spacing w:after="0"/>
        <w:tabs>
          <w:tab w:leader="none" w:pos="5560" w:val="left"/>
          <w:tab w:leader="none" w:pos="6020" w:val="left"/>
        </w:tabs>
        <w:rPr>
          <w:sz w:val="20"/>
          <w:szCs w:val="20"/>
          <w:color w:val="auto"/>
        </w:rPr>
      </w:pPr>
      <w:r>
        <w:rPr>
          <w:rFonts w:ascii="Times New Roman" w:cs="Times New Roman" w:eastAsia="Times New Roman" w:hAnsi="Times New Roman"/>
          <w:sz w:val="18"/>
          <w:szCs w:val="18"/>
          <w:color w:val="auto"/>
        </w:rPr>
        <w:t>Date: December 22,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27305</wp:posOffset>
            </wp:positionV>
            <wp:extent cx="33172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4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Shawn K. Singh</w:t>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President and Chief Executive Officer</w:t>
      </w:r>
    </w:p>
    <w:sectPr>
      <w:pgSz w:w="11900" w:h="16838" w:orient="portrait"/>
      <w:cols w:equalWidth="0" w:num="1">
        <w:col w:w="11200"/>
      </w:cols>
      <w:pgMar w:left="320" w:top="110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2025-12-22T17:04:59Z</dcterms:created>
  <dcterms:modified xsi:type="dcterms:W3CDTF">2025-12-22T17:04:59Z</dcterms:modified>
</cp:coreProperties>
</file>