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tabs>
          <w:tab w:leader="none" w:pos="260" w:val="left"/>
        </w:tabs>
        <w:rPr>
          <w:sz w:val="20"/>
          <w:szCs w:val="20"/>
          <w:color w:val="auto"/>
        </w:rPr>
      </w:pPr>
      <w:r>
        <w:rPr>
          <w:rFonts w:ascii="Arial" w:cs="Arial" w:eastAsia="Arial" w:hAnsi="Arial"/>
          <w:sz w:val="18"/>
          <w:szCs w:val="18"/>
          <w:b w:val="1"/>
          <w:bCs w:val="1"/>
          <w:color w:val="auto"/>
        </w:rPr>
        <w:t>(Amendment No.</w:t>
        <w:tab/>
        <w:t>)*</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9284OH202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13,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3" w:lineRule="exact"/>
        <w:rPr>
          <w:sz w:val="24"/>
          <w:szCs w:val="24"/>
          <w:color w:val="auto"/>
        </w:rPr>
      </w:pPr>
    </w:p>
    <w:p>
      <w:pPr>
        <w:ind w:left="460" w:hanging="452"/>
        <w:spacing w:after="0" w:line="207" w:lineRule="exact"/>
        <w:tabs>
          <w:tab w:leader="none" w:pos="4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13d-1(b)</w:t>
      </w:r>
    </w:p>
    <w:p>
      <w:pPr>
        <w:spacing w:after="0" w:line="57"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9"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09" w:lineRule="exact"/>
        <w:rPr>
          <w:sz w:val="24"/>
          <w:szCs w:val="24"/>
          <w:color w:val="auto"/>
        </w:rPr>
      </w:pPr>
    </w:p>
    <w:p>
      <w:pPr>
        <w:ind w:firstLine="8"/>
        <w:spacing w:after="0" w:line="277" w:lineRule="auto"/>
        <w:tabs>
          <w:tab w:leader="none" w:pos="14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Page 1 of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9284OH202</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12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color w:val="auto"/>
              </w:rPr>
              <w:t>Names of Reporting Persons.</w:t>
            </w:r>
          </w:p>
        </w:tc>
        <w:tc>
          <w:tcPr>
            <w:tcW w:w="3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3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Mitchell P. Kopin</w:t>
            </w: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4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92"/>
              </w:rPr>
              <w:t>2.</w:t>
            </w:r>
          </w:p>
        </w:tc>
        <w:tc>
          <w:tcPr>
            <w:tcW w:w="5180" w:type="dxa"/>
            <w:vAlign w:val="bottom"/>
            <w:gridSpan w:val="8"/>
          </w:tcPr>
          <w:p>
            <w:pPr>
              <w:ind w:left="40"/>
              <w:spacing w:after="0" w:line="163" w:lineRule="exact"/>
              <w:rPr>
                <w:sz w:val="20"/>
                <w:szCs w:val="20"/>
                <w:color w:val="auto"/>
              </w:rPr>
            </w:pPr>
            <w:r>
              <w:rPr>
                <w:rFonts w:ascii="Arial" w:cs="Arial" w:eastAsia="Arial" w:hAnsi="Arial"/>
                <w:sz w:val="18"/>
                <w:szCs w:val="18"/>
                <w:color w:val="auto"/>
                <w:w w:val="92"/>
              </w:rPr>
              <w:t>Check the Appropriate Box if a Member of a Group (See Instructions)</w:t>
            </w:r>
          </w:p>
        </w:tc>
        <w:tc>
          <w:tcPr>
            <w:tcW w:w="5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(a)</w:t>
            </w:r>
          </w:p>
        </w:tc>
        <w:tc>
          <w:tcPr>
            <w:tcW w:w="7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76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1140" w:type="dxa"/>
            <w:vAlign w:val="bottom"/>
            <w:gridSpan w:val="3"/>
          </w:tcPr>
          <w:p>
            <w:pPr>
              <w:ind w:left="40"/>
              <w:spacing w:after="0"/>
              <w:rPr>
                <w:sz w:val="20"/>
                <w:szCs w:val="20"/>
                <w:color w:val="auto"/>
              </w:rPr>
            </w:pPr>
            <w:r>
              <w:rPr>
                <w:rFonts w:ascii="Arial" w:cs="Arial" w:eastAsia="Arial" w:hAnsi="Arial"/>
                <w:sz w:val="18"/>
                <w:szCs w:val="18"/>
                <w:color w:val="auto"/>
                <w:w w:val="93"/>
              </w:rPr>
              <w:t>SEC Use Only</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312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2060" w:type="dxa"/>
            <w:vAlign w:val="bottom"/>
            <w:gridSpan w:val="3"/>
          </w:tcPr>
          <w:p>
            <w:pPr>
              <w:ind w:left="40"/>
              <w:spacing w:after="0"/>
              <w:rPr>
                <w:sz w:val="20"/>
                <w:szCs w:val="20"/>
                <w:color w:val="auto"/>
              </w:rPr>
            </w:pPr>
            <w:r>
              <w:rPr>
                <w:rFonts w:ascii="Arial" w:cs="Arial" w:eastAsia="Arial" w:hAnsi="Arial"/>
                <w:sz w:val="18"/>
                <w:szCs w:val="18"/>
                <w:color w:val="auto"/>
              </w:rPr>
              <w:t>United States of America</w:t>
            </w:r>
          </w:p>
        </w:tc>
        <w:tc>
          <w:tcPr>
            <w:tcW w:w="5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w w:val="92"/>
              </w:rPr>
              <w:t>5.</w:t>
            </w:r>
          </w:p>
        </w:tc>
        <w:tc>
          <w:tcPr>
            <w:tcW w:w="1420" w:type="dxa"/>
            <w:vAlign w:val="bottom"/>
          </w:tcPr>
          <w:p>
            <w:pPr>
              <w:ind w:left="40"/>
              <w:spacing w:after="0"/>
              <w:rPr>
                <w:sz w:val="20"/>
                <w:szCs w:val="20"/>
                <w:color w:val="auto"/>
              </w:rPr>
            </w:pPr>
            <w:r>
              <w:rPr>
                <w:rFonts w:ascii="Arial" w:cs="Arial" w:eastAsia="Arial" w:hAnsi="Arial"/>
                <w:sz w:val="18"/>
                <w:szCs w:val="18"/>
                <w:color w:val="auto"/>
                <w:w w:val="91"/>
              </w:rPr>
              <w:t>Sole Voting Power</w:t>
            </w:r>
          </w:p>
        </w:tc>
        <w:tc>
          <w:tcPr>
            <w:tcW w:w="3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0</w:t>
            </w:r>
          </w:p>
        </w:tc>
        <w:tc>
          <w:tcPr>
            <w:tcW w:w="940" w:type="dxa"/>
            <w:vAlign w:val="bottom"/>
          </w:tcPr>
          <w:p>
            <w:pPr>
              <w:spacing w:after="0"/>
              <w:rPr>
                <w:sz w:val="19"/>
                <w:szCs w:val="19"/>
                <w:color w:val="auto"/>
              </w:rPr>
            </w:pPr>
          </w:p>
        </w:tc>
        <w:tc>
          <w:tcPr>
            <w:tcW w:w="5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8"/>
              </w:rPr>
              <w:t>Number of Shares</w:t>
            </w:r>
          </w:p>
        </w:tc>
        <w:tc>
          <w:tcPr>
            <w:tcW w:w="36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92"/>
              </w:rPr>
              <w:t>6.</w:t>
            </w:r>
          </w:p>
        </w:tc>
        <w:tc>
          <w:tcPr>
            <w:tcW w:w="1740" w:type="dxa"/>
            <w:vAlign w:val="bottom"/>
            <w:gridSpan w:val="2"/>
            <w:vMerge w:val="restart"/>
          </w:tcPr>
          <w:p>
            <w:pPr>
              <w:ind w:left="40"/>
              <w:spacing w:after="0"/>
              <w:rPr>
                <w:sz w:val="20"/>
                <w:szCs w:val="20"/>
                <w:color w:val="auto"/>
              </w:rPr>
            </w:pPr>
            <w:r>
              <w:rPr>
                <w:rFonts w:ascii="Arial" w:cs="Arial" w:eastAsia="Arial" w:hAnsi="Arial"/>
                <w:sz w:val="18"/>
                <w:szCs w:val="18"/>
                <w:color w:val="auto"/>
                <w:w w:val="98"/>
              </w:rPr>
              <w:t>Shared Voting Power</w:t>
            </w:r>
          </w:p>
        </w:tc>
        <w:tc>
          <w:tcPr>
            <w:tcW w:w="800" w:type="dxa"/>
            <w:vAlign w:val="bottom"/>
            <w:vMerge w:val="restart"/>
          </w:tcPr>
          <w:p>
            <w:pPr>
              <w:spacing w:after="0"/>
              <w:rPr>
                <w:sz w:val="20"/>
                <w:szCs w:val="20"/>
                <w:color w:val="auto"/>
              </w:rPr>
            </w:pPr>
            <w:r>
              <w:rPr>
                <w:rFonts w:ascii="Arial" w:cs="Arial" w:eastAsia="Arial" w:hAnsi="Arial"/>
                <w:sz w:val="18"/>
                <w:szCs w:val="18"/>
                <w:color w:val="auto"/>
                <w:w w:val="97"/>
              </w:rPr>
              <w:t>2,339,839</w:t>
            </w:r>
          </w:p>
        </w:tc>
        <w:tc>
          <w:tcPr>
            <w:tcW w:w="940" w:type="dxa"/>
            <w:vAlign w:val="bottom"/>
          </w:tcPr>
          <w:p>
            <w:pPr>
              <w:spacing w:after="0"/>
              <w:rPr>
                <w:sz w:val="7"/>
                <w:szCs w:val="7"/>
                <w:color w:val="auto"/>
              </w:rPr>
            </w:pPr>
          </w:p>
        </w:tc>
        <w:tc>
          <w:tcPr>
            <w:tcW w:w="5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320" w:type="dxa"/>
            <w:vAlign w:val="bottom"/>
            <w:tcBorders>
              <w:left w:val="single" w:sz="8" w:color="auto"/>
            </w:tcBorders>
            <w:gridSpan w:val="2"/>
            <w:vMerge w:val="restart"/>
          </w:tcPr>
          <w:p>
            <w:pPr>
              <w:jc w:val="center"/>
              <w:ind w:left="310"/>
              <w:spacing w:after="0"/>
              <w:rPr>
                <w:sz w:val="20"/>
                <w:szCs w:val="20"/>
                <w:color w:val="auto"/>
              </w:rPr>
            </w:pPr>
            <w:r>
              <w:rPr>
                <w:rFonts w:ascii="Arial" w:cs="Arial" w:eastAsia="Arial" w:hAnsi="Arial"/>
                <w:sz w:val="18"/>
                <w:szCs w:val="18"/>
                <w:color w:val="auto"/>
                <w:w w:val="96"/>
              </w:rPr>
              <w:t>Beneficially</w:t>
            </w:r>
          </w:p>
        </w:tc>
        <w:tc>
          <w:tcPr>
            <w:tcW w:w="4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5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320" w:type="dxa"/>
            <w:vAlign w:val="bottom"/>
            <w:tcBorders>
              <w:left w:val="single" w:sz="8" w:color="auto"/>
            </w:tcBorders>
            <w:gridSpan w:val="2"/>
            <w:vMerge w:val="continue"/>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5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9"/>
              </w:rPr>
              <w:t>Owned by Each</w:t>
            </w: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3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92"/>
              </w:rPr>
              <w:t>7.</w:t>
            </w:r>
          </w:p>
        </w:tc>
        <w:tc>
          <w:tcPr>
            <w:tcW w:w="1740" w:type="dxa"/>
            <w:vAlign w:val="bottom"/>
            <w:gridSpan w:val="2"/>
            <w:vMerge w:val="restart"/>
          </w:tcPr>
          <w:p>
            <w:pPr>
              <w:ind w:left="40"/>
              <w:spacing w:after="0"/>
              <w:rPr>
                <w:sz w:val="20"/>
                <w:szCs w:val="20"/>
                <w:color w:val="auto"/>
              </w:rPr>
            </w:pPr>
            <w:r>
              <w:rPr>
                <w:rFonts w:ascii="Arial" w:cs="Arial" w:eastAsia="Arial" w:hAnsi="Arial"/>
                <w:sz w:val="18"/>
                <w:szCs w:val="18"/>
                <w:color w:val="auto"/>
                <w:w w:val="91"/>
              </w:rPr>
              <w:t>Sole Dispositive Power</w:t>
            </w:r>
          </w:p>
        </w:tc>
        <w:tc>
          <w:tcPr>
            <w:tcW w:w="800" w:type="dxa"/>
            <w:vAlign w:val="bottom"/>
            <w:vMerge w:val="restart"/>
          </w:tcPr>
          <w:p>
            <w:pPr>
              <w:jc w:val="right"/>
              <w:ind w:right="450"/>
              <w:spacing w:after="0"/>
              <w:rPr>
                <w:sz w:val="20"/>
                <w:szCs w:val="20"/>
                <w:color w:val="auto"/>
              </w:rPr>
            </w:pPr>
            <w:r>
              <w:rPr>
                <w:rFonts w:ascii="Arial" w:cs="Arial" w:eastAsia="Arial" w:hAnsi="Arial"/>
                <w:sz w:val="18"/>
                <w:szCs w:val="18"/>
                <w:color w:val="auto"/>
              </w:rPr>
              <w:t>0</w:t>
            </w:r>
          </w:p>
        </w:tc>
        <w:tc>
          <w:tcPr>
            <w:tcW w:w="940" w:type="dxa"/>
            <w:vAlign w:val="bottom"/>
          </w:tcPr>
          <w:p>
            <w:pPr>
              <w:spacing w:after="0"/>
              <w:rPr>
                <w:sz w:val="6"/>
                <w:szCs w:val="6"/>
                <w:color w:val="auto"/>
              </w:rPr>
            </w:pPr>
          </w:p>
        </w:tc>
        <w:tc>
          <w:tcPr>
            <w:tcW w:w="5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320" w:type="dxa"/>
            <w:vAlign w:val="bottom"/>
            <w:tcBorders>
              <w:left w:val="single" w:sz="8" w:color="auto"/>
            </w:tcBorders>
            <w:gridSpan w:val="2"/>
            <w:vMerge w:val="restart"/>
          </w:tcPr>
          <w:p>
            <w:pPr>
              <w:jc w:val="center"/>
              <w:ind w:left="270"/>
              <w:spacing w:after="0"/>
              <w:rPr>
                <w:sz w:val="20"/>
                <w:szCs w:val="20"/>
                <w:color w:val="auto"/>
              </w:rPr>
            </w:pPr>
            <w:r>
              <w:rPr>
                <w:rFonts w:ascii="Arial" w:cs="Arial" w:eastAsia="Arial" w:hAnsi="Arial"/>
                <w:sz w:val="18"/>
                <w:szCs w:val="18"/>
                <w:color w:val="auto"/>
                <w:w w:val="92"/>
              </w:rPr>
              <w:t>Reporting</w:t>
            </w:r>
          </w:p>
        </w:tc>
        <w:tc>
          <w:tcPr>
            <w:tcW w:w="40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53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tcBorders>
              <w:left w:val="single" w:sz="8" w:color="auto"/>
            </w:tcBorders>
            <w:gridSpan w:val="2"/>
            <w:vMerge w:val="continue"/>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92"/>
              </w:rPr>
              <w:t>8.</w:t>
            </w:r>
          </w:p>
        </w:tc>
        <w:tc>
          <w:tcPr>
            <w:tcW w:w="3480" w:type="dxa"/>
            <w:vAlign w:val="bottom"/>
            <w:gridSpan w:val="4"/>
            <w:vMerge w:val="restart"/>
          </w:tcPr>
          <w:p>
            <w:pPr>
              <w:ind w:left="40"/>
              <w:spacing w:after="0"/>
              <w:rPr>
                <w:sz w:val="20"/>
                <w:szCs w:val="20"/>
                <w:color w:val="auto"/>
              </w:rPr>
            </w:pPr>
            <w:r>
              <w:rPr>
                <w:rFonts w:ascii="Arial" w:cs="Arial" w:eastAsia="Arial" w:hAnsi="Arial"/>
                <w:sz w:val="18"/>
                <w:szCs w:val="18"/>
                <w:color w:val="auto"/>
              </w:rPr>
              <w:t>Shared Dispositive Power  2,239,839</w:t>
            </w:r>
          </w:p>
        </w:tc>
        <w:tc>
          <w:tcPr>
            <w:tcW w:w="5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3480" w:type="dxa"/>
            <w:vAlign w:val="bottom"/>
            <w:gridSpan w:val="4"/>
            <w:vMerge w:val="continue"/>
          </w:tcPr>
          <w:p>
            <w:pPr>
              <w:spacing w:after="0"/>
              <w:rPr>
                <w:sz w:val="12"/>
                <w:szCs w:val="12"/>
                <w:color w:val="auto"/>
              </w:rPr>
            </w:pPr>
          </w:p>
        </w:tc>
        <w:tc>
          <w:tcPr>
            <w:tcW w:w="5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2"/>
          </w:tcPr>
          <w:p>
            <w:pPr>
              <w:spacing w:after="0"/>
              <w:rPr>
                <w:sz w:val="17"/>
                <w:szCs w:val="17"/>
                <w:color w:val="auto"/>
              </w:rPr>
            </w:pPr>
          </w:p>
        </w:tc>
        <w:tc>
          <w:tcPr>
            <w:tcW w:w="920" w:type="dxa"/>
            <w:vAlign w:val="bottom"/>
            <w:tcBorders>
              <w:bottom w:val="single" w:sz="8" w:color="auto"/>
              <w:right w:val="single" w:sz="8" w:color="auto"/>
            </w:tcBorders>
            <w:gridSpan w:val="2"/>
          </w:tcPr>
          <w:p>
            <w:pPr>
              <w:spacing w:after="0"/>
              <w:rPr>
                <w:sz w:val="17"/>
                <w:szCs w:val="17"/>
                <w:color w:val="auto"/>
              </w:rPr>
            </w:pPr>
          </w:p>
        </w:tc>
        <w:tc>
          <w:tcPr>
            <w:tcW w:w="3480" w:type="dxa"/>
            <w:vAlign w:val="bottom"/>
            <w:tcBorders>
              <w:bottom w:val="single" w:sz="8" w:color="auto"/>
            </w:tcBorders>
            <w:gridSpan w:val="4"/>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80" w:type="dxa"/>
            <w:vAlign w:val="bottom"/>
            <w:gridSpan w:val="2"/>
          </w:tcPr>
          <w:p>
            <w:pPr>
              <w:ind w:left="40"/>
              <w:spacing w:after="0"/>
              <w:rPr>
                <w:sz w:val="20"/>
                <w:szCs w:val="20"/>
                <w:color w:val="auto"/>
              </w:rPr>
            </w:pPr>
            <w:r>
              <w:rPr>
                <w:rFonts w:ascii="Arial" w:cs="Arial" w:eastAsia="Arial" w:hAnsi="Arial"/>
                <w:sz w:val="18"/>
                <w:szCs w:val="18"/>
                <w:color w:val="auto"/>
                <w:w w:val="84"/>
              </w:rPr>
              <w:t>Aggregate</w:t>
            </w: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Amount</w:t>
            </w:r>
          </w:p>
        </w:tc>
        <w:tc>
          <w:tcPr>
            <w:tcW w:w="3480" w:type="dxa"/>
            <w:vAlign w:val="bottom"/>
            <w:gridSpan w:val="4"/>
          </w:tcPr>
          <w:p>
            <w:pPr>
              <w:spacing w:after="0"/>
              <w:rPr>
                <w:sz w:val="20"/>
                <w:szCs w:val="20"/>
                <w:color w:val="auto"/>
              </w:rPr>
            </w:pPr>
            <w:r>
              <w:rPr>
                <w:rFonts w:ascii="Arial" w:cs="Arial" w:eastAsia="Arial" w:hAnsi="Arial"/>
                <w:sz w:val="18"/>
                <w:szCs w:val="18"/>
                <w:color w:val="auto"/>
                <w:w w:val="93"/>
              </w:rPr>
              <w:t>Beneficially Owned by Each Reporting Person</w:t>
            </w:r>
          </w:p>
        </w:tc>
        <w:tc>
          <w:tcPr>
            <w:tcW w:w="5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2,339,839 (see Item 4)</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right w:val="single" w:sz="8" w:color="auto"/>
            </w:tcBorders>
          </w:tcPr>
          <w:p>
            <w:pPr>
              <w:spacing w:after="0"/>
              <w:rPr>
                <w:sz w:val="17"/>
                <w:szCs w:val="17"/>
                <w:color w:val="auto"/>
              </w:rPr>
            </w:pPr>
          </w:p>
        </w:tc>
        <w:tc>
          <w:tcPr>
            <w:tcW w:w="10480" w:type="dxa"/>
            <w:vAlign w:val="bottom"/>
            <w:tcBorders>
              <w:bottom w:val="single" w:sz="8" w:color="auto"/>
              <w:right w:val="single" w:sz="8" w:color="auto"/>
            </w:tcBorders>
            <w:gridSpan w:val="9"/>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10480" w:type="dxa"/>
            <w:vAlign w:val="bottom"/>
            <w:tcBorders>
              <w:right w:val="single" w:sz="8" w:color="auto"/>
            </w:tcBorders>
            <w:gridSpan w:val="9"/>
          </w:tcPr>
          <w:p>
            <w:pPr>
              <w:ind w:left="4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bottom w:val="single" w:sz="8" w:color="auto"/>
              <w:right w:val="single" w:sz="8" w:color="auto"/>
            </w:tcBorders>
          </w:tcPr>
          <w:p>
            <w:pPr>
              <w:spacing w:after="0"/>
              <w:rPr>
                <w:sz w:val="12"/>
                <w:szCs w:val="12"/>
                <w:color w:val="auto"/>
              </w:rPr>
            </w:pPr>
          </w:p>
        </w:tc>
        <w:tc>
          <w:tcPr>
            <w:tcW w:w="4240" w:type="dxa"/>
            <w:vAlign w:val="bottom"/>
            <w:tcBorders>
              <w:bottom w:val="single" w:sz="8" w:color="auto"/>
            </w:tcBorders>
            <w:gridSpan w:val="7"/>
          </w:tcPr>
          <w:p>
            <w:pPr>
              <w:spacing w:after="0"/>
              <w:rPr>
                <w:sz w:val="12"/>
                <w:szCs w:val="12"/>
                <w:color w:val="auto"/>
              </w:rPr>
            </w:pPr>
          </w:p>
        </w:tc>
        <w:tc>
          <w:tcPr>
            <w:tcW w:w="62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4240" w:type="dxa"/>
            <w:vAlign w:val="bottom"/>
            <w:gridSpan w:val="7"/>
          </w:tcPr>
          <w:p>
            <w:pPr>
              <w:ind w:left="40"/>
              <w:spacing w:after="0"/>
              <w:rPr>
                <w:sz w:val="20"/>
                <w:szCs w:val="20"/>
                <w:color w:val="auto"/>
              </w:rPr>
            </w:pPr>
            <w:r>
              <w:rPr>
                <w:rFonts w:ascii="Arial" w:cs="Arial" w:eastAsia="Arial" w:hAnsi="Arial"/>
                <w:sz w:val="18"/>
                <w:szCs w:val="18"/>
                <w:color w:val="auto"/>
                <w:w w:val="99"/>
              </w:rPr>
              <w:t>Percent of Class Represented by Amount in Row (9)</w:t>
            </w:r>
          </w:p>
        </w:tc>
        <w:tc>
          <w:tcPr>
            <w:tcW w:w="62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9.99% (see Item 4)</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right w:val="single" w:sz="8" w:color="auto"/>
            </w:tcBorders>
          </w:tcPr>
          <w:p>
            <w:pPr>
              <w:spacing w:after="0"/>
              <w:rPr>
                <w:sz w:val="17"/>
                <w:szCs w:val="17"/>
                <w:color w:val="auto"/>
              </w:rPr>
            </w:pPr>
          </w:p>
        </w:tc>
        <w:tc>
          <w:tcPr>
            <w:tcW w:w="3440" w:type="dxa"/>
            <w:vAlign w:val="bottom"/>
            <w:tcBorders>
              <w:bottom w:val="single" w:sz="8" w:color="auto"/>
            </w:tcBorders>
            <w:gridSpan w:val="6"/>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440" w:type="dxa"/>
            <w:vAlign w:val="bottom"/>
            <w:gridSpan w:val="6"/>
          </w:tcPr>
          <w:p>
            <w:pPr>
              <w:ind w:left="40"/>
              <w:spacing w:after="0"/>
              <w:rPr>
                <w:sz w:val="20"/>
                <w:szCs w:val="20"/>
                <w:color w:val="auto"/>
              </w:rPr>
            </w:pPr>
            <w:r>
              <w:rPr>
                <w:rFonts w:ascii="Arial" w:cs="Arial" w:eastAsia="Arial" w:hAnsi="Arial"/>
                <w:sz w:val="18"/>
                <w:szCs w:val="18"/>
                <w:color w:val="auto"/>
                <w:w w:val="96"/>
              </w:rPr>
              <w:t>Type of Reporting Person (See Instructions)</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IN; HC</w:t>
            </w:r>
          </w:p>
        </w:tc>
        <w:tc>
          <w:tcPr>
            <w:tcW w:w="5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9"/>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Page 2 of 8</w:t>
            </w: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9284OH202</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12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color w:val="auto"/>
              </w:rPr>
              <w:t>Names of Reporting Persons.</w:t>
            </w:r>
          </w:p>
        </w:tc>
        <w:tc>
          <w:tcPr>
            <w:tcW w:w="2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53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Daniel B. Asher</w:t>
            </w: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4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92"/>
              </w:rPr>
              <w:t>2.</w:t>
            </w:r>
          </w:p>
        </w:tc>
        <w:tc>
          <w:tcPr>
            <w:tcW w:w="5140" w:type="dxa"/>
            <w:vAlign w:val="bottom"/>
            <w:gridSpan w:val="8"/>
          </w:tcPr>
          <w:p>
            <w:pPr>
              <w:ind w:left="40"/>
              <w:spacing w:after="0" w:line="163" w:lineRule="exact"/>
              <w:rPr>
                <w:sz w:val="20"/>
                <w:szCs w:val="20"/>
                <w:color w:val="auto"/>
              </w:rPr>
            </w:pPr>
            <w:r>
              <w:rPr>
                <w:rFonts w:ascii="Arial" w:cs="Arial" w:eastAsia="Arial" w:hAnsi="Arial"/>
                <w:sz w:val="18"/>
                <w:szCs w:val="18"/>
                <w:color w:val="auto"/>
                <w:w w:val="92"/>
              </w:rPr>
              <w:t>Check the Appropriate Box if a Member of a Group (See Instructions)</w:t>
            </w:r>
          </w:p>
        </w:tc>
        <w:tc>
          <w:tcPr>
            <w:tcW w:w="5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(a)</w:t>
            </w:r>
          </w:p>
        </w:tc>
        <w:tc>
          <w:tcPr>
            <w:tcW w:w="7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76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53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1140" w:type="dxa"/>
            <w:vAlign w:val="bottom"/>
            <w:gridSpan w:val="3"/>
          </w:tcPr>
          <w:p>
            <w:pPr>
              <w:ind w:left="40"/>
              <w:spacing w:after="0"/>
              <w:rPr>
                <w:sz w:val="20"/>
                <w:szCs w:val="20"/>
                <w:color w:val="auto"/>
              </w:rPr>
            </w:pPr>
            <w:r>
              <w:rPr>
                <w:rFonts w:ascii="Arial" w:cs="Arial" w:eastAsia="Arial" w:hAnsi="Arial"/>
                <w:sz w:val="18"/>
                <w:szCs w:val="18"/>
                <w:color w:val="auto"/>
                <w:w w:val="93"/>
              </w:rPr>
              <w:t>SEC Use Only</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spacing w:after="0"/>
              <w:rPr>
                <w:sz w:val="17"/>
                <w:szCs w:val="17"/>
                <w:color w:val="auto"/>
              </w:rPr>
            </w:pPr>
          </w:p>
        </w:tc>
        <w:tc>
          <w:tcPr>
            <w:tcW w:w="5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312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gridSpan w:val="3"/>
          </w:tcPr>
          <w:p>
            <w:pPr>
              <w:jc w:val="right"/>
              <w:ind w:right="70"/>
              <w:spacing w:after="0"/>
              <w:rPr>
                <w:sz w:val="20"/>
                <w:szCs w:val="20"/>
                <w:color w:val="auto"/>
              </w:rPr>
            </w:pPr>
            <w:r>
              <w:rPr>
                <w:rFonts w:ascii="Arial" w:cs="Arial" w:eastAsia="Arial" w:hAnsi="Arial"/>
                <w:sz w:val="18"/>
                <w:szCs w:val="18"/>
                <w:color w:val="auto"/>
                <w:w w:val="92"/>
              </w:rPr>
              <w:t>United States of America</w:t>
            </w:r>
          </w:p>
        </w:tc>
        <w:tc>
          <w:tcPr>
            <w:tcW w:w="5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w w:val="92"/>
              </w:rPr>
              <w:t>5.</w:t>
            </w:r>
          </w:p>
        </w:tc>
        <w:tc>
          <w:tcPr>
            <w:tcW w:w="1420" w:type="dxa"/>
            <w:vAlign w:val="bottom"/>
          </w:tcPr>
          <w:p>
            <w:pPr>
              <w:ind w:left="40"/>
              <w:spacing w:after="0"/>
              <w:rPr>
                <w:sz w:val="20"/>
                <w:szCs w:val="20"/>
                <w:color w:val="auto"/>
              </w:rPr>
            </w:pPr>
            <w:r>
              <w:rPr>
                <w:rFonts w:ascii="Arial" w:cs="Arial" w:eastAsia="Arial" w:hAnsi="Arial"/>
                <w:sz w:val="18"/>
                <w:szCs w:val="18"/>
                <w:color w:val="auto"/>
                <w:w w:val="91"/>
              </w:rPr>
              <w:t>Sole Voting Power</w:t>
            </w:r>
          </w:p>
        </w:tc>
        <w:tc>
          <w:tcPr>
            <w:tcW w:w="220" w:type="dxa"/>
            <w:vAlign w:val="bottom"/>
          </w:tcPr>
          <w:p>
            <w:pPr>
              <w:spacing w:after="0"/>
              <w:rPr>
                <w:sz w:val="19"/>
                <w:szCs w:val="19"/>
                <w:color w:val="auto"/>
              </w:rPr>
            </w:pP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9"/>
                <w:szCs w:val="19"/>
                <w:color w:val="auto"/>
              </w:rPr>
            </w:pPr>
          </w:p>
        </w:tc>
        <w:tc>
          <w:tcPr>
            <w:tcW w:w="5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8"/>
              </w:rPr>
              <w:t>Number of Shares</w:t>
            </w:r>
          </w:p>
        </w:tc>
        <w:tc>
          <w:tcPr>
            <w:tcW w:w="36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92"/>
              </w:rPr>
              <w:t>6.</w:t>
            </w:r>
          </w:p>
        </w:tc>
        <w:tc>
          <w:tcPr>
            <w:tcW w:w="164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Shared Voting Power</w:t>
            </w:r>
          </w:p>
        </w:tc>
        <w:tc>
          <w:tcPr>
            <w:tcW w:w="1800" w:type="dxa"/>
            <w:vAlign w:val="bottom"/>
            <w:gridSpan w:val="2"/>
            <w:vMerge w:val="restart"/>
          </w:tcPr>
          <w:p>
            <w:pPr>
              <w:jc w:val="right"/>
              <w:ind w:right="930"/>
              <w:spacing w:after="0"/>
              <w:rPr>
                <w:sz w:val="20"/>
                <w:szCs w:val="20"/>
                <w:color w:val="auto"/>
              </w:rPr>
            </w:pPr>
            <w:r>
              <w:rPr>
                <w:rFonts w:ascii="Arial" w:cs="Arial" w:eastAsia="Arial" w:hAnsi="Arial"/>
                <w:sz w:val="18"/>
                <w:szCs w:val="18"/>
                <w:color w:val="auto"/>
                <w:w w:val="94"/>
              </w:rPr>
              <w:t>2,339,839</w:t>
            </w:r>
          </w:p>
        </w:tc>
        <w:tc>
          <w:tcPr>
            <w:tcW w:w="5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320" w:type="dxa"/>
            <w:vAlign w:val="bottom"/>
            <w:tcBorders>
              <w:left w:val="single" w:sz="8" w:color="auto"/>
            </w:tcBorders>
            <w:gridSpan w:val="2"/>
            <w:vMerge w:val="restart"/>
          </w:tcPr>
          <w:p>
            <w:pPr>
              <w:jc w:val="center"/>
              <w:ind w:left="310"/>
              <w:spacing w:after="0"/>
              <w:rPr>
                <w:sz w:val="20"/>
                <w:szCs w:val="20"/>
                <w:color w:val="auto"/>
              </w:rPr>
            </w:pPr>
            <w:r>
              <w:rPr>
                <w:rFonts w:ascii="Arial" w:cs="Arial" w:eastAsia="Arial" w:hAnsi="Arial"/>
                <w:sz w:val="18"/>
                <w:szCs w:val="18"/>
                <w:color w:val="auto"/>
                <w:w w:val="96"/>
              </w:rPr>
              <w:t>Beneficially</w:t>
            </w:r>
          </w:p>
        </w:tc>
        <w:tc>
          <w:tcPr>
            <w:tcW w:w="4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5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320" w:type="dxa"/>
            <w:vAlign w:val="bottom"/>
            <w:tcBorders>
              <w:left w:val="single" w:sz="8" w:color="auto"/>
            </w:tcBorders>
            <w:gridSpan w:val="2"/>
            <w:vMerge w:val="continue"/>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9"/>
              </w:rPr>
              <w:t>Owned by Each</w:t>
            </w: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5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92"/>
              </w:rPr>
              <w:t>7.</w:t>
            </w:r>
          </w:p>
        </w:tc>
        <w:tc>
          <w:tcPr>
            <w:tcW w:w="2140" w:type="dxa"/>
            <w:vAlign w:val="bottom"/>
            <w:gridSpan w:val="3"/>
            <w:vMerge w:val="restart"/>
          </w:tcPr>
          <w:p>
            <w:pPr>
              <w:ind w:left="40"/>
              <w:spacing w:after="0"/>
              <w:rPr>
                <w:sz w:val="20"/>
                <w:szCs w:val="20"/>
                <w:color w:val="auto"/>
              </w:rPr>
            </w:pPr>
            <w:r>
              <w:rPr>
                <w:rFonts w:ascii="Arial" w:cs="Arial" w:eastAsia="Arial" w:hAnsi="Arial"/>
                <w:sz w:val="18"/>
                <w:szCs w:val="18"/>
                <w:color w:val="auto"/>
              </w:rPr>
              <w:t>Sole Dispositive Power  0</w:t>
            </w:r>
          </w:p>
        </w:tc>
        <w:tc>
          <w:tcPr>
            <w:tcW w:w="1300" w:type="dxa"/>
            <w:vAlign w:val="bottom"/>
          </w:tcPr>
          <w:p>
            <w:pPr>
              <w:spacing w:after="0"/>
              <w:rPr>
                <w:sz w:val="6"/>
                <w:szCs w:val="6"/>
                <w:color w:val="auto"/>
              </w:rPr>
            </w:pPr>
          </w:p>
        </w:tc>
        <w:tc>
          <w:tcPr>
            <w:tcW w:w="5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320" w:type="dxa"/>
            <w:vAlign w:val="bottom"/>
            <w:tcBorders>
              <w:left w:val="single" w:sz="8" w:color="auto"/>
            </w:tcBorders>
            <w:gridSpan w:val="2"/>
            <w:vMerge w:val="restart"/>
          </w:tcPr>
          <w:p>
            <w:pPr>
              <w:jc w:val="center"/>
              <w:ind w:left="270"/>
              <w:spacing w:after="0"/>
              <w:rPr>
                <w:sz w:val="20"/>
                <w:szCs w:val="20"/>
                <w:color w:val="auto"/>
              </w:rPr>
            </w:pPr>
            <w:r>
              <w:rPr>
                <w:rFonts w:ascii="Arial" w:cs="Arial" w:eastAsia="Arial" w:hAnsi="Arial"/>
                <w:sz w:val="18"/>
                <w:szCs w:val="18"/>
                <w:color w:val="auto"/>
                <w:w w:val="92"/>
              </w:rPr>
              <w:t>Reporting</w:t>
            </w:r>
          </w:p>
        </w:tc>
        <w:tc>
          <w:tcPr>
            <w:tcW w:w="40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140" w:type="dxa"/>
            <w:vAlign w:val="bottom"/>
            <w:gridSpan w:val="3"/>
            <w:vMerge w:val="continue"/>
          </w:tcPr>
          <w:p>
            <w:pPr>
              <w:spacing w:after="0"/>
              <w:rPr>
                <w:sz w:val="13"/>
                <w:szCs w:val="13"/>
                <w:color w:val="auto"/>
              </w:rPr>
            </w:pPr>
          </w:p>
        </w:tc>
        <w:tc>
          <w:tcPr>
            <w:tcW w:w="1300" w:type="dxa"/>
            <w:vAlign w:val="bottom"/>
          </w:tcPr>
          <w:p>
            <w:pPr>
              <w:spacing w:after="0"/>
              <w:rPr>
                <w:sz w:val="13"/>
                <w:szCs w:val="13"/>
                <w:color w:val="auto"/>
              </w:rPr>
            </w:pPr>
          </w:p>
        </w:tc>
        <w:tc>
          <w:tcPr>
            <w:tcW w:w="5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tcBorders>
              <w:left w:val="single" w:sz="8" w:color="auto"/>
            </w:tcBorders>
            <w:gridSpan w:val="2"/>
            <w:vMerge w:val="continue"/>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53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92"/>
              </w:rPr>
              <w:t>8.</w:t>
            </w:r>
          </w:p>
        </w:tc>
        <w:tc>
          <w:tcPr>
            <w:tcW w:w="2140" w:type="dxa"/>
            <w:vAlign w:val="bottom"/>
            <w:gridSpan w:val="3"/>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1300" w:type="dxa"/>
            <w:vAlign w:val="bottom"/>
            <w:vMerge w:val="restart"/>
          </w:tcPr>
          <w:p>
            <w:pPr>
              <w:jc w:val="right"/>
              <w:ind w:right="490"/>
              <w:spacing w:after="0"/>
              <w:rPr>
                <w:sz w:val="20"/>
                <w:szCs w:val="20"/>
                <w:color w:val="auto"/>
              </w:rPr>
            </w:pPr>
            <w:r>
              <w:rPr>
                <w:rFonts w:ascii="Arial" w:cs="Arial" w:eastAsia="Arial" w:hAnsi="Arial"/>
                <w:sz w:val="18"/>
                <w:szCs w:val="18"/>
                <w:color w:val="auto"/>
                <w:w w:val="87"/>
              </w:rPr>
              <w:t>2,239,839</w:t>
            </w:r>
          </w:p>
        </w:tc>
        <w:tc>
          <w:tcPr>
            <w:tcW w:w="5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5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2"/>
          </w:tcPr>
          <w:p>
            <w:pPr>
              <w:spacing w:after="0"/>
              <w:rPr>
                <w:sz w:val="17"/>
                <w:szCs w:val="17"/>
                <w:color w:val="auto"/>
              </w:rPr>
            </w:pPr>
          </w:p>
        </w:tc>
        <w:tc>
          <w:tcPr>
            <w:tcW w:w="920" w:type="dxa"/>
            <w:vAlign w:val="bottom"/>
            <w:tcBorders>
              <w:bottom w:val="single" w:sz="8" w:color="auto"/>
              <w:right w:val="single" w:sz="8" w:color="auto"/>
            </w:tcBorders>
            <w:gridSpan w:val="2"/>
          </w:tcPr>
          <w:p>
            <w:pPr>
              <w:spacing w:after="0"/>
              <w:rPr>
                <w:sz w:val="17"/>
                <w:szCs w:val="17"/>
                <w:color w:val="auto"/>
              </w:rPr>
            </w:pPr>
          </w:p>
        </w:tc>
        <w:tc>
          <w:tcPr>
            <w:tcW w:w="3440" w:type="dxa"/>
            <w:vAlign w:val="bottom"/>
            <w:tcBorders>
              <w:bottom w:val="single" w:sz="8" w:color="auto"/>
            </w:tcBorders>
            <w:gridSpan w:val="4"/>
          </w:tcPr>
          <w:p>
            <w:pPr>
              <w:spacing w:after="0"/>
              <w:rPr>
                <w:sz w:val="17"/>
                <w:szCs w:val="17"/>
                <w:color w:val="auto"/>
              </w:rPr>
            </w:pPr>
          </w:p>
        </w:tc>
        <w:tc>
          <w:tcPr>
            <w:tcW w:w="5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80" w:type="dxa"/>
            <w:vAlign w:val="bottom"/>
            <w:gridSpan w:val="2"/>
          </w:tcPr>
          <w:p>
            <w:pPr>
              <w:ind w:left="40"/>
              <w:spacing w:after="0"/>
              <w:rPr>
                <w:sz w:val="20"/>
                <w:szCs w:val="20"/>
                <w:color w:val="auto"/>
              </w:rPr>
            </w:pPr>
            <w:r>
              <w:rPr>
                <w:rFonts w:ascii="Arial" w:cs="Arial" w:eastAsia="Arial" w:hAnsi="Arial"/>
                <w:sz w:val="18"/>
                <w:szCs w:val="18"/>
                <w:color w:val="auto"/>
                <w:w w:val="84"/>
              </w:rPr>
              <w:t>Aggregate</w:t>
            </w: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Amount</w:t>
            </w:r>
          </w:p>
        </w:tc>
        <w:tc>
          <w:tcPr>
            <w:tcW w:w="3440" w:type="dxa"/>
            <w:vAlign w:val="bottom"/>
            <w:gridSpan w:val="4"/>
          </w:tcPr>
          <w:p>
            <w:pPr>
              <w:spacing w:after="0"/>
              <w:rPr>
                <w:sz w:val="20"/>
                <w:szCs w:val="20"/>
                <w:color w:val="auto"/>
              </w:rPr>
            </w:pPr>
            <w:r>
              <w:rPr>
                <w:rFonts w:ascii="Arial" w:cs="Arial" w:eastAsia="Arial" w:hAnsi="Arial"/>
                <w:sz w:val="18"/>
                <w:szCs w:val="18"/>
                <w:color w:val="auto"/>
                <w:w w:val="92"/>
              </w:rPr>
              <w:t>Beneficially Owned by Each Reporting Person</w:t>
            </w:r>
          </w:p>
        </w:tc>
        <w:tc>
          <w:tcPr>
            <w:tcW w:w="5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2,339,839 (see Item 4)</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right w:val="single" w:sz="8" w:color="auto"/>
            </w:tcBorders>
          </w:tcPr>
          <w:p>
            <w:pPr>
              <w:spacing w:after="0"/>
              <w:rPr>
                <w:sz w:val="17"/>
                <w:szCs w:val="17"/>
                <w:color w:val="auto"/>
              </w:rPr>
            </w:pPr>
          </w:p>
        </w:tc>
        <w:tc>
          <w:tcPr>
            <w:tcW w:w="10480" w:type="dxa"/>
            <w:vAlign w:val="bottom"/>
            <w:tcBorders>
              <w:bottom w:val="single" w:sz="8" w:color="auto"/>
              <w:right w:val="single" w:sz="8" w:color="auto"/>
            </w:tcBorders>
            <w:gridSpan w:val="9"/>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10480" w:type="dxa"/>
            <w:vAlign w:val="bottom"/>
            <w:tcBorders>
              <w:right w:val="single" w:sz="8" w:color="auto"/>
            </w:tcBorders>
            <w:gridSpan w:val="9"/>
          </w:tcPr>
          <w:p>
            <w:pPr>
              <w:ind w:left="4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bottom w:val="single" w:sz="8" w:color="auto"/>
              <w:right w:val="single" w:sz="8" w:color="auto"/>
            </w:tcBorders>
          </w:tcPr>
          <w:p>
            <w:pPr>
              <w:spacing w:after="0"/>
              <w:rPr>
                <w:sz w:val="12"/>
                <w:szCs w:val="12"/>
                <w:color w:val="auto"/>
              </w:rPr>
            </w:pPr>
          </w:p>
        </w:tc>
        <w:tc>
          <w:tcPr>
            <w:tcW w:w="3840" w:type="dxa"/>
            <w:vAlign w:val="bottom"/>
            <w:tcBorders>
              <w:bottom w:val="single" w:sz="8" w:color="auto"/>
            </w:tcBorders>
            <w:gridSpan w:val="7"/>
          </w:tcPr>
          <w:p>
            <w:pPr>
              <w:spacing w:after="0"/>
              <w:rPr>
                <w:sz w:val="12"/>
                <w:szCs w:val="12"/>
                <w:color w:val="auto"/>
              </w:rPr>
            </w:pPr>
          </w:p>
        </w:tc>
        <w:tc>
          <w:tcPr>
            <w:tcW w:w="66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3840" w:type="dxa"/>
            <w:vAlign w:val="bottom"/>
            <w:gridSpan w:val="7"/>
          </w:tcPr>
          <w:p>
            <w:pPr>
              <w:ind w:left="40"/>
              <w:spacing w:after="0"/>
              <w:rPr>
                <w:sz w:val="20"/>
                <w:szCs w:val="20"/>
                <w:color w:val="auto"/>
              </w:rPr>
            </w:pPr>
            <w:r>
              <w:rPr>
                <w:rFonts w:ascii="Arial" w:cs="Arial" w:eastAsia="Arial" w:hAnsi="Arial"/>
                <w:sz w:val="18"/>
                <w:szCs w:val="18"/>
                <w:color w:val="auto"/>
                <w:w w:val="90"/>
              </w:rPr>
              <w:t>Percent of Class Represented by Amount in Row (9)</w:t>
            </w:r>
          </w:p>
        </w:tc>
        <w:tc>
          <w:tcPr>
            <w:tcW w:w="664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9.99% (see Item 4)</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right w:val="single" w:sz="8" w:color="auto"/>
            </w:tcBorders>
          </w:tcPr>
          <w:p>
            <w:pPr>
              <w:spacing w:after="0"/>
              <w:rPr>
                <w:sz w:val="17"/>
                <w:szCs w:val="17"/>
                <w:color w:val="auto"/>
              </w:rPr>
            </w:pPr>
          </w:p>
        </w:tc>
        <w:tc>
          <w:tcPr>
            <w:tcW w:w="3340" w:type="dxa"/>
            <w:vAlign w:val="bottom"/>
            <w:tcBorders>
              <w:bottom w:val="single" w:sz="8" w:color="auto"/>
            </w:tcBorders>
            <w:gridSpan w:val="6"/>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340" w:type="dxa"/>
            <w:vAlign w:val="bottom"/>
            <w:gridSpan w:val="6"/>
          </w:tcPr>
          <w:p>
            <w:pPr>
              <w:ind w:left="40"/>
              <w:spacing w:after="0"/>
              <w:rPr>
                <w:sz w:val="20"/>
                <w:szCs w:val="20"/>
                <w:color w:val="auto"/>
              </w:rPr>
            </w:pPr>
            <w:r>
              <w:rPr>
                <w:rFonts w:ascii="Arial" w:cs="Arial" w:eastAsia="Arial" w:hAnsi="Arial"/>
                <w:sz w:val="18"/>
                <w:szCs w:val="18"/>
                <w:color w:val="auto"/>
                <w:w w:val="93"/>
              </w:rPr>
              <w:t>Type of Reporting Person (See Instructions)</w:t>
            </w: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IN; HC</w:t>
            </w:r>
          </w:p>
        </w:tc>
        <w:tc>
          <w:tcPr>
            <w:tcW w:w="5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9"/>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Page 3 of 8</w:t>
            </w: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9284OH202</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12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color w:val="auto"/>
              </w:rPr>
              <w:t>Names of Reporting Persons.</w:t>
            </w:r>
          </w:p>
        </w:tc>
        <w:tc>
          <w:tcPr>
            <w:tcW w:w="3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52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Intracoastal Capital LLC</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4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92"/>
              </w:rPr>
              <w:t>2.</w:t>
            </w:r>
          </w:p>
        </w:tc>
        <w:tc>
          <w:tcPr>
            <w:tcW w:w="5200" w:type="dxa"/>
            <w:vAlign w:val="bottom"/>
            <w:gridSpan w:val="8"/>
          </w:tcPr>
          <w:p>
            <w:pPr>
              <w:ind w:left="40"/>
              <w:spacing w:after="0" w:line="163" w:lineRule="exact"/>
              <w:rPr>
                <w:sz w:val="20"/>
                <w:szCs w:val="20"/>
                <w:color w:val="auto"/>
              </w:rPr>
            </w:pPr>
            <w:r>
              <w:rPr>
                <w:rFonts w:ascii="Arial" w:cs="Arial" w:eastAsia="Arial" w:hAnsi="Arial"/>
                <w:sz w:val="18"/>
                <w:szCs w:val="18"/>
                <w:color w:val="auto"/>
                <w:w w:val="93"/>
              </w:rPr>
              <w:t>Check the Appropriate Box if a Member of a Group (See Instructions)</w:t>
            </w:r>
          </w:p>
        </w:tc>
        <w:tc>
          <w:tcPr>
            <w:tcW w:w="5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(a)</w:t>
            </w:r>
          </w:p>
        </w:tc>
        <w:tc>
          <w:tcPr>
            <w:tcW w:w="7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76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2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1140" w:type="dxa"/>
            <w:vAlign w:val="bottom"/>
            <w:gridSpan w:val="3"/>
          </w:tcPr>
          <w:p>
            <w:pPr>
              <w:ind w:left="40"/>
              <w:spacing w:after="0"/>
              <w:rPr>
                <w:sz w:val="20"/>
                <w:szCs w:val="20"/>
                <w:color w:val="auto"/>
              </w:rPr>
            </w:pPr>
            <w:r>
              <w:rPr>
                <w:rFonts w:ascii="Arial" w:cs="Arial" w:eastAsia="Arial" w:hAnsi="Arial"/>
                <w:sz w:val="18"/>
                <w:szCs w:val="18"/>
                <w:color w:val="auto"/>
                <w:w w:val="93"/>
              </w:rPr>
              <w:t>SEC Use Only</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spacing w:after="0"/>
              <w:rPr>
                <w:sz w:val="17"/>
                <w:szCs w:val="17"/>
                <w:color w:val="auto"/>
              </w:rPr>
            </w:pPr>
          </w:p>
        </w:tc>
        <w:tc>
          <w:tcPr>
            <w:tcW w:w="5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312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United States of America</w:t>
            </w:r>
          </w:p>
        </w:tc>
        <w:tc>
          <w:tcPr>
            <w:tcW w:w="5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w w:val="92"/>
              </w:rPr>
              <w:t>5.</w:t>
            </w:r>
          </w:p>
        </w:tc>
        <w:tc>
          <w:tcPr>
            <w:tcW w:w="1420" w:type="dxa"/>
            <w:vAlign w:val="bottom"/>
          </w:tcPr>
          <w:p>
            <w:pPr>
              <w:ind w:left="40"/>
              <w:spacing w:after="0"/>
              <w:rPr>
                <w:sz w:val="20"/>
                <w:szCs w:val="20"/>
                <w:color w:val="auto"/>
              </w:rPr>
            </w:pPr>
            <w:r>
              <w:rPr>
                <w:rFonts w:ascii="Arial" w:cs="Arial" w:eastAsia="Arial" w:hAnsi="Arial"/>
                <w:sz w:val="18"/>
                <w:szCs w:val="18"/>
                <w:color w:val="auto"/>
                <w:w w:val="91"/>
              </w:rPr>
              <w:t>Sole Voting Power</w:t>
            </w:r>
          </w:p>
        </w:tc>
        <w:tc>
          <w:tcPr>
            <w:tcW w:w="3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19"/>
                <w:szCs w:val="19"/>
                <w:color w:val="auto"/>
              </w:rPr>
            </w:pPr>
          </w:p>
        </w:tc>
        <w:tc>
          <w:tcPr>
            <w:tcW w:w="5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8"/>
              </w:rPr>
              <w:t>Number of Shares</w:t>
            </w:r>
          </w:p>
        </w:tc>
        <w:tc>
          <w:tcPr>
            <w:tcW w:w="36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92"/>
              </w:rPr>
              <w:t>6.</w:t>
            </w:r>
          </w:p>
        </w:tc>
        <w:tc>
          <w:tcPr>
            <w:tcW w:w="1740" w:type="dxa"/>
            <w:vAlign w:val="bottom"/>
            <w:gridSpan w:val="2"/>
            <w:vMerge w:val="restart"/>
          </w:tcPr>
          <w:p>
            <w:pPr>
              <w:ind w:left="40"/>
              <w:spacing w:after="0"/>
              <w:rPr>
                <w:sz w:val="20"/>
                <w:szCs w:val="20"/>
                <w:color w:val="auto"/>
              </w:rPr>
            </w:pPr>
            <w:r>
              <w:rPr>
                <w:rFonts w:ascii="Arial" w:cs="Arial" w:eastAsia="Arial" w:hAnsi="Arial"/>
                <w:sz w:val="18"/>
                <w:szCs w:val="18"/>
                <w:color w:val="auto"/>
                <w:w w:val="98"/>
              </w:rPr>
              <w:t>Shared Voting Power</w:t>
            </w:r>
          </w:p>
        </w:tc>
        <w:tc>
          <w:tcPr>
            <w:tcW w:w="780" w:type="dxa"/>
            <w:vAlign w:val="bottom"/>
            <w:vMerge w:val="restart"/>
          </w:tcPr>
          <w:p>
            <w:pPr>
              <w:spacing w:after="0"/>
              <w:rPr>
                <w:sz w:val="20"/>
                <w:szCs w:val="20"/>
                <w:color w:val="auto"/>
              </w:rPr>
            </w:pPr>
            <w:r>
              <w:rPr>
                <w:rFonts w:ascii="Arial" w:cs="Arial" w:eastAsia="Arial" w:hAnsi="Arial"/>
                <w:sz w:val="18"/>
                <w:szCs w:val="18"/>
                <w:color w:val="auto"/>
                <w:w w:val="94"/>
              </w:rPr>
              <w:t>2,339,839</w:t>
            </w:r>
          </w:p>
        </w:tc>
        <w:tc>
          <w:tcPr>
            <w:tcW w:w="980" w:type="dxa"/>
            <w:vAlign w:val="bottom"/>
          </w:tcPr>
          <w:p>
            <w:pPr>
              <w:spacing w:after="0"/>
              <w:rPr>
                <w:sz w:val="7"/>
                <w:szCs w:val="7"/>
                <w:color w:val="auto"/>
              </w:rPr>
            </w:pPr>
          </w:p>
        </w:tc>
        <w:tc>
          <w:tcPr>
            <w:tcW w:w="5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320" w:type="dxa"/>
            <w:vAlign w:val="bottom"/>
            <w:tcBorders>
              <w:left w:val="single" w:sz="8" w:color="auto"/>
            </w:tcBorders>
            <w:gridSpan w:val="2"/>
            <w:vMerge w:val="restart"/>
          </w:tcPr>
          <w:p>
            <w:pPr>
              <w:jc w:val="center"/>
              <w:ind w:left="310"/>
              <w:spacing w:after="0"/>
              <w:rPr>
                <w:sz w:val="20"/>
                <w:szCs w:val="20"/>
                <w:color w:val="auto"/>
              </w:rPr>
            </w:pPr>
            <w:r>
              <w:rPr>
                <w:rFonts w:ascii="Arial" w:cs="Arial" w:eastAsia="Arial" w:hAnsi="Arial"/>
                <w:sz w:val="18"/>
                <w:szCs w:val="18"/>
                <w:color w:val="auto"/>
                <w:w w:val="96"/>
              </w:rPr>
              <w:t>Beneficially</w:t>
            </w:r>
          </w:p>
        </w:tc>
        <w:tc>
          <w:tcPr>
            <w:tcW w:w="4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5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320" w:type="dxa"/>
            <w:vAlign w:val="bottom"/>
            <w:tcBorders>
              <w:left w:val="single" w:sz="8" w:color="auto"/>
            </w:tcBorders>
            <w:gridSpan w:val="2"/>
            <w:vMerge w:val="continue"/>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9"/>
              </w:rPr>
              <w:t>Owned by Each</w:t>
            </w: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92"/>
              </w:rPr>
              <w:t>7.</w:t>
            </w:r>
          </w:p>
        </w:tc>
        <w:tc>
          <w:tcPr>
            <w:tcW w:w="1740" w:type="dxa"/>
            <w:vAlign w:val="bottom"/>
            <w:gridSpan w:val="2"/>
            <w:vMerge w:val="restart"/>
          </w:tcPr>
          <w:p>
            <w:pPr>
              <w:ind w:left="40"/>
              <w:spacing w:after="0"/>
              <w:rPr>
                <w:sz w:val="20"/>
                <w:szCs w:val="20"/>
                <w:color w:val="auto"/>
              </w:rPr>
            </w:pPr>
            <w:r>
              <w:rPr>
                <w:rFonts w:ascii="Arial" w:cs="Arial" w:eastAsia="Arial" w:hAnsi="Arial"/>
                <w:sz w:val="18"/>
                <w:szCs w:val="18"/>
                <w:color w:val="auto"/>
                <w:w w:val="91"/>
              </w:rPr>
              <w:t>Sole Dispositive Power</w:t>
            </w:r>
          </w:p>
        </w:tc>
        <w:tc>
          <w:tcPr>
            <w:tcW w:w="780" w:type="dxa"/>
            <w:vAlign w:val="bottom"/>
            <w:vMerge w:val="restart"/>
          </w:tcPr>
          <w:p>
            <w:pPr>
              <w:jc w:val="right"/>
              <w:ind w:right="390"/>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6"/>
                <w:szCs w:val="6"/>
                <w:color w:val="auto"/>
              </w:rPr>
            </w:pPr>
          </w:p>
        </w:tc>
        <w:tc>
          <w:tcPr>
            <w:tcW w:w="5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320" w:type="dxa"/>
            <w:vAlign w:val="bottom"/>
            <w:tcBorders>
              <w:left w:val="single" w:sz="8" w:color="auto"/>
            </w:tcBorders>
            <w:gridSpan w:val="2"/>
            <w:vMerge w:val="restart"/>
          </w:tcPr>
          <w:p>
            <w:pPr>
              <w:jc w:val="center"/>
              <w:ind w:left="270"/>
              <w:spacing w:after="0"/>
              <w:rPr>
                <w:sz w:val="20"/>
                <w:szCs w:val="20"/>
                <w:color w:val="auto"/>
              </w:rPr>
            </w:pPr>
            <w:r>
              <w:rPr>
                <w:rFonts w:ascii="Arial" w:cs="Arial" w:eastAsia="Arial" w:hAnsi="Arial"/>
                <w:sz w:val="18"/>
                <w:szCs w:val="18"/>
                <w:color w:val="auto"/>
                <w:w w:val="92"/>
              </w:rPr>
              <w:t>Reporting</w:t>
            </w:r>
          </w:p>
        </w:tc>
        <w:tc>
          <w:tcPr>
            <w:tcW w:w="40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5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tcBorders>
              <w:left w:val="single" w:sz="8" w:color="auto"/>
            </w:tcBorders>
            <w:gridSpan w:val="2"/>
            <w:vMerge w:val="continue"/>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5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92"/>
              </w:rPr>
              <w:t>8.</w:t>
            </w:r>
          </w:p>
        </w:tc>
        <w:tc>
          <w:tcPr>
            <w:tcW w:w="3500" w:type="dxa"/>
            <w:vAlign w:val="bottom"/>
            <w:gridSpan w:val="4"/>
            <w:vMerge w:val="restart"/>
          </w:tcPr>
          <w:p>
            <w:pPr>
              <w:ind w:left="40"/>
              <w:spacing w:after="0"/>
              <w:rPr>
                <w:sz w:val="20"/>
                <w:szCs w:val="20"/>
                <w:color w:val="auto"/>
              </w:rPr>
            </w:pPr>
            <w:r>
              <w:rPr>
                <w:rFonts w:ascii="Arial" w:cs="Arial" w:eastAsia="Arial" w:hAnsi="Arial"/>
                <w:sz w:val="18"/>
                <w:szCs w:val="18"/>
                <w:color w:val="auto"/>
              </w:rPr>
              <w:t>Shared Dispositive Power 2,239,839</w:t>
            </w:r>
          </w:p>
        </w:tc>
        <w:tc>
          <w:tcPr>
            <w:tcW w:w="5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3500" w:type="dxa"/>
            <w:vAlign w:val="bottom"/>
            <w:gridSpan w:val="4"/>
            <w:vMerge w:val="continue"/>
          </w:tcPr>
          <w:p>
            <w:pPr>
              <w:spacing w:after="0"/>
              <w:rPr>
                <w:sz w:val="12"/>
                <w:szCs w:val="12"/>
                <w:color w:val="auto"/>
              </w:rPr>
            </w:pPr>
          </w:p>
        </w:tc>
        <w:tc>
          <w:tcPr>
            <w:tcW w:w="5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2"/>
          </w:tcPr>
          <w:p>
            <w:pPr>
              <w:spacing w:after="0"/>
              <w:rPr>
                <w:sz w:val="17"/>
                <w:szCs w:val="17"/>
                <w:color w:val="auto"/>
              </w:rPr>
            </w:pPr>
          </w:p>
        </w:tc>
        <w:tc>
          <w:tcPr>
            <w:tcW w:w="920" w:type="dxa"/>
            <w:vAlign w:val="bottom"/>
            <w:tcBorders>
              <w:bottom w:val="single" w:sz="8" w:color="auto"/>
              <w:right w:val="single" w:sz="8" w:color="auto"/>
            </w:tcBorders>
            <w:gridSpan w:val="2"/>
          </w:tcPr>
          <w:p>
            <w:pPr>
              <w:spacing w:after="0"/>
              <w:rPr>
                <w:sz w:val="17"/>
                <w:szCs w:val="17"/>
                <w:color w:val="auto"/>
              </w:rPr>
            </w:pPr>
          </w:p>
        </w:tc>
        <w:tc>
          <w:tcPr>
            <w:tcW w:w="3500" w:type="dxa"/>
            <w:vAlign w:val="bottom"/>
            <w:tcBorders>
              <w:bottom w:val="single" w:sz="8" w:color="auto"/>
            </w:tcBorders>
            <w:gridSpan w:val="4"/>
          </w:tcPr>
          <w:p>
            <w:pPr>
              <w:spacing w:after="0"/>
              <w:rPr>
                <w:sz w:val="17"/>
                <w:szCs w:val="17"/>
                <w:color w:val="auto"/>
              </w:rPr>
            </w:pPr>
          </w:p>
        </w:tc>
        <w:tc>
          <w:tcPr>
            <w:tcW w:w="5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1700" w:type="dxa"/>
            <w:vAlign w:val="bottom"/>
            <w:gridSpan w:val="4"/>
          </w:tcPr>
          <w:p>
            <w:pPr>
              <w:ind w:left="40"/>
              <w:spacing w:after="0"/>
              <w:rPr>
                <w:sz w:val="20"/>
                <w:szCs w:val="20"/>
                <w:color w:val="auto"/>
              </w:rPr>
            </w:pPr>
            <w:r>
              <w:rPr>
                <w:rFonts w:ascii="Arial" w:cs="Arial" w:eastAsia="Arial" w:hAnsi="Arial"/>
                <w:sz w:val="18"/>
                <w:szCs w:val="18"/>
                <w:color w:val="auto"/>
              </w:rPr>
              <w:t>Aggregate Amount</w:t>
            </w:r>
          </w:p>
        </w:tc>
        <w:tc>
          <w:tcPr>
            <w:tcW w:w="3500" w:type="dxa"/>
            <w:vAlign w:val="bottom"/>
            <w:gridSpan w:val="4"/>
          </w:tcPr>
          <w:p>
            <w:pPr>
              <w:spacing w:after="0"/>
              <w:rPr>
                <w:sz w:val="20"/>
                <w:szCs w:val="20"/>
                <w:color w:val="auto"/>
              </w:rPr>
            </w:pPr>
            <w:r>
              <w:rPr>
                <w:rFonts w:ascii="Arial" w:cs="Arial" w:eastAsia="Arial" w:hAnsi="Arial"/>
                <w:sz w:val="18"/>
                <w:szCs w:val="18"/>
                <w:color w:val="auto"/>
                <w:w w:val="94"/>
              </w:rPr>
              <w:t>Beneficially Owned by Each Reporting Person</w:t>
            </w:r>
          </w:p>
        </w:tc>
        <w:tc>
          <w:tcPr>
            <w:tcW w:w="5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2,339,839 (see Item 4)</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right w:val="single" w:sz="8" w:color="auto"/>
            </w:tcBorders>
          </w:tcPr>
          <w:p>
            <w:pPr>
              <w:spacing w:after="0"/>
              <w:rPr>
                <w:sz w:val="17"/>
                <w:szCs w:val="17"/>
                <w:color w:val="auto"/>
              </w:rPr>
            </w:pPr>
          </w:p>
        </w:tc>
        <w:tc>
          <w:tcPr>
            <w:tcW w:w="10480" w:type="dxa"/>
            <w:vAlign w:val="bottom"/>
            <w:tcBorders>
              <w:bottom w:val="single" w:sz="8" w:color="auto"/>
              <w:right w:val="single" w:sz="8" w:color="auto"/>
            </w:tcBorders>
            <w:gridSpan w:val="9"/>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10480" w:type="dxa"/>
            <w:vAlign w:val="bottom"/>
            <w:tcBorders>
              <w:right w:val="single" w:sz="8" w:color="auto"/>
            </w:tcBorders>
            <w:gridSpan w:val="9"/>
          </w:tcPr>
          <w:p>
            <w:pPr>
              <w:ind w:left="4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bottom w:val="single" w:sz="8" w:color="auto"/>
              <w:right w:val="single" w:sz="8" w:color="auto"/>
            </w:tcBorders>
          </w:tcPr>
          <w:p>
            <w:pPr>
              <w:spacing w:after="0"/>
              <w:rPr>
                <w:sz w:val="12"/>
                <w:szCs w:val="12"/>
                <w:color w:val="auto"/>
              </w:rPr>
            </w:pPr>
          </w:p>
        </w:tc>
        <w:tc>
          <w:tcPr>
            <w:tcW w:w="4220" w:type="dxa"/>
            <w:vAlign w:val="bottom"/>
            <w:tcBorders>
              <w:bottom w:val="single" w:sz="8" w:color="auto"/>
            </w:tcBorders>
            <w:gridSpan w:val="7"/>
          </w:tcPr>
          <w:p>
            <w:pPr>
              <w:spacing w:after="0"/>
              <w:rPr>
                <w:sz w:val="12"/>
                <w:szCs w:val="12"/>
                <w:color w:val="auto"/>
              </w:rPr>
            </w:pPr>
          </w:p>
        </w:tc>
        <w:tc>
          <w:tcPr>
            <w:tcW w:w="626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4220" w:type="dxa"/>
            <w:vAlign w:val="bottom"/>
            <w:gridSpan w:val="7"/>
          </w:tcPr>
          <w:p>
            <w:pPr>
              <w:ind w:left="40"/>
              <w:spacing w:after="0"/>
              <w:rPr>
                <w:sz w:val="20"/>
                <w:szCs w:val="20"/>
                <w:color w:val="auto"/>
              </w:rPr>
            </w:pPr>
            <w:r>
              <w:rPr>
                <w:rFonts w:ascii="Arial" w:cs="Arial" w:eastAsia="Arial" w:hAnsi="Arial"/>
                <w:sz w:val="18"/>
                <w:szCs w:val="18"/>
                <w:color w:val="auto"/>
                <w:w w:val="99"/>
              </w:rPr>
              <w:t>Percent of Class Represented by Amount in Row (9)</w:t>
            </w:r>
          </w:p>
        </w:tc>
        <w:tc>
          <w:tcPr>
            <w:tcW w:w="62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9.99% (see Item 4)</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right w:val="single" w:sz="8" w:color="auto"/>
            </w:tcBorders>
          </w:tcPr>
          <w:p>
            <w:pPr>
              <w:spacing w:after="0"/>
              <w:rPr>
                <w:sz w:val="17"/>
                <w:szCs w:val="17"/>
                <w:color w:val="auto"/>
              </w:rPr>
            </w:pPr>
          </w:p>
        </w:tc>
        <w:tc>
          <w:tcPr>
            <w:tcW w:w="3440" w:type="dxa"/>
            <w:vAlign w:val="bottom"/>
            <w:tcBorders>
              <w:bottom w:val="single" w:sz="8" w:color="auto"/>
            </w:tcBorders>
            <w:gridSpan w:val="6"/>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440" w:type="dxa"/>
            <w:vAlign w:val="bottom"/>
            <w:gridSpan w:val="6"/>
          </w:tcPr>
          <w:p>
            <w:pPr>
              <w:ind w:left="40"/>
              <w:spacing w:after="0"/>
              <w:rPr>
                <w:sz w:val="20"/>
                <w:szCs w:val="20"/>
                <w:color w:val="auto"/>
              </w:rPr>
            </w:pPr>
            <w:r>
              <w:rPr>
                <w:rFonts w:ascii="Arial" w:cs="Arial" w:eastAsia="Arial" w:hAnsi="Arial"/>
                <w:sz w:val="18"/>
                <w:szCs w:val="18"/>
                <w:color w:val="auto"/>
                <w:w w:val="96"/>
              </w:rPr>
              <w:t>Type of Reporting Person (See Instructions)</w:t>
            </w: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OO</w:t>
            </w: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9"/>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Page 4 of 8</w:t>
            </w: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Name of Issuer</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VistaGen Therapeutics,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Address of Issuer’s Principal Executive Offices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343 Allerton Avenue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South San Francisco, California 94090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700" w:hanging="24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720" w:hanging="26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700" w:hanging="24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1" w:lineRule="exact"/>
        <w:rPr>
          <w:sz w:val="20"/>
          <w:szCs w:val="20"/>
          <w:color w:val="auto"/>
        </w:rPr>
      </w:pPr>
    </w:p>
    <w:p>
      <w:pPr>
        <w:jc w:val="both"/>
        <w:ind w:left="980"/>
        <w:spacing w:after="0" w:line="289" w:lineRule="auto"/>
        <w:rPr>
          <w:sz w:val="20"/>
          <w:szCs w:val="20"/>
          <w:color w:val="auto"/>
        </w:rPr>
      </w:pPr>
      <w:r>
        <w:rPr>
          <w:rFonts w:ascii="Arial" w:cs="Arial" w:eastAsia="Arial" w:hAnsi="Arial"/>
          <w:sz w:val="17"/>
          <w:szCs w:val="17"/>
          <w:color w:val="auto"/>
        </w:rPr>
        <w:t>This Schedule 13G is being filed on behalf of (i) Mitchell P. Kopin, an individual who is a citizen of the United States of America (“</w:t>
      </w:r>
      <w:r>
        <w:rPr>
          <w:rFonts w:ascii="Arial" w:cs="Arial" w:eastAsia="Arial" w:hAnsi="Arial"/>
          <w:sz w:val="17"/>
          <w:szCs w:val="17"/>
          <w:b w:val="1"/>
          <w:bCs w:val="1"/>
          <w:color w:val="auto"/>
        </w:rPr>
        <w:t>Mr.</w:t>
      </w:r>
      <w:r>
        <w:rPr>
          <w:rFonts w:ascii="Arial" w:cs="Arial" w:eastAsia="Arial" w:hAnsi="Arial"/>
          <w:sz w:val="17"/>
          <w:szCs w:val="17"/>
          <w:color w:val="auto"/>
        </w:rPr>
        <w:t xml:space="preserve"> </w:t>
      </w:r>
      <w:r>
        <w:rPr>
          <w:rFonts w:ascii="Arial" w:cs="Arial" w:eastAsia="Arial" w:hAnsi="Arial"/>
          <w:sz w:val="17"/>
          <w:szCs w:val="17"/>
          <w:b w:val="1"/>
          <w:bCs w:val="1"/>
          <w:color w:val="auto"/>
        </w:rPr>
        <w:t>Kopin</w:t>
      </w:r>
      <w:r>
        <w:rPr>
          <w:rFonts w:ascii="Arial" w:cs="Arial" w:eastAsia="Arial" w:hAnsi="Arial"/>
          <w:sz w:val="17"/>
          <w:szCs w:val="17"/>
          <w:color w:val="auto"/>
        </w:rPr>
        <w:t>”), (ii) Daniel B. Asher, an individual who is a citizen of the United States of America (“</w:t>
      </w:r>
      <w:r>
        <w:rPr>
          <w:rFonts w:ascii="Arial" w:cs="Arial" w:eastAsia="Arial" w:hAnsi="Arial"/>
          <w:sz w:val="17"/>
          <w:szCs w:val="17"/>
          <w:b w:val="1"/>
          <w:bCs w:val="1"/>
          <w:color w:val="auto"/>
        </w:rPr>
        <w:t>Mr. Asher</w:t>
      </w:r>
      <w:r>
        <w:rPr>
          <w:rFonts w:ascii="Arial" w:cs="Arial" w:eastAsia="Arial" w:hAnsi="Arial"/>
          <w:sz w:val="17"/>
          <w:szCs w:val="17"/>
          <w:color w:val="auto"/>
        </w:rPr>
        <w:t>”) and (iii) Intracoastal Capital LLC,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limited liability company (“</w:t>
      </w:r>
      <w:r>
        <w:rPr>
          <w:rFonts w:ascii="Arial" w:cs="Arial" w:eastAsia="Arial" w:hAnsi="Arial"/>
          <w:sz w:val="17"/>
          <w:szCs w:val="17"/>
          <w:b w:val="1"/>
          <w:bCs w:val="1"/>
          <w:color w:val="auto"/>
        </w:rPr>
        <w:t>Intracoastal</w:t>
      </w:r>
      <w:r>
        <w:rPr>
          <w:rFonts w:ascii="Arial" w:cs="Arial" w:eastAsia="Arial" w:hAnsi="Arial"/>
          <w:sz w:val="17"/>
          <w:szCs w:val="17"/>
          <w:color w:val="auto"/>
        </w:rPr>
        <w:t>” and together with Mr. Kopin and Mr. Asher, collectively the “</w:t>
      </w:r>
      <w:r>
        <w:rPr>
          <w:rFonts w:ascii="Arial" w:cs="Arial" w:eastAsia="Arial" w:hAnsi="Arial"/>
          <w:sz w:val="17"/>
          <w:szCs w:val="17"/>
          <w:b w:val="1"/>
          <w:bCs w:val="1"/>
          <w:color w:val="auto"/>
        </w:rPr>
        <w:t>Reporting Persons</w:t>
      </w:r>
      <w:r>
        <w:rPr>
          <w:rFonts w:ascii="Arial" w:cs="Arial" w:eastAsia="Arial" w:hAnsi="Arial"/>
          <w:sz w:val="17"/>
          <w:szCs w:val="17"/>
          <w:color w:val="auto"/>
        </w:rPr>
        <w:t>”).</w:t>
      </w:r>
    </w:p>
    <w:p>
      <w:pPr>
        <w:spacing w:after="0" w:line="158" w:lineRule="exact"/>
        <w:rPr>
          <w:sz w:val="20"/>
          <w:szCs w:val="20"/>
          <w:color w:val="auto"/>
        </w:rPr>
      </w:pPr>
    </w:p>
    <w:p>
      <w:pPr>
        <w:jc w:val="both"/>
        <w:ind w:left="980"/>
        <w:spacing w:after="0" w:line="266" w:lineRule="auto"/>
        <w:rPr>
          <w:sz w:val="20"/>
          <w:szCs w:val="20"/>
          <w:color w:val="auto"/>
        </w:rPr>
      </w:pPr>
      <w:r>
        <w:rPr>
          <w:rFonts w:ascii="Arial" w:cs="Arial" w:eastAsia="Arial" w:hAnsi="Arial"/>
          <w:sz w:val="18"/>
          <w:szCs w:val="18"/>
          <w:color w:val="auto"/>
        </w:rPr>
        <w:t xml:space="preserve">The Reporting Persons have entered into a Joint Filing Agreement, a copy of which is filed with this Schedule 13G as </w:t>
      </w:r>
      <w:r>
        <w:rPr>
          <w:rFonts w:ascii="Arial" w:cs="Arial" w:eastAsia="Arial" w:hAnsi="Arial"/>
          <w:sz w:val="18"/>
          <w:szCs w:val="18"/>
          <w:b w:val="1"/>
          <w:bCs w:val="1"/>
          <w:color w:val="auto"/>
        </w:rPr>
        <w:t>Exhibit 1</w:t>
      </w:r>
      <w:r>
        <w:rPr>
          <w:rFonts w:ascii="Arial" w:cs="Arial" w:eastAsia="Arial" w:hAnsi="Arial"/>
          <w:sz w:val="18"/>
          <w:szCs w:val="18"/>
          <w:color w:val="auto"/>
        </w:rPr>
        <w:t>, pursuant to which the Reporting Persons have agreed to file this Schedule 13G jointly in accordance with the provisions of Rule 13d-1(k) of the Securities Exchange Act of 1934, as amended.</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principal business office of Mr. Kopin and Intracoastal is 245 Palm Trail, Delray Beach, Florida 33483.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principal business office of Mr. Asher is 111 W. Jackson Boulevard, Suite 2000, Chicago, Illinois 60604.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Title of Class of Securities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$0.001 par value per share, of the Issuer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29" w:lineRule="exact"/>
        <w:rPr>
          <w:sz w:val="20"/>
          <w:szCs w:val="20"/>
          <w:color w:val="auto"/>
        </w:rPr>
      </w:pPr>
    </w:p>
    <w:p>
      <w:pPr>
        <w:jc w:val="right"/>
        <w:ind w:left="980" w:right="9540" w:hanging="522"/>
        <w:spacing w:after="0" w:line="561" w:lineRule="auto"/>
        <w:tabs>
          <w:tab w:leader="none" w:pos="703"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9284OH202</w:t>
      </w: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and (b):</w:t>
      </w:r>
    </w:p>
    <w:p>
      <w:pPr>
        <w:spacing w:after="0" w:line="221" w:lineRule="exact"/>
        <w:rPr>
          <w:sz w:val="20"/>
          <w:szCs w:val="20"/>
          <w:color w:val="auto"/>
        </w:rPr>
      </w:pPr>
    </w:p>
    <w:p>
      <w:pPr>
        <w:jc w:val="both"/>
        <w:ind w:left="660" w:firstLine="645"/>
        <w:spacing w:after="0" w:line="285" w:lineRule="auto"/>
        <w:tabs>
          <w:tab w:leader="none" w:pos="1536" w:val="left"/>
        </w:tabs>
        <w:numPr>
          <w:ilvl w:val="1"/>
          <w:numId w:val="5"/>
        </w:numPr>
        <w:rPr>
          <w:rFonts w:ascii="Arial" w:cs="Arial" w:eastAsia="Arial" w:hAnsi="Arial"/>
          <w:sz w:val="16"/>
          <w:szCs w:val="16"/>
          <w:color w:val="auto"/>
        </w:rPr>
      </w:pPr>
      <w:r>
        <w:rPr>
          <w:rFonts w:ascii="Arial" w:cs="Arial" w:eastAsia="Arial" w:hAnsi="Arial"/>
          <w:sz w:val="16"/>
          <w:szCs w:val="16"/>
          <w:color w:val="auto"/>
        </w:rPr>
        <w:t>Immediately following the closing of the underwritten offering on December 13, 2027 (the “</w:t>
      </w:r>
      <w:r>
        <w:rPr>
          <w:rFonts w:ascii="Arial" w:cs="Arial" w:eastAsia="Arial" w:hAnsi="Arial"/>
          <w:sz w:val="16"/>
          <w:szCs w:val="16"/>
          <w:b w:val="1"/>
          <w:bCs w:val="1"/>
          <w:color w:val="auto"/>
        </w:rPr>
        <w:t>Offering</w:t>
      </w:r>
      <w:r>
        <w:rPr>
          <w:rFonts w:ascii="Arial" w:cs="Arial" w:eastAsia="Arial" w:hAnsi="Arial"/>
          <w:sz w:val="16"/>
          <w:szCs w:val="16"/>
          <w:color w:val="auto"/>
        </w:rPr>
        <w:t>”) (as disclosed in the Form 8-K filed by the Issuer with the Securities and Exchange Commission on December 13, 2017), each of the Reporting Persons may have been deemed to have beneficial ownership of 2,239,987 shares of Common Stock, which consisted of (i) 1,666,667 shares of Common Stock issued to Intracoastal at the closing of the Offering and (ii) 573,320 shares of Common Stock issuable upon exercise of a warrant issued to Intracoastal at the closing of the Offering (the “</w:t>
      </w:r>
      <w:r>
        <w:rPr>
          <w:rFonts w:ascii="Arial" w:cs="Arial" w:eastAsia="Arial" w:hAnsi="Arial"/>
          <w:sz w:val="16"/>
          <w:szCs w:val="16"/>
          <w:b w:val="1"/>
          <w:bCs w:val="1"/>
          <w:color w:val="auto"/>
        </w:rPr>
        <w:t>Intracoastal Warrant</w:t>
      </w:r>
      <w:r>
        <w:rPr>
          <w:rFonts w:ascii="Arial" w:cs="Arial" w:eastAsia="Arial" w:hAnsi="Arial"/>
          <w:sz w:val="16"/>
          <w:szCs w:val="16"/>
          <w:color w:val="auto"/>
        </w:rPr>
        <w:t>”), and all such shares of Common Stock in the aggregate represent beneficial ownership of approximately 9.99% of the Common Stock, based on (1) 21,848,974 shares of Common Stock outstanding as of December 13, 2017 as reported by the Issuer, plus</w:t>
      </w:r>
    </w:p>
    <w:p>
      <w:pPr>
        <w:spacing w:after="0" w:line="3" w:lineRule="exact"/>
        <w:rPr>
          <w:rFonts w:ascii="Arial" w:cs="Arial" w:eastAsia="Arial" w:hAnsi="Arial"/>
          <w:sz w:val="16"/>
          <w:szCs w:val="16"/>
          <w:color w:val="auto"/>
        </w:rPr>
      </w:pPr>
    </w:p>
    <w:p>
      <w:pPr>
        <w:jc w:val="both"/>
        <w:ind w:left="660" w:hanging="4"/>
        <w:spacing w:after="0" w:line="292" w:lineRule="auto"/>
        <w:tabs>
          <w:tab w:leader="none" w:pos="915" w:val="left"/>
        </w:tabs>
        <w:numPr>
          <w:ilvl w:val="0"/>
          <w:numId w:val="6"/>
        </w:numPr>
        <w:rPr>
          <w:rFonts w:ascii="Arial" w:cs="Arial" w:eastAsia="Arial" w:hAnsi="Arial"/>
          <w:sz w:val="16"/>
          <w:szCs w:val="16"/>
          <w:color w:val="auto"/>
        </w:rPr>
      </w:pPr>
      <w:r>
        <w:rPr>
          <w:rFonts w:ascii="Arial" w:cs="Arial" w:eastAsia="Arial" w:hAnsi="Arial"/>
          <w:sz w:val="16"/>
          <w:szCs w:val="16"/>
          <w:color w:val="auto"/>
        </w:rPr>
        <w:t>573,320 shares of Common Stock issuable upon exercise of the Intracoastal Warrant. The foregoing excludes 1,093,347 shares of Common Stock issuable upon exercise of the Intracoastal Warrant because the Intracoastal Warrant contains a blocker provision under which the holder thereof does not have the right to exercise the Intracoastal Warrant to the extent that such exercise would result in beneficial ownership by the holder thereof, together with the other Attribution Parties (as defined in the Intracoastal Warrant), of more than 9.99% of the Common Stock. Without such blocker provision, each of the Reporting Persons may have been deemed to have beneficial ownership of 3,333,334 shares of Common Stock.</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both"/>
        <w:ind w:left="660" w:firstLine="645"/>
        <w:spacing w:after="0" w:line="270" w:lineRule="auto"/>
        <w:tabs>
          <w:tab w:leader="none" w:pos="1573"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of close of business on December 20, 2017, each of the Reporting Persons may have been deemed to have beneficial ownership of 2,339,839 shares of Common Stock, which consisted of (i) 767,000 shares of Common Stock held by Intracoastal and (ii) 1,572,839 shares of Common Stock issuable upon exercise of the Intracoastal Warrant, and all such shares of Common Stock in the aggregate represent beneficial ownership of approximately 9.99% of the Common Stock, based on (1) 21,848,974 shares of Common Stock outstanding as of December 13, 2017 as reported by the Issuer, plus (2) 1,572,839 shares of Common Stock issuable upon exercise of the Intracoastal Warrant. The foregoing excludes 93,828 shares of Common Stock issuable upon exercise of the Intracoastal Warrant because the Intracoastal Warrant contains a blocker provision under which the holder thereof does not have the right to exercise the Intracoastal Warrant to the extent that such exercise would result in beneficial ownership by the holder thereof, together with the other Attribution Parties (as defined in the Intracoastal Warrant), of more than 9.99% of the Common Stock. Without such blocker provision, each of the Reporting Persons may have been deemed to have beneficial ownership of 2,433,667 shares of Common Stock.</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as to which each Reporting Person has:</w:t>
      </w:r>
    </w:p>
    <w:p>
      <w:pPr>
        <w:spacing w:after="0" w:line="225" w:lineRule="exact"/>
        <w:rPr>
          <w:sz w:val="20"/>
          <w:szCs w:val="20"/>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u w:val="single" w:color="auto"/>
          <w:color w:val="auto"/>
        </w:rPr>
        <w:t>0</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u w:val="single" w:color="auto"/>
          <w:color w:val="auto"/>
        </w:rPr>
        <w:t>2,339,839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u w:val="single" w:color="auto"/>
          <w:color w:val="auto"/>
        </w:rPr>
        <w:t>0</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u w:val="single" w:color="auto"/>
          <w:color w:val="auto"/>
        </w:rPr>
        <w:t>2,239,839</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Mitchell P. Kopin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B. Asher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Intracoastal Capital LLC</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Mitchell P. Kopin,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Mitchell P. Kopin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B. Asher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Intracoastal Capital LLC</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Mitchell P. Kopin,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decimal"/>
      <w:start w:val="1"/>
    </w:lvl>
    <w:lvl w:ilvl="1">
      <w:lvlJc w:val="left"/>
      <w:lvlText w:val="(%2)"/>
      <w:numFmt w:val="lowerRoman"/>
      <w:start w:val="1"/>
    </w:lvl>
  </w:abstractNum>
  <w:abstractNum w:abstractNumId="5">
    <w:nsid w:val="41B71EFB"/>
    <w:multiLevelType w:val="hybridMultilevel"/>
    <w:lvl w:ilvl="0">
      <w:lvlJc w:val="left"/>
      <w:lvlText w:val="(%1)"/>
      <w:numFmt w:val="decimal"/>
      <w:start w:val="2"/>
    </w:lvl>
    <w:lvl w:ilvl="1">
      <w:lvlJc w:val="left"/>
      <w:lvlText w:val="%2"/>
      <w:numFmt w:val="lowerRoman"/>
      <w:start w:val="1"/>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2020-01-19T01:05:53Z</dcterms:created>
  <dcterms:modified xsi:type="dcterms:W3CDTF">2020-01-19T01:05:53Z</dcterms:modified>
</cp:coreProperties>
</file>