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SEC Only (as permitted by Rule 14a-6(e)(2))</w:t>
      </w:r>
    </w:p>
    <w:p>
      <w:pPr>
        <w:spacing w:after="0" w:line="9" w:lineRule="exact"/>
        <w:rPr>
          <w:sz w:val="24"/>
          <w:szCs w:val="24"/>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7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14a-12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0" w:lineRule="exact"/>
        <w:rPr>
          <w:rFonts w:ascii="Arial" w:cs="Arial" w:eastAsia="Arial" w:hAnsi="Arial"/>
          <w:sz w:val="18"/>
          <w:szCs w:val="18"/>
          <w:color w:val="auto"/>
        </w:rPr>
      </w:pPr>
    </w:p>
    <w:p>
      <w:pPr>
        <w:ind w:left="580" w:hanging="49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580" w:hanging="49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80" w:hanging="498"/>
        <w:spacing w:after="0" w:line="250"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80" w:hanging="49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80" w:hanging="498"/>
        <w:spacing w:after="0"/>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right="420" w:firstLine="8"/>
        <w:spacing w:after="0" w:line="261" w:lineRule="auto"/>
        <w:tabs>
          <w:tab w:leader="none" w:pos="150"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Arial" w:cs="Arial" w:eastAsia="Arial" w:hAnsi="Arial"/>
          <w:sz w:val="18"/>
          <w:szCs w:val="18"/>
          <w:color w:val="auto"/>
        </w:rPr>
      </w:pPr>
    </w:p>
    <w:p>
      <w:pPr>
        <w:ind w:left="1740" w:hanging="1367"/>
        <w:spacing w:after="0"/>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740" w:hanging="1367"/>
        <w:spacing w:after="0"/>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740" w:hanging="1367"/>
        <w:spacing w:after="0"/>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740" w:hanging="1367"/>
        <w:spacing w:after="0"/>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183515</wp:posOffset>
            </wp:positionV>
            <wp:extent cx="1235075" cy="951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8,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11" w:lineRule="exact"/>
        <w:rPr>
          <w:sz w:val="20"/>
          <w:szCs w:val="20"/>
          <w:color w:val="auto"/>
        </w:rPr>
      </w:pPr>
    </w:p>
    <w:p>
      <w:pPr>
        <w:jc w:val="both"/>
        <w:ind w:right="20" w:firstLine="594"/>
        <w:spacing w:after="0" w:line="264" w:lineRule="auto"/>
        <w:rPr>
          <w:sz w:val="20"/>
          <w:szCs w:val="20"/>
          <w:color w:val="auto"/>
        </w:rPr>
      </w:pPr>
      <w:r>
        <w:rPr>
          <w:rFonts w:ascii="Arial" w:cs="Arial" w:eastAsia="Arial" w:hAnsi="Arial"/>
          <w:sz w:val="18"/>
          <w:szCs w:val="18"/>
          <w:color w:val="auto"/>
        </w:rPr>
        <w:t>You are cordially invited to attend the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of VistaGen Therapeutics, Inc., which will be held at the San Francisco Airport Marriott Waterfront Hotel, located at 1800 Old Bayshore Highway, Burlingame, California 94010 on September 26, 2016 at 10:00 a.m., local time.</w:t>
      </w:r>
    </w:p>
    <w:p>
      <w:pPr>
        <w:spacing w:after="0" w:line="208"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Details of the business to be conducted at the Annual Meeting are described in the Notice of Internet Availability of Proxy Materials (the “</w:t>
      </w:r>
      <w:r>
        <w:rPr>
          <w:rFonts w:ascii="Arial" w:cs="Arial" w:eastAsia="Arial" w:hAnsi="Arial"/>
          <w:sz w:val="18"/>
          <w:szCs w:val="18"/>
          <w:i w:val="1"/>
          <w:iCs w:val="1"/>
          <w:color w:val="auto"/>
        </w:rPr>
        <w:t>Notice</w:t>
      </w:r>
      <w:r>
        <w:rPr>
          <w:rFonts w:ascii="Arial" w:cs="Arial" w:eastAsia="Arial" w:hAnsi="Arial"/>
          <w:sz w:val="18"/>
          <w:szCs w:val="18"/>
          <w:color w:val="auto"/>
        </w:rPr>
        <w:t>”) you received in the mail, and in this Proxy Statement. We have also made a copy of our Annual Report on Form 10-K for the fiscal year ended March 31, 2016 (“</w:t>
      </w:r>
      <w:r>
        <w:rPr>
          <w:rFonts w:ascii="Arial" w:cs="Arial" w:eastAsia="Arial" w:hAnsi="Arial"/>
          <w:sz w:val="18"/>
          <w:szCs w:val="18"/>
          <w:i w:val="1"/>
          <w:iCs w:val="1"/>
          <w:color w:val="auto"/>
        </w:rPr>
        <w:t>Annual Report</w:t>
      </w:r>
      <w:r>
        <w:rPr>
          <w:rFonts w:ascii="Arial" w:cs="Arial" w:eastAsia="Arial" w:hAnsi="Arial"/>
          <w:sz w:val="18"/>
          <w:szCs w:val="18"/>
          <w:color w:val="auto"/>
        </w:rPr>
        <w:t>”) available with this Proxy Statement. We encourage you to read our Annual Report. It includes our audited financial statements and provides information about our business.</w:t>
      </w:r>
    </w:p>
    <w:p>
      <w:pPr>
        <w:spacing w:after="0" w:line="214" w:lineRule="exact"/>
        <w:rPr>
          <w:sz w:val="20"/>
          <w:szCs w:val="20"/>
          <w:color w:val="auto"/>
        </w:rPr>
      </w:pPr>
    </w:p>
    <w:p>
      <w:pPr>
        <w:jc w:val="both"/>
        <w:ind w:firstLine="594"/>
        <w:spacing w:after="0" w:line="286" w:lineRule="auto"/>
        <w:rPr>
          <w:sz w:val="20"/>
          <w:szCs w:val="20"/>
          <w:color w:val="auto"/>
        </w:rPr>
      </w:pPr>
      <w:r>
        <w:rPr>
          <w:rFonts w:ascii="Arial" w:cs="Arial" w:eastAsia="Arial" w:hAnsi="Arial"/>
          <w:sz w:val="17"/>
          <w:szCs w:val="17"/>
          <w:color w:val="auto"/>
        </w:rPr>
        <w:t>As part of our efforts to conserve environmental resources and prevent unnecessary corporate expenses, we have elected to provide access to our proxy materials over the Internet, rather than mailing paper copies. We believe that providing our proxy materials over the Internet increases the ability of our stockholders to access the information they need, while lowering the costs of our Annual Meeting and conserving natural resources.</w:t>
      </w:r>
    </w:p>
    <w:p>
      <w:pPr>
        <w:spacing w:after="0" w:line="189" w:lineRule="exact"/>
        <w:rPr>
          <w:sz w:val="20"/>
          <w:szCs w:val="20"/>
          <w:color w:val="auto"/>
        </w:rPr>
      </w:pPr>
    </w:p>
    <w:p>
      <w:pPr>
        <w:jc w:val="both"/>
        <w:ind w:firstLine="594"/>
        <w:spacing w:after="0" w:line="266" w:lineRule="auto"/>
        <w:rPr>
          <w:sz w:val="20"/>
          <w:szCs w:val="20"/>
          <w:color w:val="auto"/>
        </w:rPr>
      </w:pPr>
      <w:r>
        <w:rPr>
          <w:rFonts w:ascii="Arial" w:cs="Arial" w:eastAsia="Arial" w:hAnsi="Arial"/>
          <w:sz w:val="18"/>
          <w:szCs w:val="18"/>
          <w:color w:val="auto"/>
        </w:rPr>
        <w:t xml:space="preserve">Regardless of whether you plan to attend the Annual Meeting in person, </w:t>
      </w:r>
      <w:r>
        <w:rPr>
          <w:rFonts w:ascii="Arial" w:cs="Arial" w:eastAsia="Arial" w:hAnsi="Arial"/>
          <w:sz w:val="18"/>
          <w:szCs w:val="18"/>
          <w:b w:val="1"/>
          <w:bCs w:val="1"/>
          <w:color w:val="auto"/>
        </w:rPr>
        <w:t>please read the accompanying Proxy Statement and then vote by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Internet, telephone or e-mail as promptly as possible. </w:t>
      </w:r>
      <w:r>
        <w:rPr>
          <w:rFonts w:ascii="Arial" w:cs="Arial" w:eastAsia="Arial" w:hAnsi="Arial"/>
          <w:sz w:val="18"/>
          <w:szCs w:val="18"/>
          <w:color w:val="auto"/>
        </w:rPr>
        <w:t>Please refer to the Notice for instructions on submitting your vote. Voting promptly will save us</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expense in further soliciting proxies and will ensure that your shares are represented at the Annual Meeting.</w:t>
      </w:r>
    </w:p>
    <w:p>
      <w:pPr>
        <w:spacing w:after="0" w:line="180"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Our Board of Directors has unanimously approved the proposals set forth in the Proxy Statement and we recommend that you vote in favor of each such proposal.</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look forward to seeing you at the Annual Meeting.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152400</wp:posOffset>
            </wp:positionV>
            <wp:extent cx="1689735" cy="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97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 S. Saxe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115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ind w:left="260" w:right="260"/>
        <w:spacing w:after="0" w:line="261" w:lineRule="auto"/>
        <w:rPr>
          <w:sz w:val="20"/>
          <w:szCs w:val="20"/>
          <w:color w:val="auto"/>
        </w:rPr>
      </w:pPr>
      <w:r>
        <w:rPr>
          <w:rFonts w:ascii="Arial" w:cs="Arial" w:eastAsia="Arial" w:hAnsi="Arial"/>
          <w:sz w:val="18"/>
          <w:szCs w:val="18"/>
          <w:b w:val="1"/>
          <w:bCs w:val="1"/>
          <w:color w:val="auto"/>
        </w:rPr>
        <w:t>All stockholders are cordially invited to attend the Annual Meeting in person. However, to ensure your representation at the Annual Meeting, you are urged to vote by Internet, telephone or e-mail as promptly as possible. Submitting your vote assures that a quorum will be present at the Annual Meeting and avoid the additional expense of duplicate proxy solicitations. Any stockholder attending the Annual Meeting may vote in person, even if he or she has returned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183515</wp:posOffset>
            </wp:positionV>
            <wp:extent cx="1235075" cy="951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26,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52"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We are pleased to invite you to attend the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which will be held at the San Francisco Airport Marriott Waterfront Hotel, located at 1800 Old Bayshore Highway, Burlingame, California 94010 on September 26, 2016 at 10:00 a.m., local time, for the following purposes:</w:t>
      </w:r>
    </w:p>
    <w:p>
      <w:pPr>
        <w:spacing w:after="0" w:line="181" w:lineRule="exact"/>
        <w:rPr>
          <w:sz w:val="20"/>
          <w:szCs w:val="20"/>
          <w:color w:val="auto"/>
        </w:rPr>
      </w:pPr>
    </w:p>
    <w:p>
      <w:pPr>
        <w:ind w:left="1140" w:hanging="565"/>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directors to our Board of Directors, each to serve until the next Annual Meeting of Stockholders, or until his respective successor is elected and qualified;</w:t>
      </w:r>
    </w:p>
    <w:p>
      <w:pPr>
        <w:spacing w:after="0" w:line="170"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amended and restated 2016 Equity Incentive Plan, formerly the 2008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and ratify all issuances thereunder to date;</w:t>
      </w:r>
    </w:p>
    <w:p>
      <w:pPr>
        <w:spacing w:after="0" w:line="197"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252"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conduct an advisory vote to indicate how frequently stockholders believe we should conduct an advisory vote on the compensation of our Named Executive Officers;</w:t>
      </w:r>
    </w:p>
    <w:p>
      <w:pPr>
        <w:spacing w:after="0" w:line="197" w:lineRule="exact"/>
        <w:rPr>
          <w:rFonts w:ascii="Arial" w:cs="Arial" w:eastAsia="Arial" w:hAnsi="Arial"/>
          <w:sz w:val="18"/>
          <w:szCs w:val="18"/>
          <w:color w:val="auto"/>
        </w:rPr>
      </w:pPr>
    </w:p>
    <w:p>
      <w:pPr>
        <w:ind w:left="1140" w:hanging="56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OUM &amp; Co. LLP as our independent auditors for the fiscal year ending March 31, 2017; and</w:t>
      </w:r>
    </w:p>
    <w:p>
      <w:pPr>
        <w:spacing w:after="0" w:line="252" w:lineRule="exact"/>
        <w:rPr>
          <w:rFonts w:ascii="Arial" w:cs="Arial" w:eastAsia="Arial" w:hAnsi="Arial"/>
          <w:sz w:val="18"/>
          <w:szCs w:val="18"/>
          <w:color w:val="auto"/>
        </w:rPr>
      </w:pPr>
    </w:p>
    <w:p>
      <w:pPr>
        <w:ind w:left="1140" w:right="20" w:hanging="565"/>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vote upon such other matters as may properly come before the Annual Meeting or any adjournment or postponement of the Annual Meeting.</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matters are more fully discussed in the attached Proxy Statement.</w:t>
      </w:r>
    </w:p>
    <w:p>
      <w:pPr>
        <w:spacing w:after="0" w:line="252" w:lineRule="exact"/>
        <w:rPr>
          <w:sz w:val="20"/>
          <w:szCs w:val="20"/>
          <w:color w:val="auto"/>
        </w:rPr>
      </w:pPr>
    </w:p>
    <w:p>
      <w:pPr>
        <w:jc w:val="both"/>
        <w:ind w:firstLine="594"/>
        <w:spacing w:after="0" w:line="293" w:lineRule="auto"/>
        <w:rPr>
          <w:sz w:val="20"/>
          <w:szCs w:val="20"/>
          <w:color w:val="auto"/>
        </w:rPr>
      </w:pPr>
      <w:r>
        <w:rPr>
          <w:rFonts w:ascii="Arial" w:cs="Arial" w:eastAsia="Arial" w:hAnsi="Arial"/>
          <w:sz w:val="16"/>
          <w:szCs w:val="16"/>
          <w:color w:val="auto"/>
        </w:rPr>
        <w:t>We have elected to provide access to our proxy materials primarily over the Internet, pursuant to the Securities and Exchange Commission’s “notice and access” rules. We believe this process expedites stockholders’ receipt of proxy materials, while lowering the costs of our Annual Meeting and conserving natural resources. On or about August 8, 2016, we mailed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to each of our stockholders entitled to notice of and to vote at the Annual Meeting, which contained instructions for accessing the attached Proxy Statement, our Annual Report on Form 10-K for the fiscal year ended March 31, 2016 (“</w:t>
      </w:r>
      <w:r>
        <w:rPr>
          <w:rFonts w:ascii="Arial" w:cs="Arial" w:eastAsia="Arial" w:hAnsi="Arial"/>
          <w:sz w:val="16"/>
          <w:szCs w:val="16"/>
          <w:i w:val="1"/>
          <w:iCs w:val="1"/>
          <w:color w:val="auto"/>
        </w:rPr>
        <w:t>Annual Report</w:t>
      </w:r>
      <w:r>
        <w:rPr>
          <w:rFonts w:ascii="Arial" w:cs="Arial" w:eastAsia="Arial" w:hAnsi="Arial"/>
          <w:sz w:val="16"/>
          <w:szCs w:val="16"/>
          <w:color w:val="auto"/>
        </w:rPr>
        <w:t>”) and voting instructions. The Notice also included instructions on how you can receive a paper copy of your proxy materials. The Proxy Statement and the Annual Report both are available online at: www.envisionreports.com/VTGN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ind w:firstLine="594"/>
        <w:spacing w:after="0" w:line="297" w:lineRule="auto"/>
        <w:rPr>
          <w:sz w:val="20"/>
          <w:szCs w:val="20"/>
          <w:color w:val="auto"/>
        </w:rPr>
      </w:pPr>
      <w:r>
        <w:rPr>
          <w:rFonts w:ascii="Arial" w:cs="Arial" w:eastAsia="Arial" w:hAnsi="Arial"/>
          <w:sz w:val="16"/>
          <w:szCs w:val="16"/>
          <w:color w:val="auto"/>
        </w:rPr>
        <w:t>The close of business on July 28, 2016 (the “</w:t>
      </w:r>
      <w:r>
        <w:rPr>
          <w:rFonts w:ascii="Arial" w:cs="Arial" w:eastAsia="Arial" w:hAnsi="Arial"/>
          <w:sz w:val="16"/>
          <w:szCs w:val="16"/>
          <w:i w:val="1"/>
          <w:iCs w:val="1"/>
          <w:color w:val="auto"/>
        </w:rPr>
        <w:t>Record Date</w:t>
      </w:r>
      <w:r>
        <w:rPr>
          <w:rFonts w:ascii="Arial" w:cs="Arial" w:eastAsia="Arial" w:hAnsi="Arial"/>
          <w:sz w:val="16"/>
          <w:szCs w:val="16"/>
          <w:color w:val="auto"/>
        </w:rPr>
        <w:t>”)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at our corporate offices, 343 Allerton Avenue, South San Francisco, California 94080, during normal business hours for a period of ten days prior to the Annual Meeting, and at the time and place of the Annual Meeting.</w:t>
      </w:r>
    </w:p>
    <w:p>
      <w:pPr>
        <w:spacing w:after="0" w:line="154" w:lineRule="exact"/>
        <w:rPr>
          <w:sz w:val="20"/>
          <w:szCs w:val="20"/>
          <w:color w:val="auto"/>
        </w:rPr>
      </w:pPr>
    </w:p>
    <w:p>
      <w:pPr>
        <w:jc w:val="both"/>
        <w:ind w:firstLine="594"/>
        <w:spacing w:after="0" w:line="266" w:lineRule="auto"/>
        <w:rPr>
          <w:sz w:val="20"/>
          <w:szCs w:val="20"/>
          <w:color w:val="auto"/>
        </w:rPr>
      </w:pPr>
      <w:r>
        <w:rPr>
          <w:rFonts w:ascii="Arial" w:cs="Arial" w:eastAsia="Arial" w:hAnsi="Arial"/>
          <w:sz w:val="18"/>
          <w:szCs w:val="18"/>
          <w:b w:val="1"/>
          <w:bCs w:val="1"/>
          <w:color w:val="auto"/>
        </w:rPr>
        <w:t xml:space="preserve">Whether or not you expect to attend in person, we urge you to vote your shares as promptly as possible by Internet, telephone or mail so that your shares may be represented and voted at the Annual Meeting. </w:t>
      </w:r>
      <w:r>
        <w:rPr>
          <w:rFonts w:ascii="Arial" w:cs="Arial" w:eastAsia="Arial" w:hAnsi="Arial"/>
          <w:sz w:val="18"/>
          <w:szCs w:val="18"/>
          <w:color w:val="auto"/>
        </w:rPr>
        <w:t>If your shares are held in the name of a bank, broker or other fiduciary, please follow</w:t>
      </w:r>
      <w:r>
        <w:rPr>
          <w:rFonts w:ascii="Arial" w:cs="Arial" w:eastAsia="Arial" w:hAnsi="Arial"/>
          <w:sz w:val="18"/>
          <w:szCs w:val="18"/>
          <w:b w:val="1"/>
          <w:bCs w:val="1"/>
          <w:color w:val="auto"/>
        </w:rPr>
        <w:t xml:space="preserve"> </w:t>
      </w:r>
      <w:r>
        <w:rPr>
          <w:rFonts w:ascii="Arial" w:cs="Arial" w:eastAsia="Arial" w:hAnsi="Arial"/>
          <w:sz w:val="18"/>
          <w:szCs w:val="18"/>
          <w:color w:val="auto"/>
        </w:rPr>
        <w:t>the instructions on the voting instruction card furnished by the record holder.</w:t>
      </w:r>
    </w:p>
    <w:p>
      <w:pPr>
        <w:spacing w:after="0" w:line="176" w:lineRule="exact"/>
        <w:rPr>
          <w:sz w:val="20"/>
          <w:szCs w:val="20"/>
          <w:color w:val="auto"/>
        </w:rPr>
      </w:pPr>
    </w:p>
    <w:p>
      <w:pPr>
        <w:jc w:val="both"/>
        <w:ind w:right="20" w:firstLine="594"/>
        <w:spacing w:after="0" w:line="282" w:lineRule="auto"/>
        <w:rPr>
          <w:sz w:val="20"/>
          <w:szCs w:val="20"/>
          <w:color w:val="auto"/>
        </w:rPr>
      </w:pPr>
      <w:r>
        <w:rPr>
          <w:rFonts w:ascii="Arial" w:cs="Arial" w:eastAsia="Arial" w:hAnsi="Arial"/>
          <w:sz w:val="18"/>
          <w:szCs w:val="18"/>
          <w:b w:val="1"/>
          <w:bCs w:val="1"/>
          <w:color w:val="auto"/>
        </w:rPr>
        <w:t>Our Board of Directors recommends that you vote “FOR” the Annual Meeting Proposal Nos. 1, 2, 3 and 5, and vote “THREE YEARS” for Proposal No. 4, all of which are described in detail in the accompanying Proxy Statement.</w:t>
      </w:r>
    </w:p>
    <w:p>
      <w:pPr>
        <w:spacing w:after="0" w:line="189" w:lineRule="exact"/>
        <w:rPr>
          <w:sz w:val="20"/>
          <w:szCs w:val="20"/>
          <w:color w:val="auto"/>
        </w:rPr>
      </w:pPr>
    </w:p>
    <w:p>
      <w:pPr>
        <w:jc w:val="both"/>
        <w:ind w:firstLine="594"/>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SEPTEMBER 26, 2016:</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ANNUAL REPORT AND PROXY STATEMENT ARE AVAILABLE ONLINE AT: WWW.ENVISIONREPORTS.COM/VTGN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152400</wp:posOffset>
            </wp:positionV>
            <wp:extent cx="1226185"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1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320675</wp:posOffset>
            </wp:positionV>
            <wp:extent cx="1235075" cy="951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The enclosed proxy is solicited on behalf of the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use at the Company’s 2016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to be held on September 26, 2016 at 10:00 a.m., local time, and at any adjournment or postponement thereof, at the San Francisco Airport Marriott Waterfront Hotel, located at 1800 Old Bayshore Highway, Burlingame, California 94010.</w:t>
      </w:r>
    </w:p>
    <w:p>
      <w:pPr>
        <w:spacing w:after="0" w:line="214" w:lineRule="exact"/>
        <w:rPr>
          <w:sz w:val="20"/>
          <w:szCs w:val="20"/>
          <w:color w:val="auto"/>
        </w:rPr>
      </w:pPr>
    </w:p>
    <w:p>
      <w:pPr>
        <w:jc w:val="both"/>
        <w:ind w:firstLine="594"/>
        <w:spacing w:after="0" w:line="297" w:lineRule="auto"/>
        <w:rPr>
          <w:sz w:val="20"/>
          <w:szCs w:val="20"/>
          <w:color w:val="auto"/>
        </w:rPr>
      </w:pPr>
      <w:r>
        <w:rPr>
          <w:rFonts w:ascii="Arial" w:cs="Arial" w:eastAsia="Arial" w:hAnsi="Arial"/>
          <w:sz w:val="16"/>
          <w:szCs w:val="16"/>
          <w:color w:val="auto"/>
        </w:rPr>
        <w:t>We have elected to provide access to this year’s proxy materials primarily over the Internet under the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“notice and access” rules. On or about August 8, 2016, we mailed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to each of our stockholders entitled to notice of and to vote at the Annual Meeting, which contained instructions for accessing this Proxy Statement, our Annual Report on Form 10-K for the fiscal year ended March 31, 2016 (“</w:t>
      </w:r>
      <w:r>
        <w:rPr>
          <w:rFonts w:ascii="Arial" w:cs="Arial" w:eastAsia="Arial" w:hAnsi="Arial"/>
          <w:sz w:val="16"/>
          <w:szCs w:val="16"/>
          <w:i w:val="1"/>
          <w:iCs w:val="1"/>
          <w:color w:val="auto"/>
        </w:rPr>
        <w:t>Annual Report</w:t>
      </w:r>
      <w:r>
        <w:rPr>
          <w:rFonts w:ascii="Arial" w:cs="Arial" w:eastAsia="Arial" w:hAnsi="Arial"/>
          <w:sz w:val="16"/>
          <w:szCs w:val="16"/>
          <w:color w:val="auto"/>
        </w:rPr>
        <w:t>”) and voting instructions. The Notice also included instructions on how you can receive a paper copy of your proxy materials. The Proxy Statement and the Annual Report both are available online at: www.envisionreports.com/VTGN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The specific proposals to be considered and acted upon at our Annual Meeting are each described in this Proxy Statement. Only holders of our common stock as of the close of business on July 28, 2016 (the “</w:t>
      </w:r>
      <w:r>
        <w:rPr>
          <w:rFonts w:ascii="Arial" w:cs="Arial" w:eastAsia="Arial" w:hAnsi="Arial"/>
          <w:sz w:val="18"/>
          <w:szCs w:val="18"/>
          <w:i w:val="1"/>
          <w:iCs w:val="1"/>
          <w:color w:val="auto"/>
        </w:rPr>
        <w:t>Record Date</w:t>
      </w:r>
      <w:r>
        <w:rPr>
          <w:rFonts w:ascii="Arial" w:cs="Arial" w:eastAsia="Arial" w:hAnsi="Arial"/>
          <w:sz w:val="18"/>
          <w:szCs w:val="18"/>
          <w:color w:val="auto"/>
        </w:rPr>
        <w:t>”) are entitled to notice of and to vote at the Annual Meeting. On the Record Date, there were 7,970,705 shares of common stock issued and outstanding. Each holder of common stock is entitled to one vote for each share held as of the Record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In order for any business to be conducted at the Annual Meeting, the holders of more than 50% of the shares entitled to vote must be represented at the Annual Meeting, either in person or by properly executed proxy. If a quorum is not present at the scheduled time of the Annual Meeting, the stockholders who are present may adjourn the Annual Meeting until a quorum is present. The time and place of the adjourned Annual Meeting will be announced at the time the adjournment is taken, and no other notice will be given. An adjournment will have no effect on the business that may be conducted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w:t>
      </w:r>
    </w:p>
    <w:p>
      <w:pPr>
        <w:spacing w:after="0" w:line="229"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five nominees who receive the greatest number of votes cast at the Annual Meeting by the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person or by proxy and entitled to vote, will be elected.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ind w:firstLine="594"/>
        <w:spacing w:after="0" w:line="255" w:lineRule="auto"/>
        <w:rPr>
          <w:sz w:val="20"/>
          <w:szCs w:val="20"/>
          <w:color w:val="auto"/>
        </w:rPr>
      </w:pPr>
      <w:r>
        <w:rPr>
          <w:rFonts w:ascii="Arial" w:cs="Arial" w:eastAsia="Arial" w:hAnsi="Arial"/>
          <w:sz w:val="18"/>
          <w:szCs w:val="18"/>
          <w:i w:val="1"/>
          <w:iCs w:val="1"/>
          <w:color w:val="auto"/>
        </w:rPr>
        <w:t>Proposal No. 2: Approval of the Amended and Restated 2016 Equity Incentive Plan, and Ratification of All Issuances Thereunder to Date</w:t>
      </w:r>
      <w:r>
        <w:rPr>
          <w:rFonts w:ascii="Arial" w:cs="Arial" w:eastAsia="Arial" w:hAnsi="Arial"/>
          <w:sz w:val="18"/>
          <w:szCs w:val="18"/>
          <w:color w:val="auto"/>
        </w:rPr>
        <w:t>.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unanimously approved the amended and restated 2016 Equity Incentive Plan, formerly the 2008 Equity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xml:space="preserve">”) on July 26, 2016. Amendments to the 2016 Plan include increasing the number of shares of the Company’s common stock authorized for issuance under the 2016 Plan from 1.0 million to 3.0 million, increasing the maximum number of shares of common stock that may be granted to a Grantee (as such term is defined in the 2016 Plan) in any calendar year, and extending the expiration date of the 2016 Plan to July 26, 2026. A copy of the 2016 Plan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 The affirmative “FOR” vote of a majority of the shares present in person or by proxy at the Annual Meeting and entitled to vote is necessary of approval of this proposal.</w:t>
      </w:r>
    </w:p>
    <w:p>
      <w:pPr>
        <w:spacing w:after="0" w:line="216"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i w:val="1"/>
          <w:iCs w:val="1"/>
          <w:color w:val="auto"/>
        </w:rPr>
        <w:t xml:space="preserve">Proposal No. 3: Advisory Vote to Approve Executive Compensation. </w:t>
      </w:r>
      <w:r>
        <w:rPr>
          <w:rFonts w:ascii="Arial" w:cs="Arial" w:eastAsia="Arial" w:hAnsi="Arial"/>
          <w:sz w:val="18"/>
          <w:szCs w:val="18"/>
          <w:color w:val="auto"/>
        </w:rPr>
        <w:t>This proposal calls for a non-binding, advisory vote regarding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our Named Executive Officers (the “</w:t>
      </w:r>
      <w:r>
        <w:rPr>
          <w:rFonts w:ascii="Arial" w:cs="Arial" w:eastAsia="Arial" w:hAnsi="Arial"/>
          <w:sz w:val="18"/>
          <w:szCs w:val="18"/>
          <w:i w:val="1"/>
          <w:iCs w:val="1"/>
          <w:color w:val="auto"/>
        </w:rPr>
        <w:t>Say-on-Pay Vote</w:t>
      </w:r>
      <w:r>
        <w:rPr>
          <w:rFonts w:ascii="Arial" w:cs="Arial" w:eastAsia="Arial" w:hAnsi="Arial"/>
          <w:sz w:val="18"/>
          <w:szCs w:val="18"/>
          <w:color w:val="auto"/>
        </w:rPr>
        <w:t>”). Accordingly, there is no "required vote" that would constitute approval. However, our Board of Directors, including our Compensation Committee, values the opinions of our stockholders and will consider the result of the vote when making future decisions regarding our executive compensation policies and practices.</w:t>
      </w:r>
    </w:p>
    <w:p>
      <w:pPr>
        <w:spacing w:after="0" w:line="214" w:lineRule="exact"/>
        <w:rPr>
          <w:sz w:val="20"/>
          <w:szCs w:val="20"/>
          <w:color w:val="auto"/>
        </w:rPr>
      </w:pPr>
    </w:p>
    <w:p>
      <w:pPr>
        <w:jc w:val="both"/>
        <w:ind w:firstLine="594"/>
        <w:spacing w:after="0" w:line="302" w:lineRule="auto"/>
        <w:rPr>
          <w:sz w:val="20"/>
          <w:szCs w:val="20"/>
          <w:color w:val="auto"/>
        </w:rPr>
      </w:pPr>
      <w:r>
        <w:rPr>
          <w:rFonts w:ascii="Arial" w:cs="Arial" w:eastAsia="Arial" w:hAnsi="Arial"/>
          <w:sz w:val="16"/>
          <w:szCs w:val="16"/>
          <w:i w:val="1"/>
          <w:iCs w:val="1"/>
          <w:color w:val="auto"/>
        </w:rPr>
        <w:t xml:space="preserve">Proposal No. 4: Advisory Vote to Approve the Frequency of Advisory Votes on Executive Compensation. </w:t>
      </w:r>
      <w:r>
        <w:rPr>
          <w:rFonts w:ascii="Arial" w:cs="Arial" w:eastAsia="Arial" w:hAnsi="Arial"/>
          <w:sz w:val="16"/>
          <w:szCs w:val="16"/>
          <w:color w:val="auto"/>
        </w:rPr>
        <w:t>This proposal provides a choice among three</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periods (every one, two or three years) for future advisory Say-on-Pay Votes. The frequency period that receives the most votes will be deemed to be the recommendation of our stockholders. However, because this vote is advisory and not binding on our Board of Directors, we may decide that it is in the best interests of our stockholders to hold a Say-on-Pay Vote more or less frequently than the frequency period selected by our stockholders.</w:t>
      </w:r>
    </w:p>
    <w:p>
      <w:pPr>
        <w:spacing w:after="0" w:line="154"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i w:val="1"/>
          <w:iCs w:val="1"/>
          <w:color w:val="auto"/>
        </w:rPr>
        <w:t xml:space="preserve">Proposal No. 5: Ratification of Appointment of Auditors. </w:t>
      </w:r>
      <w:r>
        <w:rPr>
          <w:rFonts w:ascii="Arial" w:cs="Arial" w:eastAsia="Arial" w:hAnsi="Arial"/>
          <w:sz w:val="18"/>
          <w:szCs w:val="18"/>
          <w:color w:val="auto"/>
        </w:rPr>
        <w:t>The affirmative “FOR” vote of a majority of the shares present in person or by proxy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and entitled to vote is required for the ratification of the selection of OUM &amp; Co. LLP as our independent registered public accounting firm for the current fiscal year.</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Abstentions and Broker Non Votes</w:t>
      </w:r>
    </w:p>
    <w:p>
      <w:pPr>
        <w:spacing w:after="0" w:line="229" w:lineRule="exact"/>
        <w:rPr>
          <w:sz w:val="20"/>
          <w:szCs w:val="20"/>
          <w:color w:val="auto"/>
        </w:rPr>
      </w:pPr>
    </w:p>
    <w:p>
      <w:pPr>
        <w:jc w:val="both"/>
        <w:ind w:firstLine="594"/>
        <w:spacing w:after="0" w:line="293"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or other nominee, your broker or nominee may not be permitted to exercise voting discretion with respect to some of the matters to be acted upon. If you do not give your broker or nominee specific instructions regarding such matters, your proxy will be deemed a “broker non-vote.”</w:t>
      </w:r>
    </w:p>
    <w:p>
      <w:pPr>
        <w:spacing w:after="0" w:line="16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Under Nevada law and our Bylaws, each matter (other than the election of directors) is determined by the vote of the holders of a majority of the voting power present or represented by proxy. For these matters, abstentions and broker non-votes will not be counted as votes in favor of such proposals, and will also not be counted as shares voting on such matter. Accordingly, abstentions and broker non-votes will have no effect on the voting on the proposals referenced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56" w:lineRule="exact"/>
        <w:rPr>
          <w:sz w:val="20"/>
          <w:szCs w:val="20"/>
          <w:color w:val="auto"/>
        </w:rPr>
      </w:pPr>
    </w:p>
    <w:p>
      <w:pPr>
        <w:jc w:val="both"/>
        <w:ind w:right="20" w:firstLine="594"/>
        <w:spacing w:after="0" w:line="274" w:lineRule="auto"/>
        <w:rPr>
          <w:sz w:val="20"/>
          <w:szCs w:val="20"/>
          <w:color w:val="auto"/>
        </w:rPr>
      </w:pPr>
      <w:r>
        <w:rPr>
          <w:rFonts w:ascii="Arial" w:cs="Arial" w:eastAsia="Arial" w:hAnsi="Arial"/>
          <w:sz w:val="17"/>
          <w:szCs w:val="17"/>
          <w:color w:val="auto"/>
        </w:rPr>
        <w:t>If your proxy is properly returned to the Company, the shares represented thereby will be voted at the Annual Meeting in accordance with the instructions specified thereon. If you return your proxy without specifying how the shares represented thereby are to be voted, the proxy will be voted</w:t>
      </w:r>
    </w:p>
    <w:p>
      <w:pPr>
        <w:ind w:left="240" w:hanging="232"/>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directors proposed by our Board, (ii)</w:t>
      </w:r>
      <w:r>
        <w:rPr>
          <w:rFonts w:ascii="Arial" w:cs="Arial" w:eastAsia="Arial" w:hAnsi="Arial"/>
          <w:sz w:val="17"/>
          <w:szCs w:val="17"/>
          <w:b w:val="1"/>
          <w:bCs w:val="1"/>
          <w:color w:val="auto"/>
        </w:rPr>
        <w:t xml:space="preserve"> FOR </w:t>
      </w:r>
      <w:r>
        <w:rPr>
          <w:rFonts w:ascii="Arial" w:cs="Arial" w:eastAsia="Arial" w:hAnsi="Arial"/>
          <w:sz w:val="17"/>
          <w:szCs w:val="17"/>
          <w:color w:val="auto"/>
        </w:rPr>
        <w:t>the approval of the 2016 Plan, and ratification of all issuances thereunder to date,</w:t>
      </w:r>
    </w:p>
    <w:p>
      <w:pPr>
        <w:spacing w:after="0" w:line="20" w:lineRule="exact"/>
        <w:rPr>
          <w:rFonts w:ascii="Arial" w:cs="Arial" w:eastAsia="Arial" w:hAnsi="Arial"/>
          <w:sz w:val="17"/>
          <w:szCs w:val="17"/>
          <w:color w:val="auto"/>
        </w:rPr>
      </w:pPr>
    </w:p>
    <w:p>
      <w:pPr>
        <w:jc w:val="both"/>
        <w:ind w:firstLine="8"/>
        <w:spacing w:after="0" w:line="25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Say-on-Pay Vote, (iv) to hold future Say-on-Pay Votes</w:t>
      </w:r>
      <w:r>
        <w:rPr>
          <w:rFonts w:ascii="Arial" w:cs="Arial" w:eastAsia="Arial" w:hAnsi="Arial"/>
          <w:sz w:val="18"/>
          <w:szCs w:val="18"/>
          <w:b w:val="1"/>
          <w:bCs w:val="1"/>
          <w:color w:val="auto"/>
        </w:rPr>
        <w:t xml:space="preserve"> EVERY THREE YEARS</w:t>
      </w:r>
      <w:r>
        <w:rPr>
          <w:rFonts w:ascii="Arial" w:cs="Arial" w:eastAsia="Arial" w:hAnsi="Arial"/>
          <w:sz w:val="18"/>
          <w:szCs w:val="18"/>
          <w:color w:val="auto"/>
        </w:rPr>
        <w:t>, (v)</w:t>
      </w:r>
      <w:r>
        <w:rPr>
          <w:rFonts w:ascii="Arial" w:cs="Arial" w:eastAsia="Arial" w:hAnsi="Arial"/>
          <w:sz w:val="18"/>
          <w:szCs w:val="18"/>
          <w:b w:val="1"/>
          <w:bCs w:val="1"/>
          <w:color w:val="auto"/>
        </w:rPr>
        <w:t xml:space="preserve"> FOR </w:t>
      </w:r>
      <w:r>
        <w:rPr>
          <w:rFonts w:ascii="Arial" w:cs="Arial" w:eastAsia="Arial" w:hAnsi="Arial"/>
          <w:sz w:val="18"/>
          <w:szCs w:val="18"/>
          <w:color w:val="auto"/>
        </w:rPr>
        <w:t>ratification of the appointment of OUM &amp; Co. LLP</w:t>
      </w:r>
      <w:r>
        <w:rPr>
          <w:rFonts w:ascii="Arial" w:cs="Arial" w:eastAsia="Arial" w:hAnsi="Arial"/>
          <w:sz w:val="18"/>
          <w:szCs w:val="18"/>
          <w:b w:val="1"/>
          <w:bCs w:val="1"/>
          <w:color w:val="auto"/>
        </w:rPr>
        <w:t xml:space="preserve"> </w:t>
      </w:r>
      <w:r>
        <w:rPr>
          <w:rFonts w:ascii="Arial" w:cs="Arial" w:eastAsia="Arial" w:hAnsi="Arial"/>
          <w:sz w:val="18"/>
          <w:szCs w:val="18"/>
          <w:color w:val="auto"/>
        </w:rPr>
        <w:t>as our independent auditors for current fiscal year, and (vi) at the discretion of the proxy holders on any other matter that may properly come before the Annual Meeting or any adjournment or postponement thereof.</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jc w:val="both"/>
        <w:ind w:firstLine="594"/>
        <w:spacing w:after="0" w:line="257" w:lineRule="auto"/>
        <w:rPr>
          <w:sz w:val="20"/>
          <w:szCs w:val="20"/>
          <w:color w:val="auto"/>
        </w:rPr>
      </w:pPr>
      <w:r>
        <w:rPr>
          <w:rFonts w:ascii="Arial" w:cs="Arial" w:eastAsia="Arial" w:hAnsi="Arial"/>
          <w:sz w:val="18"/>
          <w:szCs w:val="18"/>
          <w:color w:val="auto"/>
        </w:rPr>
        <w:t>You may revoke or change your proxy at any time before the Annual Meeting by filing, with our Corporate Secretary at our principal executive offices, located at 343 Allerton Avenue, South San Francisco, California 94080, a notice of revocation or another signed proxy with a later date. You may also revoke your proxy by attending the Annual Meeting and voting in person. Attendance at the Annual Meeting alone will not revoke your proxy. If you are a stockholder whose shares are not registered in your own name, you will need additional documentation from your broker or record holder to vote personally at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color w:val="auto"/>
        </w:rPr>
        <w:t>We will bear the entire cost of solicitation, including the preparation, assembly, printing and mailing of the Notice, as well as the preparation and posting of this Proxy Statement and any additional solicitation materials furnished to the stockholders. Copies of any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 Except as described above, we do not presently intend to solicit proxies other than by mail, telephone and mail.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Our Bylaws provide that the Board of Directors (“</w:t>
      </w:r>
      <w:r>
        <w:rPr>
          <w:rFonts w:ascii="Arial" w:cs="Arial" w:eastAsia="Arial" w:hAnsi="Arial"/>
          <w:sz w:val="17"/>
          <w:szCs w:val="17"/>
          <w:i w:val="1"/>
          <w:iCs w:val="1"/>
          <w:color w:val="auto"/>
        </w:rPr>
        <w:t>Board</w:t>
      </w:r>
      <w:r>
        <w:rPr>
          <w:rFonts w:ascii="Arial" w:cs="Arial" w:eastAsia="Arial" w:hAnsi="Arial"/>
          <w:sz w:val="17"/>
          <w:szCs w:val="17"/>
          <w:color w:val="auto"/>
        </w:rPr>
        <w:t>”) shall consist of not less than one, nor more than seven directors, and that upon any change in the number of directors, any newly created directorships or eliminated directorships shall be apportioned by the remaining members of the Board or by stockholders. The Company’s Board currently consists of five directors, and these five directors are nominated for election at the Annual Meeting. Each nominee has confirmed that he is able and willing to continue serving as a director if elected. If any of the nominees becomes unable or unwilling to serve, your proxy will be voted for the election of a substitute nominee recommended by the current Board.</w:t>
      </w:r>
    </w:p>
    <w:p>
      <w:pPr>
        <w:spacing w:after="0" w:line="200"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Upon recommendation of the Nominating and Corporate Governance Committee, the Board has nominated for election as directors at our Annual Meeting Mr. Jon S. Saxe, Mr. Shawn K. Singh, Dr. H. Ralph Snodgrass, Dr. Brian J. Underdown, and Dr. Jerry B. Gin.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29"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five nominees receiving the highest number of affirmative votes will be elected. Unless otherwise instructed or unless authority to vote is withheld, shares represented by executed proxies will be voted “FOR” the election of the nominees.</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The Board recommends that the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election of Mr. Saxe, Mr. Singh, Dr. Snodgrass, Dr. Underdown, and Dr.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Gin.</w:t>
      </w:r>
    </w:p>
    <w:p>
      <w:pPr>
        <w:spacing w:after="0" w:line="238" w:lineRule="exact"/>
        <w:rPr>
          <w:sz w:val="20"/>
          <w:szCs w:val="20"/>
          <w:color w:val="auto"/>
        </w:rPr>
      </w:pPr>
    </w:p>
    <w:p>
      <w:pPr>
        <w:jc w:val="both"/>
        <w:ind w:right="20" w:firstLine="594"/>
        <w:spacing w:after="0" w:line="277" w:lineRule="auto"/>
        <w:rPr>
          <w:sz w:val="20"/>
          <w:szCs w:val="20"/>
          <w:color w:val="auto"/>
        </w:rPr>
      </w:pPr>
      <w:r>
        <w:rPr>
          <w:rFonts w:ascii="Arial" w:cs="Arial" w:eastAsia="Arial" w:hAnsi="Arial"/>
          <w:sz w:val="18"/>
          <w:szCs w:val="18"/>
          <w:color w:val="auto"/>
        </w:rPr>
        <w:t>The following sections sets forth certain information regarding the nominees for election as directors of the Company. There are no family relationships between any of the directors and the Company’s executive officers.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BOARD OF DIRECTORS</w:t>
            </w:r>
          </w:p>
        </w:tc>
      </w:tr>
      <w:tr>
        <w:trPr>
          <w:trHeight w:val="43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4"/>
                <w:szCs w:val="24"/>
                <w:color w:val="auto"/>
              </w:rPr>
            </w:pPr>
          </w:p>
        </w:tc>
        <w:tc>
          <w:tcPr>
            <w:tcW w:w="72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Age</w:t>
            </w:r>
          </w:p>
        </w:tc>
        <w:tc>
          <w:tcPr>
            <w:tcW w:w="440" w:type="dxa"/>
            <w:vAlign w:val="bottom"/>
          </w:tcPr>
          <w:p>
            <w:pPr>
              <w:spacing w:after="0"/>
              <w:rPr>
                <w:sz w:val="24"/>
                <w:szCs w:val="24"/>
                <w:color w:val="auto"/>
              </w:rPr>
            </w:pPr>
          </w:p>
        </w:tc>
        <w:tc>
          <w:tcPr>
            <w:tcW w:w="630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80</w:t>
            </w: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Chairman of the Board</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Shawn K. Singh</w:t>
            </w:r>
          </w:p>
        </w:tc>
        <w:tc>
          <w:tcPr>
            <w:tcW w:w="8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53</w:t>
            </w:r>
          </w:p>
        </w:tc>
        <w:tc>
          <w:tcPr>
            <w:tcW w:w="44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8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66</w:t>
            </w:r>
          </w:p>
        </w:tc>
        <w:tc>
          <w:tcPr>
            <w:tcW w:w="44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380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5"/>
                <w:szCs w:val="25"/>
                <w:color w:val="auto"/>
                <w:vertAlign w:val="superscript"/>
              </w:rPr>
              <w:t>(2)</w:t>
            </w:r>
          </w:p>
        </w:tc>
        <w:tc>
          <w:tcPr>
            <w:tcW w:w="8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75</w:t>
            </w:r>
          </w:p>
        </w:tc>
        <w:tc>
          <w:tcPr>
            <w:tcW w:w="44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5"/>
                <w:szCs w:val="25"/>
                <w:color w:val="auto"/>
                <w:vertAlign w:val="superscript"/>
              </w:rPr>
              <w:t>(3)</w:t>
            </w:r>
          </w:p>
        </w:tc>
        <w:tc>
          <w:tcPr>
            <w:tcW w:w="8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72</w:t>
            </w:r>
          </w:p>
        </w:tc>
        <w:tc>
          <w:tcPr>
            <w:tcW w:w="44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Committee and chairman of the Compensation Committee and Corporate Governance and Nominating Committee.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8" w:lineRule="exact"/>
        <w:rPr>
          <w:sz w:val="20"/>
          <w:szCs w:val="20"/>
          <w:color w:val="auto"/>
        </w:rPr>
      </w:pPr>
    </w:p>
    <w:p>
      <w:pPr>
        <w:jc w:val="both"/>
        <w:ind w:firstLine="594"/>
        <w:spacing w:after="0" w:line="269" w:lineRule="auto"/>
        <w:rPr>
          <w:sz w:val="20"/>
          <w:szCs w:val="20"/>
          <w:color w:val="auto"/>
        </w:rPr>
      </w:pPr>
      <w:r>
        <w:rPr>
          <w:rFonts w:ascii="Arial" w:cs="Arial" w:eastAsia="Arial" w:hAnsi="Arial"/>
          <w:sz w:val="17"/>
          <w:szCs w:val="17"/>
          <w:b w:val="1"/>
          <w:bCs w:val="1"/>
          <w:i w:val="1"/>
          <w:iCs w:val="1"/>
          <w:color w:val="auto"/>
        </w:rPr>
        <w:t xml:space="preserve">Jon S. Saxe, J.D., LL.M. </w:t>
      </w:r>
      <w:r>
        <w:rPr>
          <w:rFonts w:ascii="Arial" w:cs="Arial" w:eastAsia="Arial" w:hAnsi="Arial"/>
          <w:sz w:val="17"/>
          <w:szCs w:val="17"/>
          <w:color w:val="auto"/>
        </w:rPr>
        <w:t>has served as Chairman of our Board since 2000, first as Chairman of the Board of Directors of VistaGen Therapeutics,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California corporation (</w:t>
      </w:r>
      <w:r>
        <w:rPr>
          <w:rFonts w:ascii="Arial" w:cs="Arial" w:eastAsia="Arial" w:hAnsi="Arial"/>
          <w:sz w:val="17"/>
          <w:szCs w:val="17"/>
          <w:i w:val="1"/>
          <w:iCs w:val="1"/>
          <w:color w:val="auto"/>
        </w:rPr>
        <w:t>"VistaGen California"),</w:t>
      </w:r>
      <w:r>
        <w:rPr>
          <w:rFonts w:ascii="Arial" w:cs="Arial" w:eastAsia="Arial" w:hAnsi="Arial"/>
          <w:sz w:val="17"/>
          <w:szCs w:val="17"/>
          <w:color w:val="auto"/>
        </w:rPr>
        <w:t xml:space="preserve"> then as Chairman of the Board after completion of the merger by and between VistaGen California and the Company on May 11, 2011, at which time VistaGen California became a wholly-owned subsidiary of the Company (the </w:t>
      </w:r>
      <w:r>
        <w:rPr>
          <w:rFonts w:ascii="Arial" w:cs="Arial" w:eastAsia="Arial" w:hAnsi="Arial"/>
          <w:sz w:val="17"/>
          <w:szCs w:val="17"/>
          <w:i w:val="1"/>
          <w:iCs w:val="1"/>
          <w:color w:val="auto"/>
        </w:rPr>
        <w:t>"Merger"</w:t>
      </w:r>
      <w:r>
        <w:rPr>
          <w:rFonts w:ascii="Arial" w:cs="Arial" w:eastAsia="Arial" w:hAnsi="Arial"/>
          <w:sz w:val="17"/>
          <w:szCs w:val="17"/>
          <w:color w:val="auto"/>
        </w:rPr>
        <w:t>).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Arbor Vita Corporation, Arcuo Medical, LLC, Armetheon, Inc., Cancer Prevention Pharmaceuticals, Inc., Lumos Pharma, Inc. and Trellis Bioscience, Inc.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80" w:lineRule="exact"/>
        <w:rPr>
          <w:sz w:val="20"/>
          <w:szCs w:val="20"/>
          <w:color w:val="auto"/>
        </w:rPr>
      </w:pPr>
    </w:p>
    <w:p>
      <w:pPr>
        <w:jc w:val="both"/>
        <w:ind w:firstLine="594"/>
        <w:spacing w:after="0" w:line="297" w:lineRule="auto"/>
        <w:rPr>
          <w:sz w:val="20"/>
          <w:szCs w:val="20"/>
          <w:color w:val="auto"/>
        </w:rPr>
      </w:pPr>
      <w:r>
        <w:rPr>
          <w:rFonts w:ascii="Arial" w:cs="Arial" w:eastAsia="Arial" w:hAnsi="Arial"/>
          <w:sz w:val="16"/>
          <w:szCs w:val="16"/>
          <w:color w:val="auto"/>
        </w:rPr>
        <w:t>We selected Mr. Saxe to serve as Chairman of our Board due to his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Shawn K. Singh </w:t>
      </w:r>
      <w:r>
        <w:rPr>
          <w:rFonts w:ascii="Arial" w:cs="Arial" w:eastAsia="Arial" w:hAnsi="Arial"/>
          <w:sz w:val="17"/>
          <w:szCs w:val="17"/>
          <w:color w:val="auto"/>
        </w:rPr>
        <w:t>has served as our Chief Executive Officer since August 2009, first as the Chief Executive Officer of VistaGen California, then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the Company after the Merger. Mr. Singh first joined the Board of Directors of VistaGen California in 2000 and served on the VistaGen California management team (part-time) from late-2003, following our acquisition of Artemis Neuroscience, of which he was President, to August 2009. In connection with the completion of the Merger, Mr. Singh was appointed as a member of the Board in 2011. Mr. Singh has over 25 years of experience working with biotechnology, medical device and pharmaceutical companies, both private and public, as well as a profitable contract research and development organization (“</w:t>
      </w:r>
      <w:r>
        <w:rPr>
          <w:rFonts w:ascii="Arial" w:cs="Arial" w:eastAsia="Arial" w:hAnsi="Arial"/>
          <w:sz w:val="17"/>
          <w:szCs w:val="17"/>
          <w:i w:val="1"/>
          <w:iCs w:val="1"/>
          <w:color w:val="auto"/>
        </w:rPr>
        <w:t>CRO</w:t>
      </w:r>
      <w:r>
        <w:rPr>
          <w:rFonts w:ascii="Arial" w:cs="Arial" w:eastAsia="Arial" w:hAnsi="Arial"/>
          <w:sz w:val="17"/>
          <w:szCs w:val="17"/>
          <w:color w:val="auto"/>
        </w:rPr>
        <w:t>”) and healthcare-focused venture capital firm. From February 2001 to August 2009, Mr. Singh served as Managing Principal of Cato BioVentures, a life science venture capital firm, and as Chief Business Officer and General Counsel of Cato Research Ltd, a CRO affiliated with Cato BioVentures. Mr. Singh served as President (part-time) of Echo Therapeutics (OTCBB: ECTE), a medical device company developing a non-invasive, wireless continuous glucose monitoring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218"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We selected Mr. Singh to serve on our Board due to his substantial practical experience and expertise in senior leadership roles with multiple private and public biotechnology, pharmaceutical and medical device companies and CROs and his extensive experience in corporate finance, venture capital, corporate governance and strategic partnering.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both"/>
        <w:ind w:firstLine="594"/>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served as the President and Chief Scientific Officer of VistaGen California from August 2009 through May 2011, and then in the same positions with the Company following the completion of the Merger. He served as a member of the Board of Directors of VistaGen California from 1998 to 2011, and was appointed to serve on the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23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7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We selected Dr. Snodgrass to serve on our Board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a unique understanding of the challenges and opportunities associated with pluripotent stem cell biology, as well as credibility in the markets in which we operate.</w:t>
      </w:r>
    </w:p>
    <w:p>
      <w:pPr>
        <w:spacing w:after="0" w:line="214" w:lineRule="exact"/>
        <w:rPr>
          <w:sz w:val="20"/>
          <w:szCs w:val="20"/>
          <w:color w:val="auto"/>
        </w:rPr>
      </w:pPr>
    </w:p>
    <w:p>
      <w:pPr>
        <w:jc w:val="both"/>
        <w:ind w:firstLine="594"/>
        <w:spacing w:after="0" w:line="270" w:lineRule="auto"/>
        <w:rPr>
          <w:sz w:val="20"/>
          <w:szCs w:val="20"/>
          <w:color w:val="auto"/>
        </w:rPr>
      </w:pPr>
      <w:r>
        <w:rPr>
          <w:rFonts w:ascii="Arial" w:cs="Arial" w:eastAsia="Arial" w:hAnsi="Arial"/>
          <w:sz w:val="17"/>
          <w:szCs w:val="17"/>
          <w:b w:val="1"/>
          <w:bCs w:val="1"/>
          <w:i w:val="1"/>
          <w:iCs w:val="1"/>
          <w:color w:val="auto"/>
        </w:rPr>
        <w:t xml:space="preserve">Brian J. Underdown, Ph.D. </w:t>
      </w:r>
      <w:r>
        <w:rPr>
          <w:rFonts w:ascii="Arial" w:cs="Arial" w:eastAsia="Arial" w:hAnsi="Arial"/>
          <w:sz w:val="17"/>
          <w:szCs w:val="17"/>
          <w:color w:val="auto"/>
        </w:rPr>
        <w:t>has served as a member of our Board since November 2009, first as a director of VistaGen California, then as a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Board after the completion of the Merger. Dr. Underdown is currently a Venture Partner with Lumira Capital Corp.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enGene Inc. Formation Biologics and Osteo QC. Some of Dr. Underdown’s previous board roles include: Argos Therapeutics (NASDAQ: ARGS), ID Biomedical (acquired by GlaxoSmithKline), Ception Therapeutics (acquired by Cephalon). He has served on a number of Boards and advisory bodies of government-sponsored research organizations including CANVAC, the Canadian National Centre of Excellence in Vaccines, Ontario Genomics Institute (Chair), Allergen, the Canadian National Centre of Excellence in Allergy and Asthma. Dr. Underdown obtained his Ph.D. in immunology from McGill University and undertook post-doctoral studies at Washington University School of Medicine.</w:t>
      </w:r>
    </w:p>
    <w:p>
      <w:pPr>
        <w:spacing w:after="0" w:line="178"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We selected Dr. Underdown to serve on our Board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81" w:lineRule="exact"/>
        <w:rPr>
          <w:sz w:val="20"/>
          <w:szCs w:val="20"/>
          <w:color w:val="auto"/>
        </w:rPr>
      </w:pPr>
    </w:p>
    <w:p>
      <w:pPr>
        <w:jc w:val="both"/>
        <w:ind w:firstLine="594"/>
        <w:spacing w:after="0" w:line="288"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on March 29, 2016. Dr. Gin is currently the co-founder and CEO of Nuvora,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96" w:lineRule="exact"/>
        <w:rPr>
          <w:sz w:val="20"/>
          <w:szCs w:val="20"/>
          <w:color w:val="auto"/>
        </w:rPr>
      </w:pPr>
    </w:p>
    <w:p>
      <w:pPr>
        <w:jc w:val="both"/>
        <w:ind w:right="20" w:firstLine="594"/>
        <w:spacing w:after="0" w:line="308" w:lineRule="auto"/>
        <w:rPr>
          <w:sz w:val="20"/>
          <w:szCs w:val="20"/>
          <w:color w:val="auto"/>
        </w:rPr>
      </w:pPr>
      <w:r>
        <w:rPr>
          <w:rFonts w:ascii="Arial" w:cs="Arial" w:eastAsia="Arial" w:hAnsi="Arial"/>
          <w:sz w:val="17"/>
          <w:szCs w:val="17"/>
          <w:color w:val="auto"/>
        </w:rPr>
        <w:t>We selected Dr. Gin to serve on our Board due to his extensive experience in the healthcare industry, focusing on founding and developing pharmaceutical, diagnostic and biotechnology companies and his expertise in propelling healthcare companies to their next platforms of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594"/>
        <w:spacing w:after="0" w:line="291" w:lineRule="auto"/>
        <w:rPr>
          <w:sz w:val="20"/>
          <w:szCs w:val="20"/>
          <w:color w:val="auto"/>
        </w:rPr>
      </w:pPr>
      <w:r>
        <w:rPr>
          <w:rFonts w:ascii="Arial" w:cs="Arial" w:eastAsia="Arial" w:hAnsi="Arial"/>
          <w:sz w:val="16"/>
          <w:szCs w:val="16"/>
          <w:color w:val="auto"/>
        </w:rPr>
        <w:t>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 We accrued for but did not pay our independent directors any cash compensation during our fiscal years ended March 31, 2016 or 2015.</w:t>
      </w:r>
    </w:p>
    <w:p>
      <w:pPr>
        <w:spacing w:after="0" w:line="167"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In September 2015, we granted fully vested warrants to purchase 50,000 shares of our restricted common stock at an exercise price of $9.25 per share to each of Mr. Saxe and Dr. Underdown. In November 2015, we modified those warrants, and others granted to them previously, to reduce the exercise price to $7.00 per share. On March 30, 2016, we granted an option to purchase 25,000 shares of our common stock to Dr. Gin upon his appointment to the Board, in accordance with the director compensation policy described above.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a summary of the compensation earned by our non-employee directors in our fiscal year ended March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Fees Earned or</w:t>
            </w:r>
          </w:p>
        </w:tc>
        <w:tc>
          <w:tcPr>
            <w:tcW w:w="6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Option and Warrant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180"/>
              <w:spacing w:after="0" w:line="216" w:lineRule="exact"/>
              <w:rPr>
                <w:sz w:val="20"/>
                <w:szCs w:val="20"/>
                <w:color w:val="auto"/>
              </w:rPr>
            </w:pPr>
            <w:r>
              <w:rPr>
                <w:rFonts w:ascii="Arial" w:cs="Arial" w:eastAsia="Arial" w:hAnsi="Arial"/>
                <w:sz w:val="18"/>
                <w:szCs w:val="18"/>
                <w:b w:val="1"/>
                <w:bCs w:val="1"/>
                <w:color w:val="auto"/>
                <w:w w:val="86"/>
              </w:rPr>
              <w:t xml:space="preserve">Paid in Cash </w:t>
            </w:r>
            <w:r>
              <w:rPr>
                <w:rFonts w:ascii="Arial" w:cs="Arial" w:eastAsia="Arial" w:hAnsi="Arial"/>
                <w:sz w:val="25"/>
                <w:szCs w:val="25"/>
                <w:b w:val="1"/>
                <w:bCs w:val="1"/>
                <w:color w:val="auto"/>
                <w:w w:val="86"/>
                <w:vertAlign w:val="superscript"/>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420"/>
              <w:spacing w:after="0" w:line="216"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5"/>
                <w:szCs w:val="25"/>
                <w:b w:val="1"/>
                <w:bCs w:val="1"/>
                <w:color w:val="auto"/>
                <w:w w:val="84"/>
                <w:vertAlign w:val="superscript"/>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Compensation</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324,816</w:t>
            </w:r>
            <w:r>
              <w:rPr>
                <w:rFonts w:ascii="Arial" w:cs="Arial" w:eastAsia="Arial" w:hAnsi="Arial"/>
                <w:sz w:val="12"/>
                <w:szCs w:val="12"/>
                <w:color w:val="auto"/>
              </w:rPr>
              <w:t>(6)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5"/>
                <w:szCs w:val="25"/>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57,500</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324,400</w:t>
            </w:r>
            <w:r>
              <w:rPr>
                <w:rFonts w:ascii="Arial" w:cs="Arial" w:eastAsia="Arial" w:hAnsi="Arial"/>
                <w:sz w:val="12"/>
                <w:szCs w:val="12"/>
                <w:color w:val="auto"/>
              </w:rPr>
              <w:t>(6)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381,900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5"/>
                <w:szCs w:val="25"/>
                <w:color w:val="auto"/>
                <w:vertAlign w:val="superscript"/>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181,103</w:t>
            </w:r>
            <w:r>
              <w:rPr>
                <w:rFonts w:ascii="Arial" w:cs="Arial" w:eastAsia="Arial" w:hAnsi="Arial"/>
                <w:sz w:val="12"/>
                <w:szCs w:val="12"/>
                <w:color w:val="auto"/>
              </w:rPr>
              <w:t>(7)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20" w:hanging="41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shown represent fees earned for service on our Board of Directors, and Audit Committee, Compensation Committee and Corporate Governance and Nominating Committee during the fiscal year ended March 31, 2016, which we accrued in full at that date and a portion of which has been paid to the director through the date of this Proxy Statement.</w:t>
      </w:r>
    </w:p>
    <w:p>
      <w:pPr>
        <w:spacing w:after="0" w:line="181" w:lineRule="exact"/>
        <w:rPr>
          <w:rFonts w:ascii="Arial" w:cs="Arial" w:eastAsia="Arial" w:hAnsi="Arial"/>
          <w:sz w:val="18"/>
          <w:szCs w:val="18"/>
          <w:color w:val="auto"/>
        </w:rPr>
      </w:pPr>
    </w:p>
    <w:p>
      <w:pPr>
        <w:jc w:val="both"/>
        <w:ind w:left="420" w:hanging="412"/>
        <w:spacing w:after="0" w:line="271" w:lineRule="auto"/>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amounts in the Option and Warrant Awards column represent the aggregate grant date fair value of warrants or options to purchase shares of our common stock awarded to Mr. Saxe, Dr. Underdown and Dr. Gin, and the effect of modifications to prior grants of warrants to Mr. Saxe and Dr. Underdown occurring during our fiscal year ended March 31, 2016,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2016.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78" w:lineRule="exact"/>
        <w:rPr>
          <w:rFonts w:ascii="Arial" w:cs="Arial" w:eastAsia="Arial" w:hAnsi="Arial"/>
          <w:sz w:val="17"/>
          <w:szCs w:val="17"/>
          <w:color w:val="auto"/>
        </w:rPr>
      </w:pPr>
    </w:p>
    <w:p>
      <w:pPr>
        <w:jc w:val="both"/>
        <w:ind w:left="420" w:hanging="412"/>
        <w:spacing w:after="0" w:line="25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Saxe has served as the Chairman of our Board, the Chairman of our Audit Committee and a member of our Compensation Committee and Corporate Governance and Nominating Committee throughout our fiscal year ended March 31, 2016. At March 31, 2016, Mr. Saxe holds: (i) 1,875 restricted shares of our common stock; (ii) fully-vested options to purchase 12,250 registered shares of our common stock; and (iii) warrants to purchase 83,250 restricted shares of our common stock, of which 82,438 shares are exercisable and of which the remaining 812 shares became exercisable on April 1, 2016.</w:t>
      </w:r>
    </w:p>
    <w:p>
      <w:pPr>
        <w:spacing w:after="0" w:line="188" w:lineRule="exact"/>
        <w:rPr>
          <w:rFonts w:ascii="Arial" w:cs="Arial" w:eastAsia="Arial" w:hAnsi="Arial"/>
          <w:sz w:val="18"/>
          <w:szCs w:val="18"/>
          <w:color w:val="auto"/>
        </w:rPr>
      </w:pPr>
    </w:p>
    <w:p>
      <w:pPr>
        <w:jc w:val="both"/>
        <w:ind w:left="420" w:hanging="412"/>
        <w:spacing w:after="0" w:line="30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Dr. Underdown has served as a member of our Board, as the Chairman of our Compensation Committee and Corporate Governance and Nominating Committee and as a member of our Audit Committee throughout our fiscal year ended March 31, 2016. At March 31, 2016, Dr. Underdown holds: (i) fully-vested options to purchase 9,250 registered shares of our common stock, and (ii) warrants to purchase 82,500 restricted shares of our common stock, of which 81,875 shares are exercisable as of March 31, 2016 and of which the remaining 625 shares became exercisable on April 1, 2016.</w:t>
      </w:r>
    </w:p>
    <w:p>
      <w:pPr>
        <w:spacing w:after="0" w:line="154" w:lineRule="exact"/>
        <w:rPr>
          <w:rFonts w:ascii="Arial" w:cs="Arial" w:eastAsia="Arial" w:hAnsi="Arial"/>
          <w:sz w:val="16"/>
          <w:szCs w:val="16"/>
          <w:color w:val="auto"/>
        </w:rPr>
      </w:pPr>
    </w:p>
    <w:p>
      <w:pPr>
        <w:jc w:val="both"/>
        <w:ind w:left="420" w:hanging="41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 Gin was appointed to our Board and as a member of our Audit Committee on March 29, 2016. At March 31, 2016, Dr. Gin holds an option to purchase 25,000 registered shares of our common stock granted in connection with his appointment to the Board, in accordance with the director compensation policy described above.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both"/>
        <w:ind w:left="420" w:right="20" w:hanging="412"/>
        <w:spacing w:after="0" w:line="34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warrant awards and modifications we granted to Mr. Saxe and Dr. Underdown during fiscal 2016 and the assumptions used in the Black Scholes Option Pricing Model to determine the grant date fair values of the respective awards and modifications.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Warrant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Warrant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Grant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8"/>
                <w:szCs w:val="18"/>
                <w:color w:val="auto"/>
                <w:w w:val="97"/>
              </w:rPr>
              <w:t>Modification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91"/>
              </w:rPr>
              <w:t>9/2/2015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11/11/2015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Mr. Saxe</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284,066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Dr. Underdown</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284,066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40,334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324,400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3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568,132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81,084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649,216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11"/>
          </w:tcPr>
          <w:p>
            <w:pPr>
              <w:jc w:val="right"/>
              <w:ind w:right="240"/>
              <w:spacing w:after="0"/>
              <w:rPr>
                <w:sz w:val="20"/>
                <w:szCs w:val="20"/>
                <w:color w:val="auto"/>
              </w:rPr>
            </w:pPr>
            <w:r>
              <w:rPr>
                <w:rFonts w:ascii="Arial" w:cs="Arial" w:eastAsia="Arial" w:hAnsi="Arial"/>
                <w:sz w:val="18"/>
                <w:szCs w:val="18"/>
                <w:color w:val="auto"/>
                <w:w w:val="88"/>
              </w:rPr>
              <w:t>Weighted Average (except shares)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Before</w:t>
            </w:r>
          </w:p>
        </w:tc>
        <w:tc>
          <w:tcPr>
            <w:tcW w:w="240" w:type="dxa"/>
            <w:vAlign w:val="bottom"/>
            <w:tcBorders>
              <w:top w:val="single" w:sz="8" w:color="auto"/>
            </w:tcBorders>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After</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Volatility</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76.21%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Dividend rate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Fair value per share</w:t>
            </w:r>
          </w:p>
        </w:tc>
        <w:tc>
          <w:tcPr>
            <w:tcW w:w="2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165,750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color w:val="auto"/>
        </w:rPr>
        <w:t>Mr. Saxe and Dr. Underdown were each granted warrants to purchase 50,000 restricted shares of our common stock. We modified warrants to purchase an aggregate of 83,250 shares and 82,500 shares held by Mr. Saxe and Dr. Underdown, respectively.</w:t>
      </w:r>
    </w:p>
    <w:p>
      <w:pPr>
        <w:spacing w:after="0" w:line="170" w:lineRule="exact"/>
        <w:rPr>
          <w:sz w:val="20"/>
          <w:szCs w:val="20"/>
          <w:color w:val="auto"/>
        </w:rPr>
      </w:pPr>
    </w:p>
    <w:p>
      <w:pPr>
        <w:ind w:left="420" w:right="520" w:hanging="412"/>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 we granted to Dr. Gin during fiscal 2016 and the assumptions used in the Black Scholes Option Pricing Model to determine the grant date fair value of the award as reported in the table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Volatility</w:t>
            </w:r>
          </w:p>
        </w:tc>
        <w:tc>
          <w:tcPr>
            <w:tcW w:w="4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Dividend rate</w:t>
            </w:r>
          </w:p>
        </w:tc>
        <w:tc>
          <w:tcPr>
            <w:tcW w:w="4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Fair value per share</w:t>
            </w:r>
          </w:p>
        </w:tc>
        <w:tc>
          <w:tcPr>
            <w:tcW w:w="45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Option shares granted</w:t>
            </w:r>
          </w:p>
        </w:tc>
        <w:tc>
          <w:tcPr>
            <w:tcW w:w="45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Board of Directors, Committee and Stockholder Meetings</w:t>
      </w:r>
    </w:p>
    <w:p>
      <w:pPr>
        <w:spacing w:after="0" w:line="225"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Our Board met one time and acted by unanimous written consent eight times during the fiscal year ended March 31, 2016. Our Audit Committee met four times and our Compensation Committee requested action by the entire Board of Directors for grants of warrants and the modification of certain warrants during the same period. Our Nominating and Corporate Governance Committee requested action by the entire Board of Directors with respect to the March 2016 appointment of Dr. Gin to the Board and Audit Committee. Each director serving during fiscal 2016 attended all of the meetings of the Board and the committees of the Board upon which such director served that were held during the term of his service.</w:t>
      </w:r>
    </w:p>
    <w:p>
      <w:pPr>
        <w:spacing w:after="0" w:line="173" w:lineRule="exact"/>
        <w:rPr>
          <w:sz w:val="20"/>
          <w:szCs w:val="20"/>
          <w:color w:val="auto"/>
        </w:rPr>
      </w:pPr>
    </w:p>
    <w:p>
      <w:pPr>
        <w:jc w:val="both"/>
        <w:ind w:right="20" w:firstLine="594"/>
        <w:spacing w:after="0" w:line="277" w:lineRule="auto"/>
        <w:rPr>
          <w:sz w:val="20"/>
          <w:szCs w:val="20"/>
          <w:color w:val="auto"/>
        </w:rPr>
      </w:pPr>
      <w:r>
        <w:rPr>
          <w:rFonts w:ascii="Arial" w:cs="Arial" w:eastAsia="Arial" w:hAnsi="Arial"/>
          <w:sz w:val="18"/>
          <w:szCs w:val="18"/>
          <w:color w:val="auto"/>
        </w:rPr>
        <w:t>We do not have a formal policy regarding attendance by members of the Board at our annual meeting of stockholders, but directors are encouraged to attend. We did not hold an annual meeting of stockholders during our fiscal year ended March 31, 2016.</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jc w:val="both"/>
        <w:ind w:right="20" w:firstLine="594"/>
        <w:spacing w:after="0" w:line="264" w:lineRule="auto"/>
        <w:rPr>
          <w:sz w:val="20"/>
          <w:szCs w:val="20"/>
          <w:color w:val="auto"/>
        </w:rPr>
      </w:pPr>
      <w:r>
        <w:rPr>
          <w:rFonts w:ascii="Arial" w:cs="Arial" w:eastAsia="Arial" w:hAnsi="Arial"/>
          <w:sz w:val="18"/>
          <w:szCs w:val="18"/>
          <w:color w:val="auto"/>
        </w:rPr>
        <w:t>Our common stock is currently listed on The NASDAQ Capital Market, which has a requirement that a majority of our directors be independent. Accordingly, we evaluate independence by the standards for director independence established by applicable laws, rules, and listing standards, including, without limitation, the standards for independent directors established by the SEC and the NASDAQ Stock Market.</w:t>
      </w:r>
    </w:p>
    <w:p>
      <w:pPr>
        <w:spacing w:after="0" w:line="208" w:lineRule="exact"/>
        <w:rPr>
          <w:sz w:val="20"/>
          <w:szCs w:val="20"/>
          <w:color w:val="auto"/>
        </w:rPr>
      </w:pPr>
    </w:p>
    <w:p>
      <w:pPr>
        <w:jc w:val="both"/>
        <w:ind w:firstLine="594"/>
        <w:spacing w:after="0" w:line="270" w:lineRule="auto"/>
        <w:rPr>
          <w:sz w:val="20"/>
          <w:szCs w:val="20"/>
          <w:color w:val="auto"/>
        </w:rPr>
      </w:pPr>
      <w:r>
        <w:rPr>
          <w:rFonts w:ascii="Arial" w:cs="Arial" w:eastAsia="Arial" w:hAnsi="Arial"/>
          <w:sz w:val="17"/>
          <w:szCs w:val="17"/>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209" w:lineRule="exact"/>
        <w:rPr>
          <w:sz w:val="20"/>
          <w:szCs w:val="20"/>
          <w:color w:val="auto"/>
        </w:rPr>
      </w:pPr>
    </w:p>
    <w:p>
      <w:pPr>
        <w:jc w:val="both"/>
        <w:ind w:firstLine="594"/>
        <w:spacing w:after="0" w:line="272" w:lineRule="auto"/>
        <w:rPr>
          <w:sz w:val="20"/>
          <w:szCs w:val="20"/>
          <w:color w:val="auto"/>
        </w:rPr>
      </w:pPr>
      <w:r>
        <w:rPr>
          <w:rFonts w:ascii="Arial" w:cs="Arial" w:eastAsia="Arial" w:hAnsi="Arial"/>
          <w:sz w:val="17"/>
          <w:szCs w:val="17"/>
          <w:color w:val="auto"/>
        </w:rPr>
        <w:t>Our Board has undertaken a review of its composition, the composition of its committees and the independence of each director. Based upon information requested from and provided by each director concerning his background, employment and affiliations, including family relationships, our Board has determined that Mr. Saxe, Dr. Underdown and Dr. Gin are “independent” as that term is defined under the applicable rules and regulations of the SEC. Our Board has also determined that Mr. Saxe and Dr. Underdown, who comprise our audit committee, compensation committee, corporate governance and nominating committee, and Dr. Gin, who serves as a member of our audit committee, satisfy the independence standards for those committees established by applicable SEC rules. In making these determinations, our Board considered the current and prior relationships that each non-employee director has with the Company and all other facts and circumstances that our Board deemed relevant.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29" w:lineRule="exact"/>
        <w:rPr>
          <w:sz w:val="20"/>
          <w:szCs w:val="20"/>
          <w:color w:val="auto"/>
        </w:rPr>
      </w:pPr>
    </w:p>
    <w:p>
      <w:pPr>
        <w:jc w:val="both"/>
        <w:ind w:firstLine="594"/>
        <w:spacing w:after="0" w:line="279" w:lineRule="auto"/>
        <w:rPr>
          <w:sz w:val="20"/>
          <w:szCs w:val="20"/>
          <w:color w:val="auto"/>
        </w:rPr>
      </w:pPr>
      <w:r>
        <w:rPr>
          <w:rFonts w:ascii="Arial" w:cs="Arial" w:eastAsia="Arial" w:hAnsi="Arial"/>
          <w:sz w:val="17"/>
          <w:szCs w:val="17"/>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Our independent directors, Mr. Saxe, Dr. Underdown and Dr. Gin, are each members of the Audit Committee. Mr. Saxe and Dr. Underdown also currently serve as members of the Compensation Committee and the Corporate Governance and Nominating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Our Audit Committee is comprised of Mr. Saxe, Dr. Underdown and Dr. Gin.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87" w:lineRule="exact"/>
        <w:rPr>
          <w:sz w:val="20"/>
          <w:szCs w:val="20"/>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firstLine="792"/>
        <w:spacing w:after="0" w:line="308" w:lineRule="auto"/>
        <w:rPr>
          <w:sz w:val="20"/>
          <w:szCs w:val="20"/>
          <w:color w:val="auto"/>
        </w:rPr>
      </w:pPr>
      <w:r>
        <w:rPr>
          <w:rFonts w:ascii="Arial" w:cs="Arial" w:eastAsia="Arial" w:hAnsi="Arial"/>
          <w:sz w:val="17"/>
          <w:szCs w:val="17"/>
          <w:color w:val="auto"/>
        </w:rPr>
        <w:t>Our Compensation Committee is comprised of Mr. Saxe and Dr. Underdown, who serve as the committee chairman. Our Compensation Committee charter is available on our website. Under its charter, the Compensation Committee is primarily responsible for, among other things:</w:t>
      </w:r>
    </w:p>
    <w:p>
      <w:pPr>
        <w:spacing w:after="0" w:line="147" w:lineRule="exact"/>
        <w:rPr>
          <w:sz w:val="20"/>
          <w:szCs w:val="20"/>
          <w:color w:val="auto"/>
        </w:rPr>
      </w:pPr>
    </w:p>
    <w:p>
      <w:pPr>
        <w:jc w:val="both"/>
        <w:ind w:left="1000" w:hanging="256"/>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213" w:lineRule="exact"/>
        <w:rPr>
          <w:rFonts w:ascii="Arial" w:cs="Arial" w:eastAsia="Arial" w:hAnsi="Arial"/>
          <w:sz w:val="18"/>
          <w:szCs w:val="18"/>
          <w:color w:val="auto"/>
        </w:rPr>
      </w:pPr>
    </w:p>
    <w:p>
      <w:pPr>
        <w:ind w:left="1000" w:hanging="25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52" w:lineRule="exact"/>
        <w:rPr>
          <w:rFonts w:ascii="Arial" w:cs="Arial" w:eastAsia="Arial" w:hAnsi="Arial"/>
          <w:sz w:val="18"/>
          <w:szCs w:val="18"/>
          <w:color w:val="auto"/>
        </w:rPr>
      </w:pPr>
    </w:p>
    <w:p>
      <w:pPr>
        <w:ind w:left="1000" w:hanging="256"/>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97" w:lineRule="exact"/>
        <w:rPr>
          <w:rFonts w:ascii="Arial" w:cs="Arial" w:eastAsia="Arial" w:hAnsi="Arial"/>
          <w:sz w:val="18"/>
          <w:szCs w:val="18"/>
          <w:color w:val="auto"/>
        </w:rPr>
      </w:pPr>
    </w:p>
    <w:p>
      <w:pPr>
        <w:ind w:left="1000" w:right="20" w:hanging="256"/>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goals and objectives relevant to CEO compensation, evaluating CEO performance in light of such goals and objectives, and determining CEO compensation based on the evaluation;</w:t>
      </w:r>
    </w:p>
    <w:p>
      <w:pPr>
        <w:spacing w:after="0" w:line="197" w:lineRule="exact"/>
        <w:rPr>
          <w:rFonts w:ascii="Arial" w:cs="Arial" w:eastAsia="Arial" w:hAnsi="Arial"/>
          <w:sz w:val="18"/>
          <w:szCs w:val="18"/>
          <w:color w:val="auto"/>
        </w:rPr>
      </w:pPr>
    </w:p>
    <w:p>
      <w:pPr>
        <w:jc w:val="both"/>
        <w:ind w:left="1000" w:hanging="256"/>
        <w:spacing w:after="0" w:line="264"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208" w:lineRule="exact"/>
        <w:rPr>
          <w:rFonts w:ascii="Arial" w:cs="Arial" w:eastAsia="Arial" w:hAnsi="Arial"/>
          <w:sz w:val="18"/>
          <w:szCs w:val="18"/>
          <w:color w:val="auto"/>
        </w:rPr>
      </w:pPr>
    </w:p>
    <w:p>
      <w:pPr>
        <w:ind w:left="1000" w:hanging="25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52" w:lineRule="exact"/>
        <w:rPr>
          <w:rFonts w:ascii="Arial" w:cs="Arial" w:eastAsia="Arial" w:hAnsi="Arial"/>
          <w:sz w:val="18"/>
          <w:szCs w:val="18"/>
          <w:color w:val="auto"/>
        </w:rPr>
      </w:pPr>
    </w:p>
    <w:p>
      <w:pPr>
        <w:ind w:left="1000" w:right="20" w:hanging="256"/>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792"/>
        <w:spacing w:after="0" w:line="264" w:lineRule="auto"/>
        <w:rPr>
          <w:sz w:val="20"/>
          <w:szCs w:val="20"/>
          <w:color w:val="auto"/>
        </w:rPr>
      </w:pPr>
      <w:r>
        <w:rPr>
          <w:rFonts w:ascii="Arial" w:cs="Arial" w:eastAsia="Arial" w:hAnsi="Arial"/>
          <w:sz w:val="18"/>
          <w:szCs w:val="18"/>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81" w:lineRule="exact"/>
        <w:rPr>
          <w:sz w:val="20"/>
          <w:szCs w:val="20"/>
          <w:color w:val="auto"/>
        </w:rPr>
      </w:pPr>
    </w:p>
    <w:p>
      <w:pPr>
        <w:ind w:left="1000" w:hanging="25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52" w:lineRule="exact"/>
        <w:rPr>
          <w:rFonts w:ascii="Arial" w:cs="Arial" w:eastAsia="Arial" w:hAnsi="Arial"/>
          <w:sz w:val="18"/>
          <w:szCs w:val="18"/>
          <w:color w:val="auto"/>
        </w:rPr>
      </w:pPr>
    </w:p>
    <w:p>
      <w:pPr>
        <w:ind w:left="1000" w:hanging="25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52" w:lineRule="exact"/>
        <w:rPr>
          <w:rFonts w:ascii="Arial" w:cs="Arial" w:eastAsia="Arial" w:hAnsi="Arial"/>
          <w:sz w:val="18"/>
          <w:szCs w:val="18"/>
          <w:color w:val="auto"/>
        </w:rPr>
      </w:pPr>
    </w:p>
    <w:p>
      <w:pPr>
        <w:ind w:left="1000" w:hanging="256"/>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97" w:lineRule="exact"/>
        <w:rPr>
          <w:rFonts w:ascii="Arial" w:cs="Arial" w:eastAsia="Arial" w:hAnsi="Arial"/>
          <w:sz w:val="18"/>
          <w:szCs w:val="18"/>
          <w:color w:val="auto"/>
        </w:rPr>
      </w:pPr>
    </w:p>
    <w:p>
      <w:pPr>
        <w:ind w:left="1000" w:hanging="256"/>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ind w:firstLine="594"/>
        <w:spacing w:after="0" w:line="308" w:lineRule="auto"/>
        <w:rPr>
          <w:sz w:val="20"/>
          <w:szCs w:val="20"/>
          <w:color w:val="auto"/>
        </w:rPr>
      </w:pPr>
      <w:r>
        <w:rPr>
          <w:rFonts w:ascii="Arial" w:cs="Arial" w:eastAsia="Arial" w:hAnsi="Arial"/>
          <w:sz w:val="17"/>
          <w:szCs w:val="17"/>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594"/>
        <w:spacing w:after="0" w:line="297"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The Chief Executive Officer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However,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29"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38"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APPROVAL OF THE AMENDED AND RESTATED 2016 EQUITY INCENTIVE PLAN, AND RATIFICATION OF ALL ISSUANCES THEREUNDER TO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792"/>
        <w:spacing w:after="0" w:line="290" w:lineRule="auto"/>
        <w:rPr>
          <w:sz w:val="20"/>
          <w:szCs w:val="20"/>
          <w:color w:val="auto"/>
        </w:rPr>
      </w:pPr>
      <w:r>
        <w:rPr>
          <w:rFonts w:ascii="Arial" w:cs="Arial" w:eastAsia="Arial" w:hAnsi="Arial"/>
          <w:sz w:val="16"/>
          <w:szCs w:val="16"/>
          <w:color w:val="auto"/>
        </w:rPr>
        <w:t>Our Board unanimously approved the Company’s amended and restated 2016 Equity Incentive Plan, formerly titled the 2008 Equity Incentive Plan, on July 26, 2016. Board-approved amendments to the 2016 Plan include increasing the number of shares of the Company’s common stock authorized for issuance from 1.0 million to 3.0 million, increasing the maximum number of shares of common stock that may be granted to a Grantee (as such term is defined in the 2016 Plan) in any calendar year from 125,000 to 300,000 shares (350,000 shares if the grant is issued in connection with the commencement of service to the Company), and extending the expiration date of the 2016 Plan to July 26, 2026. The 2016 Plan also delegates the authority to administer the 2016 Plan to the Company’s Compensation Committee, and removes certain provisions that only pertained to the Company before becoming a publicly traded entity. As of the date of this Proxy Statement, a total of 105,000 Awards (as such term is defined in the 2016 Plan) have been issued, conditioned upon approval of the 2016 Plan by the Company’s stockholders. Details regarding these issuances are presented below, under the section titled “</w:t>
      </w:r>
      <w:r>
        <w:rPr>
          <w:rFonts w:ascii="Arial" w:cs="Arial" w:eastAsia="Arial" w:hAnsi="Arial"/>
          <w:sz w:val="16"/>
          <w:szCs w:val="16"/>
          <w:i w:val="1"/>
          <w:iCs w:val="1"/>
          <w:color w:val="auto"/>
        </w:rPr>
        <w:t>Plan Benefits</w:t>
      </w:r>
      <w:r>
        <w:rPr>
          <w:rFonts w:ascii="Arial" w:cs="Arial" w:eastAsia="Arial" w:hAnsi="Arial"/>
          <w:sz w:val="16"/>
          <w:szCs w:val="16"/>
          <w:color w:val="auto"/>
        </w:rPr>
        <w:t>.”</w:t>
      </w:r>
    </w:p>
    <w:p>
      <w:pPr>
        <w:spacing w:after="0" w:line="193" w:lineRule="exact"/>
        <w:rPr>
          <w:sz w:val="20"/>
          <w:szCs w:val="20"/>
          <w:color w:val="auto"/>
        </w:rPr>
      </w:pPr>
    </w:p>
    <w:p>
      <w:pPr>
        <w:jc w:val="both"/>
        <w:ind w:firstLine="792"/>
        <w:spacing w:after="0" w:line="264" w:lineRule="auto"/>
        <w:rPr>
          <w:sz w:val="20"/>
          <w:szCs w:val="20"/>
          <w:color w:val="auto"/>
        </w:rPr>
      </w:pPr>
      <w:r>
        <w:rPr>
          <w:rFonts w:ascii="Arial" w:cs="Arial" w:eastAsia="Arial" w:hAnsi="Arial"/>
          <w:sz w:val="18"/>
          <w:szCs w:val="18"/>
          <w:color w:val="auto"/>
        </w:rPr>
        <w:t xml:space="preserve">Below is a summary of the terms and conditions of the 2016 Plan. Unless otherwise indicated, all capitalized terms shall have the same meaning as defined in the 2016 Plan. This summary does not purport to be complete, and is qualified, in its entirety, by the specific language of the Amended and Restated 2016 Equity Incentive Plan, as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2016 Plan</w:t>
      </w:r>
    </w:p>
    <w:p>
      <w:pPr>
        <w:spacing w:after="0" w:line="256" w:lineRule="exact"/>
        <w:rPr>
          <w:sz w:val="20"/>
          <w:szCs w:val="20"/>
          <w:color w:val="auto"/>
        </w:rPr>
      </w:pPr>
    </w:p>
    <w:p>
      <w:pPr>
        <w:jc w:val="both"/>
        <w:ind w:firstLine="594"/>
        <w:spacing w:after="0" w:line="302"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may grant incentive stock options only to employees of the Company or any parent or subsidiary of the Company. Awards other than incentive stock options may be granted to employees, directors and consultants.</w:t>
      </w:r>
    </w:p>
    <w:p>
      <w:pPr>
        <w:spacing w:after="0" w:line="181"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The Compensation Committee of the Board of Directors, referred to as the “Committee”, administers the 2016 Plan, including selecting the Award recipients, determining the number of shares to be subject to each Award, the exercise or purchase price of each Award and the vesting and exercise periods of each Award.</w:t>
      </w:r>
    </w:p>
    <w:p>
      <w:pPr>
        <w:spacing w:after="0" w:line="181"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Committee determines the term and exercise or purchase price of all other Awards granted under the 2016 Plan.</w:t>
      </w:r>
    </w:p>
    <w:p>
      <w:pPr>
        <w:spacing w:after="0" w:line="189"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81" w:lineRule="exact"/>
        <w:rPr>
          <w:sz w:val="20"/>
          <w:szCs w:val="20"/>
          <w:color w:val="auto"/>
        </w:rPr>
      </w:pPr>
    </w:p>
    <w:p>
      <w:pPr>
        <w:ind w:left="880" w:hanging="25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25" w:lineRule="exact"/>
        <w:rPr>
          <w:rFonts w:ascii="Arial" w:cs="Arial" w:eastAsia="Arial" w:hAnsi="Arial"/>
          <w:sz w:val="18"/>
          <w:szCs w:val="18"/>
          <w:color w:val="auto"/>
        </w:rPr>
      </w:pPr>
    </w:p>
    <w:p>
      <w:pPr>
        <w:ind w:left="880" w:hanging="25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both"/>
        <w:ind w:firstLine="594"/>
        <w:spacing w:after="0" w:line="269" w:lineRule="auto"/>
        <w:rPr>
          <w:sz w:val="20"/>
          <w:szCs w:val="20"/>
          <w:color w:val="auto"/>
        </w:rPr>
      </w:pPr>
      <w:r>
        <w:rPr>
          <w:rFonts w:ascii="Arial" w:cs="Arial" w:eastAsia="Arial" w:hAnsi="Arial"/>
          <w:sz w:val="17"/>
          <w:szCs w:val="17"/>
          <w:color w:val="auto"/>
        </w:rPr>
        <w:t>The 2016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Grantee’s Award was unvested at the date of termination, or if the participant does not exercise the vested portion of the Grantee’s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Committee).</w:t>
      </w:r>
    </w:p>
    <w:p>
      <w:pPr>
        <w:spacing w:after="0" w:line="180" w:lineRule="exact"/>
        <w:rPr>
          <w:sz w:val="20"/>
          <w:szCs w:val="20"/>
          <w:color w:val="auto"/>
        </w:rPr>
      </w:pPr>
    </w:p>
    <w:p>
      <w:pPr>
        <w:jc w:val="both"/>
        <w:ind w:firstLine="594"/>
        <w:spacing w:after="0" w:line="293"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65" w:lineRule="exact"/>
        <w:rPr>
          <w:sz w:val="20"/>
          <w:szCs w:val="20"/>
          <w:color w:val="auto"/>
        </w:rPr>
      </w:pPr>
    </w:p>
    <w:p>
      <w:pPr>
        <w:jc w:val="both"/>
        <w:ind w:firstLine="594"/>
        <w:spacing w:after="0" w:line="312" w:lineRule="auto"/>
        <w:rPr>
          <w:sz w:val="20"/>
          <w:szCs w:val="20"/>
          <w:color w:val="auto"/>
        </w:rPr>
      </w:pPr>
      <w:r>
        <w:rPr>
          <w:rFonts w:ascii="Arial" w:cs="Arial" w:eastAsia="Arial" w:hAnsi="Arial"/>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the following:</w:t>
      </w:r>
    </w:p>
    <w:p>
      <w:pPr>
        <w:spacing w:after="0" w:line="174" w:lineRule="exact"/>
        <w:rPr>
          <w:sz w:val="20"/>
          <w:szCs w:val="20"/>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23"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9" w:lineRule="exact"/>
        <w:rPr>
          <w:rFonts w:ascii="Arial" w:cs="Arial" w:eastAsia="Arial" w:hAnsi="Arial"/>
          <w:sz w:val="18"/>
          <w:szCs w:val="18"/>
          <w:color w:val="auto"/>
        </w:rPr>
      </w:pPr>
    </w:p>
    <w:p>
      <w:pPr>
        <w:ind w:left="940" w:hanging="381"/>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11"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2016 Plan, the exercise or purchase price of each outstanding Award, the maximum number of shares of common stock that may be granted subject to Awards to any participant in a calendar year, and the like, shall be proportionally adjusted by the Committee in the event of any increase or decrease in the number of issued shares of common stock resulting from certain changes in our capital structure as described in the 2016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594"/>
        <w:spacing w:after="0" w:line="270" w:lineRule="auto"/>
        <w:rPr>
          <w:sz w:val="20"/>
          <w:szCs w:val="20"/>
          <w:color w:val="auto"/>
        </w:rPr>
      </w:pPr>
      <w:r>
        <w:rPr>
          <w:rFonts w:ascii="Arial" w:cs="Arial" w:eastAsia="Arial" w:hAnsi="Arial"/>
          <w:sz w:val="17"/>
          <w:szCs w:val="17"/>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880" w:hanging="253"/>
        <w:spacing w:after="0" w:line="308"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73" w:lineRule="exact"/>
        <w:rPr>
          <w:rFonts w:ascii="Arial" w:cs="Arial" w:eastAsia="Arial" w:hAnsi="Arial"/>
          <w:sz w:val="17"/>
          <w:szCs w:val="17"/>
          <w:color w:val="auto"/>
        </w:rPr>
      </w:pPr>
    </w:p>
    <w:p>
      <w:pPr>
        <w:jc w:val="both"/>
        <w:ind w:left="880" w:hanging="253"/>
        <w:spacing w:after="0" w:line="259"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86" w:lineRule="exact"/>
        <w:rPr>
          <w:rFonts w:ascii="Arial" w:cs="Arial" w:eastAsia="Arial" w:hAnsi="Arial"/>
          <w:sz w:val="18"/>
          <w:szCs w:val="18"/>
          <w:color w:val="auto"/>
        </w:rPr>
      </w:pPr>
    </w:p>
    <w:p>
      <w:pPr>
        <w:ind w:left="880" w:hanging="25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52" w:lineRule="exact"/>
        <w:rPr>
          <w:rFonts w:ascii="Arial" w:cs="Arial" w:eastAsia="Arial" w:hAnsi="Arial"/>
          <w:sz w:val="18"/>
          <w:szCs w:val="18"/>
          <w:color w:val="auto"/>
        </w:rPr>
      </w:pPr>
    </w:p>
    <w:p>
      <w:pPr>
        <w:ind w:left="880" w:hanging="25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52" w:lineRule="exact"/>
        <w:rPr>
          <w:rFonts w:ascii="Arial" w:cs="Arial" w:eastAsia="Arial" w:hAnsi="Arial"/>
          <w:sz w:val="18"/>
          <w:szCs w:val="18"/>
          <w:color w:val="auto"/>
        </w:rPr>
      </w:pPr>
    </w:p>
    <w:p>
      <w:pPr>
        <w:ind w:left="880" w:hanging="25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81" w:lineRule="exact"/>
        <w:rPr>
          <w:sz w:val="20"/>
          <w:szCs w:val="20"/>
          <w:color w:val="auto"/>
        </w:rPr>
      </w:pPr>
    </w:p>
    <w:p>
      <w:pPr>
        <w:jc w:val="both"/>
        <w:ind w:firstLine="594"/>
        <w:spacing w:after="0" w:line="302"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August 8, 2016, options to purchase an aggregate of 974,758 shares of our common stock were outstanding under the 2016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jc w:val="both"/>
        <w:ind w:firstLine="594"/>
        <w:spacing w:after="0" w:line="297" w:lineRule="auto"/>
        <w:rPr>
          <w:sz w:val="20"/>
          <w:szCs w:val="20"/>
          <w:color w:val="auto"/>
        </w:rPr>
      </w:pPr>
      <w:r>
        <w:rPr>
          <w:rFonts w:ascii="Arial" w:cs="Arial" w:eastAsia="Arial" w:hAnsi="Arial"/>
          <w:sz w:val="16"/>
          <w:szCs w:val="16"/>
          <w:color w:val="auto"/>
        </w:rPr>
        <w:t>The 2016 Plan is, in part, is a qualified plan for federal income tax purposes. As such, the Company is entitled to (i) withhold and deduct from future wages of any Grantee, or make other arrangements for the collection of, all legally required amounts necessary to satisfy any and all federal, state and local withholding and employment-related tax requirements attributable to an Award, including, without limitation, the grant, exercise or vesting of, or payment of dividends with respect to, an Award or a disqualifying disposition of stock received upon exercise of an Award, or (ii) require the Grantee promptly to remit the amount of such withholding to the Company before taking any action, including issuing any shares of common stock, with respect to an Award.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Plan Benefits</w:t>
      </w:r>
    </w:p>
    <w:p>
      <w:pPr>
        <w:spacing w:after="0" w:line="256"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Participation in the 2016 Plan is entirely within the discretion of the Committee. Because we cannot predict the predict the rate at which the Committee will issue Awards or the terms of Awards granted under the 2016 Plan, it is not possible to determine the number of shares that will be purchased or the value of benefits that may be obtained by executive officers and other employees under the 2016 Plan in the future.</w:t>
      </w:r>
    </w:p>
    <w:p>
      <w:pPr>
        <w:spacing w:after="0" w:line="208"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The following table sets forth information with respect to issuances under the 2016 Plan subject to the ratification of such grants by our stockholders through the date of this Proxy Statement to each of our current executive officers, outside directors and employees: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Issuances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Amended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2016 Equity</w:t>
            </w:r>
          </w:p>
        </w:tc>
        <w:tc>
          <w:tcPr>
            <w:tcW w:w="0" w:type="dxa"/>
            <w:vAlign w:val="bottom"/>
          </w:tcPr>
          <w:p>
            <w:pPr>
              <w:spacing w:after="0"/>
              <w:rPr>
                <w:sz w:val="1"/>
                <w:szCs w:val="1"/>
                <w:color w:val="auto"/>
              </w:rPr>
            </w:pP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auto"/>
              </w:rPr>
              <w:t>Name and Position</w:t>
            </w: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Incentive Plan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color w:val="auto"/>
                <w:w w:val="87"/>
              </w:rPr>
              <w:t xml:space="preserve">No. of Shares </w:t>
            </w:r>
            <w:r>
              <w:rPr>
                <w:rFonts w:ascii="Arial" w:cs="Arial" w:eastAsia="Arial" w:hAnsi="Arial"/>
                <w:sz w:val="25"/>
                <w:szCs w:val="25"/>
                <w:color w:val="auto"/>
                <w:w w:val="87"/>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Director</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 Officer, Secretary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Outside Directors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Employees (excluding executive officers)</w:t>
            </w: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9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Awards issued under the 2016 Plan to date have been in the form of stock options exercisable, subject to vesting provisions, at $3.49 per share for a period 10 years from June 19, 2016. As of the date of this Proxy Statement, none of the stock options issued under the 2016 Plan have vested or otherwise become eligible for exercise by the grantee.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29"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The affirmative “FOR” vote of a majority of the shares present in person or by proxy and entitled to vote is necessary for approval of the 2016 Plan and ratification of all issuances thereunder to date. Unless otherwise instructed on the proxy or unless authority to vote is withheld, shares represented by executed proxies will be voted “FOR” this Proposal No. 2.</w:t>
      </w:r>
    </w:p>
    <w:p>
      <w:pPr>
        <w:spacing w:after="0" w:line="177" w:lineRule="exact"/>
        <w:rPr>
          <w:sz w:val="20"/>
          <w:szCs w:val="20"/>
          <w:color w:val="auto"/>
        </w:rPr>
      </w:pPr>
    </w:p>
    <w:p>
      <w:pPr>
        <w:jc w:val="both"/>
        <w:ind w:firstLine="594"/>
        <w:spacing w:after="0" w:line="282" w:lineRule="auto"/>
        <w:rPr>
          <w:sz w:val="20"/>
          <w:szCs w:val="20"/>
          <w:color w:val="auto"/>
        </w:rPr>
      </w:pPr>
      <w:r>
        <w:rPr>
          <w:rFonts w:ascii="Arial" w:cs="Arial" w:eastAsia="Arial" w:hAnsi="Arial"/>
          <w:sz w:val="18"/>
          <w:szCs w:val="18"/>
          <w:b w:val="1"/>
          <w:bCs w:val="1"/>
          <w:color w:val="auto"/>
        </w:rPr>
        <w:t>The Board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Company’s Amended and Restated 2016 Equity Incentive Plan and ratification of all issuances thereunder to date.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We are providing our stockholders with the opportunity to approve, on an advisory, non-binding basis, the compensation of our Named Executive Officers as disclosed in this Proxy Statement in accordance with the Securities and Exchange Commission's rules. This Say-on-Pay Vote is required by the Dodd-Frank Wall Street Reform and Consumer Protection Act of 2010, which added Section 14A to the Exchange Act. Section 14A of the Exchange Act also requires that stockholders have the opportunity to cast an advisory vote with respect to whether future executive compensation advisory votes will be held every one, two or three years, which is the subject of Proposal No. 4.</w:t>
      </w:r>
    </w:p>
    <w:p>
      <w:pPr>
        <w:spacing w:after="0" w:line="215"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color w:val="auto"/>
        </w:rPr>
        <w:t>Our executive compensation programs are designed to attract key employees and to retain, motivate and reward our executive officers for their performance and contribution to our long-term success. Under these programs, our executive officers are rewarded the achievement of corporate and individual performance objectives, and our executive officers’ incentives are aligned with stockholder value creation.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220"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The “Executive Compensation” section below describes, in detail, our executive compensation programs and the decisions made by management and the Board of Directors with respect to the fiscal years ended March 31, 2016 and 2015. 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00"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As an advisory vote, this proposal is not binding. Neither the outcome of this Say-on-Pay Vote, nor of the advisory vote included in Proposal No. 4 overrules any decision by the Company or the Board, including decisions made by the Company’s Compensation Committee, creates or implies any change to the fiduciary duties of the Company or the Board of Directors, or creates or implies any additional fiduciary duties for the Company or the Board of Directors. However, management and the Compensation Committee value the opinions expressed by our stockholders in their vote on this proposal and will consider the outcome of the vote when making future compensation decisions for Named Executive Officers.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FOLLOWING ADVISORY RESOLUTION:</w:t>
      </w:r>
    </w:p>
    <w:p>
      <w:pPr>
        <w:spacing w:after="0" w:line="252" w:lineRule="exact"/>
        <w:rPr>
          <w:sz w:val="20"/>
          <w:szCs w:val="20"/>
          <w:color w:val="auto"/>
        </w:rPr>
      </w:pPr>
    </w:p>
    <w:p>
      <w:pPr>
        <w:jc w:val="both"/>
        <w:ind w:firstLine="594"/>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the compensation disclosure rules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and Exchange Commission, including the disclosure under “Executive Compensation”, the compensation tables and accompanying narrative disclosure, and any related material disclosed in this Proxy Statement, is hereby approved.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56"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On this advisory, non-binding matter, the affirmative vote of at least a majority of the votes cast at the Annual Meeting is required to approve this Proposal No. 3.</w:t>
      </w:r>
    </w:p>
    <w:p>
      <w:pPr>
        <w:spacing w:after="0" w:line="193" w:lineRule="exact"/>
        <w:rPr>
          <w:sz w:val="20"/>
          <w:szCs w:val="20"/>
          <w:color w:val="auto"/>
        </w:rPr>
      </w:pPr>
    </w:p>
    <w:p>
      <w:pPr>
        <w:jc w:val="both"/>
        <w:ind w:firstLine="594"/>
        <w:spacing w:after="0" w:line="282" w:lineRule="auto"/>
        <w:rPr>
          <w:sz w:val="20"/>
          <w:szCs w:val="20"/>
          <w:color w:val="auto"/>
        </w:rPr>
      </w:pPr>
      <w:r>
        <w:rPr>
          <w:rFonts w:ascii="Arial" w:cs="Arial" w:eastAsia="Arial" w:hAnsi="Arial"/>
          <w:sz w:val="18"/>
          <w:szCs w:val="18"/>
          <w:b w:val="1"/>
          <w:bCs w:val="1"/>
          <w:color w:val="auto"/>
        </w:rPr>
        <w:t>The Board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advisory resolution above, approving of the compensation paid to the Company’s Named Executive Officers.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Age</w:t>
            </w:r>
          </w:p>
        </w:tc>
        <w:tc>
          <w:tcPr>
            <w:tcW w:w="14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 Ralph Snodgrass, Ph.D.</w:t>
            </w:r>
          </w:p>
        </w:tc>
        <w:tc>
          <w:tcPr>
            <w:tcW w:w="1140" w:type="dxa"/>
            <w:vAlign w:val="bottom"/>
            <w:gridSpan w:val="2"/>
          </w:tcPr>
          <w:p>
            <w:pPr>
              <w:jc w:val="right"/>
              <w:ind w:right="33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1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Jerrold D. Dotson</w:t>
            </w:r>
          </w:p>
        </w:tc>
        <w:tc>
          <w:tcPr>
            <w:tcW w:w="1140" w:type="dxa"/>
            <w:vAlign w:val="bottom"/>
            <w:gridSpan w:val="2"/>
          </w:tcPr>
          <w:p>
            <w:pPr>
              <w:jc w:val="right"/>
              <w:ind w:right="33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Vice President, Chief Financial Officer and Secretary</w:t>
            </w:r>
          </w:p>
        </w:tc>
      </w:tr>
    </w:tbl>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 xml:space="preserve">Shawn K. Singh </w:t>
      </w:r>
      <w:r>
        <w:rPr>
          <w:rFonts w:ascii="Arial" w:cs="Arial" w:eastAsia="Arial" w:hAnsi="Arial"/>
          <w:sz w:val="18"/>
          <w:szCs w:val="18"/>
          <w:color w:val="auto"/>
        </w:rPr>
        <w:t>Please see Mr. Singh’s biography on page 9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 xml:space="preserve">H. Ralph Snodgrass, Ph.D. </w:t>
      </w:r>
      <w:r>
        <w:rPr>
          <w:rFonts w:ascii="Arial" w:cs="Arial" w:eastAsia="Arial" w:hAnsi="Arial"/>
          <w:sz w:val="17"/>
          <w:szCs w:val="17"/>
          <w:color w:val="auto"/>
        </w:rPr>
        <w:t>Please see Dr. Snodgrass’s biography on page 9 of this Proxy Statement, under the section titled “</w:t>
      </w:r>
      <w:r>
        <w:rPr>
          <w:rFonts w:ascii="Arial" w:cs="Arial" w:eastAsia="Arial" w:hAnsi="Arial"/>
          <w:sz w:val="17"/>
          <w:szCs w:val="17"/>
          <w:i w:val="1"/>
          <w:iCs w:val="1"/>
          <w:color w:val="auto"/>
        </w:rPr>
        <w:t>Directors</w:t>
      </w:r>
      <w:r>
        <w:rPr>
          <w:rFonts w:ascii="Arial" w:cs="Arial" w:eastAsia="Arial" w:hAnsi="Arial"/>
          <w:sz w:val="17"/>
          <w:szCs w:val="17"/>
          <w:color w:val="auto"/>
        </w:rPr>
        <w:t>.”</w:t>
      </w:r>
    </w:p>
    <w:p>
      <w:pPr>
        <w:spacing w:after="0" w:line="264" w:lineRule="exact"/>
        <w:rPr>
          <w:sz w:val="20"/>
          <w:szCs w:val="20"/>
          <w:color w:val="auto"/>
        </w:rPr>
      </w:pPr>
    </w:p>
    <w:p>
      <w:pPr>
        <w:jc w:val="both"/>
        <w:ind w:firstLine="594"/>
        <w:spacing w:after="0" w:line="269" w:lineRule="auto"/>
        <w:rPr>
          <w:sz w:val="20"/>
          <w:szCs w:val="20"/>
          <w:color w:val="auto"/>
        </w:rPr>
      </w:pPr>
      <w:r>
        <w:rPr>
          <w:rFonts w:ascii="Arial" w:cs="Arial" w:eastAsia="Arial" w:hAnsi="Arial"/>
          <w:sz w:val="17"/>
          <w:szCs w:val="17"/>
          <w:b w:val="1"/>
          <w:bCs w:val="1"/>
          <w:i w:val="1"/>
          <w:iCs w:val="1"/>
          <w:color w:val="auto"/>
        </w:rPr>
        <w:t xml:space="preserve">Mark A. Smith, M.D, Ph.D. </w:t>
      </w:r>
      <w:r>
        <w:rPr>
          <w:rFonts w:ascii="Arial" w:cs="Arial" w:eastAsia="Arial" w:hAnsi="Arial"/>
          <w:sz w:val="17"/>
          <w:szCs w:val="17"/>
          <w:color w:val="auto"/>
        </w:rPr>
        <w:t>joined VistaGen as Chief Medical Officer effective June 20, 2016. Dr. Smith has significant pharmaceutical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in drug discovery and development and clinical trial design and execution, having directed approximately fifty clinical trials from Phase 0 through Phase IIB and served as project leader in both the discovery and development of approximately twenty investigational new drugs aimed at depression, anxiety, schizophrenia and other disorders. Dr. Smith served as the Clinical Lead for Neuropsychiatry at 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210" w:lineRule="exact"/>
        <w:rPr>
          <w:sz w:val="20"/>
          <w:szCs w:val="20"/>
          <w:color w:val="auto"/>
        </w:rPr>
      </w:pPr>
    </w:p>
    <w:p>
      <w:pPr>
        <w:jc w:val="both"/>
        <w:ind w:firstLine="594"/>
        <w:spacing w:after="0" w:line="253" w:lineRule="auto"/>
        <w:rPr>
          <w:sz w:val="20"/>
          <w:szCs w:val="20"/>
          <w:color w:val="auto"/>
        </w:rPr>
      </w:pPr>
      <w:r>
        <w:rPr>
          <w:rFonts w:ascii="Arial" w:cs="Arial" w:eastAsia="Arial" w:hAnsi="Arial"/>
          <w:sz w:val="18"/>
          <w:szCs w:val="18"/>
          <w:b w:val="1"/>
          <w:bCs w:val="1"/>
          <w:i w:val="1"/>
          <w:iCs w:val="1"/>
          <w:color w:val="auto"/>
        </w:rPr>
        <w:t xml:space="preserve">Jerrold D. Dotson, CPA </w:t>
      </w:r>
      <w:r>
        <w:rPr>
          <w:rFonts w:ascii="Arial" w:cs="Arial" w:eastAsia="Arial" w:hAnsi="Arial"/>
          <w:sz w:val="18"/>
          <w:szCs w:val="18"/>
          <w:color w:val="auto"/>
        </w:rPr>
        <w:t>has served as our Chief Financial Officer since September 2011, as our Corporate Secretary since October 2013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Our Compensation Objectives</w:t>
      </w:r>
    </w:p>
    <w:p>
      <w:pPr>
        <w:spacing w:after="0" w:line="229" w:lineRule="exact"/>
        <w:rPr>
          <w:sz w:val="20"/>
          <w:szCs w:val="20"/>
          <w:color w:val="auto"/>
        </w:rPr>
      </w:pPr>
    </w:p>
    <w:p>
      <w:pPr>
        <w:jc w:val="both"/>
        <w:ind w:firstLine="594"/>
        <w:spacing w:after="0" w:line="254" w:lineRule="auto"/>
        <w:rPr>
          <w:sz w:val="20"/>
          <w:szCs w:val="20"/>
          <w:color w:val="auto"/>
        </w:rPr>
      </w:pPr>
      <w:r>
        <w:rPr>
          <w:rFonts w:ascii="Arial" w:cs="Arial" w:eastAsia="Arial" w:hAnsi="Arial"/>
          <w:sz w:val="18"/>
          <w:szCs w:val="18"/>
          <w:color w:val="auto"/>
        </w:rPr>
        <w:t>As noted above, 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219"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214"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w:t>
      </w:r>
    </w:p>
    <w:p>
      <w:pPr>
        <w:spacing w:after="0" w:line="229"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214" w:lineRule="exact"/>
        <w:rPr>
          <w:sz w:val="20"/>
          <w:szCs w:val="20"/>
          <w:color w:val="auto"/>
        </w:rPr>
      </w:pPr>
    </w:p>
    <w:p>
      <w:pPr>
        <w:jc w:val="both"/>
        <w:ind w:firstLine="594"/>
        <w:spacing w:after="0" w:line="302" w:lineRule="auto"/>
        <w:rPr>
          <w:sz w:val="20"/>
          <w:szCs w:val="20"/>
          <w:color w:val="auto"/>
        </w:rPr>
      </w:pPr>
      <w:r>
        <w:rPr>
          <w:rFonts w:ascii="Arial" w:cs="Arial" w:eastAsia="Arial" w:hAnsi="Arial"/>
          <w:sz w:val="16"/>
          <w:szCs w:val="16"/>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following Summary Compensation Table, to conserve our cash resources during fiscal year 2015 and fiscal year 2014 the cash amounts of annual base salary that we paid to our executives was significantly less than their stated annual base salary rates.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any cash bonuses in any fiscal year from 2012 through 2016.</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w:t>
      </w:r>
      <w:r>
        <w:rPr>
          <w:rFonts w:ascii="Arial" w:cs="Arial" w:eastAsia="Arial" w:hAnsi="Arial"/>
          <w:sz w:val="18"/>
          <w:szCs w:val="18"/>
          <w:i w:val="1"/>
          <w:iCs w:val="1"/>
          <w:color w:val="auto"/>
        </w:rPr>
        <w:t>NEOs</w:t>
      </w:r>
      <w:r>
        <w:rPr>
          <w:rFonts w:ascii="Arial" w:cs="Arial" w:eastAsia="Arial" w:hAnsi="Arial"/>
          <w:sz w:val="18"/>
          <w:szCs w:val="18"/>
          <w:color w:val="auto"/>
        </w:rPr>
        <w:t>”) for services performed in the fiscal years ended March 31,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Option 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Warrant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Fiscal</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Salary</w:t>
            </w: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Bonus</w:t>
            </w:r>
          </w:p>
        </w:tc>
        <w:tc>
          <w:tcPr>
            <w:tcW w:w="220" w:type="dxa"/>
            <w:vAlign w:val="bottom"/>
          </w:tcPr>
          <w:p>
            <w:pPr>
              <w:spacing w:after="0"/>
              <w:rPr>
                <w:sz w:val="18"/>
                <w:szCs w:val="18"/>
                <w:color w:val="auto"/>
              </w:rPr>
            </w:pPr>
          </w:p>
        </w:tc>
        <w:tc>
          <w:tcPr>
            <w:tcW w:w="1380" w:type="dxa"/>
            <w:vAlign w:val="bottom"/>
            <w:gridSpan w:val="2"/>
          </w:tcPr>
          <w:p>
            <w:pPr>
              <w:jc w:val="center"/>
              <w:ind w:right="240"/>
              <w:spacing w:after="0" w:line="216" w:lineRule="exact"/>
              <w:rPr>
                <w:sz w:val="20"/>
                <w:szCs w:val="20"/>
                <w:color w:val="auto"/>
              </w:rPr>
            </w:pPr>
            <w:r>
              <w:rPr>
                <w:rFonts w:ascii="Arial" w:cs="Arial" w:eastAsia="Arial" w:hAnsi="Arial"/>
                <w:sz w:val="18"/>
                <w:szCs w:val="18"/>
                <w:b w:val="1"/>
                <w:bCs w:val="1"/>
                <w:color w:val="auto"/>
                <w:w w:val="86"/>
              </w:rPr>
              <w:t xml:space="preserve">Awards </w:t>
            </w:r>
            <w:r>
              <w:rPr>
                <w:rFonts w:ascii="Arial" w:cs="Arial" w:eastAsia="Arial" w:hAnsi="Arial"/>
                <w:sz w:val="25"/>
                <w:szCs w:val="25"/>
                <w:b w:val="1"/>
                <w:bCs w:val="1"/>
                <w:color w:val="auto"/>
                <w:w w:val="86"/>
                <w:vertAlign w:val="superscript"/>
              </w:rPr>
              <w:t>(7)</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ind w:left="660"/>
              <w:spacing w:after="0"/>
              <w:rPr>
                <w:sz w:val="20"/>
                <w:szCs w:val="20"/>
                <w:color w:val="auto"/>
              </w:rPr>
            </w:pPr>
            <w:r>
              <w:rPr>
                <w:rFonts w:ascii="Arial" w:cs="Arial" w:eastAsia="Arial" w:hAnsi="Arial"/>
                <w:sz w:val="18"/>
                <w:szCs w:val="18"/>
                <w:b w:val="1"/>
                <w:bCs w:val="1"/>
                <w:color w:val="auto"/>
              </w:rPr>
              <w:t>Name and Principal Position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 xml:space="preserve">Shawn K. Singh </w:t>
            </w:r>
            <w:r>
              <w:rPr>
                <w:rFonts w:ascii="Arial" w:cs="Arial" w:eastAsia="Arial" w:hAnsi="Arial"/>
                <w:sz w:val="23"/>
                <w:szCs w:val="23"/>
                <w:color w:val="auto"/>
                <w:vertAlign w:val="superscript"/>
              </w:rPr>
              <w:t>(1)</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2016</w:t>
            </w:r>
          </w:p>
        </w:tc>
        <w:tc>
          <w:tcPr>
            <w:tcW w:w="15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rPr>
              <w:t>347,500</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7"/>
                <w:szCs w:val="17"/>
                <w:color w:val="auto"/>
              </w:rPr>
              <w:t>1,629,574</w:t>
            </w:r>
            <w:r>
              <w:rPr>
                <w:rFonts w:ascii="Arial" w:cs="Arial" w:eastAsia="Arial" w:hAnsi="Arial"/>
                <w:sz w:val="23"/>
                <w:szCs w:val="23"/>
                <w:color w:val="auto"/>
                <w:vertAlign w:val="superscript"/>
              </w:rPr>
              <w:t>(8)</w:t>
            </w:r>
          </w:p>
        </w:tc>
        <w:tc>
          <w:tcPr>
            <w:tcW w:w="13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1,977,074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500" w:type="dxa"/>
            <w:vAlign w:val="bottom"/>
            <w:gridSpan w:val="3"/>
            <w:shd w:val="clear" w:color="auto" w:fill="CCEEFF"/>
          </w:tcPr>
          <w:p>
            <w:pPr>
              <w:ind w:left="660"/>
              <w:spacing w:after="0" w:line="230" w:lineRule="exact"/>
              <w:rPr>
                <w:sz w:val="20"/>
                <w:szCs w:val="20"/>
                <w:color w:val="auto"/>
              </w:rPr>
            </w:pPr>
            <w:r>
              <w:rPr>
                <w:rFonts w:ascii="Arial" w:cs="Arial" w:eastAsia="Arial" w:hAnsi="Arial"/>
                <w:sz w:val="18"/>
                <w:szCs w:val="18"/>
                <w:color w:val="auto"/>
                <w:w w:val="95"/>
              </w:rPr>
              <w:t>347,500</w:t>
            </w:r>
            <w:r>
              <w:rPr>
                <w:rFonts w:ascii="Arial" w:cs="Arial" w:eastAsia="Arial" w:hAnsi="Arial"/>
                <w:sz w:val="25"/>
                <w:szCs w:val="25"/>
                <w:color w:val="auto"/>
                <w:w w:val="95"/>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line="230" w:lineRule="exact"/>
              <w:rPr>
                <w:sz w:val="20"/>
                <w:szCs w:val="20"/>
                <w:color w:val="auto"/>
              </w:rPr>
            </w:pPr>
            <w:r>
              <w:rPr>
                <w:rFonts w:ascii="Arial" w:cs="Arial" w:eastAsia="Arial" w:hAnsi="Arial"/>
                <w:sz w:val="18"/>
                <w:szCs w:val="18"/>
                <w:color w:val="auto"/>
              </w:rPr>
              <w:t>688,050</w:t>
            </w:r>
            <w:r>
              <w:rPr>
                <w:rFonts w:ascii="Arial" w:cs="Arial" w:eastAsia="Arial" w:hAnsi="Arial"/>
                <w:sz w:val="25"/>
                <w:szCs w:val="25"/>
                <w:color w:val="auto"/>
                <w:vertAlign w:val="superscript"/>
              </w:rPr>
              <w:t>(9)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 xml:space="preserve">H. Ralph Snodgrass, Ph.D. </w:t>
            </w:r>
            <w:r>
              <w:rPr>
                <w:rFonts w:ascii="Arial" w:cs="Arial" w:eastAsia="Arial" w:hAnsi="Arial"/>
                <w:sz w:val="23"/>
                <w:szCs w:val="23"/>
                <w:color w:val="auto"/>
                <w:vertAlign w:val="superscript"/>
              </w:rPr>
              <w:t>(2)</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2016</w:t>
            </w:r>
          </w:p>
        </w:tc>
        <w:tc>
          <w:tcPr>
            <w:tcW w:w="1500" w:type="dxa"/>
            <w:vAlign w:val="bottom"/>
            <w:gridSpan w:val="3"/>
            <w:shd w:val="clear" w:color="auto" w:fill="CCEEFF"/>
          </w:tcPr>
          <w:p>
            <w:pPr>
              <w:ind w:left="660"/>
              <w:spacing w:after="0" w:line="201" w:lineRule="exact"/>
              <w:rPr>
                <w:sz w:val="20"/>
                <w:szCs w:val="20"/>
                <w:color w:val="auto"/>
              </w:rPr>
            </w:pPr>
            <w:r>
              <w:rPr>
                <w:rFonts w:ascii="Arial" w:cs="Arial" w:eastAsia="Arial" w:hAnsi="Arial"/>
                <w:sz w:val="18"/>
                <w:szCs w:val="18"/>
                <w:color w:val="auto"/>
              </w:rPr>
              <w:t>305,000</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7"/>
                <w:szCs w:val="17"/>
                <w:color w:val="auto"/>
              </w:rPr>
              <w:t>985,025</w:t>
            </w:r>
            <w:r>
              <w:rPr>
                <w:rFonts w:ascii="Arial" w:cs="Arial" w:eastAsia="Arial" w:hAnsi="Arial"/>
                <w:sz w:val="23"/>
                <w:szCs w:val="23"/>
                <w:color w:val="auto"/>
                <w:vertAlign w:val="superscript"/>
              </w:rPr>
              <w:t>(8)</w:t>
            </w:r>
          </w:p>
        </w:tc>
        <w:tc>
          <w:tcPr>
            <w:tcW w:w="13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1,290,025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500" w:type="dxa"/>
            <w:vAlign w:val="bottom"/>
            <w:gridSpan w:val="3"/>
            <w:shd w:val="clear" w:color="auto" w:fill="CCEEFF"/>
          </w:tcPr>
          <w:p>
            <w:pPr>
              <w:ind w:left="660"/>
              <w:spacing w:after="0" w:line="230" w:lineRule="exact"/>
              <w:rPr>
                <w:sz w:val="20"/>
                <w:szCs w:val="20"/>
                <w:color w:val="auto"/>
              </w:rPr>
            </w:pPr>
            <w:r>
              <w:rPr>
                <w:rFonts w:ascii="Arial" w:cs="Arial" w:eastAsia="Arial" w:hAnsi="Arial"/>
                <w:sz w:val="18"/>
                <w:szCs w:val="18"/>
                <w:color w:val="auto"/>
                <w:w w:val="95"/>
              </w:rPr>
              <w:t>305,000</w:t>
            </w:r>
            <w:r>
              <w:rPr>
                <w:rFonts w:ascii="Arial" w:cs="Arial" w:eastAsia="Arial" w:hAnsi="Arial"/>
                <w:sz w:val="25"/>
                <w:szCs w:val="25"/>
                <w:color w:val="auto"/>
                <w:w w:val="95"/>
                <w:vertAlign w:val="superscript"/>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line="230" w:lineRule="exact"/>
              <w:rPr>
                <w:sz w:val="20"/>
                <w:szCs w:val="20"/>
                <w:color w:val="auto"/>
              </w:rPr>
            </w:pPr>
            <w:r>
              <w:rPr>
                <w:rFonts w:ascii="Arial" w:cs="Arial" w:eastAsia="Arial" w:hAnsi="Arial"/>
                <w:sz w:val="18"/>
                <w:szCs w:val="18"/>
                <w:color w:val="auto"/>
              </w:rPr>
              <w:t>458,700</w:t>
            </w:r>
            <w:r>
              <w:rPr>
                <w:rFonts w:ascii="Arial" w:cs="Arial" w:eastAsia="Arial" w:hAnsi="Arial"/>
                <w:sz w:val="25"/>
                <w:szCs w:val="25"/>
                <w:color w:val="auto"/>
                <w:vertAlign w:val="superscript"/>
              </w:rPr>
              <w:t>(9)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5"/>
                <w:szCs w:val="25"/>
                <w:color w:val="auto"/>
                <w:vertAlign w:val="superscript"/>
              </w:rPr>
              <w:t>(3)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5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250,000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8"/>
                <w:szCs w:val="18"/>
                <w:color w:val="auto"/>
              </w:rPr>
              <w:t>635,297</w:t>
            </w:r>
            <w:r>
              <w:rPr>
                <w:rFonts w:ascii="Arial" w:cs="Arial" w:eastAsia="Arial" w:hAnsi="Arial"/>
                <w:sz w:val="25"/>
                <w:szCs w:val="25"/>
                <w:color w:val="auto"/>
                <w:vertAlign w:val="superscript"/>
              </w:rPr>
              <w:t>(8)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Vice President, Chief Financial Officer,</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Secretary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5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250,000</w:t>
            </w:r>
            <w:r>
              <w:rPr>
                <w:rFonts w:ascii="Arial" w:cs="Arial" w:eastAsia="Arial" w:hAnsi="Arial"/>
                <w:sz w:val="12"/>
                <w:szCs w:val="12"/>
                <w:color w:val="auto"/>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229,350</w:t>
            </w:r>
            <w:r>
              <w:rPr>
                <w:rFonts w:ascii="Arial" w:cs="Arial" w:eastAsia="Arial" w:hAnsi="Arial"/>
                <w:sz w:val="12"/>
                <w:szCs w:val="12"/>
                <w:color w:val="auto"/>
              </w:rPr>
              <w:t>(9)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0" w:hanging="592"/>
        <w:spacing w:after="0" w:line="269"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Singh became VistaGen California’s Chief Executive Officer on August 20, 2009 and our Chief Executive Officer in May 2011, in connection with the Merger. In our fiscal years ended March 31, 2016 and 2015, Mr. Singh’s annual base cash salary, pursuant to his January 2010 employment agreement, was contractually set at $347,500. To conserve cash for our operations during fiscal 2015 and 2014, Mr. Singh voluntarily agreed to receive cash payments of less than his contractual base cash salary. The figures reported above reflect the amount of Mr. Singh’s salary that we expensed for accounting purposes in our financial statements for the respective fiscal years. As discussed in note (4) below, only $82,813 was actually paid in cash to Mr. Singh in our fiscal year ended March 31, 2015. The difference between the amounts expensed in fiscal 2015 and 2014 for accounting purposes and the amounts actually paid to Mr. Singh was accrued in fiscal 2015 and 2014 for payment in the future, $153,064 of which was paid during fiscal 2016. Mr. Singh also received cash payments during fiscal 2016 of $25,242 in payment of amounts previously accrued for vacation pay and $101,936 representing a tax gross up related to the forgiveness of a loan made prior to the date the Company became public. Additionally, pursuant to his employment agreement, Mr. Singh is eligible to receive an annual cash incentive bonus of up to fifty percent (50%) of his base cash salary. To conserve cash for our operations during our fiscal years ended March 31, 2016 and 2015, Mr. Singh voluntarily refrained from receiving any cash bonus.</w:t>
      </w:r>
    </w:p>
    <w:p>
      <w:pPr>
        <w:spacing w:after="0" w:line="179" w:lineRule="exact"/>
        <w:rPr>
          <w:rFonts w:ascii="Arial" w:cs="Arial" w:eastAsia="Arial" w:hAnsi="Arial"/>
          <w:sz w:val="17"/>
          <w:szCs w:val="17"/>
          <w:color w:val="auto"/>
        </w:rPr>
      </w:pPr>
    </w:p>
    <w:p>
      <w:pPr>
        <w:jc w:val="both"/>
        <w:ind w:left="600" w:hanging="592"/>
        <w:spacing w:after="0" w:line="269"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2016 and 2015, Dr. Snodgrass’ annual base cash salary, pursuant to his January 2010 employment agreement, was contractually set at $305,000. To conserve cash for our operations during fiscal 2015 and 2014, Dr. Snodgrass voluntarily agreed to receive cash payments of less than his contractual base cash salary. The figures reported above reflect the amount of Dr. Snodgrass’ salary that we expensed for accounting purposes in our financial statements for the respective fiscal years. As discussed in note (5) below, only $157,292 was actually paid in cash to Dr. Snodgrass in our fiscal year ended March 31, 2015. The difference between the amounts expensed in fiscal 2015 and 2014 for accounting purposes and the amounts actually paid to Dr. Snodgrass was accrued in fiscal 2015 and 2014 for payment in the future, $178,088 of which was paid during fiscal 2016. Dr. Snodgrass also received cash payments during fiscal 2016 of $18,088 in payment of amounts previously accrued for vacation pay. Additionally,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ind w:left="600" w:hanging="592"/>
        <w:spacing w:after="0" w:line="271"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Mr. Dotson served as Chief Financial Officer on a part-time contract basis from September 19, 2011 through August 2012, at which time he became our full-time employee. In our fiscal years ended March 31, 2016 and 2015, Mr. Dotson’s annual base cash salary was $250,000. To conserve cash for our operations during fiscal 2015 and 2014, Mr. Dotson voluntarily agreed to receive cash payments of less than his base cash salary. The figures reported above reflect the amount of Mr. Dotson’s salary that we expensed for accounting purposes in our financial statements for the respective fiscal years. As discussed in note (6) below, only $153,917 was actually paid in cash to Mr. Dotson in our fiscal year ended March 31, 2015. The difference between the amounts expensed in fiscal 2015 and 2014 for accounting purposes and the amounts actually paid to Mr. Dotson was accrued in fiscal 2015 and 2014 for payment in the future, $144,417 of which was paid during fiscal 2016. To conserve cash for our operations, Mr. Dotson did not receive a cash bonus in either of our fiscal years ended March 31, 2016 or 2015.</w:t>
      </w:r>
    </w:p>
    <w:p>
      <w:pPr>
        <w:spacing w:after="0" w:line="205" w:lineRule="exact"/>
        <w:rPr>
          <w:rFonts w:ascii="Arial" w:cs="Arial" w:eastAsia="Arial" w:hAnsi="Arial"/>
          <w:sz w:val="17"/>
          <w:szCs w:val="17"/>
          <w:color w:val="auto"/>
        </w:rPr>
      </w:pPr>
    </w:p>
    <w:p>
      <w:pPr>
        <w:ind w:left="600" w:hanging="59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Singh received only $82,813 in cash compensation in our fiscal year ended March 31, 2015. The remaining balance of $264,687 was accrued at March 31, 2015 for future payment and has been paid to Mr. Singh at the date of this Annual Report on Form 10-K.</w:t>
      </w:r>
    </w:p>
    <w:p>
      <w:pPr>
        <w:spacing w:after="0" w:line="197"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Dr. Snodgrass received only $157,292 in cash compensation in our fiscal year ended March 31, 2015. The remaining balance of $147,708 was accrued at March 31, 2015 for future payment and has been repaid to Dr. Snodgrass at the date of this Annual Report on Form 10-K.</w:t>
      </w:r>
    </w:p>
    <w:p>
      <w:pPr>
        <w:spacing w:after="0" w:line="146" w:lineRule="exact"/>
        <w:rPr>
          <w:rFonts w:ascii="Arial" w:cs="Arial" w:eastAsia="Arial" w:hAnsi="Arial"/>
          <w:sz w:val="17"/>
          <w:szCs w:val="17"/>
          <w:color w:val="auto"/>
        </w:rPr>
      </w:pPr>
    </w:p>
    <w:p>
      <w:pPr>
        <w:ind w:left="580" w:right="160" w:hanging="572"/>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Dotson received only $153,917 in cash compensation in our fiscal year ended March 31, 2015. The remaining balance of $96,083 was accrued at March 31, 2015 and was paid during fiscal 2016.</w:t>
      </w:r>
    </w:p>
    <w:p>
      <w:pPr>
        <w:spacing w:after="0" w:line="170" w:lineRule="exact"/>
        <w:rPr>
          <w:rFonts w:ascii="Arial" w:cs="Arial" w:eastAsia="Arial" w:hAnsi="Arial"/>
          <w:sz w:val="18"/>
          <w:szCs w:val="18"/>
          <w:color w:val="auto"/>
        </w:rPr>
      </w:pPr>
    </w:p>
    <w:p>
      <w:pPr>
        <w:jc w:val="both"/>
        <w:ind w:left="580" w:right="140" w:hanging="572"/>
        <w:spacing w:after="0" w:line="271" w:lineRule="auto"/>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amounts in the Option and Warrant Awards column represent the aggregate grant date fair value of warrants to purchase restricted shares of our common stock awarded to Mr. Singh, Dr. Snodgrass and Mr. Dotson, and the effect of modifications to prior grants of warrants occurring during the fiscal year presented,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78" w:lineRule="exact"/>
        <w:rPr>
          <w:rFonts w:ascii="Arial" w:cs="Arial" w:eastAsia="Arial" w:hAnsi="Arial"/>
          <w:sz w:val="17"/>
          <w:szCs w:val="17"/>
          <w:color w:val="auto"/>
        </w:rPr>
      </w:pPr>
    </w:p>
    <w:p>
      <w:pPr>
        <w:jc w:val="both"/>
        <w:ind w:left="580" w:hanging="572"/>
        <w:spacing w:after="0" w:line="264"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Warrant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2"/>
              </w:rPr>
              <w:t>Warrant Grant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color w:val="auto"/>
                <w:w w:val="97"/>
              </w:rPr>
              <w:t>Modification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6"/>
              </w:rPr>
              <w:t>9/2/2015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11/11/2015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3940" w:type="dxa"/>
            <w:vAlign w:val="bottom"/>
            <w:gridSpan w:val="3"/>
            <w:shd w:val="clear" w:color="auto" w:fill="CCEEFF"/>
          </w:tcPr>
          <w:p>
            <w:pPr>
              <w:ind w:left="38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1,420,332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209,242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Snodgrass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852,199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8"/>
                <w:szCs w:val="18"/>
                <w:color w:val="auto"/>
              </w:rPr>
              <w:t>132,826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985,025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Dotson</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67,164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635,297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940" w:type="dxa"/>
            <w:vAlign w:val="bottom"/>
            <w:gridSpan w:val="3"/>
          </w:tcPr>
          <w:p>
            <w:pPr>
              <w:ind w:left="38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2,840,664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
              <w:spacing w:after="0"/>
              <w:rPr>
                <w:sz w:val="20"/>
                <w:szCs w:val="20"/>
                <w:color w:val="auto"/>
              </w:rPr>
            </w:pPr>
            <w:r>
              <w:rPr>
                <w:rFonts w:ascii="Arial" w:cs="Arial" w:eastAsia="Arial" w:hAnsi="Arial"/>
                <w:sz w:val="18"/>
                <w:szCs w:val="18"/>
                <w:color w:val="auto"/>
              </w:rPr>
              <w:t>409,232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3,249,896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18"/>
                <w:szCs w:val="18"/>
                <w:color w:val="auto"/>
                <w:w w:val="88"/>
              </w:rPr>
              <w:t>Weighted Average (except shares)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Before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After</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9.25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Volatility</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Dividend rate</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Fair value per share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5.68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2"/>
              </w:rPr>
              <w:t>952,803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80" w:type="dxa"/>
            <w:vAlign w:val="bottom"/>
          </w:tcPr>
          <w:p>
            <w:pPr>
              <w:jc w:val="right"/>
              <w:ind w:right="13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left="460"/>
        <w:spacing w:after="0" w:line="264" w:lineRule="auto"/>
        <w:rPr>
          <w:sz w:val="20"/>
          <w:szCs w:val="20"/>
          <w:color w:val="auto"/>
        </w:rPr>
      </w:pPr>
      <w:r>
        <w:rPr>
          <w:rFonts w:ascii="Arial" w:cs="Arial" w:eastAsia="Arial" w:hAnsi="Arial"/>
          <w:sz w:val="18"/>
          <w:szCs w:val="18"/>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208" w:lineRule="exact"/>
        <w:rPr>
          <w:sz w:val="20"/>
          <w:szCs w:val="20"/>
          <w:color w:val="auto"/>
        </w:rPr>
      </w:pPr>
    </w:p>
    <w:p>
      <w:pPr>
        <w:ind w:left="460" w:right="2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used the Black Scholes Option Pricing Model and the following assumptions for determining the grant date fair value of the warrants to purchase shares of our common stock granted in January 2015.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3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Expected Term (years)</w:t>
            </w:r>
          </w:p>
        </w:tc>
        <w:tc>
          <w:tcPr>
            <w:tcW w:w="43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Dividend rate</w:t>
            </w:r>
          </w:p>
        </w:tc>
        <w:tc>
          <w:tcPr>
            <w:tcW w:w="4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Grant date fair value per share</w:t>
            </w:r>
          </w:p>
        </w:tc>
        <w:tc>
          <w:tcPr>
            <w:tcW w:w="43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Mr. Singh, Dr. Snodgrass and Mr. Dotson were granted warrants to purchase 150,000, 100,000 and 50,000 restricted shares of our common stock, respectively.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 of the NEOs are entitled to perquisites or other personal benefits that, in the aggregate, are worth over $50,000 or over 10% of their base salary.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29" w:lineRule="exact"/>
        <w:rPr>
          <w:sz w:val="20"/>
          <w:szCs w:val="20"/>
          <w:color w:val="auto"/>
        </w:rPr>
      </w:pPr>
    </w:p>
    <w:p>
      <w:pPr>
        <w:jc w:val="both"/>
        <w:ind w:right="20" w:firstLine="594"/>
        <w:spacing w:after="0" w:line="277"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NEOs as of March 31, 2016:</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tcBorders>
              <w:bottom w:val="single" w:sz="8" w:color="auto"/>
            </w:tcBorders>
            <w:gridSpan w:val="6"/>
          </w:tcPr>
          <w:p>
            <w:pPr>
              <w:jc w:val="center"/>
              <w:ind w:left="930"/>
              <w:spacing w:after="0"/>
              <w:rPr>
                <w:sz w:val="20"/>
                <w:szCs w:val="20"/>
                <w:color w:val="auto"/>
              </w:rPr>
            </w:pPr>
            <w:r>
              <w:rPr>
                <w:rFonts w:ascii="Arial" w:cs="Arial" w:eastAsia="Arial" w:hAnsi="Arial"/>
                <w:sz w:val="18"/>
                <w:szCs w:val="18"/>
                <w:b w:val="1"/>
                <w:bCs w:val="1"/>
                <w:color w:val="auto"/>
                <w:w w:val="90"/>
              </w:rPr>
              <w:t>Stock Options and Warrants</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Option</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18"/>
                <w:szCs w:val="18"/>
                <w:color w:val="auto"/>
              </w:rPr>
            </w:pPr>
          </w:p>
        </w:tc>
        <w:tc>
          <w:tcPr>
            <w:tcW w:w="14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4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Exercisable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72,000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(2)</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12/20/2016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(1)</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1,875</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(1)</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(2)</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1,250</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(1)</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0" w:hanging="592"/>
        <w:spacing w:after="0" w:line="286"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The warrant became exercisable for the remaining 25% of the shares on April 1, 2016.</w:t>
      </w:r>
    </w:p>
    <w:p>
      <w:pPr>
        <w:spacing w:after="0" w:line="165" w:lineRule="exact"/>
        <w:rPr>
          <w:rFonts w:ascii="Arial" w:cs="Arial" w:eastAsia="Arial" w:hAnsi="Arial"/>
          <w:sz w:val="17"/>
          <w:szCs w:val="17"/>
          <w:color w:val="auto"/>
        </w:rPr>
      </w:pPr>
    </w:p>
    <w:p>
      <w:pPr>
        <w:ind w:left="600" w:hanging="592"/>
        <w:spacing w:after="0" w:line="308"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a warrant to purchase restricted shares of our common stock granted as fully exercisable on January 11, 2015 when the market price of our common stock was $8.00 per share. Warrant was modified on November 11, 2015 to reduce the exercise price to $7.00 per share.</w:t>
      </w:r>
    </w:p>
    <w:p>
      <w:pPr>
        <w:spacing w:after="0" w:line="146" w:lineRule="exact"/>
        <w:rPr>
          <w:rFonts w:ascii="Arial" w:cs="Arial" w:eastAsia="Arial" w:hAnsi="Arial"/>
          <w:sz w:val="17"/>
          <w:szCs w:val="17"/>
          <w:color w:val="auto"/>
        </w:rPr>
      </w:pPr>
    </w:p>
    <w:p>
      <w:pPr>
        <w:ind w:left="600" w:right="20" w:hanging="592"/>
        <w:spacing w:after="0" w:line="308"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a warrant to purchase restricted shares of our common stock granted as fully exercisable on September 2, 2015 when the market price of our common stock was $9.11 per share. Warrant was modified on November 11, 2015 to reduce the exercise price to $7.00 per share.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employment agreements with Mr. Singh and Dr. Snodgrass.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We entered into an employment agreement with Mr. Singh on April 28, 2010. Under the agreement, as amended on May 9, 2011, Mr. Singh’s base salary is $347,500 per year. However, to conserve cash for our operations, during our fiscal year ended March 31, 2015, Mr. Singh received only $82,813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73" w:lineRule="exact"/>
        <w:rPr>
          <w:sz w:val="20"/>
          <w:szCs w:val="20"/>
          <w:color w:val="auto"/>
        </w:rPr>
      </w:pPr>
    </w:p>
    <w:p>
      <w:pPr>
        <w:ind w:left="1000" w:hanging="25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52" w:lineRule="exact"/>
        <w:rPr>
          <w:rFonts w:ascii="Arial" w:cs="Arial" w:eastAsia="Arial" w:hAnsi="Arial"/>
          <w:sz w:val="18"/>
          <w:szCs w:val="18"/>
          <w:color w:val="auto"/>
        </w:rPr>
      </w:pPr>
    </w:p>
    <w:p>
      <w:pPr>
        <w:ind w:left="1000" w:right="860" w:hanging="25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70" w:lineRule="exact"/>
        <w:rPr>
          <w:rFonts w:ascii="Arial" w:cs="Arial" w:eastAsia="Arial" w:hAnsi="Arial"/>
          <w:sz w:val="18"/>
          <w:szCs w:val="18"/>
          <w:color w:val="auto"/>
        </w:rPr>
      </w:pPr>
    </w:p>
    <w:p>
      <w:pPr>
        <w:ind w:left="1000" w:right="320" w:hanging="25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70"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70"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color w:val="auto"/>
        </w:rPr>
        <w:t xml:space="preserve">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2016 and 2015, we had accrued $101,936 as an estimate of the gross-up amount, which amount was subsequently paid. 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 our audited Consolidated Financial Statements for the years ended March 31, 2016 and 2015 included in Item 8 of this Annual Report on Form 10-K.</w:t>
      </w:r>
    </w:p>
    <w:p>
      <w:pPr>
        <w:spacing w:after="0" w:line="189"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On June 22, 2016, the Compensation Committee amended Mr. Singh’s employment agreement to increase his base salary to $395,000 per year, effective June 16,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We entered into an employment agreement with Dr. Snodgrass on April 28, 2010. Under the agreement, as amended on May 9, 2011, Dr. Snodgrass’s base salary is $305,000 per year. However, to conserve cash for our operations, during our fiscal year ended March 31, 2015, Dr. Snodgrass received only $157,292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173" w:lineRule="exact"/>
        <w:rPr>
          <w:sz w:val="20"/>
          <w:szCs w:val="20"/>
          <w:color w:val="auto"/>
        </w:rPr>
      </w:pPr>
    </w:p>
    <w:p>
      <w:pPr>
        <w:ind w:left="1000" w:hanging="25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52" w:lineRule="exact"/>
        <w:rPr>
          <w:rFonts w:ascii="Arial" w:cs="Arial" w:eastAsia="Arial" w:hAnsi="Arial"/>
          <w:sz w:val="18"/>
          <w:szCs w:val="18"/>
          <w:color w:val="auto"/>
        </w:rPr>
      </w:pPr>
    </w:p>
    <w:p>
      <w:pPr>
        <w:ind w:left="1000" w:hanging="25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pro-rated portion of the incentive bonus that the Board of Directors determines in good faith that Dr. Snodgrass earned prior to his termination; and</w:t>
      </w:r>
    </w:p>
    <w:p>
      <w:pPr>
        <w:spacing w:after="0" w:line="197" w:lineRule="exact"/>
        <w:rPr>
          <w:rFonts w:ascii="Arial" w:cs="Arial" w:eastAsia="Arial" w:hAnsi="Arial"/>
          <w:sz w:val="18"/>
          <w:szCs w:val="18"/>
          <w:color w:val="auto"/>
        </w:rPr>
      </w:pPr>
    </w:p>
    <w:p>
      <w:pPr>
        <w:ind w:left="1000" w:hanging="256"/>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594"/>
        <w:spacing w:after="0" w:line="277" w:lineRule="auto"/>
        <w:rPr>
          <w:sz w:val="20"/>
          <w:szCs w:val="20"/>
          <w:color w:val="auto"/>
        </w:rPr>
      </w:pPr>
      <w:r>
        <w:rPr>
          <w:rFonts w:ascii="Arial" w:cs="Arial" w:eastAsia="Arial" w:hAnsi="Arial"/>
          <w:sz w:val="18"/>
          <w:szCs w:val="18"/>
          <w:color w:val="auto"/>
        </w:rPr>
        <w:t>In addition, in the event Dr. Snodgrass terminates his employment with good reason, he is entitled to twelve months of his then-current base salary payable in the form of salary continuation.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both"/>
        <w:ind w:firstLine="594"/>
        <w:spacing w:after="0" w:line="277" w:lineRule="auto"/>
        <w:rPr>
          <w:sz w:val="20"/>
          <w:szCs w:val="20"/>
          <w:color w:val="auto"/>
        </w:rPr>
      </w:pPr>
      <w:r>
        <w:rPr>
          <w:rFonts w:ascii="Arial" w:cs="Arial" w:eastAsia="Arial" w:hAnsi="Arial"/>
          <w:sz w:val="18"/>
          <w:szCs w:val="18"/>
          <w:color w:val="auto"/>
        </w:rPr>
        <w:t>On June 22, 2016, the Compensation Committee amended Dr. Snodgrass’ employment agreement to increase his base salary to $350,000 per year, effective June 16,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214" w:lineRule="exact"/>
        <w:rPr>
          <w:sz w:val="20"/>
          <w:szCs w:val="20"/>
          <w:color w:val="auto"/>
        </w:rPr>
      </w:pPr>
    </w:p>
    <w:p>
      <w:pPr>
        <w:ind w:left="1000" w:hanging="25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52" w:lineRule="exact"/>
        <w:rPr>
          <w:rFonts w:ascii="Arial" w:cs="Arial" w:eastAsia="Arial" w:hAnsi="Arial"/>
          <w:sz w:val="18"/>
          <w:szCs w:val="18"/>
          <w:color w:val="auto"/>
        </w:rPr>
      </w:pPr>
    </w:p>
    <w:p>
      <w:pPr>
        <w:ind w:left="1000" w:hanging="25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w:t>
      </w:r>
    </w:p>
    <w:p>
      <w:pPr>
        <w:spacing w:after="0" w:line="170"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87" w:lineRule="exact"/>
        <w:rPr>
          <w:sz w:val="20"/>
          <w:szCs w:val="20"/>
          <w:color w:val="auto"/>
        </w:rPr>
      </w:pPr>
    </w:p>
    <w:p>
      <w:pPr>
        <w:jc w:val="both"/>
        <w:ind w:firstLine="594"/>
        <w:spacing w:after="0" w:line="255" w:lineRule="auto"/>
        <w:rPr>
          <w:sz w:val="20"/>
          <w:szCs w:val="20"/>
          <w:color w:val="auto"/>
        </w:rPr>
      </w:pPr>
      <w:r>
        <w:rPr>
          <w:rFonts w:ascii="Arial" w:cs="Arial" w:eastAsia="Arial" w:hAnsi="Arial"/>
          <w:sz w:val="18"/>
          <w:szCs w:val="18"/>
          <w:color w:val="auto"/>
        </w:rPr>
        <w:t>Pursuant to their respective employment agreements, a change of control occurs when: (i) any “person” as such term is used in Sections 13(d) and 14(d) of the Exchange Act (other than the Company, a subsidiary, an affiliate, or a the Company employee benefit plan, including any trustee of such plan acting as trustee) becoming the “beneficial owner” (as defined in Rule 13d-3 under the Exchange), directly or indirectly, of securities of VistaGen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216"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97"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Pursuant to their respective employment agreements, as recently amended, the estimated amount that could be paid by us assuming that a change of control occurred on the last business day of our current fiscal year, is $395,000 for Mr. Singh and $350,000 for Dr. Snodgrass, excluding the imputed value of accelerated vesting of incentive stock options, if any.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FREQUENCY OF FUTURE EXECUTIVE COMPENSATION ADVISORY VOTES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594"/>
        <w:spacing w:after="0" w:line="286" w:lineRule="auto"/>
        <w:rPr>
          <w:sz w:val="20"/>
          <w:szCs w:val="20"/>
          <w:color w:val="auto"/>
        </w:rPr>
      </w:pPr>
      <w:r>
        <w:rPr>
          <w:rFonts w:ascii="Arial" w:cs="Arial" w:eastAsia="Arial" w:hAnsi="Arial"/>
          <w:sz w:val="17"/>
          <w:szCs w:val="17"/>
          <w:color w:val="auto"/>
        </w:rPr>
        <w:t>In Proposal No. 3, we are providing our stockholders the opportunity to vote to approve, on an advisory, non-binding basis, the compensation of our Named Executive Officers. In this Proposal No. 4, we are asking our stockholders to cast a non-binding advisory vote regarding the frequency of future executive compensation advisory votes. Stockholders may vote for a frequency of every one, two, or three years, or may abstain.</w:t>
      </w:r>
    </w:p>
    <w:p>
      <w:pPr>
        <w:spacing w:after="0" w:line="193" w:lineRule="exact"/>
        <w:rPr>
          <w:sz w:val="20"/>
          <w:szCs w:val="20"/>
          <w:color w:val="auto"/>
        </w:rPr>
      </w:pPr>
    </w:p>
    <w:p>
      <w:pPr>
        <w:jc w:val="both"/>
        <w:ind w:firstLine="594"/>
        <w:spacing w:after="0" w:line="302" w:lineRule="auto"/>
        <w:rPr>
          <w:sz w:val="20"/>
          <w:szCs w:val="20"/>
          <w:color w:val="auto"/>
        </w:rPr>
      </w:pPr>
      <w:r>
        <w:rPr>
          <w:rFonts w:ascii="Arial" w:cs="Arial" w:eastAsia="Arial" w:hAnsi="Arial"/>
          <w:sz w:val="16"/>
          <w:szCs w:val="16"/>
          <w:color w:val="auto"/>
        </w:rPr>
        <w:t>The Board will take into consideration the outcome of this vote in making a determination about the frequency of future Say-on-Pay Votes. However, because this vote is advisory and non-binding, the Board of Directors may decide that it is in the best interests of our stockholders and the Company to hold the required Say-on-Pay Vote more or less frequently, but no less frequently than once every three years, as required by the Dodd-Frank Act. In the future, we will propose an advisory vote on the frequency of the Say-on-Pay Vote at least once every six calendar years as required by the Dodd-Frank Act.</w:t>
      </w:r>
    </w:p>
    <w:p>
      <w:pPr>
        <w:spacing w:after="0" w:line="181"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After careful consideration, the Board believes that a Say-on-Pay Vote should be held every three years, and therefore our Board recommends that you vote for a frequency of every THREE YEARS for future Say-on-Pay Votes. The proxy card provides stockholders with the opportunity to choose among four options (holding the vote once every year, every two years or every three years, or abstaining) and, therefore, stockholders will not be voting to approve or disapprove the recommendation of the Board.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56"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On this non-binding matter, a stockholder may vote to set the frequency of the Say-on-Pay Vote to occur every year, every two years, or every three years, or the stockholder may vote to abstain. The choice among those four choices that receives the highest number of votes will be deemed the choice of the stockholders.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Board recommends that you vote to hold advisory votes on executive compensation “</w:t>
      </w:r>
      <w:r>
        <w:rPr>
          <w:rFonts w:ascii="Arial" w:cs="Arial" w:eastAsia="Arial" w:hAnsi="Arial"/>
          <w:sz w:val="18"/>
          <w:szCs w:val="18"/>
          <w:b w:val="1"/>
          <w:bCs w:val="1"/>
          <w:u w:val="single" w:color="auto"/>
          <w:color w:val="auto"/>
        </w:rPr>
        <w:t>EVERY THREE YEARS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PROPOSAL NO. 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OUM &amp; CO. LLP TO SERVE AS OUR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 FOR THE CURRENT FISCAL YEAR</w:t>
      </w:r>
    </w:p>
    <w:p>
      <w:pPr>
        <w:spacing w:after="0" w:line="211"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Upon recommendation of the Audit Committee of the Board, the Board appointed OUM &amp; Co. LLP (“</w:t>
      </w:r>
      <w:r>
        <w:rPr>
          <w:rFonts w:ascii="Arial" w:cs="Arial" w:eastAsia="Arial" w:hAnsi="Arial"/>
          <w:sz w:val="18"/>
          <w:szCs w:val="18"/>
          <w:i w:val="1"/>
          <w:iCs w:val="1"/>
          <w:color w:val="auto"/>
        </w:rPr>
        <w:t>OUM</w:t>
      </w:r>
      <w:r>
        <w:rPr>
          <w:rFonts w:ascii="Arial" w:cs="Arial" w:eastAsia="Arial" w:hAnsi="Arial"/>
          <w:sz w:val="18"/>
          <w:szCs w:val="18"/>
          <w:color w:val="auto"/>
        </w:rPr>
        <w:t>”) as our independent registered public accounting firm for the current fiscal year and hereby recommends that the stockholders ratify such appointment.</w:t>
      </w:r>
    </w:p>
    <w:p>
      <w:pPr>
        <w:spacing w:after="0" w:line="170"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The Board may terminate the appointment of OUM as the Company’s independent registered public accounting firm without the approval of the Company’s stockholders whenever the Board deems such termination necessary or appropriate.</w:t>
      </w:r>
    </w:p>
    <w:p>
      <w:pPr>
        <w:spacing w:after="0" w:line="170"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Representatives of OUM will be present at the Annual Meeting or available by telephone and will have an opportunity to make a statement if they so desire and to respond to appropriate questions from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OUM served as our independent registered public accounting firm for the fiscal years ended March 31, 2016 and March 31, 2015. Information provided below includes fees for professional services provided to us by OUM for the fiscal years ended March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197,180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Audit-related fees</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All other fees</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4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594"/>
        <w:spacing w:after="0" w:line="308" w:lineRule="auto"/>
        <w:rPr>
          <w:sz w:val="20"/>
          <w:szCs w:val="20"/>
          <w:color w:val="auto"/>
        </w:rPr>
      </w:pPr>
      <w:r>
        <w:rPr>
          <w:rFonts w:ascii="Arial" w:cs="Arial" w:eastAsia="Arial" w:hAnsi="Arial"/>
          <w:sz w:val="17"/>
          <w:szCs w:val="17"/>
          <w:color w:val="auto"/>
        </w:rPr>
        <w:t>Audit fees include fees billed for the annual audit of the Company’s financial statements and quarterly reviews for the fiscal years ended March 31, 2016 and 2015, and for services normally provided by OUM in connection with routine statutory and regulatory filings or engagements.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Audit-related fees includes fees billed for assurance and related services that are reasonably related to the performance of the annual audit or reviews of the Company’s financial statements and are not reported under “Audit Fees.” During the fiscal year ended March 31, 2016, OUM billed the Company for services related to consents for the use of its audit opinion in the Company’s filings of Registration Statements on Form S-1 that included the Company’s audited financial statements for the fiscal year ended March 31, 2015. During the fiscal year ended March 31, 2015, such fees related to accounting research projects regarding certain prospective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2016 and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All Other Fees:</w:t>
      </w:r>
    </w:p>
    <w:p>
      <w:pPr>
        <w:spacing w:after="0" w:line="252"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All other fees include fees for products and services other than those described above. During the fiscal years ended March 31, 2016 and 2015, no such fees were billed by OUM.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29"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Ratification of the selection of OUM as the Company’s independent auditors for the fiscal year ending March 31, 2017 requires the affirmative vote of a majority of the shares present or represented by proxy and entitled to vote at the Annual Meeting. Unless otherwise instructed on the proxy or unless authority to vote is withheld, shares represented by executed proxies will be voted “FOR” the ratification of OUM as the Company’s independent auditors for the fiscal year ending March 31, 2017.</w:t>
      </w:r>
    </w:p>
    <w:p>
      <w:pPr>
        <w:spacing w:after="0" w:line="210" w:lineRule="exact"/>
        <w:rPr>
          <w:sz w:val="20"/>
          <w:szCs w:val="20"/>
          <w:color w:val="auto"/>
        </w:rPr>
      </w:pPr>
    </w:p>
    <w:p>
      <w:pPr>
        <w:jc w:val="both"/>
        <w:ind w:firstLine="594"/>
        <w:spacing w:after="0" w:line="282" w:lineRule="auto"/>
        <w:rPr>
          <w:sz w:val="20"/>
          <w:szCs w:val="20"/>
          <w:color w:val="auto"/>
        </w:rPr>
      </w:pPr>
      <w:r>
        <w:rPr>
          <w:rFonts w:ascii="Arial" w:cs="Arial" w:eastAsia="Arial" w:hAnsi="Arial"/>
          <w:sz w:val="18"/>
          <w:szCs w:val="18"/>
          <w:b w:val="1"/>
          <w:bCs w:val="1"/>
          <w:color w:val="auto"/>
        </w:rPr>
        <w:t>The Board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selection of OUM as our independent auditors for the fiscal year ending March 31, 2017.</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center"/>
        <w:ind w:right="50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STOCKHOLDERS MATTERS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July 28, 2016 for:</w:t>
      </w:r>
    </w:p>
    <w:p>
      <w:pPr>
        <w:spacing w:after="0" w:line="252" w:lineRule="exact"/>
        <w:rPr>
          <w:sz w:val="20"/>
          <w:szCs w:val="20"/>
          <w:color w:val="auto"/>
        </w:rPr>
      </w:pPr>
    </w:p>
    <w:p>
      <w:pPr>
        <w:ind w:left="1000" w:hanging="25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3" w:lineRule="exact"/>
        <w:rPr>
          <w:rFonts w:ascii="Arial" w:cs="Arial" w:eastAsia="Arial" w:hAnsi="Arial"/>
          <w:sz w:val="18"/>
          <w:szCs w:val="18"/>
          <w:color w:val="auto"/>
        </w:rPr>
      </w:pPr>
    </w:p>
    <w:p>
      <w:pPr>
        <w:ind w:left="1000" w:hanging="25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1000" w:hanging="25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NEOs; and</w:t>
      </w:r>
    </w:p>
    <w:p>
      <w:pPr>
        <w:spacing w:after="0" w:line="9" w:lineRule="exact"/>
        <w:rPr>
          <w:rFonts w:ascii="Arial" w:cs="Arial" w:eastAsia="Arial" w:hAnsi="Arial"/>
          <w:sz w:val="18"/>
          <w:szCs w:val="18"/>
          <w:color w:val="auto"/>
        </w:rPr>
      </w:pPr>
    </w:p>
    <w:p>
      <w:pPr>
        <w:ind w:left="1000" w:hanging="25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1" w:lineRule="exact"/>
        <w:rPr>
          <w:sz w:val="20"/>
          <w:szCs w:val="20"/>
          <w:color w:val="auto"/>
        </w:rPr>
      </w:pPr>
    </w:p>
    <w:p>
      <w:pPr>
        <w:jc w:val="both"/>
        <w:ind w:firstLine="594"/>
        <w:spacing w:after="0" w:line="272" w:lineRule="auto"/>
        <w:rPr>
          <w:sz w:val="20"/>
          <w:szCs w:val="20"/>
          <w:color w:val="auto"/>
        </w:rPr>
      </w:pPr>
      <w:r>
        <w:rPr>
          <w:rFonts w:ascii="Arial" w:cs="Arial" w:eastAsia="Arial" w:hAnsi="Arial"/>
          <w:sz w:val="17"/>
          <w:szCs w:val="17"/>
          <w:color w:val="auto"/>
        </w:rPr>
        <w:t>Applicable percentage ownership is based on 7,970,705 shares of common stock outstanding at July 28, 2016.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July 28, 2016.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July 28, 2016. Unless otherwise noted below, the address of each beneficial owner listed in the table is c/o VistaGen Therapeutics, Inc., 343 Allerton Avenue, South San Francisco, California 94080.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4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owned</w:t>
            </w:r>
          </w:p>
        </w:tc>
        <w:tc>
          <w:tcPr>
            <w:tcW w:w="1300" w:type="dxa"/>
            <w:vAlign w:val="bottom"/>
            <w:gridSpan w:val="2"/>
          </w:tcPr>
          <w:p>
            <w:pPr>
              <w:jc w:val="center"/>
              <w:ind w:right="160"/>
              <w:spacing w:after="0" w:line="234" w:lineRule="exact"/>
              <w:rPr>
                <w:sz w:val="20"/>
                <w:szCs w:val="20"/>
                <w:color w:val="auto"/>
              </w:rPr>
            </w:pPr>
            <w:r>
              <w:rPr>
                <w:rFonts w:ascii="Arial" w:cs="Arial" w:eastAsia="Arial" w:hAnsi="Arial"/>
                <w:sz w:val="18"/>
                <w:szCs w:val="18"/>
                <w:b w:val="1"/>
                <w:bCs w:val="1"/>
                <w:color w:val="auto"/>
                <w:w w:val="84"/>
              </w:rPr>
              <w:t xml:space="preserve">owned </w:t>
            </w:r>
            <w:r>
              <w:rPr>
                <w:rFonts w:ascii="Arial" w:cs="Arial" w:eastAsia="Arial" w:hAnsi="Arial"/>
                <w:sz w:val="25"/>
                <w:szCs w:val="25"/>
                <w:b w:val="1"/>
                <w:bCs w:val="1"/>
                <w:color w:val="auto"/>
                <w:w w:val="84"/>
                <w:vertAlign w:val="superscript"/>
              </w:rPr>
              <w:t>(1)</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5"/>
                <w:szCs w:val="25"/>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589,412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5"/>
                <w:szCs w:val="25"/>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386,793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5"/>
                <w:szCs w:val="25"/>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5"/>
                <w:szCs w:val="25"/>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171,677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5"/>
                <w:szCs w:val="25"/>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97,001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5"/>
                <w:szCs w:val="25"/>
                <w:color w:val="auto"/>
                <w:vertAlign w:val="superscript"/>
              </w:rPr>
              <w:t>(7)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91,750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5"/>
                <w:szCs w:val="25"/>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Platinum Long Term Growth Fund VII/Montsant Partners, LLC </w:t>
            </w:r>
            <w:r>
              <w:rPr>
                <w:rFonts w:ascii="Arial" w:cs="Arial" w:eastAsia="Arial" w:hAnsi="Arial"/>
                <w:sz w:val="25"/>
                <w:szCs w:val="25"/>
                <w:color w:val="auto"/>
                <w:vertAlign w:val="superscript"/>
              </w:rPr>
              <w:t>(9)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4,970,926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Empery Asset Management, LP </w:t>
            </w:r>
            <w:r>
              <w:rPr>
                <w:rFonts w:ascii="Arial" w:cs="Arial" w:eastAsia="Arial" w:hAnsi="Arial"/>
                <w:sz w:val="25"/>
                <w:szCs w:val="25"/>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761,267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Sabby Management, LLC </w:t>
            </w:r>
            <w:r>
              <w:rPr>
                <w:rFonts w:ascii="Arial" w:cs="Arial" w:eastAsia="Arial" w:hAnsi="Arial"/>
                <w:sz w:val="25"/>
                <w:szCs w:val="25"/>
                <w:color w:val="auto"/>
                <w:vertAlign w:val="superscript"/>
              </w:rPr>
              <w:t>(11)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761,267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Cato BioVentures </w:t>
            </w:r>
            <w:r>
              <w:rPr>
                <w:rFonts w:ascii="Arial" w:cs="Arial" w:eastAsia="Arial" w:hAnsi="Arial"/>
                <w:sz w:val="25"/>
                <w:szCs w:val="25"/>
                <w:color w:val="auto"/>
                <w:vertAlign w:val="superscript"/>
              </w:rPr>
              <w:t>(12)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561,775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Michael Goldberg </w:t>
            </w:r>
            <w:r>
              <w:rPr>
                <w:rFonts w:ascii="Arial" w:cs="Arial" w:eastAsia="Arial" w:hAnsi="Arial"/>
                <w:sz w:val="25"/>
                <w:szCs w:val="25"/>
                <w:color w:val="auto"/>
                <w:vertAlign w:val="superscript"/>
              </w:rPr>
              <w:t>(13)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464,970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Morrison &amp; Foerster LLP </w:t>
            </w:r>
            <w:r>
              <w:rPr>
                <w:rFonts w:ascii="Arial" w:cs="Arial" w:eastAsia="Arial" w:hAnsi="Arial"/>
                <w:sz w:val="25"/>
                <w:szCs w:val="25"/>
                <w:color w:val="auto"/>
                <w:vertAlign w:val="superscript"/>
              </w:rPr>
              <w:t>(14)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422,928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All executive officers and directors as a group (7 persons) </w:t>
            </w:r>
            <w:r>
              <w:rPr>
                <w:rFonts w:ascii="Arial" w:cs="Arial" w:eastAsia="Arial" w:hAnsi="Arial"/>
                <w:sz w:val="25"/>
                <w:szCs w:val="25"/>
                <w:color w:val="auto"/>
                <w:vertAlign w:val="superscript"/>
              </w:rPr>
              <w:t>(15)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1,347,049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line="201" w:lineRule="exact"/>
              <w:rPr>
                <w:sz w:val="20"/>
                <w:szCs w:val="20"/>
                <w:color w:val="auto"/>
              </w:rPr>
            </w:pPr>
            <w:r>
              <w:rPr>
                <w:rFonts w:ascii="Arial" w:cs="Arial" w:eastAsia="Arial" w:hAnsi="Arial"/>
                <w:sz w:val="18"/>
                <w:szCs w:val="18"/>
                <w:color w:val="auto"/>
              </w:rPr>
              <w:t>____________</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7,970,705 shares of common stock issued and outstanding as of July 28, 2016.</w:t>
      </w:r>
    </w:p>
    <w:p>
      <w:pPr>
        <w:spacing w:after="0" w:line="225"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85,375 registered shares of common stock exercisable within 60 days of July 28, 2016 and warrants to purchase 477,803 restricted shares of common stock exercisable within 60 days of July 28, 2016. Excludes options to purchase 200,000 shares of registered common stock granted on June 22, 2016 not exercisable within 60 days of July 28, 2016.</w:t>
      </w:r>
    </w:p>
    <w:p>
      <w:pPr>
        <w:spacing w:after="0" w:line="181"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16,569 registered shares of common stock exercisable within 60 days of July 28, 2016 and warrants to purchase 310,000 restricted shares of common stock exercisable within 60 days of July 28, 2016. Excludes options to purchase 125,000 shares of registered common stock granted on June 22, 2016 not exercisable within 60 days of July 28, 2016.</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ind w:left="600" w:hanging="592"/>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Excludes options to purchase 180,000 shares of registered common stock granted on June 22, 2016 not exercisable within 60 days of July 28, 2016.</w:t>
      </w:r>
    </w:p>
    <w:p>
      <w:pPr>
        <w:spacing w:after="0" w:line="248" w:lineRule="exact"/>
        <w:rPr>
          <w:rFonts w:ascii="Arial" w:cs="Arial" w:eastAsia="Arial" w:hAnsi="Arial"/>
          <w:sz w:val="16"/>
          <w:szCs w:val="16"/>
          <w:color w:val="auto"/>
        </w:rPr>
      </w:pPr>
    </w:p>
    <w:p>
      <w:pPr>
        <w:jc w:val="both"/>
        <w:ind w:left="600" w:hanging="592"/>
        <w:spacing w:after="0" w:line="259"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6,677 registered shares of common stock exercisable within 60 days of July 28, 2016, including options to purchase 676 shares of common stock held by Mr. Dotson’s wife, and warrants to purchase 165,000 restricted shares of common stock exercisable within 60 days of July 28, 2016. Excludes options to purchase 75,000 shares of registered common stock granted on June 22, 2016 not exercisable within 60 days of July 28, 2016.</w:t>
      </w:r>
    </w:p>
    <w:p>
      <w:pPr>
        <w:spacing w:after="0" w:line="186"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11,875 registered shares of common stock exercisable within 60 days of July 28, 2016, and warrants to purchase 83,250 restricted shares of common stock exercisable within 60 days of July 28, 2016. Excludes options to purchase 25,000 shares of registered common stock granted on June 22, 2016 not exercisable within 60 days of July 28, 2016.</w:t>
      </w:r>
    </w:p>
    <w:p>
      <w:pPr>
        <w:spacing w:after="0" w:line="181"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9,250 registered shares of common stock exercisable within 60 days of July 28, 2016, and warrants to purchase 82,500 restricted shares of common stock exercisable within 60 days of July 28, 2016. Excludes options to purchase 75,000 shares of registered common stock granted on June 22, 2016 not exercisable within 60 days of July 28, 2016.</w:t>
      </w:r>
    </w:p>
    <w:p>
      <w:pPr>
        <w:spacing w:after="0" w:line="181"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options to purchase 4,166 registered shares of common stock exercisable within 60 days of July 28, 2016. Excludes options to purchase 75,000 shares of registered common stock granted on June 22, 2016 not exercisable within 60 days of July 28, 2016.</w:t>
      </w:r>
    </w:p>
    <w:p>
      <w:pPr>
        <w:spacing w:after="0" w:line="170"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upon information contained in Schedule 13G/A filed on February 18, 2015 by Platinum Long Term Growth Fund VII (“</w:t>
      </w:r>
      <w:r>
        <w:rPr>
          <w:rFonts w:ascii="Arial" w:cs="Arial" w:eastAsia="Arial" w:hAnsi="Arial"/>
          <w:sz w:val="18"/>
          <w:szCs w:val="18"/>
          <w:i w:val="1"/>
          <w:iCs w:val="1"/>
          <w:color w:val="auto"/>
        </w:rPr>
        <w:t>Platinum</w:t>
      </w:r>
      <w:r>
        <w:rPr>
          <w:rFonts w:ascii="Arial" w:cs="Arial" w:eastAsia="Arial" w:hAnsi="Arial"/>
          <w:sz w:val="18"/>
          <w:szCs w:val="18"/>
          <w:color w:val="auto"/>
        </w:rPr>
        <w:t>”) and adjusted to give effect to the transactions consummated between Platinum,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a Platinum affiliate, and Platinum Partners Value Arbitrage Fund, L.P. (“</w:t>
      </w:r>
      <w:r>
        <w:rPr>
          <w:rFonts w:ascii="Arial" w:cs="Arial" w:eastAsia="Arial" w:hAnsi="Arial"/>
          <w:sz w:val="18"/>
          <w:szCs w:val="18"/>
          <w:i w:val="1"/>
          <w:iCs w:val="1"/>
          <w:color w:val="auto"/>
        </w:rPr>
        <w:t>PPVA</w:t>
      </w:r>
      <w:r>
        <w:rPr>
          <w:rFonts w:ascii="Arial" w:cs="Arial" w:eastAsia="Arial" w:hAnsi="Arial"/>
          <w:sz w:val="18"/>
          <w:szCs w:val="18"/>
          <w:color w:val="auto"/>
        </w:rPr>
        <w:t>”), another Platinum affiliate, and us through July 28, 2016.</w:t>
      </w:r>
    </w:p>
    <w:p>
      <w:pPr>
        <w:spacing w:after="0" w:line="181" w:lineRule="exact"/>
        <w:rPr>
          <w:rFonts w:ascii="Arial" w:cs="Arial" w:eastAsia="Arial" w:hAnsi="Arial"/>
          <w:sz w:val="18"/>
          <w:szCs w:val="18"/>
          <w:color w:val="auto"/>
        </w:rPr>
      </w:pPr>
    </w:p>
    <w:p>
      <w:pPr>
        <w:jc w:val="both"/>
        <w:ind w:left="600"/>
        <w:spacing w:after="0" w:line="293" w:lineRule="auto"/>
        <w:rPr>
          <w:rFonts w:ascii="Arial" w:cs="Arial" w:eastAsia="Arial" w:hAnsi="Arial"/>
          <w:sz w:val="18"/>
          <w:szCs w:val="18"/>
          <w:color w:val="auto"/>
        </w:rPr>
      </w:pPr>
      <w:r>
        <w:rPr>
          <w:rFonts w:ascii="Arial" w:cs="Arial" w:eastAsia="Arial" w:hAnsi="Arial"/>
          <w:sz w:val="16"/>
          <w:szCs w:val="16"/>
          <w:color w:val="auto"/>
        </w:rPr>
        <w:t>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Pursuant to the October 11, 2012 Note Exchange and Purchase Agreement by and between us and Platinum, there is, however,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64" w:lineRule="exact"/>
        <w:rPr>
          <w:rFonts w:ascii="Arial" w:cs="Arial" w:eastAsia="Arial" w:hAnsi="Arial"/>
          <w:sz w:val="18"/>
          <w:szCs w:val="18"/>
          <w:color w:val="auto"/>
        </w:rPr>
      </w:pPr>
    </w:p>
    <w:p>
      <w:pPr>
        <w:jc w:val="both"/>
        <w:ind w:left="600"/>
        <w:spacing w:after="0" w:line="272" w:lineRule="auto"/>
        <w:rPr>
          <w:rFonts w:ascii="Arial" w:cs="Arial" w:eastAsia="Arial" w:hAnsi="Arial"/>
          <w:sz w:val="18"/>
          <w:szCs w:val="18"/>
          <w:color w:val="auto"/>
        </w:rPr>
      </w:pPr>
      <w:r>
        <w:rPr>
          <w:rFonts w:ascii="Arial" w:cs="Arial" w:eastAsia="Arial" w:hAnsi="Arial"/>
          <w:sz w:val="17"/>
          <w:szCs w:val="17"/>
          <w:color w:val="auto"/>
        </w:rPr>
        <w:t>Further, the reported number of shares beneficially owned by Montsant also includes 1,263,669 shares of common stock pursuant to its ownership of 1,220,169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77" w:lineRule="exact"/>
        <w:rPr>
          <w:rFonts w:ascii="Arial" w:cs="Arial" w:eastAsia="Arial" w:hAnsi="Arial"/>
          <w:sz w:val="18"/>
          <w:szCs w:val="18"/>
          <w:color w:val="auto"/>
        </w:rPr>
      </w:pPr>
    </w:p>
    <w:p>
      <w:pPr>
        <w:jc w:val="both"/>
        <w:ind w:left="600"/>
        <w:spacing w:after="0" w:line="291" w:lineRule="auto"/>
        <w:rPr>
          <w:rFonts w:ascii="Arial" w:cs="Arial" w:eastAsia="Arial" w:hAnsi="Arial"/>
          <w:sz w:val="18"/>
          <w:szCs w:val="18"/>
          <w:color w:val="auto"/>
        </w:rPr>
      </w:pPr>
      <w:r>
        <w:rPr>
          <w:rFonts w:ascii="Arial" w:cs="Arial" w:eastAsia="Arial" w:hAnsi="Arial"/>
          <w:sz w:val="16"/>
          <w:szCs w:val="16"/>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both"/>
        <w:ind w:left="580"/>
        <w:spacing w:after="0" w:line="259" w:lineRule="auto"/>
        <w:rPr>
          <w:sz w:val="20"/>
          <w:szCs w:val="20"/>
          <w:color w:val="auto"/>
        </w:rPr>
      </w:pPr>
      <w:r>
        <w:rPr>
          <w:rFonts w:ascii="Arial" w:cs="Arial" w:eastAsia="Arial" w:hAnsi="Arial"/>
          <w:sz w:val="18"/>
          <w:szCs w:val="18"/>
          <w:color w:val="auto"/>
        </w:rPr>
        <w:t>Excluding the shares otherwise subject to the beneficial ownership restrictions noted above, Platinum, Montsant and PPVA beneficially own 794,245 shares or 9.97% of our common stock. The primary business address of Platinum Long Term Growth Fund VII and Montsant Partners, LLC is c/o Platinum Partners, 250 West 55th Street, 14th Floor, New York, New York 10019. Mark Nordlicht has voting and investment control over the shares held by Platinum, Montsant and PPVA.</w:t>
      </w:r>
    </w:p>
    <w:p>
      <w:pPr>
        <w:spacing w:after="0" w:line="187" w:lineRule="exact"/>
        <w:rPr>
          <w:sz w:val="20"/>
          <w:szCs w:val="20"/>
          <w:color w:val="auto"/>
        </w:rPr>
      </w:pPr>
    </w:p>
    <w:p>
      <w:pPr>
        <w:jc w:val="both"/>
        <w:ind w:left="580" w:hanging="572"/>
        <w:spacing w:after="0" w:line="271"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upon information contained in Form 13G filed on May 19, 2016. The number of shares reported excludes immediately exercisable warrants to purchase 761,267 registered shares of our common stock, which warrants are subject to a limitation on exercise such that the number of shares of common stock that Empery Asset Management, LP and its affiliates, Empery Asset master, Ltd.; Empery Tax Efficient, LP; and Empery Tax Efficient II, LP (together, “</w:t>
      </w:r>
      <w:r>
        <w:rPr>
          <w:rFonts w:ascii="Arial" w:cs="Arial" w:eastAsia="Arial" w:hAnsi="Arial"/>
          <w:sz w:val="17"/>
          <w:szCs w:val="17"/>
          <w:i w:val="1"/>
          <w:iCs w:val="1"/>
          <w:color w:val="auto"/>
        </w:rPr>
        <w:t>Empery</w:t>
      </w:r>
      <w:r>
        <w:rPr>
          <w:rFonts w:ascii="Arial" w:cs="Arial" w:eastAsia="Arial" w:hAnsi="Arial"/>
          <w:sz w:val="17"/>
          <w:szCs w:val="17"/>
          <w:color w:val="auto"/>
        </w:rPr>
        <w:t>”) may beneficially acquire upon such exercise is limited to the extent necessary to ensure that, following such exercise, the total number of shares of common stock then beneficially owned by Empery does not exceed 4.99% of the total number of issued and outstanding shares of our common stock without providing us with 61 days’ prior notice thereof. The primary business address of Empery Asset Management, LP and its affiliates is 1 Rockefeller Plaza, Suite 1205, New York, New York 10020. Messrs. Ryan M. Lane and Martin D. Hoe have voting and investment control over the shares held by Empery.</w:t>
      </w:r>
    </w:p>
    <w:p>
      <w:pPr>
        <w:spacing w:after="0" w:line="178" w:lineRule="exact"/>
        <w:rPr>
          <w:rFonts w:ascii="Arial" w:cs="Arial" w:eastAsia="Arial" w:hAnsi="Arial"/>
          <w:sz w:val="17"/>
          <w:szCs w:val="17"/>
          <w:color w:val="auto"/>
        </w:rPr>
      </w:pPr>
    </w:p>
    <w:p>
      <w:pPr>
        <w:jc w:val="both"/>
        <w:ind w:left="580" w:hanging="572"/>
        <w:spacing w:after="0" w:line="25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upon information contained in Form 13G filed on May 13, 2016. The number of shares reported excludes immediately exercisable warrants to purchase 761,267 registered shares of our common stock, which warrants are subject to a limitation on exercise such that the number of shares of common stock that Sabby Management, LLC and its affiliates, Sabby Healthcare Master Fund, Ltd. and Sabby Volatility Warrant Master Fund, Ltd. (together, “</w:t>
      </w:r>
      <w:r>
        <w:rPr>
          <w:rFonts w:ascii="Arial" w:cs="Arial" w:eastAsia="Arial" w:hAnsi="Arial"/>
          <w:sz w:val="18"/>
          <w:szCs w:val="18"/>
          <w:i w:val="1"/>
          <w:iCs w:val="1"/>
          <w:color w:val="auto"/>
        </w:rPr>
        <w:t>Sabby</w:t>
      </w:r>
      <w:r>
        <w:rPr>
          <w:rFonts w:ascii="Arial" w:cs="Arial" w:eastAsia="Arial" w:hAnsi="Arial"/>
          <w:sz w:val="18"/>
          <w:szCs w:val="18"/>
          <w:color w:val="auto"/>
        </w:rPr>
        <w:t>”) may beneficially acquire upon such exercise is limited to the extent necessary to ensure that, following such exercise, the total number of shares of common stock then beneficially owned by Sabby does not exceed 4.99% of the total number of issued and outstanding shares of our common stock without providing us with 61 days’ prior notice thereof. The primary business address of Sabby Mangement, LLC and its affiliates is 10 Mountainview Road, Suite 205, Upper Saddle River, New Jersey 07458. Hal Mintz has voting and investment control over the shares held by Sabby.</w:t>
      </w:r>
    </w:p>
    <w:p>
      <w:pPr>
        <w:spacing w:after="0" w:line="219"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upon information contained in Form 4 filed on January 9, 2012, as updated to give effect to transactions through July 28, 2016 as recorded on our books. Lynda Sutton has voting and investment authority over the shares held by Cato Holding Company. The primary business address of Cato BioVentures is 4364 South Alston Avenue, Durham, North Carolina 27713.</w:t>
      </w:r>
    </w:p>
    <w:p>
      <w:pPr>
        <w:spacing w:after="0" w:line="181"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.Platinum has transferred to Michael Goldberg (“</w:t>
      </w:r>
      <w:r>
        <w:rPr>
          <w:rFonts w:ascii="Arial" w:cs="Arial" w:eastAsia="Arial" w:hAnsi="Arial"/>
          <w:sz w:val="18"/>
          <w:szCs w:val="18"/>
          <w:i w:val="1"/>
          <w:iCs w:val="1"/>
          <w:color w:val="auto"/>
        </w:rPr>
        <w:t>Goldberg</w:t>
      </w:r>
      <w:r>
        <w:rPr>
          <w:rFonts w:ascii="Arial" w:cs="Arial" w:eastAsia="Arial" w:hAnsi="Arial"/>
          <w:sz w:val="18"/>
          <w:szCs w:val="18"/>
          <w:color w:val="auto"/>
        </w:rPr>
        <w:t>”) certain of the equity securities initially issued by us to Platinum. The conversion or exercise restrictions in those securities initially applicable to Platinum remain applicable to Goldberg. The number of shares reported as beneficially owned by Goldberg includes 112,500 restricted shares of common stock that may currently be acquired by Goldberg upon fixed exchange of 75,000 restricted shares of our Series A Preferred.</w:t>
      </w:r>
    </w:p>
    <w:p>
      <w:pPr>
        <w:spacing w:after="0" w:line="186"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currently exercisable warrants to purchase 110,448 restricted shares of common stock. The primary business address of Morrison &amp; Foerster is 555 Market Street, San Francisco, California 94105. Mark Blumenthal has voting and investment control over the shares held by Morrison &amp; Foerster.</w:t>
      </w:r>
    </w:p>
    <w:p>
      <w:pPr>
        <w:spacing w:after="0" w:line="181" w:lineRule="exact"/>
        <w:rPr>
          <w:rFonts w:ascii="Arial" w:cs="Arial" w:eastAsia="Arial" w:hAnsi="Arial"/>
          <w:sz w:val="18"/>
          <w:szCs w:val="18"/>
          <w:color w:val="auto"/>
        </w:rPr>
      </w:pPr>
    </w:p>
    <w:p>
      <w:pPr>
        <w:jc w:val="both"/>
        <w:ind w:left="580" w:right="20" w:hanging="572"/>
        <w:spacing w:after="0" w:line="312"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options to purchase an aggregate of 138,079 registered shares of common stock exercisable within 60 days of July 28, 2016 and warrants to purchase an aggregate of 1,118,553 restricted shares of common stock exercisable within 60 days of July 28, 2016. Excludes options to purchase an aggregate of 655,000 shares of registered common stock granted on June 22, 2016 not exercisable within 60 days of July 28, 2016.</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594"/>
        <w:spacing w:after="0" w:line="302" w:lineRule="auto"/>
        <w:rPr>
          <w:sz w:val="20"/>
          <w:szCs w:val="20"/>
          <w:color w:val="auto"/>
        </w:rPr>
      </w:pPr>
      <w:r>
        <w:rPr>
          <w:rFonts w:ascii="Arial" w:cs="Arial" w:eastAsia="Arial" w:hAnsi="Arial"/>
          <w:sz w:val="16"/>
          <w:szCs w:val="16"/>
          <w:color w:val="auto"/>
        </w:rPr>
        <w:t>As of March 31, 2016, options to purchase a total of 336,987 restricted shares of our common stock were outstanding at a weighted average exercise price of $9.56 per share, of which 201,779 options were vested and exercisable at a weighted average exercise price of $10.11 per share and 135,208 were unvested and not exercisable at a weighted average exercise price of $8.74 per share. These options were issued under our 2016 Plan and our 1999 Plan, each as described below. At March 31, 2016, an additional 660,242 shares remained available for future equity grants under our 2016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 -</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 issued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warrants and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warrants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and rights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column (a))</w:t>
            </w:r>
          </w:p>
        </w:tc>
      </w:tr>
      <w:tr>
        <w:trPr>
          <w:trHeight w:val="24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324,758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660,242</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336,987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9.56</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660,242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Proposal No. 2 beginning on page 17 of this Proxy Statement for a description of the 2016 Plan (formerly the 2008 Equity Incentive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208"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214"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both"/>
        <w:ind w:firstLine="594"/>
        <w:spacing w:after="0" w:line="272" w:lineRule="auto"/>
        <w:rPr>
          <w:sz w:val="20"/>
          <w:szCs w:val="20"/>
          <w:color w:val="auto"/>
        </w:rPr>
      </w:pPr>
      <w:r>
        <w:rPr>
          <w:rFonts w:ascii="Arial" w:cs="Arial" w:eastAsia="Arial" w:hAnsi="Arial"/>
          <w:sz w:val="17"/>
          <w:szCs w:val="17"/>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78"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200" w:lineRule="exact"/>
        <w:rPr>
          <w:sz w:val="20"/>
          <w:szCs w:val="20"/>
          <w:color w:val="auto"/>
        </w:rPr>
      </w:pPr>
    </w:p>
    <w:p>
      <w:pPr>
        <w:jc w:val="both"/>
        <w:ind w:firstLine="594"/>
        <w:spacing w:after="0" w:line="297"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August 8, 2016, we have options outstanding under the 1999 Plan to purchase an aggregate of 10,554 registered shares of our common stock.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Securities to Cato Holding Company</w:t>
      </w:r>
    </w:p>
    <w:p>
      <w:pPr>
        <w:spacing w:after="0" w:line="252"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was one of our largest institutional stockholders at March 31, 2016, holding common stock and Series B Preferred. Shawn Singh, our Chief Executive Officer and member of our Board of Directors, served as Managing Principal of CBV and as an officer of CRL until August 2009. In October 2012, we issued to CHC an unsecured promissory note in the principal amount of $310,443 (the "</w:t>
      </w:r>
      <w:r>
        <w:rPr>
          <w:rFonts w:ascii="Arial" w:cs="Arial" w:eastAsia="Arial" w:hAnsi="Arial"/>
          <w:sz w:val="18"/>
          <w:szCs w:val="18"/>
          <w:i w:val="1"/>
          <w:iCs w:val="1"/>
          <w:color w:val="auto"/>
        </w:rPr>
        <w:t>2012 CHC Note"</w:t>
      </w:r>
      <w:r>
        <w:rPr>
          <w:rFonts w:ascii="Arial" w:cs="Arial" w:eastAsia="Arial" w:hAnsi="Arial"/>
          <w:sz w:val="18"/>
          <w:szCs w:val="18"/>
          <w:color w:val="auto"/>
        </w:rPr>
        <w:t>) and a five-year warrant to purchase 12,500 restricted shares of the Company’s common stock at a price of $30.00 per share (the "</w:t>
      </w:r>
      <w:r>
        <w:rPr>
          <w:rFonts w:ascii="Arial" w:cs="Arial" w:eastAsia="Arial" w:hAnsi="Arial"/>
          <w:sz w:val="18"/>
          <w:szCs w:val="18"/>
          <w:i w:val="1"/>
          <w:iCs w:val="1"/>
          <w:color w:val="auto"/>
        </w:rPr>
        <w:t>CHC Warrant"</w:t>
      </w:r>
      <w:r>
        <w:rPr>
          <w:rFonts w:ascii="Arial" w:cs="Arial" w:eastAsia="Arial" w:hAnsi="Arial"/>
          <w:sz w:val="18"/>
          <w:szCs w:val="18"/>
          <w:color w:val="auto"/>
        </w:rPr>
        <w:t>).</w:t>
      </w:r>
    </w:p>
    <w:p>
      <w:pPr>
        <w:spacing w:after="0" w:line="215" w:lineRule="exact"/>
        <w:rPr>
          <w:sz w:val="20"/>
          <w:szCs w:val="20"/>
          <w:color w:val="auto"/>
        </w:rPr>
      </w:pPr>
    </w:p>
    <w:p>
      <w:pPr>
        <w:jc w:val="both"/>
        <w:ind w:firstLine="594"/>
        <w:spacing w:after="0" w:line="270" w:lineRule="auto"/>
        <w:rPr>
          <w:sz w:val="20"/>
          <w:szCs w:val="20"/>
          <w:color w:val="auto"/>
        </w:rPr>
      </w:pPr>
      <w:r>
        <w:rPr>
          <w:rFonts w:ascii="Arial" w:cs="Arial" w:eastAsia="Arial" w:hAnsi="Arial"/>
          <w:sz w:val="17"/>
          <w:szCs w:val="17"/>
          <w:color w:val="auto"/>
        </w:rPr>
        <w:t>Also in October 2012, we issued to CRL: (i) an unsecured promissory note in the initial principal amount of $1,009,000, which was payable solely in restricted shares of our common stock and which accrued interest at the rate of 7.5% per annum, compounded monthly (the "</w:t>
      </w:r>
      <w:r>
        <w:rPr>
          <w:rFonts w:ascii="Arial" w:cs="Arial" w:eastAsia="Arial" w:hAnsi="Arial"/>
          <w:sz w:val="17"/>
          <w:szCs w:val="17"/>
          <w:i w:val="1"/>
          <w:iCs w:val="1"/>
          <w:color w:val="auto"/>
        </w:rPr>
        <w:t>CRL Note"</w:t>
      </w:r>
      <w:r>
        <w:rPr>
          <w:rFonts w:ascii="Arial" w:cs="Arial" w:eastAsia="Arial" w:hAnsi="Arial"/>
          <w:sz w:val="17"/>
          <w:szCs w:val="17"/>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w:t>
      </w:r>
      <w:r>
        <w:rPr>
          <w:rFonts w:ascii="Arial" w:cs="Arial" w:eastAsia="Arial" w:hAnsi="Arial"/>
          <w:sz w:val="17"/>
          <w:szCs w:val="17"/>
          <w:i w:val="1"/>
          <w:iCs w:val="1"/>
          <w:color w:val="auto"/>
        </w:rPr>
        <w:t>CRL Warrant"</w:t>
      </w:r>
      <w:r>
        <w:rPr>
          <w:rFonts w:ascii="Arial" w:cs="Arial" w:eastAsia="Arial" w:hAnsi="Arial"/>
          <w:sz w:val="17"/>
          <w:szCs w:val="17"/>
          <w:color w:val="auto"/>
        </w:rPr>
        <w:t>). Each of the CRL Note and 2012 CHC Note were scheduled to mature on March 31, 2016. In June 2015, the outstanding balance of the 2012 CHC Note, the CRL Note and all other outstanding amounts owed to CRL for CRO services were converted into 328,571 shares of our Series B Preferred, and the exercise prices of the CHC Warrant and the CRL Warrant were each reduced to $7.00 per share. CHC also participated in the February 2016 warrant exchange for common stock, exchanging the CHC Warrant and the CRL Warrant, as adjusted to reflect accrued interest, for an aggregate of 54,894 shares of our unregistered common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ind w:firstLine="594"/>
        <w:spacing w:after="0" w:line="277" w:lineRule="auto"/>
        <w:rPr>
          <w:sz w:val="20"/>
          <w:szCs w:val="20"/>
          <w:color w:val="auto"/>
        </w:rPr>
      </w:pPr>
      <w:r>
        <w:rPr>
          <w:rFonts w:ascii="Arial" w:cs="Arial" w:eastAsia="Arial" w:hAnsi="Arial"/>
          <w:sz w:val="18"/>
          <w:szCs w:val="18"/>
          <w:color w:val="auto"/>
        </w:rPr>
        <w:t>During fiscal year 2007, we entered into a contract research organization arrangement with CRL related to the development of AV-101, under which we incurred expenses of $52,600 and $38,100 for the fiscal years ended March 31,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Advances to us by Shawn Singh</w:t>
      </w:r>
    </w:p>
    <w:p>
      <w:pPr>
        <w:spacing w:after="0" w:line="225" w:lineRule="exact"/>
        <w:rPr>
          <w:sz w:val="20"/>
          <w:szCs w:val="20"/>
          <w:color w:val="auto"/>
        </w:rPr>
      </w:pPr>
    </w:p>
    <w:p>
      <w:pPr>
        <w:jc w:val="both"/>
        <w:ind w:firstLine="594"/>
        <w:spacing w:after="0" w:line="279" w:lineRule="auto"/>
        <w:rPr>
          <w:sz w:val="20"/>
          <w:szCs w:val="20"/>
          <w:color w:val="auto"/>
        </w:rPr>
      </w:pPr>
      <w:r>
        <w:rPr>
          <w:rFonts w:ascii="Arial" w:cs="Arial" w:eastAsia="Arial" w:hAnsi="Arial"/>
          <w:sz w:val="17"/>
          <w:szCs w:val="17"/>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had completely repaid to Mr. Singh the remaining balance of the advances and the $50,000 promissory note issued in connection with his investment in the 2013 Unit Private Placement.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29"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 xml:space="preserve">Section 16(a) of the Exchange Act requires our officers, directors and persons who beneficially own more than ten percent of our common stock (collectively, </w:t>
      </w:r>
      <w:r>
        <w:rPr>
          <w:rFonts w:ascii="Arial" w:cs="Arial" w:eastAsia="Arial" w:hAnsi="Arial"/>
          <w:sz w:val="17"/>
          <w:szCs w:val="17"/>
          <w:i w:val="1"/>
          <w:iCs w:val="1"/>
          <w:color w:val="auto"/>
        </w:rPr>
        <w:t>Reporting Persons</w:t>
      </w:r>
      <w:r>
        <w:rPr>
          <w:rFonts w:ascii="Arial" w:cs="Arial" w:eastAsia="Arial" w:hAnsi="Arial"/>
          <w:sz w:val="17"/>
          <w:szCs w:val="17"/>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2016, all of the Reporting Persons, other than Platinum Long Term Growth VII and/or its affiliate, Montsant Partners LLC, Michael Goldberg, Cato BioVentures, and Morrison &amp; Foerster LLP, complied with all applicable reporting requirements.</w:t>
      </w:r>
    </w:p>
    <w:p>
      <w:pPr>
        <w:spacing w:after="0" w:line="19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2017 Annual Meeting</w:t>
      </w:r>
    </w:p>
    <w:p>
      <w:pPr>
        <w:spacing w:after="0" w:line="229" w:lineRule="exact"/>
        <w:rPr>
          <w:sz w:val="20"/>
          <w:szCs w:val="20"/>
          <w:color w:val="auto"/>
        </w:rPr>
      </w:pPr>
    </w:p>
    <w:p>
      <w:pPr>
        <w:jc w:val="both"/>
        <w:ind w:firstLine="594"/>
        <w:spacing w:after="0" w:line="288" w:lineRule="auto"/>
        <w:rPr>
          <w:sz w:val="20"/>
          <w:szCs w:val="20"/>
          <w:color w:val="auto"/>
        </w:rPr>
      </w:pPr>
      <w:r>
        <w:rPr>
          <w:rFonts w:ascii="Arial" w:cs="Arial" w:eastAsia="Arial" w:hAnsi="Arial"/>
          <w:sz w:val="16"/>
          <w:szCs w:val="16"/>
          <w:color w:val="auto"/>
        </w:rPr>
        <w:t>Stockholder proposals that are intended to be presented by stockholders at the Company’s 2017 Annual Meeting of Stockholders must be received by the Secretary of the Company no later than April 10, 2017 in order that they may be included, if appropriate, in the Company’s proxy statement and form of proxy relating to that meeting. A stockholder proposal not included in the Company’s proxy statement for the 2017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in advance of the date the proxy statement was released to stockholders in connection with the previous year’s annual meeting of stockholders. However, if the date of the 2017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10 days after the Company’s public announcement.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jc w:val="both"/>
        <w:ind w:firstLine="594"/>
        <w:spacing w:after="0" w:line="289"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81" w:lineRule="exact"/>
        <w:rPr>
          <w:sz w:val="20"/>
          <w:szCs w:val="20"/>
          <w:color w:val="auto"/>
        </w:rPr>
      </w:pPr>
    </w:p>
    <w:p>
      <w:pPr>
        <w:jc w:val="both"/>
        <w:ind w:firstLine="594"/>
        <w:spacing w:after="0" w:line="264" w:lineRule="auto"/>
        <w:rPr>
          <w:sz w:val="20"/>
          <w:szCs w:val="20"/>
          <w:color w:val="auto"/>
        </w:rPr>
      </w:pPr>
      <w:r>
        <w:rPr>
          <w:rFonts w:ascii="Arial" w:cs="Arial" w:eastAsia="Arial" w:hAnsi="Arial"/>
          <w:sz w:val="18"/>
          <w:szCs w:val="18"/>
          <w:color w:val="auto"/>
        </w:rPr>
        <w:t>The Notice, mailed to stockholders on or about August 8, 2016, contains instructions on how to access the Company’s Annual Report on Form 10-K for the fiscal year ended March 31, 2016. The Annual Report, which includes audited financial statements, does not form any part of the material for the solicitation of proxies.</w:t>
      </w:r>
    </w:p>
    <w:p>
      <w:pPr>
        <w:spacing w:after="0" w:line="181" w:lineRule="exact"/>
        <w:rPr>
          <w:sz w:val="20"/>
          <w:szCs w:val="20"/>
          <w:color w:val="auto"/>
        </w:rPr>
      </w:pPr>
    </w:p>
    <w:p>
      <w:pPr>
        <w:jc w:val="both"/>
        <w:ind w:right="20" w:firstLine="594"/>
        <w:spacing w:after="0" w:line="277" w:lineRule="auto"/>
        <w:rPr>
          <w:sz w:val="20"/>
          <w:szCs w:val="20"/>
          <w:color w:val="auto"/>
        </w:rPr>
      </w:pPr>
      <w:r>
        <w:rPr>
          <w:rFonts w:ascii="Arial" w:cs="Arial" w:eastAsia="Arial" w:hAnsi="Arial"/>
          <w:sz w:val="18"/>
          <w:szCs w:val="18"/>
          <w:color w:val="auto"/>
        </w:rPr>
        <w:t>The Board invites you to attend the Annual Meeting in person. Whether or not you expect to attend the Annual Meeting in person, please submit your vote by Internet, telephone or mail as promptly as possible so that your shares will be represented at the Annual Meeting.</w:t>
      </w:r>
    </w:p>
    <w:p>
      <w:pPr>
        <w:spacing w:after="0" w:line="166" w:lineRule="exact"/>
        <w:rPr>
          <w:sz w:val="20"/>
          <w:szCs w:val="20"/>
          <w:color w:val="auto"/>
        </w:rPr>
      </w:pPr>
    </w:p>
    <w:p>
      <w:pPr>
        <w:jc w:val="both"/>
        <w:ind w:firstLine="594"/>
        <w:spacing w:after="0" w:line="261"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THE ACCOMPANYING PROXY STATEMENT AND THEN VOTE BY INTERNET, TELEPHONE OR E-MAIL AS PROMPTLY AS POSSIBLE. VOTING PROMPTLY WILL SAVE US ADDITIONAL EXPENSE IN SOLICITING PROXIES AND WILL ENSURE THAT YOUR SHARES ARE REPRESENTED AT THE ANNUAL MEETING.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2016 Stock Incentive Plan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the 2008 Stock Incentive Plan)</w:t>
      </w:r>
    </w:p>
    <w:p>
      <w:pPr>
        <w:spacing w:after="0" w:line="200" w:lineRule="exact"/>
        <w:rPr>
          <w:sz w:val="20"/>
          <w:szCs w:val="20"/>
          <w:color w:val="auto"/>
        </w:rPr>
      </w:pPr>
    </w:p>
    <w:p>
      <w:pPr>
        <w:spacing w:after="0" w:line="254" w:lineRule="exact"/>
        <w:rPr>
          <w:sz w:val="20"/>
          <w:szCs w:val="20"/>
          <w:color w:val="auto"/>
        </w:rPr>
      </w:pPr>
    </w:p>
    <w:p>
      <w:pPr>
        <w:ind w:firstLine="800"/>
        <w:spacing w:after="0" w:line="277" w:lineRule="auto"/>
        <w:tabs>
          <w:tab w:leader="none" w:pos="999"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97" w:lineRule="exact"/>
        <w:rPr>
          <w:rFonts w:ascii="Arial" w:cs="Arial" w:eastAsia="Arial" w:hAnsi="Arial"/>
          <w:sz w:val="18"/>
          <w:szCs w:val="18"/>
          <w:color w:val="auto"/>
        </w:rPr>
      </w:pPr>
    </w:p>
    <w:p>
      <w:pPr>
        <w:jc w:val="both"/>
        <w:ind w:firstLine="800"/>
        <w:spacing w:after="0" w:line="264" w:lineRule="auto"/>
        <w:tabs>
          <w:tab w:leader="none" w:pos="98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208" w:lineRule="exact"/>
        <w:rPr>
          <w:rFonts w:ascii="Arial" w:cs="Arial" w:eastAsia="Arial" w:hAnsi="Arial"/>
          <w:sz w:val="18"/>
          <w:szCs w:val="18"/>
          <w:color w:val="auto"/>
        </w:rPr>
      </w:pPr>
    </w:p>
    <w:p>
      <w:pPr>
        <w:ind w:left="1640" w:hanging="246"/>
        <w:spacing w:after="0"/>
        <w:tabs>
          <w:tab w:leader="none" w:pos="1640" w:val="left"/>
        </w:tabs>
        <w:numPr>
          <w:ilvl w:val="2"/>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and “</w:t>
      </w:r>
      <w:r>
        <w:rPr>
          <w:rFonts w:ascii="Arial" w:cs="Arial" w:eastAsia="Arial" w:hAnsi="Arial"/>
          <w:sz w:val="16"/>
          <w:szCs w:val="16"/>
          <w:u w:val="single" w:color="auto"/>
          <w:color w:val="auto"/>
        </w:rPr>
        <w:t>Associate</w:t>
      </w:r>
      <w:r>
        <w:rPr>
          <w:rFonts w:ascii="Arial" w:cs="Arial" w:eastAsia="Arial" w:hAnsi="Arial"/>
          <w:sz w:val="16"/>
          <w:szCs w:val="16"/>
          <w:color w:val="auto"/>
        </w:rPr>
        <w:t>” shall have the respective meanings ascribed to such terms in Rule 12b-2 promulgated under the Exchange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37" w:lineRule="exact"/>
        <w:rPr>
          <w:rFonts w:ascii="Arial" w:cs="Arial" w:eastAsia="Arial" w:hAnsi="Arial"/>
          <w:sz w:val="16"/>
          <w:szCs w:val="16"/>
          <w:color w:val="auto"/>
        </w:rPr>
      </w:pPr>
    </w:p>
    <w:p>
      <w:pPr>
        <w:jc w:val="both"/>
        <w:ind w:firstLine="1394"/>
        <w:spacing w:after="0" w:line="259" w:lineRule="auto"/>
        <w:tabs>
          <w:tab w:leader="none" w:pos="1631" w:val="left"/>
        </w:tabs>
        <w:numPr>
          <w:ilvl w:val="2"/>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federal and state securities laws, the corporate laws of California and, to the extent other than California, the corporate law of the state of the Company’s incorporation, the Code, the NASDAQ Stock Market Rules or the rules of any applicable stock exchange or national market system, and the rules of any non-U.S. jurisdiction applicable to Awards granted to residents therein.</w:t>
      </w:r>
    </w:p>
    <w:p>
      <w:pPr>
        <w:spacing w:after="0" w:line="213" w:lineRule="exact"/>
        <w:rPr>
          <w:rFonts w:ascii="Arial" w:cs="Arial" w:eastAsia="Arial" w:hAnsi="Arial"/>
          <w:sz w:val="18"/>
          <w:szCs w:val="18"/>
          <w:color w:val="auto"/>
        </w:rPr>
      </w:pPr>
    </w:p>
    <w:p>
      <w:pPr>
        <w:jc w:val="both"/>
        <w:ind w:firstLine="1394"/>
        <w:spacing w:after="0" w:line="276" w:lineRule="auto"/>
        <w:tabs>
          <w:tab w:leader="none" w:pos="1655" w:val="left"/>
        </w:tabs>
        <w:numPr>
          <w:ilvl w:val="2"/>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w:t>
      </w:r>
      <w:r>
        <w:rPr>
          <w:rFonts w:ascii="Arial" w:cs="Arial" w:eastAsia="Arial" w:hAnsi="Arial"/>
          <w:sz w:val="17"/>
          <w:szCs w:val="17"/>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99" w:lineRule="exact"/>
        <w:rPr>
          <w:rFonts w:ascii="Arial" w:cs="Arial" w:eastAsia="Arial" w:hAnsi="Arial"/>
          <w:sz w:val="17"/>
          <w:szCs w:val="17"/>
          <w:color w:val="auto"/>
        </w:rPr>
      </w:pPr>
    </w:p>
    <w:p>
      <w:pPr>
        <w:ind w:left="1660" w:hanging="266"/>
        <w:spacing w:after="0"/>
        <w:tabs>
          <w:tab w:leader="none" w:pos="1660" w:val="left"/>
        </w:tabs>
        <w:numPr>
          <w:ilvl w:val="2"/>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the grant of an Option, SAR, Dividend Equivalent Right, Restricted Stock, Restricted Stock Unit or other right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benefit under the Plan.</w:t>
      </w:r>
    </w:p>
    <w:p>
      <w:pPr>
        <w:spacing w:after="0" w:line="237" w:lineRule="exact"/>
        <w:rPr>
          <w:rFonts w:ascii="Arial" w:cs="Arial" w:eastAsia="Arial" w:hAnsi="Arial"/>
          <w:sz w:val="17"/>
          <w:szCs w:val="17"/>
          <w:color w:val="auto"/>
        </w:rPr>
      </w:pPr>
    </w:p>
    <w:p>
      <w:pPr>
        <w:ind w:firstLine="1394"/>
        <w:spacing w:after="0" w:line="277" w:lineRule="auto"/>
        <w:tabs>
          <w:tab w:leader="none" w:pos="1638" w:val="left"/>
        </w:tabs>
        <w:numPr>
          <w:ilvl w:val="2"/>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agreement evidencing the grant of an Award executed by the Company and the Grantee, including any amendments thereto.</w:t>
      </w:r>
    </w:p>
    <w:p>
      <w:pPr>
        <w:spacing w:after="0" w:line="197" w:lineRule="exact"/>
        <w:rPr>
          <w:rFonts w:ascii="Arial" w:cs="Arial" w:eastAsia="Arial" w:hAnsi="Arial"/>
          <w:sz w:val="18"/>
          <w:szCs w:val="18"/>
          <w:color w:val="auto"/>
        </w:rPr>
      </w:pPr>
    </w:p>
    <w:p>
      <w:pPr>
        <w:ind w:left="1640" w:hanging="246"/>
        <w:spacing w:after="0"/>
        <w:tabs>
          <w:tab w:leader="none" w:pos="16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52" w:lineRule="exact"/>
        <w:rPr>
          <w:rFonts w:ascii="Arial" w:cs="Arial" w:eastAsia="Arial" w:hAnsi="Arial"/>
          <w:sz w:val="18"/>
          <w:szCs w:val="18"/>
          <w:color w:val="auto"/>
        </w:rPr>
      </w:pPr>
    </w:p>
    <w:p>
      <w:pPr>
        <w:jc w:val="both"/>
        <w:ind w:firstLine="1394"/>
        <w:spacing w:after="0" w:line="269" w:lineRule="auto"/>
        <w:tabs>
          <w:tab w:leader="none" w:pos="1655" w:val="left"/>
        </w:tabs>
        <w:numPr>
          <w:ilvl w:val="2"/>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Committee, the Grantee’s: (i) performance of any act or failure to perform any act in bad faith and to the detriment of the Company or a Related Entity;</w:t>
      </w:r>
    </w:p>
    <w:p>
      <w:pPr>
        <w:spacing w:after="0" w:line="2" w:lineRule="exact"/>
        <w:rPr>
          <w:rFonts w:ascii="Arial" w:cs="Arial" w:eastAsia="Arial" w:hAnsi="Arial"/>
          <w:sz w:val="17"/>
          <w:szCs w:val="17"/>
          <w:color w:val="auto"/>
        </w:rPr>
      </w:pPr>
    </w:p>
    <w:p>
      <w:pPr>
        <w:jc w:val="both"/>
        <w:ind w:firstLine="8"/>
        <w:spacing w:after="0" w:line="254" w:lineRule="auto"/>
        <w:tabs>
          <w:tab w:leader="none" w:pos="2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“Cause” on the occurrence of or in connection with a Corporate Transaction or a Change in Control, such definition of “Cause” shall not apply until a Corporate Transaction or a Change in Control actually occurs.</w:t>
      </w:r>
    </w:p>
    <w:p>
      <w:pPr>
        <w:spacing w:after="0" w:line="216" w:lineRule="exact"/>
        <w:rPr>
          <w:rFonts w:ascii="Arial" w:cs="Arial" w:eastAsia="Arial" w:hAnsi="Arial"/>
          <w:sz w:val="18"/>
          <w:szCs w:val="18"/>
          <w:color w:val="auto"/>
        </w:rPr>
      </w:pPr>
    </w:p>
    <w:p>
      <w:pPr>
        <w:ind w:left="1600" w:hanging="206"/>
        <w:spacing w:after="0"/>
        <w:tabs>
          <w:tab w:leader="none" w:pos="1600" w:val="left"/>
        </w:tabs>
        <w:numPr>
          <w:ilvl w:val="2"/>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change in ownership or control of the Company effected through either of the following transactions: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both"/>
        <w:ind w:firstLine="1989"/>
        <w:spacing w:after="0" w:line="297" w:lineRule="auto"/>
        <w:tabs>
          <w:tab w:leader="none" w:pos="2195" w:val="left"/>
        </w:tabs>
        <w:numPr>
          <w:ilvl w:val="2"/>
          <w:numId w:val="32"/>
        </w:numPr>
        <w:rPr>
          <w:rFonts w:ascii="Arial" w:cs="Arial" w:eastAsia="Arial" w:hAnsi="Arial"/>
          <w:sz w:val="16"/>
          <w:szCs w:val="16"/>
          <w:color w:val="auto"/>
        </w:rPr>
      </w:pPr>
      <w:r>
        <w:rPr>
          <w:rFonts w:ascii="Arial" w:cs="Arial" w:eastAsia="Arial" w:hAnsi="Arial"/>
          <w:sz w:val="16"/>
          <w:szCs w:val="16"/>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which a majority of the Continuing Directors who are not Affiliates or Associates of the offeror do not recommend such shareholders accept, or</w:t>
      </w:r>
    </w:p>
    <w:p>
      <w:pPr>
        <w:spacing w:after="0" w:line="185" w:lineRule="exact"/>
        <w:rPr>
          <w:rFonts w:ascii="Arial" w:cs="Arial" w:eastAsia="Arial" w:hAnsi="Arial"/>
          <w:sz w:val="16"/>
          <w:szCs w:val="16"/>
          <w:color w:val="auto"/>
        </w:rPr>
      </w:pPr>
    </w:p>
    <w:p>
      <w:pPr>
        <w:jc w:val="both"/>
        <w:ind w:firstLine="1989"/>
        <w:spacing w:after="0" w:line="264" w:lineRule="auto"/>
        <w:tabs>
          <w:tab w:leader="none" w:pos="2259" w:val="left"/>
        </w:tabs>
        <w:numPr>
          <w:ilvl w:val="2"/>
          <w:numId w:val="32"/>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208" w:lineRule="exact"/>
        <w:rPr>
          <w:rFonts w:ascii="Arial" w:cs="Arial" w:eastAsia="Arial" w:hAnsi="Arial"/>
          <w:sz w:val="18"/>
          <w:szCs w:val="18"/>
          <w:color w:val="auto"/>
        </w:rPr>
      </w:pPr>
    </w:p>
    <w:p>
      <w:pPr>
        <w:ind w:left="1600" w:hanging="206"/>
        <w:spacing w:after="0"/>
        <w:tabs>
          <w:tab w:leader="none" w:pos="1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52" w:lineRule="exact"/>
        <w:rPr>
          <w:rFonts w:ascii="Arial" w:cs="Arial" w:eastAsia="Arial" w:hAnsi="Arial"/>
          <w:sz w:val="18"/>
          <w:szCs w:val="18"/>
          <w:color w:val="auto"/>
        </w:rPr>
      </w:pPr>
    </w:p>
    <w:p>
      <w:pPr>
        <w:ind w:left="1640" w:hanging="246"/>
        <w:spacing w:after="0"/>
        <w:tabs>
          <w:tab w:leader="none" w:pos="16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Committee of the Board of Directors, appointed by the Board to administer the Plan.</w:t>
      </w:r>
    </w:p>
    <w:p>
      <w:pPr>
        <w:spacing w:after="0" w:line="263" w:lineRule="exact"/>
        <w:rPr>
          <w:rFonts w:ascii="Arial" w:cs="Arial" w:eastAsia="Arial" w:hAnsi="Arial"/>
          <w:sz w:val="17"/>
          <w:szCs w:val="17"/>
          <w:color w:val="auto"/>
        </w:rPr>
      </w:pPr>
    </w:p>
    <w:p>
      <w:pPr>
        <w:ind w:left="1600" w:hanging="206"/>
        <w:spacing w:after="0"/>
        <w:tabs>
          <w:tab w:leader="none" w:pos="16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$0.001 per share, of the Company.</w:t>
      </w:r>
    </w:p>
    <w:p>
      <w:pPr>
        <w:spacing w:after="0" w:line="252" w:lineRule="exact"/>
        <w:rPr>
          <w:rFonts w:ascii="Arial" w:cs="Arial" w:eastAsia="Arial" w:hAnsi="Arial"/>
          <w:sz w:val="18"/>
          <w:szCs w:val="18"/>
          <w:color w:val="auto"/>
        </w:rPr>
      </w:pPr>
    </w:p>
    <w:p>
      <w:pPr>
        <w:ind w:firstLine="1394"/>
        <w:spacing w:after="0" w:line="277" w:lineRule="auto"/>
        <w:tabs>
          <w:tab w:leader="none" w:pos="16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VistaGen Therapeutics, Inc., a Nevada corporation, or any successor entity that adopts the Plan in connection with a Corporate Transaction.</w:t>
      </w:r>
    </w:p>
    <w:p>
      <w:pPr>
        <w:spacing w:after="0" w:line="197" w:lineRule="exact"/>
        <w:rPr>
          <w:rFonts w:ascii="Arial" w:cs="Arial" w:eastAsia="Arial" w:hAnsi="Arial"/>
          <w:sz w:val="18"/>
          <w:szCs w:val="18"/>
          <w:color w:val="auto"/>
        </w:rPr>
      </w:pPr>
    </w:p>
    <w:p>
      <w:pPr>
        <w:jc w:val="both"/>
        <w:ind w:firstLine="1394"/>
        <w:spacing w:after="0" w:line="264" w:lineRule="auto"/>
        <w:tabs>
          <w:tab w:leader="none" w:pos="16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208" w:lineRule="exact"/>
        <w:rPr>
          <w:rFonts w:ascii="Arial" w:cs="Arial" w:eastAsia="Arial" w:hAnsi="Arial"/>
          <w:sz w:val="18"/>
          <w:szCs w:val="18"/>
          <w:color w:val="auto"/>
        </w:rPr>
      </w:pPr>
    </w:p>
    <w:p>
      <w:pPr>
        <w:jc w:val="both"/>
        <w:ind w:firstLine="1394"/>
        <w:spacing w:after="0" w:line="312" w:lineRule="auto"/>
        <w:tabs>
          <w:tab w:leader="none" w:pos="1655"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73" w:lineRule="exact"/>
        <w:rPr>
          <w:rFonts w:ascii="Arial" w:cs="Arial" w:eastAsia="Arial" w:hAnsi="Arial"/>
          <w:sz w:val="16"/>
          <w:szCs w:val="16"/>
          <w:color w:val="auto"/>
        </w:rPr>
      </w:pPr>
    </w:p>
    <w:p>
      <w:pPr>
        <w:jc w:val="both"/>
        <w:ind w:firstLine="1394"/>
        <w:spacing w:after="0" w:line="269" w:lineRule="auto"/>
        <w:tabs>
          <w:tab w:leader="none" w:pos="1641" w:val="left"/>
        </w:tabs>
        <w:numPr>
          <w:ilvl w:val="1"/>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Continuous Service</w:t>
      </w:r>
      <w:r>
        <w:rPr>
          <w:rFonts w:ascii="Arial" w:cs="Arial" w:eastAsia="Arial" w:hAnsi="Arial"/>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206" w:lineRule="exact"/>
        <w:rPr>
          <w:rFonts w:ascii="Arial" w:cs="Arial" w:eastAsia="Arial" w:hAnsi="Arial"/>
          <w:sz w:val="17"/>
          <w:szCs w:val="17"/>
          <w:color w:val="auto"/>
        </w:rPr>
      </w:pPr>
    </w:p>
    <w:p>
      <w:pPr>
        <w:ind w:left="1640" w:hanging="246"/>
        <w:spacing w:after="0"/>
        <w:tabs>
          <w:tab w:leader="none" w:pos="16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means any of the following transactions, provided, however, that the Committee shall determine under parts</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and (v) whether multiple transactions are related, and its determination shall be final, binding and conclusive:</w:t>
      </w:r>
    </w:p>
    <w:p>
      <w:pPr>
        <w:spacing w:after="0" w:line="237" w:lineRule="exact"/>
        <w:rPr>
          <w:rFonts w:ascii="Arial" w:cs="Arial" w:eastAsia="Arial" w:hAnsi="Arial"/>
          <w:sz w:val="18"/>
          <w:szCs w:val="18"/>
          <w:color w:val="auto"/>
        </w:rPr>
      </w:pPr>
    </w:p>
    <w:p>
      <w:pPr>
        <w:ind w:firstLine="1989"/>
        <w:spacing w:after="0" w:line="277" w:lineRule="auto"/>
        <w:tabs>
          <w:tab w:leader="none" w:pos="2209"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the principal purpose of which is to change the state in which the Company is incorporated;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ind w:left="2260" w:hanging="271"/>
        <w:spacing w:after="0"/>
        <w:tabs>
          <w:tab w:leader="none" w:pos="22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252" w:lineRule="exact"/>
        <w:rPr>
          <w:rFonts w:ascii="Arial" w:cs="Arial" w:eastAsia="Arial" w:hAnsi="Arial"/>
          <w:sz w:val="18"/>
          <w:szCs w:val="18"/>
          <w:color w:val="auto"/>
        </w:rPr>
      </w:pPr>
    </w:p>
    <w:p>
      <w:pPr>
        <w:ind w:left="2300" w:hanging="311"/>
        <w:spacing w:after="0"/>
        <w:tabs>
          <w:tab w:leader="none" w:pos="2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252" w:lineRule="exact"/>
        <w:rPr>
          <w:rFonts w:ascii="Arial" w:cs="Arial" w:eastAsia="Arial" w:hAnsi="Arial"/>
          <w:sz w:val="18"/>
          <w:szCs w:val="18"/>
          <w:color w:val="auto"/>
        </w:rPr>
      </w:pPr>
    </w:p>
    <w:p>
      <w:pPr>
        <w:jc w:val="both"/>
        <w:ind w:firstLine="1989"/>
        <w:spacing w:after="0" w:line="297" w:lineRule="auto"/>
        <w:tabs>
          <w:tab w:leader="none" w:pos="2299"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forty percent (50%) of the total combined voting power of the Company’s outstanding securities are transferred to a person or persons different from those who held such securities immediately prior to such merger or the initial transaction culminating in such merger; or</w:t>
      </w:r>
    </w:p>
    <w:p>
      <w:pPr>
        <w:spacing w:after="0" w:line="185" w:lineRule="exact"/>
        <w:rPr>
          <w:rFonts w:ascii="Arial" w:cs="Arial" w:eastAsia="Arial" w:hAnsi="Arial"/>
          <w:sz w:val="16"/>
          <w:szCs w:val="16"/>
          <w:color w:val="auto"/>
        </w:rPr>
      </w:pPr>
    </w:p>
    <w:p>
      <w:pPr>
        <w:jc w:val="both"/>
        <w:ind w:firstLine="1989"/>
        <w:spacing w:after="0" w:line="259" w:lineRule="auto"/>
        <w:tabs>
          <w:tab w:leader="none" w:pos="223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213" w:lineRule="exact"/>
        <w:rPr>
          <w:rFonts w:ascii="Arial" w:cs="Arial" w:eastAsia="Arial" w:hAnsi="Arial"/>
          <w:sz w:val="18"/>
          <w:szCs w:val="18"/>
          <w:color w:val="auto"/>
        </w:rPr>
      </w:pPr>
    </w:p>
    <w:p>
      <w:pPr>
        <w:ind w:left="1620" w:hanging="226"/>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means an Employee who is a “covered employee” under Section 162(m)(3) of the Code.</w:t>
      </w:r>
    </w:p>
    <w:p>
      <w:pPr>
        <w:spacing w:after="0" w:line="252" w:lineRule="exact"/>
        <w:rPr>
          <w:rFonts w:ascii="Arial" w:cs="Arial" w:eastAsia="Arial" w:hAnsi="Arial"/>
          <w:sz w:val="18"/>
          <w:szCs w:val="18"/>
          <w:color w:val="auto"/>
        </w:rPr>
      </w:pPr>
    </w:p>
    <w:p>
      <w:pPr>
        <w:ind w:left="1620" w:hanging="226"/>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or the board of directors of any Related Entity.</w:t>
      </w:r>
    </w:p>
    <w:p>
      <w:pPr>
        <w:spacing w:after="0" w:line="252" w:lineRule="exact"/>
        <w:rPr>
          <w:rFonts w:ascii="Arial" w:cs="Arial" w:eastAsia="Arial" w:hAnsi="Arial"/>
          <w:sz w:val="18"/>
          <w:szCs w:val="18"/>
          <w:color w:val="auto"/>
        </w:rPr>
      </w:pPr>
    </w:p>
    <w:p>
      <w:pPr>
        <w:jc w:val="both"/>
        <w:ind w:firstLine="1394"/>
        <w:spacing w:after="0" w:line="297" w:lineRule="auto"/>
        <w:tabs>
          <w:tab w:leader="none" w:pos="16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Committee in its discretion.</w:t>
      </w:r>
    </w:p>
    <w:p>
      <w:pPr>
        <w:spacing w:after="0" w:line="185" w:lineRule="exact"/>
        <w:rPr>
          <w:rFonts w:ascii="Arial" w:cs="Arial" w:eastAsia="Arial" w:hAnsi="Arial"/>
          <w:sz w:val="16"/>
          <w:szCs w:val="16"/>
          <w:color w:val="auto"/>
        </w:rPr>
      </w:pPr>
    </w:p>
    <w:p>
      <w:pPr>
        <w:ind w:left="1640" w:hanging="246"/>
        <w:spacing w:after="0"/>
        <w:tabs>
          <w:tab w:leader="none" w:pos="1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Equivalent Right</w:t>
      </w:r>
      <w:r>
        <w:rPr>
          <w:rFonts w:ascii="Arial" w:cs="Arial" w:eastAsia="Arial" w:hAnsi="Arial"/>
          <w:sz w:val="16"/>
          <w:szCs w:val="16"/>
          <w:color w:val="auto"/>
        </w:rPr>
        <w:t>” means a right entitling the Grantee to compensation measured by dividends paid with respect to Common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237" w:lineRule="exact"/>
        <w:rPr>
          <w:rFonts w:ascii="Arial" w:cs="Arial" w:eastAsia="Arial" w:hAnsi="Arial"/>
          <w:sz w:val="16"/>
          <w:szCs w:val="16"/>
          <w:color w:val="auto"/>
        </w:rPr>
      </w:pPr>
    </w:p>
    <w:p>
      <w:pPr>
        <w:jc w:val="both"/>
        <w:ind w:firstLine="1394"/>
        <w:spacing w:after="0" w:line="286" w:lineRule="auto"/>
        <w:tabs>
          <w:tab w:leader="none" w:pos="1641"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92" w:lineRule="exact"/>
        <w:rPr>
          <w:rFonts w:ascii="Arial" w:cs="Arial" w:eastAsia="Arial" w:hAnsi="Arial"/>
          <w:sz w:val="17"/>
          <w:szCs w:val="17"/>
          <w:color w:val="auto"/>
        </w:rPr>
      </w:pPr>
    </w:p>
    <w:p>
      <w:pPr>
        <w:ind w:left="1680" w:hanging="286"/>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52" w:lineRule="exact"/>
        <w:rPr>
          <w:rFonts w:ascii="Arial" w:cs="Arial" w:eastAsia="Arial" w:hAnsi="Arial"/>
          <w:sz w:val="18"/>
          <w:szCs w:val="18"/>
          <w:color w:val="auto"/>
        </w:rPr>
      </w:pPr>
    </w:p>
    <w:p>
      <w:pPr>
        <w:ind w:left="1640" w:hanging="246"/>
        <w:spacing w:after="0"/>
        <w:tabs>
          <w:tab w:leader="none" w:pos="1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52" w:lineRule="exact"/>
        <w:rPr>
          <w:rFonts w:ascii="Arial" w:cs="Arial" w:eastAsia="Arial" w:hAnsi="Arial"/>
          <w:sz w:val="18"/>
          <w:szCs w:val="18"/>
          <w:color w:val="auto"/>
        </w:rPr>
      </w:pPr>
    </w:p>
    <w:p>
      <w:pPr>
        <w:jc w:val="both"/>
        <w:ind w:firstLine="1989"/>
        <w:spacing w:after="0" w:line="255" w:lineRule="auto"/>
        <w:tabs>
          <w:tab w:leader="none" w:pos="2222"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both"/>
        <w:ind w:firstLine="1989"/>
        <w:spacing w:after="0" w:line="276" w:lineRule="auto"/>
        <w:tabs>
          <w:tab w:leader="none" w:pos="2273"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Committee deems reliable; or</w:t>
      </w:r>
    </w:p>
    <w:p>
      <w:pPr>
        <w:spacing w:after="0" w:line="199" w:lineRule="exact"/>
        <w:rPr>
          <w:rFonts w:ascii="Arial" w:cs="Arial" w:eastAsia="Arial" w:hAnsi="Arial"/>
          <w:sz w:val="17"/>
          <w:szCs w:val="17"/>
          <w:color w:val="auto"/>
        </w:rPr>
      </w:pPr>
    </w:p>
    <w:p>
      <w:pPr>
        <w:ind w:right="20" w:firstLine="1989"/>
        <w:spacing w:after="0" w:line="277" w:lineRule="auto"/>
        <w:tabs>
          <w:tab w:leader="none" w:pos="2309"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of the type described in (i) and (ii), above, the Fair Market Value thereof shall be determined by the Committee in good faith and in a manner consistent with Applicable Laws.</w:t>
      </w:r>
    </w:p>
    <w:p>
      <w:pPr>
        <w:spacing w:after="0" w:line="197" w:lineRule="exact"/>
        <w:rPr>
          <w:rFonts w:ascii="Arial" w:cs="Arial" w:eastAsia="Arial" w:hAnsi="Arial"/>
          <w:sz w:val="18"/>
          <w:szCs w:val="18"/>
          <w:color w:val="auto"/>
        </w:rPr>
      </w:pPr>
    </w:p>
    <w:p>
      <w:pPr>
        <w:ind w:left="1640" w:hanging="246"/>
        <w:spacing w:after="0"/>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Employee, Director or Consultant who receives an Award under the Plan.</w:t>
      </w:r>
    </w:p>
    <w:p>
      <w:pPr>
        <w:spacing w:after="0" w:line="252" w:lineRule="exact"/>
        <w:rPr>
          <w:rFonts w:ascii="Arial" w:cs="Arial" w:eastAsia="Arial" w:hAnsi="Arial"/>
          <w:sz w:val="18"/>
          <w:szCs w:val="18"/>
          <w:color w:val="auto"/>
        </w:rPr>
      </w:pPr>
    </w:p>
    <w:p>
      <w:pPr>
        <w:jc w:val="both"/>
        <w:ind w:firstLine="1394"/>
        <w:spacing w:after="0" w:line="257" w:lineRule="auto"/>
        <w:tabs>
          <w:tab w:leader="none" w:pos="16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any child, stepchild, grandchild, parent, stepparent, grandparent, spouse, former spouse, sibling, niece, nephew, mother-in-law, father-in-law, son-in law, daughter-in-law, brother-in-law, or sister-in-law, including adoptive relationships, any person sharing the Grantee’s household (other than a tenant or employee),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215"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(aa) “</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intended to qualify as an incentive stock option within the meaning of Section 422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38" w:lineRule="exact"/>
        <w:rPr>
          <w:sz w:val="20"/>
          <w:szCs w:val="20"/>
          <w:color w:val="auto"/>
        </w:rPr>
      </w:pPr>
    </w:p>
    <w:p>
      <w:pPr>
        <w:ind w:right="20" w:firstLine="1394"/>
        <w:spacing w:after="0" w:line="277" w:lineRule="auto"/>
        <w:tabs>
          <w:tab w:leader="none" w:pos="18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means a member of the Board that satisfies the requirements to be considered an Independent Director in accordance with NASDAQ Stock Market Rule 5605(a)(2).</w:t>
      </w:r>
    </w:p>
    <w:p>
      <w:pPr>
        <w:spacing w:after="0" w:line="197" w:lineRule="exact"/>
        <w:rPr>
          <w:rFonts w:ascii="Arial" w:cs="Arial" w:eastAsia="Arial" w:hAnsi="Arial"/>
          <w:sz w:val="18"/>
          <w:szCs w:val="18"/>
          <w:color w:val="auto"/>
        </w:rPr>
      </w:pPr>
    </w:p>
    <w:p>
      <w:pPr>
        <w:ind w:left="1720" w:hanging="326"/>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not intended to qualify as an Incentive Stock Option.</w:t>
      </w:r>
    </w:p>
    <w:p>
      <w:pPr>
        <w:spacing w:after="0" w:line="252" w:lineRule="exact"/>
        <w:rPr>
          <w:rFonts w:ascii="Arial" w:cs="Arial" w:eastAsia="Arial" w:hAnsi="Arial"/>
          <w:sz w:val="18"/>
          <w:szCs w:val="18"/>
          <w:color w:val="auto"/>
        </w:rPr>
      </w:pPr>
    </w:p>
    <w:p>
      <w:pPr>
        <w:ind w:firstLine="1394"/>
        <w:spacing w:after="0" w:line="277" w:lineRule="auto"/>
        <w:tabs>
          <w:tab w:leader="none" w:pos="17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or a Related Entity within the meaning of Section 16 of the Exchange Act and the rules and regulations promulgated thereunder.</w:t>
      </w:r>
    </w:p>
    <w:p>
      <w:pPr>
        <w:spacing w:after="0" w:line="197" w:lineRule="exact"/>
        <w:rPr>
          <w:rFonts w:ascii="Arial" w:cs="Arial" w:eastAsia="Arial" w:hAnsi="Arial"/>
          <w:sz w:val="18"/>
          <w:szCs w:val="18"/>
          <w:color w:val="auto"/>
        </w:rPr>
      </w:pPr>
    </w:p>
    <w:p>
      <w:pPr>
        <w:ind w:left="1720" w:hanging="326"/>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Shares pursuant to an Award Agreement granted under the Plan.</w:t>
      </w:r>
    </w:p>
    <w:p>
      <w:pPr>
        <w:spacing w:after="0" w:line="252" w:lineRule="exact"/>
        <w:rPr>
          <w:rFonts w:ascii="Arial" w:cs="Arial" w:eastAsia="Arial" w:hAnsi="Arial"/>
          <w:sz w:val="18"/>
          <w:szCs w:val="18"/>
          <w:color w:val="auto"/>
        </w:rPr>
      </w:pPr>
    </w:p>
    <w:p>
      <w:pPr>
        <w:ind w:left="1680" w:hanging="286"/>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52" w:lineRule="exact"/>
        <w:rPr>
          <w:rFonts w:ascii="Arial" w:cs="Arial" w:eastAsia="Arial" w:hAnsi="Arial"/>
          <w:sz w:val="18"/>
          <w:szCs w:val="18"/>
          <w:color w:val="auto"/>
        </w:rPr>
      </w:pPr>
    </w:p>
    <w:p>
      <w:pPr>
        <w:ind w:left="1740" w:hanging="346"/>
        <w:spacing w:after="0"/>
        <w:tabs>
          <w:tab w:leader="none" w:pos="1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Performance-Based Compensation</w:t>
      </w:r>
      <w:r>
        <w:rPr>
          <w:rFonts w:ascii="Arial" w:cs="Arial" w:eastAsia="Arial" w:hAnsi="Arial"/>
          <w:sz w:val="16"/>
          <w:szCs w:val="16"/>
          <w:color w:val="auto"/>
        </w:rPr>
        <w:t>” means compensation qualifying as “performance-based compensation” under Section 162(m)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37" w:lineRule="exact"/>
        <w:rPr>
          <w:rFonts w:ascii="Arial" w:cs="Arial" w:eastAsia="Arial" w:hAnsi="Arial"/>
          <w:sz w:val="16"/>
          <w:szCs w:val="16"/>
          <w:color w:val="auto"/>
        </w:rPr>
      </w:pPr>
    </w:p>
    <w:p>
      <w:pPr>
        <w:ind w:left="1740" w:hanging="346"/>
        <w:spacing w:after="0"/>
        <w:tabs>
          <w:tab w:leader="none" w:pos="1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Amended and Restated 2016 Stock Incentive Plan.</w:t>
      </w:r>
    </w:p>
    <w:p>
      <w:pPr>
        <w:spacing w:after="0" w:line="252" w:lineRule="exact"/>
        <w:rPr>
          <w:rFonts w:ascii="Arial" w:cs="Arial" w:eastAsia="Arial" w:hAnsi="Arial"/>
          <w:sz w:val="18"/>
          <w:szCs w:val="18"/>
          <w:color w:val="auto"/>
        </w:rPr>
      </w:pPr>
    </w:p>
    <w:p>
      <w:pPr>
        <w:jc w:val="both"/>
        <w:ind w:firstLine="1394"/>
        <w:spacing w:after="0" w:line="264" w:lineRule="auto"/>
        <w:tabs>
          <w:tab w:leader="none" w:pos="16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Post-Termination Exercise Period</w:t>
      </w:r>
      <w:r>
        <w:rPr>
          <w:rFonts w:ascii="Arial" w:cs="Arial" w:eastAsia="Arial" w:hAnsi="Arial"/>
          <w:sz w:val="18"/>
          <w:szCs w:val="18"/>
          <w:color w:val="auto"/>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spacing w:after="0" w:line="208" w:lineRule="exact"/>
        <w:rPr>
          <w:rFonts w:ascii="Arial" w:cs="Arial" w:eastAsia="Arial" w:hAnsi="Arial"/>
          <w:sz w:val="18"/>
          <w:szCs w:val="18"/>
          <w:color w:val="auto"/>
        </w:rPr>
      </w:pPr>
    </w:p>
    <w:p>
      <w:pPr>
        <w:ind w:left="1660" w:hanging="266"/>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Parent or Subsidiary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both"/>
        <w:ind w:firstLine="1394"/>
        <w:spacing w:after="0" w:line="302" w:lineRule="auto"/>
        <w:tabs>
          <w:tab w:leader="none" w:pos="1731"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Replaced</w:t>
      </w:r>
      <w:r>
        <w:rPr>
          <w:rFonts w:ascii="Arial" w:cs="Arial" w:eastAsia="Arial" w:hAnsi="Arial"/>
          <w:sz w:val="16"/>
          <w:szCs w:val="16"/>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Committee and its determination shall be final, binding and conclusive.</w:t>
      </w:r>
    </w:p>
    <w:p>
      <w:pPr>
        <w:spacing w:after="0" w:line="181" w:lineRule="exact"/>
        <w:rPr>
          <w:rFonts w:ascii="Arial" w:cs="Arial" w:eastAsia="Arial" w:hAnsi="Arial"/>
          <w:sz w:val="16"/>
          <w:szCs w:val="16"/>
          <w:color w:val="auto"/>
        </w:rPr>
      </w:pPr>
    </w:p>
    <w:p>
      <w:pPr>
        <w:ind w:right="80" w:firstLine="1394"/>
        <w:spacing w:after="0" w:line="342" w:lineRule="auto"/>
        <w:tabs>
          <w:tab w:leader="none" w:pos="1651"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issued under the Plan to the Grantee for such consideration, if any, and subject to such restrictions on transfer, rights of first refusal, repurchase provisions, forfeiture provisions, and other terms and conditions as established by the Committee.</w:t>
      </w:r>
    </w:p>
    <w:p>
      <w:pPr>
        <w:spacing w:after="0" w:line="150" w:lineRule="exact"/>
        <w:rPr>
          <w:rFonts w:ascii="Arial" w:cs="Arial" w:eastAsia="Arial" w:hAnsi="Arial"/>
          <w:sz w:val="16"/>
          <w:szCs w:val="16"/>
          <w:color w:val="auto"/>
        </w:rPr>
      </w:pPr>
    </w:p>
    <w:p>
      <w:pPr>
        <w:jc w:val="both"/>
        <w:ind w:firstLine="1394"/>
        <w:spacing w:after="0" w:line="264" w:lineRule="auto"/>
        <w:tabs>
          <w:tab w:leader="none" w:pos="18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an Award which may be earned in whole or in part upon the passage of time or the attainment of performance criteria established by the Committee and which may be settled for cash, Shares or other securities or a combination of cash, Shares or other securities as established by the Committee.</w:t>
      </w:r>
    </w:p>
    <w:p>
      <w:pPr>
        <w:spacing w:after="0" w:line="208" w:lineRule="exact"/>
        <w:rPr>
          <w:rFonts w:ascii="Arial" w:cs="Arial" w:eastAsia="Arial" w:hAnsi="Arial"/>
          <w:sz w:val="18"/>
          <w:szCs w:val="18"/>
          <w:color w:val="auto"/>
        </w:rPr>
      </w:pPr>
    </w:p>
    <w:p>
      <w:pPr>
        <w:ind w:left="1740" w:hanging="346"/>
        <w:spacing w:after="0"/>
        <w:tabs>
          <w:tab w:leader="none" w:pos="1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Exchange Act or any successor thereto.</w:t>
      </w:r>
    </w:p>
    <w:p>
      <w:pPr>
        <w:spacing w:after="0" w:line="252" w:lineRule="exact"/>
        <w:rPr>
          <w:rFonts w:ascii="Arial" w:cs="Arial" w:eastAsia="Arial" w:hAnsi="Arial"/>
          <w:sz w:val="18"/>
          <w:szCs w:val="18"/>
          <w:color w:val="auto"/>
        </w:rPr>
      </w:pPr>
    </w:p>
    <w:p>
      <w:pPr>
        <w:ind w:firstLine="1394"/>
        <w:spacing w:after="0" w:line="277" w:lineRule="auto"/>
        <w:tabs>
          <w:tab w:leader="none" w:pos="17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w:t>
      </w:r>
      <w:r>
        <w:rPr>
          <w:rFonts w:ascii="Arial" w:cs="Arial" w:eastAsia="Arial" w:hAnsi="Arial"/>
          <w:sz w:val="18"/>
          <w:szCs w:val="18"/>
          <w:color w:val="auto"/>
        </w:rPr>
        <w:t>” means a stock appreciation right entitling the Grantee to Shares or cash compensation, as established by the Committee, measured by appreciation in the value of Common Stock.</w:t>
      </w:r>
    </w:p>
    <w:p>
      <w:pPr>
        <w:spacing w:after="0" w:line="197" w:lineRule="exact"/>
        <w:rPr>
          <w:rFonts w:ascii="Arial" w:cs="Arial" w:eastAsia="Arial" w:hAnsi="Arial"/>
          <w:sz w:val="18"/>
          <w:szCs w:val="18"/>
          <w:color w:val="auto"/>
        </w:rPr>
      </w:pPr>
    </w:p>
    <w:p>
      <w:pPr>
        <w:ind w:left="1740" w:hanging="346"/>
        <w:spacing w:after="0"/>
        <w:tabs>
          <w:tab w:leader="none" w:pos="1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w:t>
      </w:r>
    </w:p>
    <w:p>
      <w:pPr>
        <w:spacing w:after="0" w:line="252" w:lineRule="exact"/>
        <w:rPr>
          <w:rFonts w:ascii="Arial" w:cs="Arial" w:eastAsia="Arial" w:hAnsi="Arial"/>
          <w:sz w:val="18"/>
          <w:szCs w:val="18"/>
          <w:color w:val="auto"/>
        </w:rPr>
      </w:pPr>
    </w:p>
    <w:p>
      <w:pPr>
        <w:ind w:left="1740" w:hanging="346"/>
        <w:spacing w:after="0"/>
        <w:tabs>
          <w:tab w:leader="none" w:pos="17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63" w:lineRule="exact"/>
        <w:rPr>
          <w:rFonts w:ascii="Arial" w:cs="Arial" w:eastAsia="Arial" w:hAnsi="Arial"/>
          <w:sz w:val="17"/>
          <w:szCs w:val="17"/>
          <w:color w:val="auto"/>
        </w:rPr>
      </w:pPr>
    </w:p>
    <w:p>
      <w:pPr>
        <w:ind w:left="980" w:hanging="180"/>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94"/>
        <w:spacing w:after="0" w:line="259" w:lineRule="auto"/>
        <w:tabs>
          <w:tab w:leader="none" w:pos="1631"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Subject to the provisions of Section 10 below, the maximum aggregate number of Shares which may be issued pursuant to all Awards (including Incentive Stock Options) is three million (3,000,000) Shares. Notwithstanding the foregoing, subject to the provisions of Section 10, below, the maximum aggregate number of Shares available for grant of Incentive Stock Options shall be three million (3,000,000) Shares. The Shares to be issued pursuant to Awards may be authorized, but unissued, or reacquired Common Stock.</w:t>
      </w:r>
    </w:p>
    <w:p>
      <w:pPr>
        <w:spacing w:after="0" w:line="213" w:lineRule="exact"/>
        <w:rPr>
          <w:rFonts w:ascii="Arial" w:cs="Arial" w:eastAsia="Arial" w:hAnsi="Arial"/>
          <w:sz w:val="18"/>
          <w:szCs w:val="18"/>
          <w:color w:val="auto"/>
        </w:rPr>
      </w:pPr>
    </w:p>
    <w:p>
      <w:pPr>
        <w:jc w:val="both"/>
        <w:ind w:firstLine="1394"/>
        <w:spacing w:after="0" w:line="290" w:lineRule="auto"/>
        <w:tabs>
          <w:tab w:leader="none" w:pos="1641"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such Shares shall become available for future grant under the Plan. To the extent not prohibited by the listing requirements of The NASDAQ Stock Market LLC (or other established stock exchange or national market system on which the Common Stock is traded) and Applicable Law, any Shares covered by an Award which are surrendered (i) in payment of the Award exercise or purchase price or (ii) in satisfaction of tax withholding obligations incident to the exercise of an Award shall be deemed not to have been issued for purposes of determining the maximum number of Shares which may be issued pursuant to all Awards under the Plan, unless otherwise determined by the Committee.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left="980" w:hanging="180"/>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40" w:hanging="246"/>
        <w:spacing w:after="0"/>
        <w:tabs>
          <w:tab w:leader="none" w:pos="16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Plan Administration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989"/>
        <w:spacing w:after="0" w:line="257" w:lineRule="auto"/>
        <w:tabs>
          <w:tab w:leader="none" w:pos="2195"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consist of two or more Independent Directors of the Company, who shall be appointed by the Board. In addition, the composition of the Committee shall satisfy (i) such requirements as the Securities and Exchange Commission may establish for administrators acting under plans intended to qualify for exemption under Rule 16b-3 (or its successor) under the Exchange Act; and (ii) such requirements as the Internal Revenue Service may establish for outside directors acting under plans intended to qualify for exemption under Section 162(m)(4)(C) of the Code.</w:t>
      </w:r>
    </w:p>
    <w:p>
      <w:pPr>
        <w:spacing w:after="0" w:line="215" w:lineRule="exact"/>
        <w:rPr>
          <w:rFonts w:ascii="Arial" w:cs="Arial" w:eastAsia="Arial" w:hAnsi="Arial"/>
          <w:sz w:val="18"/>
          <w:szCs w:val="18"/>
          <w:color w:val="auto"/>
        </w:rPr>
      </w:pPr>
    </w:p>
    <w:p>
      <w:pPr>
        <w:ind w:right="20" w:firstLine="1989"/>
        <w:spacing w:after="0" w:line="277" w:lineRule="auto"/>
        <w:tabs>
          <w:tab w:leader="none" w:pos="2245"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Officer Authorization to Grant Awards</w:t>
      </w:r>
      <w:r>
        <w:rPr>
          <w:rFonts w:ascii="Arial" w:cs="Arial" w:eastAsia="Arial" w:hAnsi="Arial"/>
          <w:sz w:val="18"/>
          <w:szCs w:val="18"/>
          <w:color w:val="auto"/>
        </w:rPr>
        <w:t>. The Committee may authorize one or more Officers to grant Awards subject to such limitations as the Committee determines from time to time.</w:t>
      </w:r>
    </w:p>
    <w:p>
      <w:pPr>
        <w:spacing w:after="0" w:line="197" w:lineRule="exact"/>
        <w:rPr>
          <w:rFonts w:ascii="Arial" w:cs="Arial" w:eastAsia="Arial" w:hAnsi="Arial"/>
          <w:sz w:val="18"/>
          <w:szCs w:val="18"/>
          <w:color w:val="auto"/>
        </w:rPr>
      </w:pPr>
    </w:p>
    <w:p>
      <w:pPr>
        <w:ind w:firstLine="1394"/>
        <w:spacing w:after="0" w:line="277" w:lineRule="auto"/>
        <w:tabs>
          <w:tab w:leader="none" w:pos="1668"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Powers of the Committee</w:t>
      </w:r>
      <w:r>
        <w:rPr>
          <w:rFonts w:ascii="Arial" w:cs="Arial" w:eastAsia="Arial" w:hAnsi="Arial"/>
          <w:sz w:val="18"/>
          <w:szCs w:val="18"/>
          <w:color w:val="auto"/>
        </w:rPr>
        <w:t>. Subject to Applicable Laws and the provisions of the Plan (including any other powers given to the Committee hereunder), and except as otherwise provided by the Board, the Committee shall have the authority, in its discretion:</w:t>
      </w:r>
    </w:p>
    <w:p>
      <w:pPr>
        <w:spacing w:after="0" w:line="197" w:lineRule="exact"/>
        <w:rPr>
          <w:rFonts w:ascii="Arial" w:cs="Arial" w:eastAsia="Arial" w:hAnsi="Arial"/>
          <w:sz w:val="18"/>
          <w:szCs w:val="18"/>
          <w:color w:val="auto"/>
        </w:rPr>
      </w:pPr>
    </w:p>
    <w:p>
      <w:pPr>
        <w:ind w:left="2200" w:hanging="211"/>
        <w:spacing w:after="0"/>
        <w:tabs>
          <w:tab w:leader="none" w:pos="22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select the Employees, Directors and Consultants to whom Awards may be granted from time to time hereunder;</w:t>
      </w:r>
    </w:p>
    <w:p>
      <w:pPr>
        <w:spacing w:after="0" w:line="252" w:lineRule="exact"/>
        <w:rPr>
          <w:rFonts w:ascii="Arial" w:cs="Arial" w:eastAsia="Arial" w:hAnsi="Arial"/>
          <w:sz w:val="18"/>
          <w:szCs w:val="18"/>
          <w:color w:val="auto"/>
        </w:rPr>
      </w:pPr>
    </w:p>
    <w:p>
      <w:pPr>
        <w:ind w:left="2260" w:hanging="271"/>
        <w:spacing w:after="0"/>
        <w:tabs>
          <w:tab w:leader="none" w:pos="22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252" w:lineRule="exact"/>
        <w:rPr>
          <w:rFonts w:ascii="Arial" w:cs="Arial" w:eastAsia="Arial" w:hAnsi="Arial"/>
          <w:sz w:val="18"/>
          <w:szCs w:val="18"/>
          <w:color w:val="auto"/>
        </w:rPr>
      </w:pPr>
    </w:p>
    <w:p>
      <w:pPr>
        <w:ind w:left="2300" w:hanging="311"/>
        <w:spacing w:after="0"/>
        <w:tabs>
          <w:tab w:leader="none" w:pos="2300" w:val="left"/>
        </w:tabs>
        <w:numPr>
          <w:ilvl w:val="2"/>
          <w:numId w:val="42"/>
        </w:numPr>
        <w:rPr>
          <w:rFonts w:ascii="Arial" w:cs="Arial" w:eastAsia="Arial" w:hAnsi="Arial"/>
          <w:sz w:val="16"/>
          <w:szCs w:val="16"/>
          <w:color w:val="auto"/>
        </w:rPr>
      </w:pPr>
      <w:r>
        <w:rPr>
          <w:rFonts w:ascii="Arial" w:cs="Arial" w:eastAsia="Arial" w:hAnsi="Arial"/>
          <w:sz w:val="16"/>
          <w:szCs w:val="16"/>
          <w:color w:val="auto"/>
        </w:rPr>
        <w:t>to determine the number of Shares or the amount of other consideration to be covered by each Award granted hereunder;</w:t>
      </w:r>
    </w:p>
    <w:p>
      <w:pPr>
        <w:spacing w:after="0" w:line="275" w:lineRule="exact"/>
        <w:rPr>
          <w:rFonts w:ascii="Arial" w:cs="Arial" w:eastAsia="Arial" w:hAnsi="Arial"/>
          <w:sz w:val="16"/>
          <w:szCs w:val="16"/>
          <w:color w:val="auto"/>
        </w:rPr>
      </w:pPr>
    </w:p>
    <w:p>
      <w:pPr>
        <w:ind w:left="2300" w:hanging="311"/>
        <w:spacing w:after="0"/>
        <w:tabs>
          <w:tab w:leader="none" w:pos="23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52" w:lineRule="exact"/>
        <w:rPr>
          <w:rFonts w:ascii="Arial" w:cs="Arial" w:eastAsia="Arial" w:hAnsi="Arial"/>
          <w:sz w:val="18"/>
          <w:szCs w:val="18"/>
          <w:color w:val="auto"/>
        </w:rPr>
      </w:pPr>
    </w:p>
    <w:p>
      <w:pPr>
        <w:ind w:left="2240" w:hanging="251"/>
        <w:spacing w:after="0"/>
        <w:tabs>
          <w:tab w:leader="none" w:pos="22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w:t>
      </w:r>
    </w:p>
    <w:p>
      <w:pPr>
        <w:spacing w:after="0" w:line="252" w:lineRule="exact"/>
        <w:rPr>
          <w:rFonts w:ascii="Arial" w:cs="Arial" w:eastAsia="Arial" w:hAnsi="Arial"/>
          <w:sz w:val="18"/>
          <w:szCs w:val="18"/>
          <w:color w:val="auto"/>
        </w:rPr>
      </w:pPr>
    </w:p>
    <w:p>
      <w:pPr>
        <w:jc w:val="both"/>
        <w:ind w:firstLine="1989"/>
        <w:spacing w:after="0" w:line="264" w:lineRule="auto"/>
        <w:tabs>
          <w:tab w:leader="none" w:pos="2312"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establish additional terms, conditions, rules or procedures to accommodate the rules or laws of applicable non-U.S. jurisdictions and to afford Grantees favorable treatment under such rules or laws; provided, however, that no Award shall be granted under any such additional terms, conditions, rules or procedures with terms or conditions which are inconsistent with the provisions of the Plan;</w:t>
      </w:r>
    </w:p>
    <w:p>
      <w:pPr>
        <w:spacing w:after="0" w:line="208" w:lineRule="exact"/>
        <w:rPr>
          <w:rFonts w:ascii="Arial" w:cs="Arial" w:eastAsia="Arial" w:hAnsi="Arial"/>
          <w:sz w:val="18"/>
          <w:szCs w:val="18"/>
          <w:color w:val="auto"/>
        </w:rPr>
      </w:pPr>
    </w:p>
    <w:p>
      <w:pPr>
        <w:jc w:val="both"/>
        <w:ind w:firstLine="1989"/>
        <w:spacing w:after="0" w:line="255" w:lineRule="auto"/>
        <w:tabs>
          <w:tab w:leader="none" w:pos="2349"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Notwithstanding the foregoing, (A) the reduction or increase of the exercise price of any Option awarded under the Plan and the base appreciation amount of any SAR awarded under the Plan and (B) canceling an Option or SAR at a time when its exercise price or base appreciation amount (as applicable) exceeds the Fair Market Value of the underlying Shares, in exchange for another Option, SAR, Restricted Stock, or other Award, in each case, shall not be subject to shareholder approval;</w:t>
      </w:r>
    </w:p>
    <w:p>
      <w:pPr>
        <w:spacing w:after="0" w:line="216" w:lineRule="exact"/>
        <w:rPr>
          <w:rFonts w:ascii="Arial" w:cs="Arial" w:eastAsia="Arial" w:hAnsi="Arial"/>
          <w:sz w:val="18"/>
          <w:szCs w:val="18"/>
          <w:color w:val="auto"/>
        </w:rPr>
      </w:pPr>
    </w:p>
    <w:p>
      <w:pPr>
        <w:ind w:firstLine="1989"/>
        <w:spacing w:after="0" w:line="277" w:lineRule="auto"/>
        <w:tabs>
          <w:tab w:leader="none" w:pos="2399"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including without limitation, any notice of award or Award Agreement, granted pursuant to the Plan; and</w:t>
      </w:r>
    </w:p>
    <w:p>
      <w:pPr>
        <w:spacing w:after="0" w:line="197" w:lineRule="exact"/>
        <w:rPr>
          <w:rFonts w:ascii="Arial" w:cs="Arial" w:eastAsia="Arial" w:hAnsi="Arial"/>
          <w:sz w:val="18"/>
          <w:szCs w:val="18"/>
          <w:color w:val="auto"/>
        </w:rPr>
      </w:pPr>
    </w:p>
    <w:p>
      <w:pPr>
        <w:ind w:left="2300" w:hanging="311"/>
        <w:spacing w:after="0"/>
        <w:tabs>
          <w:tab w:leader="none" w:pos="23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take such other action, not inconsistent with the terms of the Plan, as the Committee deems appropriate.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ind w:firstLine="792"/>
        <w:spacing w:after="0" w:line="286" w:lineRule="auto"/>
        <w:rPr>
          <w:sz w:val="20"/>
          <w:szCs w:val="20"/>
          <w:color w:val="auto"/>
        </w:rPr>
      </w:pPr>
      <w:r>
        <w:rPr>
          <w:rFonts w:ascii="Arial" w:cs="Arial" w:eastAsia="Arial" w:hAnsi="Arial"/>
          <w:sz w:val="17"/>
          <w:szCs w:val="17"/>
          <w:color w:val="auto"/>
        </w:rPr>
        <w:t>The express grant in the Plan of any specific power to the Committee shall not be construed as limiting any power or authority of the Committee; provided that the Committee may not exercise any right or power reserved to the Board. Any decision made, or action taken, by the Committee or in connection with the administration of this Plan shall be final, conclusive and binding on all persons having an interest in the Plan.</w:t>
      </w:r>
    </w:p>
    <w:p>
      <w:pPr>
        <w:spacing w:after="0" w:line="193" w:lineRule="exact"/>
        <w:rPr>
          <w:sz w:val="20"/>
          <w:szCs w:val="20"/>
          <w:color w:val="auto"/>
        </w:rPr>
      </w:pPr>
    </w:p>
    <w:p>
      <w:pPr>
        <w:jc w:val="both"/>
        <w:ind w:firstLine="1394"/>
        <w:spacing w:after="0" w:line="288" w:lineRule="auto"/>
        <w:tabs>
          <w:tab w:leader="none" w:pos="1655"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Committee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96" w:lineRule="exact"/>
        <w:rPr>
          <w:rFonts w:ascii="Arial" w:cs="Arial" w:eastAsia="Arial" w:hAnsi="Arial"/>
          <w:sz w:val="16"/>
          <w:szCs w:val="16"/>
          <w:color w:val="auto"/>
        </w:rPr>
      </w:pPr>
    </w:p>
    <w:p>
      <w:pPr>
        <w:jc w:val="both"/>
        <w:ind w:firstLine="800"/>
        <w:spacing w:after="0" w:line="259" w:lineRule="auto"/>
        <w:tabs>
          <w:tab w:leader="none" w:pos="97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Committee may determine from time to time.</w:t>
      </w:r>
    </w:p>
    <w:p>
      <w:pPr>
        <w:spacing w:after="0" w:line="213" w:lineRule="exact"/>
        <w:rPr>
          <w:rFonts w:ascii="Arial" w:cs="Arial" w:eastAsia="Arial" w:hAnsi="Arial"/>
          <w:sz w:val="18"/>
          <w:szCs w:val="18"/>
          <w:color w:val="auto"/>
        </w:rPr>
      </w:pPr>
    </w:p>
    <w:p>
      <w:pPr>
        <w:ind w:left="980" w:hanging="180"/>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Awards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94"/>
        <w:spacing w:after="0" w:line="255" w:lineRule="auto"/>
        <w:tabs>
          <w:tab w:leader="none" w:pos="165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Types of Awards</w:t>
      </w:r>
      <w:r>
        <w:rPr>
          <w:rFonts w:ascii="Arial" w:cs="Arial" w:eastAsia="Arial" w:hAnsi="Arial"/>
          <w:sz w:val="18"/>
          <w:szCs w:val="18"/>
          <w:color w:val="auto"/>
        </w:rPr>
        <w:t>. The Committee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spacing w:after="0" w:line="220" w:lineRule="exact"/>
        <w:rPr>
          <w:rFonts w:ascii="Arial" w:cs="Arial" w:eastAsia="Arial" w:hAnsi="Arial"/>
          <w:sz w:val="18"/>
          <w:szCs w:val="18"/>
          <w:color w:val="auto"/>
        </w:rPr>
      </w:pPr>
    </w:p>
    <w:p>
      <w:pPr>
        <w:jc w:val="both"/>
        <w:ind w:firstLine="1394"/>
        <w:spacing w:after="0" w:line="253" w:lineRule="auto"/>
        <w:tabs>
          <w:tab w:leader="none" w:pos="165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Designation of Award</w:t>
      </w:r>
      <w:r>
        <w:rPr>
          <w:rFonts w:ascii="Arial" w:cs="Arial" w:eastAsia="Arial" w:hAnsi="Arial"/>
          <w:sz w:val="18"/>
          <w:szCs w:val="18"/>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ind w:firstLine="1394"/>
        <w:spacing w:after="0" w:line="268" w:lineRule="auto"/>
        <w:tabs>
          <w:tab w:leader="none" w:pos="164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Conditions of Award</w:t>
      </w:r>
      <w:r>
        <w:rPr>
          <w:rFonts w:ascii="Arial" w:cs="Arial" w:eastAsia="Arial" w:hAnsi="Arial"/>
          <w:sz w:val="17"/>
          <w:szCs w:val="17"/>
          <w:color w:val="auto"/>
        </w:rPr>
        <w:t>. Subject to the terms of the Plan, the Committee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Committee may be based on any one of, or combination of, the following: (i) increase in share price, (ii) earnings per share, (iii) total shareholder return, (iv) operating margin, (v) gross margin, (vi) return on equity, (vii) return on assets, (vii)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Related Entities and/or any individual business units of the Company or any Related Entity.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212" w:lineRule="exact"/>
        <w:rPr>
          <w:rFonts w:ascii="Arial" w:cs="Arial" w:eastAsia="Arial" w:hAnsi="Arial"/>
          <w:sz w:val="17"/>
          <w:szCs w:val="17"/>
          <w:color w:val="auto"/>
        </w:rPr>
      </w:pPr>
    </w:p>
    <w:p>
      <w:pPr>
        <w:jc w:val="both"/>
        <w:ind w:firstLine="1394"/>
        <w:spacing w:after="0" w:line="286" w:lineRule="auto"/>
        <w:tabs>
          <w:tab w:leader="none" w:pos="164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Acquisitions and Other Transactions</w:t>
      </w:r>
      <w:r>
        <w:rPr>
          <w:rFonts w:ascii="Arial" w:cs="Arial" w:eastAsia="Arial" w:hAnsi="Arial"/>
          <w:sz w:val="17"/>
          <w:szCs w:val="17"/>
          <w:color w:val="auto"/>
        </w:rPr>
        <w:t>. The Committee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92" w:lineRule="exact"/>
        <w:rPr>
          <w:rFonts w:ascii="Arial" w:cs="Arial" w:eastAsia="Arial" w:hAnsi="Arial"/>
          <w:sz w:val="17"/>
          <w:szCs w:val="17"/>
          <w:color w:val="auto"/>
        </w:rPr>
      </w:pPr>
    </w:p>
    <w:p>
      <w:pPr>
        <w:jc w:val="both"/>
        <w:ind w:firstLine="1394"/>
        <w:spacing w:after="0" w:line="297" w:lineRule="auto"/>
        <w:tabs>
          <w:tab w:leader="none" w:pos="164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Deferral of Award Payment</w:t>
      </w:r>
      <w:r>
        <w:rPr>
          <w:rFonts w:ascii="Arial" w:cs="Arial" w:eastAsia="Arial" w:hAnsi="Arial"/>
          <w:sz w:val="16"/>
          <w:szCs w:val="16"/>
          <w:color w:val="auto"/>
        </w:rPr>
        <w:t>. The Committee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85" w:lineRule="exact"/>
        <w:rPr>
          <w:rFonts w:ascii="Arial" w:cs="Arial" w:eastAsia="Arial" w:hAnsi="Arial"/>
          <w:sz w:val="16"/>
          <w:szCs w:val="16"/>
          <w:color w:val="auto"/>
        </w:rPr>
      </w:pPr>
    </w:p>
    <w:p>
      <w:pPr>
        <w:ind w:firstLine="1394"/>
        <w:spacing w:after="0" w:line="308" w:lineRule="auto"/>
        <w:tabs>
          <w:tab w:leader="none" w:pos="161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Separate Programs</w:t>
      </w:r>
      <w:r>
        <w:rPr>
          <w:rFonts w:ascii="Arial" w:cs="Arial" w:eastAsia="Arial" w:hAnsi="Arial"/>
          <w:sz w:val="17"/>
          <w:szCs w:val="17"/>
          <w:color w:val="auto"/>
        </w:rPr>
        <w:t>. The Committee may establish one or more separate programs under the Plan for the purpose of issuing particular forms of Awards to one or more classes of Grantees on such terms and conditions as determined by the Committee from time to time.</w:t>
      </w:r>
    </w:p>
    <w:p>
      <w:pPr>
        <w:spacing w:after="0" w:line="173" w:lineRule="exact"/>
        <w:rPr>
          <w:rFonts w:ascii="Arial" w:cs="Arial" w:eastAsia="Arial" w:hAnsi="Arial"/>
          <w:sz w:val="17"/>
          <w:szCs w:val="17"/>
          <w:color w:val="auto"/>
        </w:rPr>
      </w:pPr>
    </w:p>
    <w:p>
      <w:pPr>
        <w:ind w:left="1640" w:hanging="246"/>
        <w:spacing w:after="0"/>
        <w:tabs>
          <w:tab w:leader="none" w:pos="16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Individual Limitations on Awards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989"/>
        <w:spacing w:after="0" w:line="270" w:lineRule="auto"/>
        <w:tabs>
          <w:tab w:leader="none" w:pos="2195"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Individual Limit for Options and SARs</w:t>
      </w:r>
      <w:r>
        <w:rPr>
          <w:rFonts w:ascii="Arial" w:cs="Arial" w:eastAsia="Arial" w:hAnsi="Arial"/>
          <w:sz w:val="17"/>
          <w:szCs w:val="17"/>
          <w:color w:val="auto"/>
        </w:rPr>
        <w:t>. Following the date that the exemption from application of Section 162(m) of the Code described in Section 18 (or any exemption having similar effect) ceases to apply to Awards, the maximum number of Shares with respect to which Options and SARs may be granted to any Grantee in any calendar year shall be three hundred thousand (300,000) Shares. In connection with a Grantee’s commencement of Continuous Service, a Grantee may be granted Options and SARs for up to an additional fifty thousand (50,000) Shares which shall not count against the limit set forth in the previous sentence. The foregoing limitation[s] shall be adjusted proportionately in connection with any change in the Company’s capitalization pursuant to Section 10, below. 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ind w:firstLine="1989"/>
        <w:spacing w:after="0" w:line="259" w:lineRule="auto"/>
        <w:tabs>
          <w:tab w:leader="none" w:pos="2245"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Individual Limit for Restricted Stock and Restricted Stock Units</w:t>
      </w:r>
      <w:r>
        <w:rPr>
          <w:rFonts w:ascii="Arial" w:cs="Arial" w:eastAsia="Arial" w:hAnsi="Arial"/>
          <w:sz w:val="18"/>
          <w:szCs w:val="18"/>
          <w:color w:val="auto"/>
        </w:rPr>
        <w:t>. For awards of Restricted Stock and Restricted Stock Units that are intended to be Performance-Based Compensation, the maximum number of Shares with respect to which such Awards may be granted to any Grantee in any calendar year shall be three hundred thousand (300,000) Shares. The foregoing limitation shall be adjusted proportionately in connection with any change in the Company’s capitalization pursuant to Section 10, below.</w:t>
      </w:r>
    </w:p>
    <w:p>
      <w:pPr>
        <w:spacing w:after="0" w:line="213" w:lineRule="exact"/>
        <w:rPr>
          <w:rFonts w:ascii="Arial" w:cs="Arial" w:eastAsia="Arial" w:hAnsi="Arial"/>
          <w:sz w:val="18"/>
          <w:szCs w:val="18"/>
          <w:color w:val="auto"/>
        </w:rPr>
      </w:pPr>
    </w:p>
    <w:p>
      <w:pPr>
        <w:jc w:val="both"/>
        <w:ind w:firstLine="1394"/>
        <w:spacing w:after="0" w:line="259" w:lineRule="auto"/>
        <w:tabs>
          <w:tab w:leader="none" w:pos="165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Early Exercise</w:t>
      </w:r>
      <w:r>
        <w:rPr>
          <w:rFonts w:ascii="Arial" w:cs="Arial" w:eastAsia="Arial" w:hAnsi="Arial"/>
          <w:sz w:val="18"/>
          <w:szCs w:val="18"/>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Committee determines to be appropriate.</w:t>
      </w:r>
    </w:p>
    <w:p>
      <w:pPr>
        <w:spacing w:after="0" w:line="213" w:lineRule="exact"/>
        <w:rPr>
          <w:rFonts w:ascii="Arial" w:cs="Arial" w:eastAsia="Arial" w:hAnsi="Arial"/>
          <w:sz w:val="18"/>
          <w:szCs w:val="18"/>
          <w:color w:val="auto"/>
        </w:rPr>
      </w:pPr>
    </w:p>
    <w:p>
      <w:pPr>
        <w:jc w:val="both"/>
        <w:ind w:firstLine="1394"/>
        <w:spacing w:after="0" w:line="255" w:lineRule="auto"/>
        <w:tabs>
          <w:tab w:leader="none" w:pos="1601"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Term of Award</w:t>
      </w:r>
      <w:r>
        <w:rPr>
          <w:rFonts w:ascii="Arial" w:cs="Arial" w:eastAsia="Arial" w:hAnsi="Arial"/>
          <w:sz w:val="18"/>
          <w:szCs w:val="18"/>
          <w:color w:val="auto"/>
        </w:rPr>
        <w:t>. The term of each Award shall be the term stated in the Award Agreement, provided, however, that the term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spacing w:after="0" w:line="220" w:lineRule="exact"/>
        <w:rPr>
          <w:rFonts w:ascii="Arial" w:cs="Arial" w:eastAsia="Arial" w:hAnsi="Arial"/>
          <w:sz w:val="18"/>
          <w:szCs w:val="18"/>
          <w:color w:val="auto"/>
        </w:rPr>
      </w:pPr>
    </w:p>
    <w:p>
      <w:pPr>
        <w:jc w:val="both"/>
        <w:ind w:firstLine="1394"/>
        <w:spacing w:after="0" w:line="255" w:lineRule="auto"/>
        <w:tabs>
          <w:tab w:leader="none" w:pos="1601"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Committee by gift or pursuant to a domestic relations order to members of the Grantee’s Immediate Family. Notwithstanding the foregoing, the Grantee may designate one or more beneficiaries of the Grantee’s Award in the event of the Grantee’s death on a beneficiary designation form provided by the Committee.</w:t>
      </w:r>
    </w:p>
    <w:p>
      <w:pPr>
        <w:spacing w:after="0" w:line="220" w:lineRule="exact"/>
        <w:rPr>
          <w:rFonts w:ascii="Arial" w:cs="Arial" w:eastAsia="Arial" w:hAnsi="Arial"/>
          <w:sz w:val="18"/>
          <w:szCs w:val="18"/>
          <w:color w:val="auto"/>
        </w:rPr>
      </w:pPr>
    </w:p>
    <w:p>
      <w:pPr>
        <w:ind w:firstLine="1394"/>
        <w:spacing w:after="0" w:line="277" w:lineRule="auto"/>
        <w:tabs>
          <w:tab w:leader="none" w:pos="165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Time of Granting Awards</w:t>
      </w:r>
      <w:r>
        <w:rPr>
          <w:rFonts w:ascii="Arial" w:cs="Arial" w:eastAsia="Arial" w:hAnsi="Arial"/>
          <w:sz w:val="18"/>
          <w:szCs w:val="18"/>
          <w:color w:val="auto"/>
        </w:rPr>
        <w:t>. The date of grant of an Award shall for all purposes be the date on which the Committee makes the determination to grant such Award, or such other later date as is determined by the Committee.</w:t>
      </w:r>
    </w:p>
    <w:p>
      <w:pPr>
        <w:spacing w:after="0" w:line="197" w:lineRule="exact"/>
        <w:rPr>
          <w:rFonts w:ascii="Arial" w:cs="Arial" w:eastAsia="Arial" w:hAnsi="Arial"/>
          <w:sz w:val="18"/>
          <w:szCs w:val="18"/>
          <w:color w:val="auto"/>
        </w:rPr>
      </w:pPr>
    </w:p>
    <w:p>
      <w:pPr>
        <w:ind w:left="980" w:hanging="180"/>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Award Exercise or Purchase Price, Consideration and Taxes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40" w:hanging="246"/>
        <w:spacing w:after="0"/>
        <w:tabs>
          <w:tab w:leader="none" w:pos="16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Exercise or Purchase Price</w:t>
      </w:r>
      <w:r>
        <w:rPr>
          <w:rFonts w:ascii="Arial" w:cs="Arial" w:eastAsia="Arial" w:hAnsi="Arial"/>
          <w:sz w:val="18"/>
          <w:szCs w:val="18"/>
          <w:color w:val="auto"/>
        </w:rPr>
        <w:t>. The exercise or purchase price, if any, for an Award shall be as follows:</w:t>
      </w:r>
    </w:p>
    <w:p>
      <w:pPr>
        <w:spacing w:after="0" w:line="252" w:lineRule="exact"/>
        <w:rPr>
          <w:rFonts w:ascii="Arial" w:cs="Arial" w:eastAsia="Arial" w:hAnsi="Arial"/>
          <w:sz w:val="18"/>
          <w:szCs w:val="18"/>
          <w:color w:val="auto"/>
        </w:rPr>
      </w:pPr>
    </w:p>
    <w:p>
      <w:pPr>
        <w:ind w:left="2240" w:hanging="206"/>
        <w:spacing w:after="0"/>
        <w:tabs>
          <w:tab w:leader="none" w:pos="22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52" w:lineRule="exact"/>
        <w:rPr>
          <w:rFonts w:ascii="Arial" w:cs="Arial" w:eastAsia="Arial" w:hAnsi="Arial"/>
          <w:sz w:val="18"/>
          <w:szCs w:val="18"/>
          <w:color w:val="auto"/>
        </w:rPr>
      </w:pPr>
    </w:p>
    <w:p>
      <w:pPr>
        <w:jc w:val="both"/>
        <w:ind w:firstLine="2781"/>
        <w:spacing w:after="0" w:line="286" w:lineRule="auto"/>
        <w:tabs>
          <w:tab w:leader="none" w:pos="3068" w:val="left"/>
        </w:tabs>
        <w:numPr>
          <w:ilvl w:val="3"/>
          <w:numId w:val="48"/>
        </w:numPr>
        <w:rPr>
          <w:rFonts w:ascii="Arial" w:cs="Arial" w:eastAsia="Arial" w:hAnsi="Arial"/>
          <w:sz w:val="17"/>
          <w:szCs w:val="17"/>
          <w:color w:val="auto"/>
        </w:rPr>
      </w:pPr>
      <w:r>
        <w:rPr>
          <w:rFonts w:ascii="Arial" w:cs="Arial" w:eastAsia="Arial" w:hAnsi="Arial"/>
          <w:sz w:val="17"/>
          <w:szCs w:val="17"/>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92" w:lineRule="exact"/>
        <w:rPr>
          <w:rFonts w:ascii="Arial" w:cs="Arial" w:eastAsia="Arial" w:hAnsi="Arial"/>
          <w:sz w:val="17"/>
          <w:szCs w:val="17"/>
          <w:color w:val="auto"/>
        </w:rPr>
      </w:pPr>
    </w:p>
    <w:p>
      <w:pPr>
        <w:ind w:firstLine="2781"/>
        <w:spacing w:after="0" w:line="277" w:lineRule="auto"/>
        <w:tabs>
          <w:tab w:leader="none" w:pos="3058" w:val="left"/>
        </w:tabs>
        <w:numPr>
          <w:ilvl w:val="3"/>
          <w:numId w:val="48"/>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the preceding paragraph, the per Share exercise price shall be not less than one hundred percent (100%) of the Fair Market Value per Share on the date of grant.</w:t>
      </w:r>
    </w:p>
    <w:p>
      <w:pPr>
        <w:spacing w:after="0" w:line="197" w:lineRule="exact"/>
        <w:rPr>
          <w:sz w:val="20"/>
          <w:szCs w:val="20"/>
          <w:color w:val="auto"/>
        </w:rPr>
      </w:pPr>
    </w:p>
    <w:p>
      <w:pPr>
        <w:ind w:right="20" w:firstLine="1989"/>
        <w:spacing w:after="0" w:line="277" w:lineRule="auto"/>
        <w:tabs>
          <w:tab w:leader="none" w:pos="2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 Non-Qualified Stock Option, the per Share exercise price shall be not less than one hundred percent (100%) of the Fair Market Value per Share on the date of grant.</w:t>
      </w:r>
    </w:p>
    <w:p>
      <w:pPr>
        <w:spacing w:after="0" w:line="197" w:lineRule="exact"/>
        <w:rPr>
          <w:rFonts w:ascii="Arial" w:cs="Arial" w:eastAsia="Arial" w:hAnsi="Arial"/>
          <w:sz w:val="18"/>
          <w:szCs w:val="18"/>
          <w:color w:val="auto"/>
        </w:rPr>
      </w:pPr>
    </w:p>
    <w:p>
      <w:pPr>
        <w:ind w:left="2300" w:hanging="311"/>
        <w:spacing w:after="0"/>
        <w:tabs>
          <w:tab w:leader="none" w:pos="2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case of SARs, the base appreciation amount shall not be less than one hundred percent (100%) of the Fair Market Value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 Share on the date of grant.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ind w:firstLine="1989"/>
        <w:spacing w:after="0" w:line="277" w:lineRule="auto"/>
        <w:tabs>
          <w:tab w:leader="none" w:pos="2285"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pacing w:after="0" w:line="197" w:lineRule="exact"/>
        <w:rPr>
          <w:rFonts w:ascii="Arial" w:cs="Arial" w:eastAsia="Arial" w:hAnsi="Arial"/>
          <w:sz w:val="18"/>
          <w:szCs w:val="18"/>
          <w:color w:val="auto"/>
        </w:rPr>
      </w:pPr>
    </w:p>
    <w:p>
      <w:pPr>
        <w:ind w:left="2240" w:hanging="251"/>
        <w:spacing w:after="0"/>
        <w:tabs>
          <w:tab w:leader="none" w:pos="22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the case of the sale of Shares, the per Share purchase price, if any, shall be such price as is determined by the Committee.</w:t>
      </w:r>
    </w:p>
    <w:p>
      <w:pPr>
        <w:spacing w:after="0" w:line="275" w:lineRule="exact"/>
        <w:rPr>
          <w:rFonts w:ascii="Arial" w:cs="Arial" w:eastAsia="Arial" w:hAnsi="Arial"/>
          <w:sz w:val="16"/>
          <w:szCs w:val="16"/>
          <w:color w:val="auto"/>
        </w:rPr>
      </w:pPr>
    </w:p>
    <w:p>
      <w:pPr>
        <w:ind w:left="2300" w:hanging="311"/>
        <w:spacing w:after="0"/>
        <w:tabs>
          <w:tab w:leader="none" w:pos="2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case of other Awards, such price as is determined by the Committee.</w:t>
      </w:r>
    </w:p>
    <w:p>
      <w:pPr>
        <w:spacing w:after="0" w:line="252" w:lineRule="exact"/>
        <w:rPr>
          <w:rFonts w:ascii="Arial" w:cs="Arial" w:eastAsia="Arial" w:hAnsi="Arial"/>
          <w:sz w:val="18"/>
          <w:szCs w:val="18"/>
          <w:color w:val="auto"/>
        </w:rPr>
      </w:pPr>
    </w:p>
    <w:p>
      <w:pPr>
        <w:jc w:val="both"/>
        <w:ind w:firstLine="1989"/>
        <w:spacing w:after="0" w:line="264" w:lineRule="auto"/>
        <w:tabs>
          <w:tab w:leader="none" w:pos="2335"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208" w:lineRule="exact"/>
        <w:rPr>
          <w:rFonts w:ascii="Arial" w:cs="Arial" w:eastAsia="Arial" w:hAnsi="Arial"/>
          <w:sz w:val="18"/>
          <w:szCs w:val="18"/>
          <w:color w:val="auto"/>
        </w:rPr>
      </w:pPr>
    </w:p>
    <w:p>
      <w:pPr>
        <w:jc w:val="both"/>
        <w:ind w:firstLine="1394"/>
        <w:spacing w:after="0" w:line="264" w:lineRule="auto"/>
        <w:tabs>
          <w:tab w:leader="none" w:pos="164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Subject to Applicable Laws, the consideration to be paid for the Shares to be issued upon exercise or purchase of an Award including the method of payment, shall be determined by the Committee. In addition to any other types of consideration the Committee may determine, the Committee is authorized to accept as consideration for Shares issued under the Plan the following:</w:t>
      </w:r>
    </w:p>
    <w:p>
      <w:pPr>
        <w:spacing w:after="0" w:line="208" w:lineRule="exact"/>
        <w:rPr>
          <w:rFonts w:ascii="Arial" w:cs="Arial" w:eastAsia="Arial" w:hAnsi="Arial"/>
          <w:sz w:val="18"/>
          <w:szCs w:val="18"/>
          <w:color w:val="auto"/>
        </w:rPr>
      </w:pPr>
    </w:p>
    <w:p>
      <w:pPr>
        <w:ind w:left="2200" w:hanging="211"/>
        <w:spacing w:after="0"/>
        <w:tabs>
          <w:tab w:leader="none" w:pos="2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cash;</w:t>
      </w:r>
    </w:p>
    <w:p>
      <w:pPr>
        <w:spacing w:after="0" w:line="252" w:lineRule="exact"/>
        <w:rPr>
          <w:rFonts w:ascii="Arial" w:cs="Arial" w:eastAsia="Arial" w:hAnsi="Arial"/>
          <w:sz w:val="18"/>
          <w:szCs w:val="18"/>
          <w:color w:val="auto"/>
        </w:rPr>
      </w:pPr>
    </w:p>
    <w:p>
      <w:pPr>
        <w:ind w:left="2260" w:hanging="271"/>
        <w:spacing w:after="0"/>
        <w:tabs>
          <w:tab w:leader="none" w:pos="2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check;</w:t>
      </w:r>
    </w:p>
    <w:p>
      <w:pPr>
        <w:spacing w:after="0" w:line="252" w:lineRule="exact"/>
        <w:rPr>
          <w:rFonts w:ascii="Arial" w:cs="Arial" w:eastAsia="Arial" w:hAnsi="Arial"/>
          <w:sz w:val="18"/>
          <w:szCs w:val="18"/>
          <w:color w:val="auto"/>
        </w:rPr>
      </w:pPr>
    </w:p>
    <w:p>
      <w:pPr>
        <w:jc w:val="both"/>
        <w:ind w:firstLine="1989"/>
        <w:spacing w:after="0" w:line="286" w:lineRule="auto"/>
        <w:tabs>
          <w:tab w:leader="none" w:pos="2296" w:val="left"/>
        </w:tabs>
        <w:numPr>
          <w:ilvl w:val="1"/>
          <w:numId w:val="51"/>
        </w:numPr>
        <w:rPr>
          <w:rFonts w:ascii="Arial" w:cs="Arial" w:eastAsia="Arial" w:hAnsi="Arial"/>
          <w:sz w:val="17"/>
          <w:szCs w:val="17"/>
          <w:color w:val="auto"/>
        </w:rPr>
      </w:pPr>
      <w:r>
        <w:rPr>
          <w:rFonts w:ascii="Arial" w:cs="Arial" w:eastAsia="Arial" w:hAnsi="Arial"/>
          <w:sz w:val="17"/>
          <w:szCs w:val="17"/>
          <w:color w:val="auto"/>
        </w:rPr>
        <w:t>surrender of Shares held for the requisite period, if any, necessary to avoid a charge to the Company’s earnings for financial reporting purposes, or delivery of a properly executed form of attestation of ownership of Shares as the Committee may require which have a Fair Market Value on the date of surrender or attestation equal to the aggregate exercise price of the Shares as to which said Award shall be exercised;</w:t>
      </w:r>
    </w:p>
    <w:p>
      <w:pPr>
        <w:spacing w:after="0" w:line="192" w:lineRule="exact"/>
        <w:rPr>
          <w:rFonts w:ascii="Arial" w:cs="Arial" w:eastAsia="Arial" w:hAnsi="Arial"/>
          <w:sz w:val="17"/>
          <w:szCs w:val="17"/>
          <w:color w:val="auto"/>
        </w:rPr>
      </w:pPr>
    </w:p>
    <w:p>
      <w:pPr>
        <w:jc w:val="both"/>
        <w:ind w:firstLine="1989"/>
        <w:spacing w:after="0" w:line="279" w:lineRule="auto"/>
        <w:tabs>
          <w:tab w:leader="none" w:pos="2299" w:val="left"/>
        </w:tabs>
        <w:numPr>
          <w:ilvl w:val="1"/>
          <w:numId w:val="51"/>
        </w:numPr>
        <w:rPr>
          <w:rFonts w:ascii="Arial" w:cs="Arial" w:eastAsia="Arial" w:hAnsi="Arial"/>
          <w:sz w:val="17"/>
          <w:szCs w:val="17"/>
          <w:color w:val="auto"/>
        </w:rPr>
      </w:pPr>
      <w:r>
        <w:rPr>
          <w:rFonts w:ascii="Arial" w:cs="Arial" w:eastAsia="Arial" w:hAnsi="Arial"/>
          <w:sz w:val="17"/>
          <w:szCs w:val="17"/>
          <w:color w:val="auto"/>
        </w:rPr>
        <w:t>with respect to Options,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spacing w:after="0" w:line="198" w:lineRule="exact"/>
        <w:rPr>
          <w:rFonts w:ascii="Arial" w:cs="Arial" w:eastAsia="Arial" w:hAnsi="Arial"/>
          <w:sz w:val="17"/>
          <w:szCs w:val="17"/>
          <w:color w:val="auto"/>
        </w:rPr>
      </w:pPr>
    </w:p>
    <w:p>
      <w:pPr>
        <w:jc w:val="both"/>
        <w:ind w:firstLine="1989"/>
        <w:spacing w:after="0" w:line="257" w:lineRule="auto"/>
        <w:tabs>
          <w:tab w:leader="none" w:pos="2249" w:val="left"/>
        </w:tabs>
        <w:numPr>
          <w:ilvl w:val="1"/>
          <w:numId w:val="51"/>
        </w:numPr>
        <w:rPr>
          <w:rFonts w:ascii="Arial" w:cs="Arial" w:eastAsia="Arial" w:hAnsi="Arial"/>
          <w:sz w:val="18"/>
          <w:szCs w:val="18"/>
          <w:color w:val="auto"/>
        </w:rPr>
      </w:pPr>
      <w:r>
        <w:rPr>
          <w:rFonts w:ascii="Arial" w:cs="Arial" w:eastAsia="Arial" w:hAnsi="Arial"/>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Committee) less the Exercise Price per Share, and the denominator of which is such Fair Market Value per Share (the number of net Shares to be received shall be rounded down to the nearest whole number of Shares); or</w:t>
      </w:r>
    </w:p>
    <w:p>
      <w:pPr>
        <w:spacing w:after="0" w:line="215" w:lineRule="exact"/>
        <w:rPr>
          <w:rFonts w:ascii="Arial" w:cs="Arial" w:eastAsia="Arial" w:hAnsi="Arial"/>
          <w:sz w:val="18"/>
          <w:szCs w:val="18"/>
          <w:color w:val="auto"/>
        </w:rPr>
      </w:pPr>
    </w:p>
    <w:p>
      <w:pPr>
        <w:ind w:left="2300" w:hanging="311"/>
        <w:spacing w:after="0"/>
        <w:tabs>
          <w:tab w:leader="none" w:pos="2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may at any time or from time to time, by adoption of or by amendment to the standard forms of Award Agreement described in Section 4(b) (iv), or by other means, grant Awards which do not permit all of the foregoing forms of consideration to be used in payment for the Shares or which otherwise restrict one or more forms of consideration.</w:t>
      </w:r>
    </w:p>
    <w:p>
      <w:pPr>
        <w:spacing w:after="0" w:line="208" w:lineRule="exact"/>
        <w:rPr>
          <w:sz w:val="20"/>
          <w:szCs w:val="20"/>
          <w:color w:val="auto"/>
        </w:rPr>
      </w:pPr>
    </w:p>
    <w:p>
      <w:pPr>
        <w:jc w:val="both"/>
        <w:ind w:firstLine="1453"/>
        <w:spacing w:after="0" w:line="293" w:lineRule="auto"/>
        <w:tabs>
          <w:tab w:leader="none" w:pos="170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No Shares shall be delivered under the Plan to any Grantee or other person until such Grantee or other person has made arrangements acceptable to the Committee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ind w:left="980" w:hanging="180"/>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Exercise of Award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40" w:hanging="246"/>
        <w:spacing w:after="0"/>
        <w:tabs>
          <w:tab w:leader="none" w:pos="164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989"/>
        <w:spacing w:after="0" w:line="277" w:lineRule="auto"/>
        <w:tabs>
          <w:tab w:leader="none" w:pos="2209" w:val="left"/>
        </w:tabs>
        <w:numPr>
          <w:ilvl w:val="2"/>
          <w:numId w:val="53"/>
        </w:numPr>
        <w:rPr>
          <w:rFonts w:ascii="Arial" w:cs="Arial" w:eastAsia="Arial" w:hAnsi="Arial"/>
          <w:sz w:val="18"/>
          <w:szCs w:val="18"/>
          <w:color w:val="auto"/>
        </w:rPr>
      </w:pPr>
      <w:r>
        <w:rPr>
          <w:rFonts w:ascii="Arial" w:cs="Arial" w:eastAsia="Arial" w:hAnsi="Arial"/>
          <w:sz w:val="18"/>
          <w:szCs w:val="18"/>
          <w:color w:val="auto"/>
        </w:rPr>
        <w:t>Any Award granted hereunder shall be exercisable at such times and under such conditions as determined by the Committee under the terms of the Plan and specified in the Award Agreement.</w:t>
      </w:r>
    </w:p>
    <w:p>
      <w:pPr>
        <w:spacing w:after="0" w:line="197" w:lineRule="exact"/>
        <w:rPr>
          <w:rFonts w:ascii="Arial" w:cs="Arial" w:eastAsia="Arial" w:hAnsi="Arial"/>
          <w:sz w:val="18"/>
          <w:szCs w:val="18"/>
          <w:color w:val="auto"/>
        </w:rPr>
      </w:pPr>
    </w:p>
    <w:p>
      <w:pPr>
        <w:jc w:val="both"/>
        <w:ind w:firstLine="1989"/>
        <w:spacing w:after="0" w:line="312" w:lineRule="auto"/>
        <w:tabs>
          <w:tab w:leader="none" w:pos="2245" w:val="left"/>
        </w:tabs>
        <w:numPr>
          <w:ilvl w:val="2"/>
          <w:numId w:val="53"/>
        </w:numPr>
        <w:rPr>
          <w:rFonts w:ascii="Arial" w:cs="Arial" w:eastAsia="Arial" w:hAnsi="Arial"/>
          <w:sz w:val="16"/>
          <w:szCs w:val="16"/>
          <w:color w:val="auto"/>
        </w:rPr>
      </w:pPr>
      <w:r>
        <w:rPr>
          <w:rFonts w:ascii="Arial" w:cs="Arial" w:eastAsia="Arial" w:hAnsi="Arial"/>
          <w:sz w:val="16"/>
          <w:szCs w:val="16"/>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7(b)(iv).</w:t>
      </w:r>
    </w:p>
    <w:p>
      <w:pPr>
        <w:spacing w:after="0" w:line="173" w:lineRule="exact"/>
        <w:rPr>
          <w:rFonts w:ascii="Arial" w:cs="Arial" w:eastAsia="Arial" w:hAnsi="Arial"/>
          <w:sz w:val="16"/>
          <w:szCs w:val="16"/>
          <w:color w:val="auto"/>
        </w:rPr>
      </w:pPr>
    </w:p>
    <w:p>
      <w:pPr>
        <w:jc w:val="both"/>
        <w:ind w:firstLine="1394"/>
        <w:spacing w:after="0" w:line="289" w:lineRule="auto"/>
        <w:tabs>
          <w:tab w:leader="none" w:pos="1641"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Exercise of Award Following Termination of Continuous Service</w:t>
      </w:r>
      <w:r>
        <w:rPr>
          <w:rFonts w:ascii="Arial" w:cs="Arial" w:eastAsia="Arial" w:hAnsi="Arial"/>
          <w:sz w:val="16"/>
          <w:szCs w:val="16"/>
          <w:color w:val="auto"/>
        </w:rPr>
        <w:t>. In the event of termination of a Grantee’s Continuous Service for any reason other than Disability or death (but not in the event of a Grantee’s change of status from Employee to Consultant or from Consultant to Employee),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Grantee’s Continuous Service for Cause, the Grantee’s right to exercise the Award shall terminate concurrently with the termination of Grantee’s Continuous Service. In the event of a Grantee’s change of status from Employee to Consultant, an Employee’s Incentive Stock Option shall convert automatically to a Non-Qualified Stock Option on the day three (3) months and one day following such change of status. To the extent that the Grantee’s Award was unvested at the date of termination, or if the Grantee does not exercise the vested portion of the Grantee’s Award within the Post-Termination Exercise Period, the Award shall terminate.</w:t>
      </w:r>
    </w:p>
    <w:p>
      <w:pPr>
        <w:spacing w:after="0" w:line="193" w:lineRule="exact"/>
        <w:rPr>
          <w:rFonts w:ascii="Arial" w:cs="Arial" w:eastAsia="Arial" w:hAnsi="Arial"/>
          <w:sz w:val="16"/>
          <w:szCs w:val="16"/>
          <w:color w:val="auto"/>
        </w:rPr>
      </w:pPr>
    </w:p>
    <w:p>
      <w:pPr>
        <w:jc w:val="both"/>
        <w:ind w:firstLine="1394"/>
        <w:spacing w:after="0" w:line="272" w:lineRule="auto"/>
        <w:tabs>
          <w:tab w:leader="none" w:pos="1631"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Disability of Grantee</w:t>
      </w:r>
      <w:r>
        <w:rPr>
          <w:rFonts w:ascii="Arial" w:cs="Arial" w:eastAsia="Arial" w:hAnsi="Arial"/>
          <w:sz w:val="17"/>
          <w:szCs w:val="17"/>
          <w:color w:val="auto"/>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provided, however, that if such Disability is not a “disability” as such term is defined in Section 22(e)(3) of the Code, in the case of an Incentive Stock Option such Incentive Stock Option shall automatically convert to a Non-Qualified Stock Option on the day three (3) months and one day following such termination. To the extent that the Grantee’s Award was unvested at the date of termination, or if Grantee does not exercise the vested portion of the Grantee’s Award within the time specified herein, the Award shall terminate.</w:t>
      </w:r>
    </w:p>
    <w:p>
      <w:pPr>
        <w:spacing w:after="0" w:line="204" w:lineRule="exact"/>
        <w:rPr>
          <w:rFonts w:ascii="Arial" w:cs="Arial" w:eastAsia="Arial" w:hAnsi="Arial"/>
          <w:sz w:val="17"/>
          <w:szCs w:val="17"/>
          <w:color w:val="auto"/>
        </w:rPr>
      </w:pPr>
    </w:p>
    <w:p>
      <w:pPr>
        <w:jc w:val="both"/>
        <w:ind w:firstLine="1394"/>
        <w:spacing w:after="0" w:line="254" w:lineRule="auto"/>
        <w:tabs>
          <w:tab w:leader="none" w:pos="1641"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Death of Grantee</w:t>
      </w:r>
      <w:r>
        <w:rPr>
          <w:rFonts w:ascii="Arial" w:cs="Arial" w:eastAsia="Arial" w:hAnsi="Arial"/>
          <w:sz w:val="18"/>
          <w:szCs w:val="18"/>
          <w:color w:val="auto"/>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219" w:lineRule="exact"/>
        <w:rPr>
          <w:rFonts w:ascii="Arial" w:cs="Arial" w:eastAsia="Arial" w:hAnsi="Arial"/>
          <w:sz w:val="18"/>
          <w:szCs w:val="18"/>
          <w:color w:val="auto"/>
        </w:rPr>
      </w:pPr>
    </w:p>
    <w:p>
      <w:pPr>
        <w:jc w:val="both"/>
        <w:ind w:firstLine="1394"/>
        <w:spacing w:after="0" w:line="259" w:lineRule="auto"/>
        <w:tabs>
          <w:tab w:leader="none" w:pos="1631"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Extension if Exercise Prevented by Law</w:t>
      </w:r>
      <w:r>
        <w:rPr>
          <w:rFonts w:ascii="Arial" w:cs="Arial" w:eastAsia="Arial" w:hAnsi="Arial"/>
          <w:sz w:val="18"/>
          <w:szCs w:val="18"/>
          <w:color w:val="auto"/>
        </w:rPr>
        <w:t>. Notwithstanding the foregoing, if the exercise of an Award within the applicable time periods set forth in this Section 8 is prevented by the provisions of Section 9 below, the Award shall remain exercisable until one (1) month after the date the Grantee is notified by the Company that the Award is exercisable, but in any event no later than the expiration of the term of such Award as set forth in the Award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ind w:left="980" w:hanging="180"/>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94"/>
        <w:spacing w:after="0" w:line="302" w:lineRule="auto"/>
        <w:tabs>
          <w:tab w:leader="none" w:pos="1631"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at any time the Committee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Committee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81" w:lineRule="exact"/>
        <w:rPr>
          <w:rFonts w:ascii="Arial" w:cs="Arial" w:eastAsia="Arial" w:hAnsi="Arial"/>
          <w:sz w:val="16"/>
          <w:szCs w:val="16"/>
          <w:color w:val="auto"/>
        </w:rPr>
      </w:pPr>
    </w:p>
    <w:p>
      <w:pPr>
        <w:jc w:val="both"/>
        <w:ind w:firstLine="1394"/>
        <w:spacing w:after="0" w:line="264" w:lineRule="auto"/>
        <w:tabs>
          <w:tab w:leader="none" w:pos="1641" w:val="left"/>
        </w:tabs>
        <w:numPr>
          <w:ilvl w:val="1"/>
          <w:numId w:val="54"/>
        </w:numPr>
        <w:rPr>
          <w:rFonts w:ascii="Arial" w:cs="Arial" w:eastAsia="Arial" w:hAnsi="Arial"/>
          <w:sz w:val="18"/>
          <w:szCs w:val="18"/>
          <w:color w:val="auto"/>
        </w:rPr>
      </w:pPr>
      <w:r>
        <w:rPr>
          <w:rFonts w:ascii="Arial" w:cs="Arial" w:eastAsia="Arial" w:hAnsi="Arial"/>
          <w:sz w:val="18"/>
          <w:szCs w:val="18"/>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208" w:lineRule="exact"/>
        <w:rPr>
          <w:rFonts w:ascii="Arial" w:cs="Arial" w:eastAsia="Arial" w:hAnsi="Arial"/>
          <w:sz w:val="18"/>
          <w:szCs w:val="18"/>
          <w:color w:val="auto"/>
        </w:rPr>
      </w:pPr>
    </w:p>
    <w:p>
      <w:pPr>
        <w:jc w:val="both"/>
        <w:ind w:firstLine="800"/>
        <w:spacing w:after="0" w:line="285" w:lineRule="auto"/>
        <w:tabs>
          <w:tab w:leader="none" w:pos="106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shareholders of the Company and Section 11 hereof,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Committee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shareholders other than a normal cash dividend, the Committee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Committee may, in its discretion, prohibit the exercise of Awards or other issuance of Shares, cash or other consideration pursuant to Awards during certain periods of time. Except as the Committee determines, no issuance by the Company of shares of any class, or securities convertible into shares of any class, shall affect, and no adjustment by reason hereof shall be made with respect to, the number or price of Shares subject to an Award.</w:t>
      </w:r>
    </w:p>
    <w:p>
      <w:pPr>
        <w:spacing w:after="0" w:line="204" w:lineRule="exact"/>
        <w:rPr>
          <w:rFonts w:ascii="Arial" w:cs="Arial" w:eastAsia="Arial" w:hAnsi="Arial"/>
          <w:sz w:val="16"/>
          <w:szCs w:val="16"/>
          <w:color w:val="auto"/>
        </w:rPr>
      </w:pPr>
    </w:p>
    <w:p>
      <w:pPr>
        <w:ind w:left="1060" w:hanging="260"/>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Corporate Transactions and Changes in Control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right="20" w:firstLine="1394"/>
        <w:spacing w:after="0" w:line="264" w:lineRule="auto"/>
        <w:tabs>
          <w:tab w:leader="none" w:pos="1631"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of Award to Extent Not Assumed in Corporate Transaction</w:t>
      </w:r>
      <w:r>
        <w:rPr>
          <w:rFonts w:ascii="Arial" w:cs="Arial" w:eastAsia="Arial" w:hAnsi="Arial"/>
          <w:sz w:val="18"/>
          <w:szCs w:val="18"/>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208" w:lineRule="exact"/>
        <w:rPr>
          <w:rFonts w:ascii="Arial" w:cs="Arial" w:eastAsia="Arial" w:hAnsi="Arial"/>
          <w:sz w:val="18"/>
          <w:szCs w:val="18"/>
          <w:color w:val="auto"/>
        </w:rPr>
      </w:pPr>
    </w:p>
    <w:p>
      <w:pPr>
        <w:jc w:val="both"/>
        <w:ind w:firstLine="1394"/>
        <w:spacing w:after="0" w:line="270" w:lineRule="auto"/>
        <w:tabs>
          <w:tab w:leader="none" w:pos="1641"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Acceleration of Award Upon Corporate Transaction or Change in Control</w:t>
      </w:r>
      <w:r>
        <w:rPr>
          <w:rFonts w:ascii="Arial" w:cs="Arial" w:eastAsia="Arial" w:hAnsi="Arial"/>
          <w:sz w:val="17"/>
          <w:szCs w:val="17"/>
          <w:color w:val="auto"/>
        </w:rPr>
        <w:t>. The Committee shall have the authority, exercisable either in advance of any actual or anticipated Corporate Transaction or Change in Control or at the time of an actual Corporate Transaction or Change in Control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or Change in Control, on such terms and conditions as the Committee may specify. The Committee also shall have the authority to condition any such Award vesting and exercisability or release from such limitations upon the subsequent termination of the Continuous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jc w:val="both"/>
        <w:ind w:firstLine="1439"/>
        <w:spacing w:after="0" w:line="264" w:lineRule="auto"/>
        <w:tabs>
          <w:tab w:leader="none" w:pos="1676"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Effect of Acceleration on Incentive Stock Options</w:t>
      </w:r>
      <w:r>
        <w:rPr>
          <w:rFonts w:ascii="Arial" w:cs="Arial" w:eastAsia="Arial" w:hAnsi="Arial"/>
          <w:sz w:val="18"/>
          <w:szCs w:val="18"/>
          <w:color w:val="auto"/>
        </w:rPr>
        <w:t>.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208" w:lineRule="exact"/>
        <w:rPr>
          <w:rFonts w:ascii="Arial" w:cs="Arial" w:eastAsia="Arial" w:hAnsi="Arial"/>
          <w:sz w:val="18"/>
          <w:szCs w:val="18"/>
          <w:color w:val="auto"/>
        </w:rPr>
      </w:pPr>
    </w:p>
    <w:p>
      <w:pPr>
        <w:jc w:val="both"/>
        <w:ind w:firstLine="800"/>
        <w:spacing w:after="0" w:line="264" w:lineRule="auto"/>
        <w:tabs>
          <w:tab w:leader="none" w:pos="10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upon the earlier to occur of its adoption by the Board or its approval by the shareholders of the Company. It shall continue in effect for a term of ten (10) years unless sooner terminated. Subject to Section 17 below, and Applicable Laws, Awards may be granted under the Plan upon its becoming effective.</w:t>
      </w:r>
    </w:p>
    <w:p>
      <w:pPr>
        <w:spacing w:after="0" w:line="208" w:lineRule="exact"/>
        <w:rPr>
          <w:rFonts w:ascii="Arial" w:cs="Arial" w:eastAsia="Arial" w:hAnsi="Arial"/>
          <w:sz w:val="18"/>
          <w:szCs w:val="18"/>
          <w:color w:val="auto"/>
        </w:rPr>
      </w:pPr>
    </w:p>
    <w:p>
      <w:pPr>
        <w:ind w:left="1080" w:hanging="280"/>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394"/>
        <w:spacing w:after="0" w:line="277" w:lineRule="auto"/>
        <w:tabs>
          <w:tab w:leader="none" w:pos="16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Board may at any time amend, suspend or terminate the Plan. To the extent necessary to comply with Applicable Laws, the Company shall obtain shareholder approval of any Plan amendment in such a manner and to such a degree as required.</w:t>
      </w:r>
    </w:p>
    <w:p>
      <w:pPr>
        <w:spacing w:after="0" w:line="197" w:lineRule="exact"/>
        <w:rPr>
          <w:rFonts w:ascii="Arial" w:cs="Arial" w:eastAsia="Arial" w:hAnsi="Arial"/>
          <w:sz w:val="18"/>
          <w:szCs w:val="18"/>
          <w:color w:val="auto"/>
        </w:rPr>
      </w:pPr>
    </w:p>
    <w:p>
      <w:pPr>
        <w:ind w:left="1640" w:hanging="246"/>
        <w:spacing w:after="0"/>
        <w:tabs>
          <w:tab w:leader="none" w:pos="1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Award may be granted during any suspension of the Plan or after termination of the Plan.</w:t>
      </w:r>
    </w:p>
    <w:p>
      <w:pPr>
        <w:spacing w:after="0" w:line="252" w:lineRule="exact"/>
        <w:rPr>
          <w:rFonts w:ascii="Arial" w:cs="Arial" w:eastAsia="Arial" w:hAnsi="Arial"/>
          <w:sz w:val="18"/>
          <w:szCs w:val="18"/>
          <w:color w:val="auto"/>
        </w:rPr>
      </w:pPr>
    </w:p>
    <w:p>
      <w:pPr>
        <w:ind w:firstLine="1394"/>
        <w:spacing w:after="0" w:line="277" w:lineRule="auto"/>
        <w:tabs>
          <w:tab w:leader="none" w:pos="16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suspension or termination of the Plan (including termination of the Plan under Section 12, above) shall adversely affect any rights under Awards already granted to a Grantee.</w:t>
      </w:r>
    </w:p>
    <w:p>
      <w:pPr>
        <w:spacing w:after="0" w:line="197" w:lineRule="exact"/>
        <w:rPr>
          <w:rFonts w:ascii="Arial" w:cs="Arial" w:eastAsia="Arial" w:hAnsi="Arial"/>
          <w:sz w:val="18"/>
          <w:szCs w:val="18"/>
          <w:color w:val="auto"/>
        </w:rPr>
      </w:pPr>
    </w:p>
    <w:p>
      <w:pPr>
        <w:ind w:left="1080" w:hanging="280"/>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394"/>
        <w:spacing w:after="0" w:line="277" w:lineRule="auto"/>
        <w:tabs>
          <w:tab w:leader="none" w:pos="163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during the term of the Plan, will at all times reserve and keep available such number of Shares as shall be sufficient to satisfy the requirements of the Plan.</w:t>
      </w:r>
    </w:p>
    <w:p>
      <w:pPr>
        <w:spacing w:after="0" w:line="197" w:lineRule="exact"/>
        <w:rPr>
          <w:rFonts w:ascii="Arial" w:cs="Arial" w:eastAsia="Arial" w:hAnsi="Arial"/>
          <w:sz w:val="18"/>
          <w:szCs w:val="18"/>
          <w:color w:val="auto"/>
        </w:rPr>
      </w:pPr>
    </w:p>
    <w:p>
      <w:pPr>
        <w:jc w:val="both"/>
        <w:ind w:firstLine="1394"/>
        <w:spacing w:after="0" w:line="264" w:lineRule="auto"/>
        <w:tabs>
          <w:tab w:leader="none" w:pos="1655"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8" w:lineRule="exact"/>
        <w:rPr>
          <w:rFonts w:ascii="Arial" w:cs="Arial" w:eastAsia="Arial" w:hAnsi="Arial"/>
          <w:sz w:val="18"/>
          <w:szCs w:val="18"/>
          <w:color w:val="auto"/>
        </w:rPr>
      </w:pPr>
    </w:p>
    <w:p>
      <w:pPr>
        <w:jc w:val="both"/>
        <w:ind w:firstLine="800"/>
        <w:spacing w:after="0" w:line="257" w:lineRule="auto"/>
        <w:tabs>
          <w:tab w:leader="none" w:pos="108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Effect on Terms of Employment/Consulting Relationship</w:t>
      </w:r>
      <w:r>
        <w:rPr>
          <w:rFonts w:ascii="Arial" w:cs="Arial" w:eastAsia="Arial" w:hAnsi="Arial"/>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215" w:lineRule="exact"/>
        <w:rPr>
          <w:rFonts w:ascii="Arial" w:cs="Arial" w:eastAsia="Arial" w:hAnsi="Arial"/>
          <w:sz w:val="18"/>
          <w:szCs w:val="18"/>
          <w:color w:val="auto"/>
        </w:rPr>
      </w:pPr>
    </w:p>
    <w:p>
      <w:pPr>
        <w:jc w:val="both"/>
        <w:ind w:firstLine="800"/>
        <w:spacing w:after="0" w:line="257" w:lineRule="auto"/>
        <w:tabs>
          <w:tab w:leader="none" w:pos="10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Effect on Retirement and Other Benefit Plans</w:t>
      </w:r>
      <w:r>
        <w:rPr>
          <w:rFonts w:ascii="Arial" w:cs="Arial" w:eastAsia="Arial" w:hAnsi="Arial"/>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215" w:lineRule="exact"/>
        <w:rPr>
          <w:rFonts w:ascii="Arial" w:cs="Arial" w:eastAsia="Arial" w:hAnsi="Arial"/>
          <w:sz w:val="18"/>
          <w:szCs w:val="18"/>
          <w:color w:val="auto"/>
        </w:rPr>
      </w:pPr>
    </w:p>
    <w:p>
      <w:pPr>
        <w:jc w:val="both"/>
        <w:ind w:firstLine="800"/>
        <w:spacing w:after="0" w:line="279" w:lineRule="auto"/>
        <w:tabs>
          <w:tab w:leader="none" w:pos="106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Shareholder Approval</w:t>
      </w:r>
      <w:r>
        <w:rPr>
          <w:rFonts w:ascii="Arial" w:cs="Arial" w:eastAsia="Arial" w:hAnsi="Arial"/>
          <w:sz w:val="17"/>
          <w:szCs w:val="17"/>
          <w:color w:val="auto"/>
        </w:rPr>
        <w:t>. Continuance of the Plan shall be subject to approval by the shareholders of the Company within twelve (12) months before or after the date the Plan is adopted. Such shareholder approval shall be obtained in the degree and manner required under Applicable Laws. Any Award exercised before shareholder approval is obtained shall be rescinded if shareholder approval is not obtained within the time prescribed, and Shares issued on the exercise of any such Award shall not be counted in determining whether shareholder approval is obtained.</w:t>
      </w:r>
    </w:p>
    <w:p>
      <w:pPr>
        <w:spacing w:after="0" w:line="198" w:lineRule="exact"/>
        <w:rPr>
          <w:rFonts w:ascii="Arial" w:cs="Arial" w:eastAsia="Arial" w:hAnsi="Arial"/>
          <w:sz w:val="17"/>
          <w:szCs w:val="17"/>
          <w:color w:val="auto"/>
        </w:rPr>
      </w:pPr>
    </w:p>
    <w:p>
      <w:pPr>
        <w:jc w:val="both"/>
        <w:ind w:firstLine="800"/>
        <w:spacing w:after="0" w:line="264" w:lineRule="auto"/>
        <w:tabs>
          <w:tab w:leader="none" w:pos="106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Information to Grantees</w:t>
      </w:r>
      <w:r>
        <w:rPr>
          <w:rFonts w:ascii="Arial" w:cs="Arial" w:eastAsia="Arial" w:hAnsi="Arial"/>
          <w:sz w:val="18"/>
          <w:szCs w:val="18"/>
          <w:color w:val="auto"/>
        </w:rPr>
        <w:t>. To the extent required by Applicable Law, the Company shall provide to each grantee, during the period for which such Grantee has one or more Awards outstanding, copies of financial statements at least annually. The Company shall not be required to provide such information to persons whose duties in connection with the Company assure them access to equivalent information.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jc w:val="both"/>
        <w:ind w:firstLine="800"/>
        <w:spacing w:after="0" w:line="287" w:lineRule="auto"/>
        <w:tabs>
          <w:tab w:leader="none" w:pos="106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Effect of Section 162(m) of the Code</w:t>
      </w:r>
      <w:r>
        <w:rPr>
          <w:rFonts w:ascii="Arial" w:cs="Arial" w:eastAsia="Arial" w:hAnsi="Arial"/>
          <w:sz w:val="16"/>
          <w:szCs w:val="16"/>
          <w:color w:val="auto"/>
        </w:rPr>
        <w:t>. The Plan, and all Awards (except Awards of Restricted Stock that vest over time) issued thereunder, are intended to be exempt from the application of Section 162(m) of the Code, which restricts under certain circumstances the Federal income tax deduction for compensation paid by a public company to named executives in excess of $1 million per year. The exemption is based on Treasury Regulation Section 1.162-27(f), in the form existing on the effective date of the Plan, with the understanding that such regulation generally exempts from the application of Section 162(m) of the Code compensation paid pursuant to a plan that existed before a company becomes publicly held. Under such Treasury Regulation, this exemption is available to the Plan for the duration of the period that lasts until the earliest of (i) the expiration of the Plan, (ii) the material modification of the Plan, (iii) the exhaustion of the maximum number of shares of Common Stock available for Awards under the Plan, as set forth in Section 3(a), (iv) the first meeting of shareholders at which directors are to be elected that occurs after the close of the third calendar year following the calendar year in which the Company first becomes subject to the reporting obligations of Section 12 of the Exchange Act, or (v) such other date required by Section 162(m) of the Code and the rules and regulations promulgated thereunder. To the extent that the Committee determines as of the date of grant of an Award that (i) the Award is intended to qualify as Performance-Based Compensation and (ii) the exemption described above is no longer available with respect to such Award, such Award shall not be effective until any shareholder approval required under Section 162(m) of the Code has been obtained.</w:t>
      </w:r>
    </w:p>
    <w:p>
      <w:pPr>
        <w:spacing w:after="0" w:line="195" w:lineRule="exact"/>
        <w:rPr>
          <w:rFonts w:ascii="Arial" w:cs="Arial" w:eastAsia="Arial" w:hAnsi="Arial"/>
          <w:sz w:val="16"/>
          <w:szCs w:val="16"/>
          <w:color w:val="auto"/>
        </w:rPr>
      </w:pPr>
    </w:p>
    <w:p>
      <w:pPr>
        <w:jc w:val="both"/>
        <w:ind w:firstLine="800"/>
        <w:spacing w:after="0" w:line="270" w:lineRule="auto"/>
        <w:tabs>
          <w:tab w:leader="none" w:pos="108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Unfunded Obligation</w:t>
      </w:r>
      <w:r>
        <w:rPr>
          <w:rFonts w:ascii="Arial" w:cs="Arial" w:eastAsia="Arial" w:hAnsi="Arial"/>
          <w:sz w:val="17"/>
          <w:szCs w:val="17"/>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Committee,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208" w:lineRule="exact"/>
        <w:rPr>
          <w:rFonts w:ascii="Arial" w:cs="Arial" w:eastAsia="Arial" w:hAnsi="Arial"/>
          <w:sz w:val="17"/>
          <w:szCs w:val="17"/>
          <w:color w:val="auto"/>
        </w:rPr>
      </w:pPr>
    </w:p>
    <w:p>
      <w:pPr>
        <w:jc w:val="both"/>
        <w:ind w:firstLine="800"/>
        <w:spacing w:after="0" w:line="264" w:lineRule="auto"/>
        <w:tabs>
          <w:tab w:leader="none" w:pos="106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08" w:lineRule="exact"/>
        <w:rPr>
          <w:rFonts w:ascii="Arial" w:cs="Arial" w:eastAsia="Arial" w:hAnsi="Arial"/>
          <w:sz w:val="18"/>
          <w:szCs w:val="18"/>
          <w:color w:val="auto"/>
        </w:rPr>
      </w:pPr>
    </w:p>
    <w:p>
      <w:pPr>
        <w:jc w:val="both"/>
        <w:ind w:firstLine="800"/>
        <w:spacing w:after="0" w:line="259" w:lineRule="auto"/>
        <w:tabs>
          <w:tab w:leader="none" w:pos="106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the submission of the Plan to the shareholders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Adopted by the Board of Directors of VistaGen Therapeutics, Inc. on July 26,</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Approved  by  the  stockholders  of  VistaGen  Therapeutic,  Inc.  effective</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September __,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8955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8801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880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8801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880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85693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8569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upperLetter"/>
      <w:start w:val="24"/>
    </w:lvl>
  </w:abstractNum>
  <w:abstractNum w:abstractNumId="1">
    <w:nsid w:val="3A95F874"/>
    <w:multiLevelType w:val="hybridMultilevel"/>
    <w:lvl w:ilvl="0">
      <w:lvlJc w:val="left"/>
      <w:lvlText w:val="[%1]"/>
      <w:numFmt w:val="upperLetter"/>
      <w:start w:val="24"/>
    </w:lvl>
  </w:abstractNum>
  <w:abstractNum w:abstractNumId="2">
    <w:nsid w:val="8138641"/>
    <w:multiLevelType w:val="hybridMultilevel"/>
    <w:lvl w:ilvl="0">
      <w:lvlJc w:val="left"/>
      <w:lvlText w:val="["/>
      <w:numFmt w:val="bullet"/>
      <w:start w:val="1"/>
    </w:lvl>
    <w:lvl w:ilvl="1">
      <w:lvlJc w:val="left"/>
      <w:lvlText w:val="%2."/>
      <w:numFmt w:val="decimal"/>
      <w:start w:val="1"/>
    </w:lvl>
  </w:abstractNum>
  <w:abstractNum w:abstractNumId="3">
    <w:nsid w:val="1E7FF521"/>
    <w:multiLevelType w:val="hybridMultilevel"/>
    <w:lvl w:ilvl="0">
      <w:lvlJc w:val="left"/>
      <w:lvlText w:val="["/>
      <w:numFmt w:val="bullet"/>
      <w:start w:val="1"/>
    </w:lvl>
    <w:lvl w:ilvl="1">
      <w:lvlJc w:val="left"/>
      <w:lvlText w:val="%2."/>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lowerRoman"/>
      <w:start w:val="1"/>
    </w:lvl>
  </w:abstractNum>
  <w:abstractNum w:abstractNumId="6">
    <w:nsid w:val="6CEAF087"/>
    <w:multiLevelType w:val="hybridMultilevel"/>
    <w:lvl w:ilvl="0">
      <w:lvlJc w:val="left"/>
      <w:lvlText w:val="(%1)"/>
      <w:numFmt w:val="lowerRoman"/>
      <w:start w:val="3"/>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6"/>
    </w:lvl>
  </w:abstractNum>
  <w:abstractNum w:abstractNumId="10">
    <w:nsid w:val="614FD4A1"/>
    <w:multiLevelType w:val="hybridMultilevel"/>
    <w:lvl w:ilvl="0">
      <w:lvlJc w:val="left"/>
      <w:lvlText w:val="(%1)"/>
      <w:numFmt w:val="decimal"/>
      <w:start w:val="7"/>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3"/>
    </w:lvl>
  </w:abstractNum>
  <w:abstractNum w:abstractNumId="20">
    <w:nsid w:val="5E884ADC"/>
    <w:multiLevelType w:val="hybridMultilevel"/>
    <w:lvl w:ilvl="0">
      <w:lvlJc w:val="left"/>
      <w:lvlText w:val="(%1)"/>
      <w:numFmt w:val="decimal"/>
      <w:start w:val="9"/>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4"/>
    </w:lvl>
  </w:abstractNum>
  <w:abstractNum w:abstractNumId="28">
    <w:nsid w:val="2A487CB0"/>
    <w:multiLevelType w:val="hybridMultilevel"/>
    <w:lvl w:ilvl="0">
      <w:lvlJc w:val="left"/>
      <w:lvlText w:val="(%1)"/>
      <w:numFmt w:val="decimal"/>
      <w:start w:val="10"/>
    </w:lvl>
  </w:abstractNum>
  <w:abstractNum w:abstractNumId="29">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0">
    <w:nsid w:val="725A06F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9"/>
    </w:lvl>
  </w:abstractNum>
  <w:abstractNum w:abstractNumId="31">
    <w:nsid w:val="2CD89A3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2">
    <w:nsid w:val="57E4CCAF"/>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33">
    <w:nsid w:val="7A6D8D3C"/>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34">
    <w:nsid w:val="4B588F54"/>
    <w:multiLevelType w:val="hybridMultilevel"/>
    <w:lvl w:ilvl="0">
      <w:lvlJc w:val="left"/>
      <w:lvlText w:val="%1"/>
      <w:numFmt w:val="lowerLetter"/>
      <w:start w:val="1"/>
    </w:lvl>
    <w:lvl w:ilvl="1">
      <w:lvlJc w:val="left"/>
      <w:lvlText w:val="(%2)"/>
      <w:numFmt w:val="lowerRoman"/>
      <w:start w:val="2"/>
    </w:lvl>
  </w:abstractNum>
  <w:abstractNum w:abstractNumId="35">
    <w:nsid w:val="542289EC"/>
    <w:multiLevelType w:val="hybridMultilevel"/>
    <w:lvl w:ilvl="0">
      <w:lvlJc w:val="left"/>
      <w:lvlText w:val="(%1)"/>
      <w:numFmt w:val="lowerLetter"/>
      <w:start w:val="18"/>
    </w:lvl>
    <w:lvl w:ilvl="1">
      <w:lvlJc w:val="left"/>
      <w:lvlText w:val="(%2)"/>
      <w:numFmt w:val="lowerRoman"/>
      <w:start w:val="1"/>
    </w:lvl>
  </w:abstractNum>
  <w:abstractNum w:abstractNumId="36">
    <w:nsid w:val="6DE91B18"/>
    <w:multiLevelType w:val="hybridMultilevel"/>
    <w:lvl w:ilvl="0">
      <w:lvlJc w:val="left"/>
      <w:lvlText w:val="%1"/>
      <w:numFmt w:val="lowerLetter"/>
      <w:start w:val="1"/>
    </w:lvl>
    <w:lvl w:ilvl="1">
      <w:lvlJc w:val="left"/>
      <w:lvlText w:val="(%2)"/>
      <w:numFmt w:val="lowerRoman"/>
      <w:start w:val="2"/>
    </w:lvl>
  </w:abstractNum>
  <w:abstractNum w:abstractNumId="37">
    <w:nsid w:val="38437FDB"/>
    <w:multiLevelType w:val="hybridMultilevel"/>
    <w:lvl w:ilvl="0">
      <w:lvlJc w:val="left"/>
      <w:lvlText w:val="(%1)"/>
      <w:numFmt w:val="lowerLetter"/>
      <w:start w:val="25"/>
    </w:lvl>
    <w:lvl w:ilvl="1">
      <w:lvlJc w:val="left"/>
      <w:lvlText w:val="%2"/>
      <w:numFmt w:val="lowerRoman"/>
      <w:start w:val="1"/>
    </w:lvl>
  </w:abstractNum>
  <w:abstractNum w:abstractNumId="38">
    <w:nsid w:val="7644A45C"/>
    <w:multiLevelType w:val="hybridMultilevel"/>
    <w:lvl w:ilvl="0">
      <w:lvlJc w:val="left"/>
      <w:lvlText w:val="(%1)"/>
      <w:numFmt w:val="lowerLetter"/>
      <w:start w:val="28"/>
    </w:lvl>
  </w:abstractNum>
  <w:abstractNum w:abstractNumId="39">
    <w:nsid w:val="32FFF902"/>
    <w:multiLevelType w:val="hybridMultilevel"/>
    <w:lvl w:ilvl="0">
      <w:lvlJc w:val="left"/>
      <w:lvlText w:val="%1"/>
      <w:numFmt w:val="decimal"/>
      <w:start w:val="1"/>
    </w:lvl>
    <w:lvl w:ilvl="1">
      <w:lvlJc w:val="left"/>
      <w:lvlText w:val="(%2)"/>
      <w:numFmt w:val="lowerLetter"/>
      <w:start w:val="37"/>
    </w:lvl>
  </w:abstractNum>
  <w:abstractNum w:abstractNumId="40">
    <w:nsid w:val="684A481A"/>
    <w:multiLevelType w:val="hybridMultilevel"/>
    <w:lvl w:ilvl="0">
      <w:lvlJc w:val="left"/>
      <w:lvlText w:val="%1."/>
      <w:numFmt w:val="decimal"/>
      <w:start w:val="3"/>
    </w:lvl>
    <w:lvl w:ilvl="1">
      <w:lvlJc w:val="left"/>
      <w:lvlText w:val="(%2)"/>
      <w:numFmt w:val="lowerLetter"/>
      <w:start w:val="1"/>
    </w:lvl>
  </w:abstractNum>
  <w:abstractNum w:abstractNumId="41">
    <w:nsid w:val="579478F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
    <w:nsid w:val="749ABB43"/>
    <w:multiLevelType w:val="hybridMultilevel"/>
    <w:lvl w:ilvl="0">
      <w:lvlJc w:val="left"/>
      <w:lvlText w:val="%1"/>
      <w:numFmt w:val="decimal"/>
      <w:start w:val="1"/>
    </w:lvl>
    <w:lvl w:ilvl="1">
      <w:lvlJc w:val="left"/>
      <w:lvlText w:val="(%2)"/>
      <w:numFmt w:val="lowerLetter"/>
      <w:start w:val="4"/>
    </w:lvl>
  </w:abstractNum>
  <w:abstractNum w:abstractNumId="43">
    <w:nsid w:val="3DC240FB"/>
    <w:multiLevelType w:val="hybridMultilevel"/>
    <w:lvl w:ilvl="0">
      <w:lvlJc w:val="left"/>
      <w:lvlText w:val="%1."/>
      <w:numFmt w:val="decimal"/>
      <w:start w:val="5"/>
    </w:lvl>
    <w:lvl w:ilvl="1">
      <w:lvlJc w:val="left"/>
      <w:lvlText w:val="(%2)"/>
      <w:numFmt w:val="lowerLetter"/>
      <w:start w:val="1"/>
    </w:lvl>
  </w:abstractNum>
  <w:abstractNum w:abstractNumId="44">
    <w:nsid w:val="1BA026FA"/>
    <w:multiLevelType w:val="hybridMultilevel"/>
    <w:lvl w:ilvl="0">
      <w:lvlJc w:val="left"/>
      <w:lvlText w:val="(%1)"/>
      <w:numFmt w:val="lowerLetter"/>
      <w:start w:val="3"/>
    </w:lvl>
    <w:lvl w:ilvl="1">
      <w:lvlJc w:val="left"/>
      <w:lvlText w:val="(%2)"/>
      <w:numFmt w:val="lowerLetter"/>
      <w:start w:val="9"/>
    </w:lvl>
  </w:abstractNum>
  <w:abstractNum w:abstractNumId="45">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46">
    <w:nsid w:val="75C6C33A"/>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upperLetter"/>
      <w:start w:val="1"/>
    </w:lvl>
  </w:abstractNum>
  <w:abstractNum w:abstractNumId="47">
    <w:nsid w:val="12E685F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48">
    <w:nsid w:val="70C6A529"/>
    <w:multiLevelType w:val="hybridMultilevel"/>
    <w:lvl w:ilvl="0">
      <w:lvlJc w:val="left"/>
      <w:lvlText w:val="(%1)"/>
      <w:numFmt w:val="lowerRoman"/>
      <w:start w:val="2"/>
    </w:lvl>
  </w:abstractNum>
  <w:abstractNum w:abstractNumId="49">
    <w:nsid w:val="520EEDD1"/>
    <w:multiLevelType w:val="hybridMultilevel"/>
    <w:lvl w:ilvl="0">
      <w:lvlJc w:val="left"/>
      <w:lvlText w:val="%1"/>
      <w:numFmt w:val="lowerLetter"/>
      <w:start w:val="1"/>
    </w:lvl>
    <w:lvl w:ilvl="1">
      <w:lvlJc w:val="left"/>
      <w:lvlText w:val="(%2)"/>
      <w:numFmt w:val="lowerRoman"/>
      <w:start w:val="4"/>
    </w:lvl>
  </w:abstractNum>
  <w:abstractNum w:abstractNumId="50">
    <w:nsid w:val="374A3FE6"/>
    <w:multiLevelType w:val="hybridMultilevel"/>
    <w:lvl w:ilvl="0">
      <w:lvlJc w:val="left"/>
      <w:lvlText w:val="(%1)"/>
      <w:numFmt w:val="lowerLetter"/>
      <w:start w:val="2"/>
    </w:lvl>
    <w:lvl w:ilvl="1">
      <w:lvlJc w:val="left"/>
      <w:lvlText w:val="(%2)"/>
      <w:numFmt w:val="lowerRoman"/>
      <w:start w:val="1"/>
    </w:lvl>
  </w:abstractNum>
  <w:abstractNum w:abstractNumId="51">
    <w:nsid w:val="4F4EF005"/>
    <w:multiLevelType w:val="hybridMultilevel"/>
    <w:lvl w:ilvl="0">
      <w:lvlJc w:val="left"/>
      <w:lvlText w:val="(%1)"/>
      <w:numFmt w:val="lowerLetter"/>
      <w:start w:val="3"/>
    </w:lvl>
  </w:abstractNum>
  <w:abstractNum w:abstractNumId="52">
    <w:nsid w:val="23F9C13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3">
    <w:nsid w:val="649BB77C"/>
    <w:multiLevelType w:val="hybridMultilevel"/>
    <w:lvl w:ilvl="0">
      <w:lvlJc w:val="left"/>
      <w:lvlText w:val="%1."/>
      <w:numFmt w:val="decimal"/>
      <w:start w:val="9"/>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5">
    <w:nsid w:val="39386575"/>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56">
    <w:nsid w:val="1CF10FD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2020-01-21T00:22:51Z</dcterms:created>
  <dcterms:modified xsi:type="dcterms:W3CDTF">2020-01-21T00:22:51Z</dcterms:modified>
</cp:coreProperties>
</file>