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November 7, 2019</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949" w:right="239" w:bottom="1440" w:gutter="0" w:footer="0" w:header="0"/>
        </w:sectPr>
      </w:pPr>
    </w:p>
    <w:p>
      <w:pPr>
        <w:spacing w:after="0" w:line="205"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6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001-37761</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4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3240"/>
          </w:cols>
          <w:pgMar w:left="240" w:top="949" w:right="239" w:bottom="1440" w:gutter="0" w:footer="0" w:header="0"/>
          <w:type w:val="continuous"/>
        </w:sectPr>
      </w:pPr>
    </w:p>
    <w:p>
      <w:pPr>
        <w:spacing w:after="0" w:line="3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420"/>
          </w:cols>
          <w:pgMar w:left="240" w:top="949" w:right="2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760" w:type="dxa"/>
            <w:vAlign w:val="bottom"/>
            <w:gridSpan w:val="3"/>
          </w:tcPr>
          <w:p>
            <w:pPr>
              <w:jc w:val="center"/>
              <w:ind w:right="720"/>
              <w:spacing w:after="0"/>
              <w:rPr>
                <w:sz w:val="20"/>
                <w:szCs w:val="20"/>
                <w:color w:val="auto"/>
              </w:rPr>
            </w:pPr>
            <w:r>
              <w:rPr>
                <w:rFonts w:ascii="Arial" w:cs="Arial" w:eastAsia="Arial" w:hAnsi="Arial"/>
                <w:sz w:val="18"/>
                <w:szCs w:val="18"/>
                <w:color w:val="auto"/>
                <w:w w:val="88"/>
              </w:rPr>
              <w:t>Securities registered pursuant to Section 12(b) of the Act:</w:t>
            </w:r>
          </w:p>
        </w:tc>
        <w:tc>
          <w:tcPr>
            <w:tcW w:w="1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394"/>
        </w:trPr>
        <w:tc>
          <w:tcPr>
            <w:tcW w:w="1380" w:type="dxa"/>
            <w:vAlign w:val="bottom"/>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Title of each class</w:t>
            </w:r>
          </w:p>
        </w:tc>
        <w:tc>
          <w:tcPr>
            <w:tcW w:w="212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148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35"/>
        </w:trPr>
        <w:tc>
          <w:tcPr>
            <w:tcW w:w="4760" w:type="dxa"/>
            <w:vAlign w:val="bottom"/>
            <w:gridSpan w:val="3"/>
          </w:tcPr>
          <w:p>
            <w:pPr>
              <w:jc w:val="center"/>
              <w:ind w:right="760"/>
              <w:spacing w:after="0"/>
              <w:rPr>
                <w:sz w:val="20"/>
                <w:szCs w:val="20"/>
                <w:color w:val="auto"/>
              </w:rPr>
            </w:pPr>
            <w:r>
              <w:rPr>
                <w:rFonts w:ascii="Arial" w:cs="Arial" w:eastAsia="Arial" w:hAnsi="Arial"/>
                <w:sz w:val="18"/>
                <w:szCs w:val="18"/>
                <w:color w:val="auto"/>
                <w:w w:val="87"/>
              </w:rPr>
              <w:t>Common Stock, par value $0.001 per share</w:t>
            </w:r>
          </w:p>
        </w:tc>
        <w:tc>
          <w:tcPr>
            <w:tcW w:w="2820" w:type="dxa"/>
            <w:vAlign w:val="bottom"/>
            <w:gridSpan w:val="2"/>
          </w:tcPr>
          <w:p>
            <w:pPr>
              <w:jc w:val="center"/>
              <w:ind w:right="1480"/>
              <w:spacing w:after="0"/>
              <w:rPr>
                <w:sz w:val="20"/>
                <w:szCs w:val="20"/>
                <w:color w:val="auto"/>
              </w:rPr>
            </w:pPr>
            <w:r>
              <w:rPr>
                <w:rFonts w:ascii="Arial" w:cs="Arial" w:eastAsia="Arial" w:hAnsi="Arial"/>
                <w:sz w:val="18"/>
                <w:szCs w:val="18"/>
                <w:color w:val="auto"/>
                <w:w w:val="99"/>
              </w:rPr>
              <w:t>VTGN</w:t>
            </w:r>
          </w:p>
        </w:tc>
        <w:tc>
          <w:tcPr>
            <w:tcW w:w="3120" w:type="dxa"/>
            <w:vAlign w:val="bottom"/>
          </w:tcPr>
          <w:p>
            <w:pPr>
              <w:jc w:val="center"/>
              <w:spacing w:after="0"/>
              <w:rPr>
                <w:sz w:val="20"/>
                <w:szCs w:val="20"/>
                <w:color w:val="auto"/>
              </w:rPr>
            </w:pPr>
            <w:r>
              <w:rPr>
                <w:rFonts w:ascii="Arial" w:cs="Arial" w:eastAsia="Arial" w:hAnsi="Arial"/>
                <w:sz w:val="18"/>
                <w:szCs w:val="18"/>
                <w:color w:val="auto"/>
                <w:w w:val="89"/>
              </w:rPr>
              <w:t>Nasdaq Capital Market</w:t>
            </w:r>
          </w:p>
        </w:tc>
      </w:tr>
    </w:tbl>
    <w:p>
      <w:pPr>
        <w:spacing w:after="0" w:line="210"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2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718185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On November 7, 2019,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issued a press release to announce the Company’s financial results for its fiscal year 2020 second quarter ended September 30, 2019. A copy of the press release is attached to this Current Report on Form 8-K as Exhibit 99.1.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3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disclosed in the Company’s Quarterly Report on Form 10-Q for the second fiscal quarter ended September 30, 2019, filed with the Securities and Exchange Commission on November 7, 2019, from October 30, 2019 to November 6, 2019, in a self-placed private placement, the Company accepted subscription agreements from accredited investors for units, each consisting of one unregistered share of common stock and a warrant to purchase one-half of one share of unregistered common stock at an exercise price of $2.00, for a purchase price of $1.00 per unit to certain accredited investors (the “</w:t>
      </w:r>
      <w:r>
        <w:rPr>
          <w:rFonts w:ascii="Arial" w:cs="Arial" w:eastAsia="Arial" w:hAnsi="Arial"/>
          <w:sz w:val="16"/>
          <w:szCs w:val="16"/>
          <w:i w:val="1"/>
          <w:iCs w:val="1"/>
          <w:color w:val="auto"/>
        </w:rPr>
        <w:t>Private Placement</w:t>
      </w:r>
      <w:r>
        <w:rPr>
          <w:rFonts w:ascii="Arial" w:cs="Arial" w:eastAsia="Arial" w:hAnsi="Arial"/>
          <w:sz w:val="16"/>
          <w:szCs w:val="16"/>
          <w:color w:val="auto"/>
        </w:rPr>
        <w:t>”). On November 7, 2019, the Company received an additional $50,000 from investors participating in the 2019 Fall Private Placement, increasing aggregate gross proceeds to the Company in the Private Placement to $650,000. The purchasers of the units have no registration rights with respect to the shares of common stock, warrants or the shares of common stock issuable upon exercise of the warrants comprising the units sold. The warrants are not exercisable prior to six months and one day following issuance.</w:t>
      </w:r>
    </w:p>
    <w:p>
      <w:pPr>
        <w:spacing w:after="0" w:line="17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issuance of the shares of common stock and warrants included with each unit was exempt from the registration requirements of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in reliance on the exemptions provided by Section 4(a)(2) of the Securities Act as provided in Rule 506 of Regulation D promulgated thereunder. The shares of common stock and warrants, and the common stock issuable upon exercise of the warrants, have not been registered under the Securities Act or any other applicable securities laws, and unless so registered, may not be offered or sold in the United States except pursuant to an exemption from the registration requirements of the Securities Act. The Company expects to use the proceeds from the Fall 2019 Private Placement for general working capital purposes.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240" w:type="dxa"/>
            <w:vAlign w:val="bottom"/>
          </w:tcPr>
          <w:p>
            <w:pPr>
              <w:spacing w:after="0"/>
              <w:rPr>
                <w:sz w:val="20"/>
                <w:szCs w:val="20"/>
                <w:color w:val="auto"/>
              </w:rPr>
            </w:pPr>
          </w:p>
        </w:tc>
        <w:tc>
          <w:tcPr>
            <w:tcW w:w="9920" w:type="dxa"/>
            <w:vAlign w:val="bottom"/>
            <w:tcBorders>
              <w:bottom w:val="single" w:sz="8" w:color="auto"/>
            </w:tcBorders>
          </w:tcPr>
          <w:p>
            <w:pPr>
              <w:ind w:left="452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spacing w:after="0"/>
              <w:rPr>
                <w:sz w:val="18"/>
                <w:szCs w:val="18"/>
                <w:color w:val="auto"/>
              </w:rPr>
            </w:pPr>
          </w:p>
        </w:tc>
      </w:tr>
      <w:tr>
        <w:trPr>
          <w:trHeight w:val="196"/>
        </w:trPr>
        <w:tc>
          <w:tcPr>
            <w:tcW w:w="78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480" w:type="dxa"/>
            <w:vAlign w:val="bottom"/>
            <w:shd w:val="clear" w:color="auto" w:fill="CCEEFF"/>
          </w:tcPr>
          <w:p>
            <w:pPr>
              <w:spacing w:after="0"/>
              <w:rPr>
                <w:sz w:val="17"/>
                <w:szCs w:val="17"/>
                <w:color w:val="auto"/>
              </w:rPr>
            </w:pPr>
          </w:p>
        </w:tc>
        <w:tc>
          <w:tcPr>
            <w:tcW w:w="1016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Press Release issued by VistaGen Therapeutics, Inc., dated November 7, 2019.</w:t>
            </w:r>
          </w:p>
        </w:tc>
      </w:tr>
      <w:tr>
        <w:trPr>
          <w:trHeight w:val="655"/>
        </w:trPr>
        <w:tc>
          <w:tcPr>
            <w:tcW w:w="4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9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773" w:right="239" w:bottom="1440" w:gutter="0" w:footer="0" w:header="0"/>
        </w:sectPr>
      </w:pPr>
    </w:p>
    <w:bookmarkStart w:id="2" w:name="page3"/>
    <w:bookmarkEnd w:id="2"/>
    <w:p>
      <w:pPr>
        <w:ind w:left="56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480" w:val="left"/>
          <w:tab w:leader="none" w:pos="6040" w:val="left"/>
        </w:tabs>
        <w:rPr>
          <w:sz w:val="20"/>
          <w:szCs w:val="20"/>
          <w:color w:val="auto"/>
        </w:rPr>
      </w:pPr>
      <w:r>
        <w:rPr>
          <w:rFonts w:ascii="Arial" w:cs="Arial" w:eastAsia="Arial" w:hAnsi="Arial"/>
          <w:sz w:val="18"/>
          <w:szCs w:val="18"/>
          <w:color w:val="auto"/>
        </w:rPr>
        <w:t>Date: November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80"/>
          </w:cols>
          <w:pgMar w:left="240" w:top="773" w:right="9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20" w:type="dxa"/>
            <w:vAlign w:val="bottom"/>
          </w:tcPr>
          <w:p>
            <w:pPr>
              <w:ind w:left="3540"/>
              <w:spacing w:after="0"/>
              <w:rPr>
                <w:sz w:val="20"/>
                <w:szCs w:val="20"/>
                <w:color w:val="auto"/>
              </w:rPr>
            </w:pPr>
            <w:r>
              <w:rPr>
                <w:rFonts w:ascii="Arial" w:cs="Arial" w:eastAsia="Arial" w:hAnsi="Arial"/>
                <w:sz w:val="18"/>
                <w:szCs w:val="18"/>
                <w:b w:val="1"/>
                <w:bCs w:val="1"/>
                <w:color w:val="auto"/>
              </w:rPr>
              <w:t>EXHIBIT INDEX</w:t>
            </w:r>
          </w:p>
        </w:tc>
      </w:tr>
      <w:tr>
        <w:trPr>
          <w:trHeight w:val="441"/>
        </w:trPr>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240" w:type="dxa"/>
            <w:vAlign w:val="bottom"/>
          </w:tcPr>
          <w:p>
            <w:pPr>
              <w:spacing w:after="0"/>
              <w:rPr>
                <w:sz w:val="24"/>
                <w:szCs w:val="24"/>
                <w:color w:val="auto"/>
              </w:rPr>
            </w:pPr>
          </w:p>
        </w:tc>
        <w:tc>
          <w:tcPr>
            <w:tcW w:w="9920" w:type="dxa"/>
            <w:vAlign w:val="bottom"/>
            <w:tcBorders>
              <w:bottom w:val="single" w:sz="8" w:color="auto"/>
            </w:tcBorders>
          </w:tcPr>
          <w:p>
            <w:pPr>
              <w:ind w:left="452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spacing w:after="0"/>
              <w:rPr>
                <w:sz w:val="18"/>
                <w:szCs w:val="18"/>
                <w:color w:val="auto"/>
              </w:rPr>
            </w:pPr>
          </w:p>
        </w:tc>
      </w:tr>
      <w:tr>
        <w:trPr>
          <w:trHeight w:val="196"/>
        </w:trPr>
        <w:tc>
          <w:tcPr>
            <w:tcW w:w="78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480" w:type="dxa"/>
            <w:vAlign w:val="bottom"/>
            <w:shd w:val="clear" w:color="auto" w:fill="CCEEFF"/>
          </w:tcPr>
          <w:p>
            <w:pPr>
              <w:spacing w:after="0"/>
              <w:rPr>
                <w:sz w:val="17"/>
                <w:szCs w:val="17"/>
                <w:color w:val="auto"/>
              </w:rPr>
            </w:pPr>
          </w:p>
        </w:tc>
        <w:tc>
          <w:tcPr>
            <w:tcW w:w="1016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Press Release issued by VistaGen Therapeutics, Inc., dated November 7, 2019.</w:t>
            </w:r>
          </w:p>
        </w:tc>
      </w:tr>
      <w:tr>
        <w:trPr>
          <w:trHeight w:val="871"/>
        </w:trPr>
        <w:tc>
          <w:tcPr>
            <w:tcW w:w="4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9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363345" cy="951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6334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VistaGen Therapeutics Reports Fiscal 2020 Second Quarter Financial Results and Provides Pipeline Overview</w:t>
      </w:r>
    </w:p>
    <w:p>
      <w:pPr>
        <w:spacing w:after="0" w:line="23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 xml:space="preserve">SOUTH SAN FRANCISCO, Calif., November 7, 2019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VistaGen Therapeutics</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VTGN), a clinical-stage biopharmaceutical company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new generation medicines for central nervous system (CNS) diseases and disorders with high unmet need, today announced financial results for its fiscal year 2020 second quarter ended September 30, 2019.</w:t>
      </w:r>
    </w:p>
    <w:p>
      <w:pPr>
        <w:spacing w:after="0" w:line="19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“During the quarter, we achieved several important milestones intended to advance development of each of our three differentiated CNS drug candidates,” stated </w:t>
      </w:r>
      <w:r>
        <w:rPr>
          <w:rFonts w:ascii="Arial" w:cs="Arial" w:eastAsia="Arial" w:hAnsi="Arial"/>
          <w:sz w:val="16"/>
          <w:szCs w:val="16"/>
          <w:u w:val="single" w:color="auto"/>
          <w:color w:val="0095DA"/>
        </w:rPr>
        <w:t>Shawn Singh, Chief Executive Officer of VistaGen</w:t>
      </w:r>
      <w:r>
        <w:rPr>
          <w:rFonts w:ascii="Arial" w:cs="Arial" w:eastAsia="Arial" w:hAnsi="Arial"/>
          <w:sz w:val="16"/>
          <w:szCs w:val="16"/>
          <w:color w:val="333333"/>
          <w:highlight w:val="white"/>
        </w:rPr>
        <w:t>. “</w:t>
      </w:r>
      <w:r>
        <w:rPr>
          <w:rFonts w:ascii="Arial" w:cs="Arial" w:eastAsia="Arial" w:hAnsi="Arial"/>
          <w:sz w:val="16"/>
          <w:szCs w:val="16"/>
          <w:color w:val="auto"/>
          <w:highlight w:val="white"/>
        </w:rPr>
        <w:t>We recently achieved target enrollment and completed patient dosing in our randomized, double-</w:t>
      </w:r>
      <w:r>
        <w:rPr>
          <w:rFonts w:ascii="Arial" w:cs="Arial" w:eastAsia="Arial" w:hAnsi="Arial"/>
          <w:sz w:val="16"/>
          <w:szCs w:val="16"/>
          <w:color w:val="auto"/>
        </w:rPr>
        <w:t>blind, placebo-controlled Phase 2 ELEVATE study of AV-101, our novel oral NMDA receptor antagonist, in major depressive disorder. In addition, for development of AV-101 in suicidal ideation, with emphasis on U.S. Military Veterans, our collaborators at Baylor University recently completed dosing in their Phase 1b target engagement study in healthy volunteer Veterans, a study funded by the U.S. Department of Veteran’s Affairs. We are also encouraged by post-Phase 2 feedback from the FDA earlier this year regarding our Phase 3 development plan for PH94B, our first-in-class, rapid-acting neuroactive nasal spray, in social anxiety disorder. We expect the coming months to be equally active and potentially transformative, as we look forward to topline readouts from two studies involving AV-101 before the end of 2019, and potential regulatory milestones involving PH94B before the end of fiscal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Fiscal Quarter Ended September 30, 2019:</w:t>
      </w:r>
    </w:p>
    <w:p>
      <w:pPr>
        <w:spacing w:after="0" w:line="22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Net loss attributable to common stockholders for the fiscal quarter ended September 30, 2019 decreased to approximately $5.7 million compared to $7.7 million for the fiscal quarter ended September 30, 2018, primarily attributable to research and development activities relating to the Company’s CNS drug development programs.</w:t>
      </w:r>
    </w:p>
    <w:p>
      <w:pPr>
        <w:spacing w:after="0" w:line="19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Research and development expense decreased to $4.2 million for the fiscal quarter ended September 30, 2019, compared with $5.3 million for the fiscal quarter ended September 30, 2018. Expense for the quarter ended September 30, 2018 included $2.25 million noncash expense associated with the Company’s acquisition of its exclusive worldwide license to develop and commercialize PH94B and an option to acquire an exclusive worldwide license to develop and commercialize PH10, the Company’s first-in-class, rapid-onset neuroactive nasal spray in Phase 2 development for major depressive disorder, which option was subsequently exercised. Offsetting this noncash expense in the quarter ended September 30, 2019 are increased expenses for the ELEVATE study and various nonclinical activities across the Company’s CNS pipeline.</w:t>
      </w:r>
    </w:p>
    <w:p>
      <w:pPr>
        <w:spacing w:after="0" w:line="174"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General and administrative expense decreased to approximately $1.1 million in the fiscal quarter ended September 30, 2019, compared to approximately $2.2 million in the fiscal quarter ended September 30, 2018. Noncash expense of $272,000 in the quarter ended September 30, 2019, decreased from $792,000 in the quarter ended September 30, 2018, primarily due to decreases in stock-based compensation and other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2019, VistaGen had cash and cash equivalents of $4.1 million, compared to $13.1 million at March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6, 2019, there were 43,222,965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VistaGen’s CNS Pipeline</w:t>
      </w:r>
    </w:p>
    <w:p>
      <w:pPr>
        <w:spacing w:after="0" w:line="23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VistaGen is developing three new generation clinical-stage CNS drug candidates, AV-101, PH10 and PH94B, each with a differentiated mechanism of action, an exceptional safety profile in all clinical studies to date, and therapeutic potential in multiple CNS markets where current treatments are inadequate to meet high unmet patient needs.</w:t>
      </w:r>
    </w:p>
    <w:p>
      <w:pPr>
        <w:spacing w:after="0" w:line="18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b w:val="1"/>
          <w:bCs w:val="1"/>
          <w:color w:val="auto"/>
        </w:rPr>
        <w:t xml:space="preserve">AV-101 </w:t>
      </w:r>
      <w:r>
        <w:rPr>
          <w:rFonts w:ascii="Arial" w:cs="Arial" w:eastAsia="Arial" w:hAnsi="Arial"/>
          <w:sz w:val="16"/>
          <w:szCs w:val="16"/>
          <w:color w:val="auto"/>
        </w:rPr>
        <w:t>belongs to a new generation of investigational medicines in neuropsychiatry and neurology known as NMDA (N-methyl-D-aspartate) receptor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modulators. The NMDA receptor is a pivotal receptor in the brain and abnormal NMDA function is associated with numerous CNS diseases and disorders. AV-101 is an oral prodrug of 7-Cl-KYNA, a potent and selective full antagonist of the glycine co-agonist site of the NMDA receptor. Based on several positive preclinical studies and its exceptional safety profile in all preclinical and clinical studies to date, AV-101 has potential to be a new at-home, non-sedating treatment for multiple large market CNS indications, including major depressive disorder, neuropathic pain, suicidal ideation, epilepsy and dyskinesia associated with levodopa therapy for Parkinson’s disease. The FDA has granted Fast Track designation for development of AV-101 as both a novel potential </w:t>
      </w:r>
      <w:r>
        <w:rPr>
          <w:rFonts w:ascii="Arial" w:cs="Arial" w:eastAsia="Arial" w:hAnsi="Arial"/>
          <w:sz w:val="16"/>
          <w:szCs w:val="16"/>
          <w:u w:val="single" w:color="auto"/>
          <w:color w:val="0095DA"/>
        </w:rPr>
        <w:t>adjunctive</w:t>
      </w:r>
      <w:r>
        <w:rPr>
          <w:rFonts w:ascii="Arial" w:cs="Arial" w:eastAsia="Arial" w:hAnsi="Arial"/>
          <w:sz w:val="16"/>
          <w:szCs w:val="16"/>
          <w:color w:val="auto"/>
        </w:rPr>
        <w:t xml:space="preserve"> </w:t>
      </w:r>
      <w:r>
        <w:rPr>
          <w:rFonts w:ascii="Arial" w:cs="Arial" w:eastAsia="Arial" w:hAnsi="Arial"/>
          <w:sz w:val="16"/>
          <w:szCs w:val="16"/>
          <w:u w:val="single" w:color="auto"/>
          <w:color w:val="0095DA"/>
        </w:rPr>
        <w:t>treatment for MDD</w:t>
      </w:r>
      <w:r>
        <w:rPr>
          <w:rFonts w:ascii="Arial" w:cs="Arial" w:eastAsia="Arial" w:hAnsi="Arial"/>
          <w:sz w:val="16"/>
          <w:szCs w:val="16"/>
          <w:color w:val="0095DA"/>
        </w:rPr>
        <w:t xml:space="preserve"> </w:t>
      </w:r>
      <w:r>
        <w:rPr>
          <w:rFonts w:ascii="Arial" w:cs="Arial" w:eastAsia="Arial" w:hAnsi="Arial"/>
          <w:sz w:val="16"/>
          <w:szCs w:val="16"/>
          <w:color w:val="000000"/>
        </w:rPr>
        <w:t>and a</w:t>
      </w:r>
      <w:r>
        <w:rPr>
          <w:rFonts w:ascii="Arial" w:cs="Arial" w:eastAsia="Arial" w:hAnsi="Arial"/>
          <w:sz w:val="16"/>
          <w:szCs w:val="16"/>
          <w:color w:val="0095DA"/>
        </w:rPr>
        <w:t xml:space="preserve"> </w:t>
      </w:r>
      <w:r>
        <w:rPr>
          <w:rFonts w:ascii="Arial" w:cs="Arial" w:eastAsia="Arial" w:hAnsi="Arial"/>
          <w:sz w:val="16"/>
          <w:szCs w:val="16"/>
          <w:u w:val="single" w:color="auto"/>
          <w:color w:val="0095DA"/>
        </w:rPr>
        <w:t>non-opioid treatment for neuropathic pain</w:t>
      </w:r>
      <w:r>
        <w:rPr>
          <w:rFonts w:ascii="Arial" w:cs="Arial" w:eastAsia="Arial" w:hAnsi="Arial"/>
          <w:sz w:val="16"/>
          <w:szCs w:val="16"/>
          <w:color w:val="000000"/>
        </w:rPr>
        <w:t>.</w:t>
      </w:r>
    </w:p>
    <w:p>
      <w:pPr>
        <w:spacing w:after="0" w:line="16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color w:val="auto"/>
        </w:rPr>
        <w:t xml:space="preserve">PH10 </w:t>
      </w:r>
      <w:r>
        <w:rPr>
          <w:rFonts w:ascii="Arial" w:cs="Arial" w:eastAsia="Arial" w:hAnsi="Arial"/>
          <w:sz w:val="16"/>
          <w:szCs w:val="16"/>
          <w:color w:val="auto"/>
        </w:rPr>
        <w:t>is a first-in-class, odorless, rapid-onset CNS neuroactive nasal spray in development for treatment of major depressive disorder. Administered in</w:t>
      </w:r>
      <w:r>
        <w:rPr>
          <w:rFonts w:ascii="Arial" w:cs="Arial" w:eastAsia="Arial" w:hAnsi="Arial"/>
          <w:sz w:val="16"/>
          <w:szCs w:val="16"/>
          <w:b w:val="1"/>
          <w:bCs w:val="1"/>
          <w:color w:val="auto"/>
        </w:rPr>
        <w:t xml:space="preserve"> </w:t>
      </w:r>
      <w:r>
        <w:rPr>
          <w:rFonts w:ascii="Arial" w:cs="Arial" w:eastAsia="Arial" w:hAnsi="Arial"/>
          <w:sz w:val="16"/>
          <w:szCs w:val="16"/>
          <w:color w:val="auto"/>
        </w:rPr>
        <w:t>microgram doses, PH10 activates nasal chemosensory receptors that, in turn, engage neural circuits that lead to rapid antidepressant effects without psychological side effects, systemic exposure or safety concerns often associated with current oral antidepressants and ketamine-based therapies (intravenous ketamine or esketamine nasal spray). In an exploratory (n=30) randomized, double-blind, placebo-controlled Phase 2a clinical study in major depressive disorder, at microgram doses, rapid-onset antidepressant effects were observed and sustained for 8 weeks, without psychological side effects or systemic exposure. VistaGen is preparing for planned Phase 2b clinical development of PH10 for major depressive disorder.</w:t>
      </w:r>
    </w:p>
    <w:p>
      <w:pPr>
        <w:spacing w:after="0" w:line="165"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PH94B </w:t>
      </w:r>
      <w:r>
        <w:rPr>
          <w:rFonts w:ascii="Arial" w:cs="Arial" w:eastAsia="Arial" w:hAnsi="Arial"/>
          <w:sz w:val="16"/>
          <w:szCs w:val="16"/>
          <w:color w:val="auto"/>
        </w:rPr>
        <w:t>is a first-in-class, odorless, rapid-onset (approximately 10 to 15 minutes) CNS neuroactive nasal spray with the potential to be the first FDA-approved, as-needed, on-demand treatment for millions of Americans who suffer from social anxiety disorder, with additional potential in peripartum anxiety, pre/postoperative anxiety, post-traumatic stress disorder, panic disorder and generalized anxiety disorder. Administered at microgram doses, PH94B activates nasal chemosensory receptors that trigger neural circuits in the brain that suppress fear and anxiety associated with everyday social and work or performance situations. Following successful Phase 2 development, VistaGen is preparing for Phase 3 clinical development of PH94B for social anxiety disorder.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3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VistaGen Therapeutics is a clinical-stage biopharmaceutical company developing new generation medicines for CNS diseases and disorders where current treatments are inadequate, resulting in high unmet need. VistaGen's </w:t>
      </w:r>
      <w:r>
        <w:rPr>
          <w:rFonts w:ascii="Arial" w:cs="Arial" w:eastAsia="Arial" w:hAnsi="Arial"/>
          <w:sz w:val="16"/>
          <w:szCs w:val="16"/>
          <w:u w:val="single" w:color="auto"/>
          <w:color w:val="0095DA"/>
        </w:rPr>
        <w:t>pipeline</w:t>
      </w:r>
      <w:r>
        <w:rPr>
          <w:rFonts w:ascii="Arial" w:cs="Arial" w:eastAsia="Arial" w:hAnsi="Arial"/>
          <w:sz w:val="16"/>
          <w:szCs w:val="16"/>
          <w:color w:val="auto"/>
        </w:rPr>
        <w:t xml:space="preserve"> includes three clinical-stage CNS drug candidates, AV-101, PH10 and PH94B, each with a differentiated mechanism of action, an exceptional safety profile in all clinical studies to date, and therapeutic potential in multiple large and growing CNS markets. For more information, please visit </w:t>
      </w:r>
      <w:r>
        <w:rPr>
          <w:rFonts w:ascii="Arial" w:cs="Arial" w:eastAsia="Arial" w:hAnsi="Arial"/>
          <w:sz w:val="16"/>
          <w:szCs w:val="16"/>
          <w:u w:val="single" w:color="auto"/>
          <w:color w:val="0095DA"/>
        </w:rPr>
        <w:t>www.vistagen.com</w:t>
      </w:r>
      <w:r>
        <w:rPr>
          <w:rFonts w:ascii="Arial" w:cs="Arial" w:eastAsia="Arial" w:hAnsi="Arial"/>
          <w:sz w:val="16"/>
          <w:szCs w:val="16"/>
          <w:color w:val="auto"/>
        </w:rPr>
        <w:t xml:space="preserve"> and connect with VistaGen on </w:t>
      </w:r>
      <w:r>
        <w:rPr>
          <w:rFonts w:ascii="Arial" w:cs="Arial" w:eastAsia="Arial" w:hAnsi="Arial"/>
          <w:sz w:val="16"/>
          <w:szCs w:val="16"/>
          <w:u w:val="single" w:color="auto"/>
          <w:color w:val="0095DA"/>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0095DA"/>
        </w:rPr>
        <w:t>LinkedIn</w:t>
      </w:r>
      <w:r>
        <w:rPr>
          <w:rFonts w:ascii="Arial" w:cs="Arial" w:eastAsia="Arial" w:hAnsi="Arial"/>
          <w:sz w:val="16"/>
          <w:szCs w:val="16"/>
          <w:color w:val="auto"/>
        </w:rPr>
        <w:t xml:space="preserve"> and </w:t>
      </w:r>
      <w:r>
        <w:rPr>
          <w:rFonts w:ascii="Arial" w:cs="Arial" w:eastAsia="Arial" w:hAnsi="Arial"/>
          <w:sz w:val="16"/>
          <w:szCs w:val="16"/>
          <w:u w:val="single" w:color="auto"/>
          <w:color w:val="0095DA"/>
        </w:rPr>
        <w:t>Facebook</w:t>
      </w:r>
      <w:r>
        <w:rPr>
          <w:rFonts w:ascii="Arial" w:cs="Arial" w:eastAsia="Arial" w:hAnsi="Arial"/>
          <w:sz w:val="16"/>
          <w:szCs w:val="16"/>
          <w:color w:val="auto"/>
        </w:rPr>
        <w: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333333"/>
        </w:rPr>
        <w:t>Forward-Looking Statements</w:t>
      </w:r>
    </w:p>
    <w:p>
      <w:pPr>
        <w:spacing w:after="0" w:line="23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This release contains various statements concerning VistaGen's future expectations, plans and prospects, including without limitation, our expectations regarding development and commercialization of our three drug candidates: (i) AV-101 for major depressive disorder, neuropathic pain, epilepsy, dyskinesia associated with levodopa therapy for Parkinson’s disease and suicidal ideation; (ii) PH94B for social anxiety disorder, peripartum anxiety, pre/postoperative anxiety, post-traumatic stress disorder, panic disorder and generalized anxiety disorder; and (iii) PH10 for major depressive disorder. In addition, statements concerning the Company’s future expectations may include statements regarding intellectual property and commercial protection of our drug candidates. Each of these statements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Those risks include the following: (i) we may encounter unexpected adverse events in patients during our clinical development of any product candidate that cause us to discontinue further development; (ii) we may not be able to successfully demonstrate the safety and efficacy of our product candidates at each stage of clinical development;</w:t>
      </w:r>
    </w:p>
    <w:p>
      <w:pPr>
        <w:spacing w:after="0" w:line="5" w:lineRule="exact"/>
        <w:rPr>
          <w:sz w:val="20"/>
          <w:szCs w:val="20"/>
          <w:color w:val="auto"/>
        </w:rPr>
      </w:pPr>
    </w:p>
    <w:p>
      <w:pPr>
        <w:ind w:firstLine="8"/>
        <w:spacing w:after="0" w:line="286" w:lineRule="auto"/>
        <w:tabs>
          <w:tab w:leader="none" w:pos="307"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success in preclinical studies or in early-stage clinical trials may not be repeated or observed in ongoing or future studies, and ongoing or future preclinical and clinical results may not support further development of, or be sufficient to gain regulatory approval to market AV-101, PH94B, and/or PH10; (iv) decisions or actions of regulatory agencies may negatively affect the progress of, and our ability to proceed with, further clinical studies or to obtain marketing approval for our drug candidates; (v) we may not be able to obtain or maintain adequate intellectual property protection and other forms of marketing and data exclusivity for our product candidates; (vi) we may not have access to or be able to secure substantial additional capital to support our operations, including our ongoing clinical development activities; and (vii) we may encounter technical and other unexpected hurdles in the manufacturing and development of any of our product candidates.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VistaGen@KCSA.com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Caitlin Kasunich / Lisa Lipson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896-1241/+1 (508) 843-6428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VistaGen@KCSA.com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VISTAGEN THERAPEUTICS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dollars,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2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52"/>
        </w:trPr>
        <w:tc>
          <w:tcPr>
            <w:tcW w:w="88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7"/>
        </w:trPr>
        <w:tc>
          <w:tcPr>
            <w:tcW w:w="8820" w:type="dxa"/>
            <w:vAlign w:val="bottom"/>
          </w:tcPr>
          <w:p>
            <w:pPr>
              <w:jc w:val="center"/>
              <w:spacing w:after="0"/>
              <w:rPr>
                <w:sz w:val="20"/>
                <w:szCs w:val="20"/>
                <w:color w:val="auto"/>
              </w:rPr>
            </w:pPr>
            <w:r>
              <w:rPr>
                <w:rFonts w:ascii="Arial" w:cs="Arial" w:eastAsia="Arial" w:hAnsi="Arial"/>
                <w:sz w:val="18"/>
                <w:szCs w:val="18"/>
                <w:b w:val="1"/>
                <w:bCs w:val="1"/>
                <w:color w:val="auto"/>
                <w:w w:val="91"/>
              </w:rPr>
              <w:t>ASSETS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820" w:type="dxa"/>
            <w:vAlign w:val="bottom"/>
          </w:tcPr>
          <w:p>
            <w:pPr>
              <w:ind w:left="6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4,072,400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13,100,300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Receivable from supplier</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4,676,900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13,651,200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Right of use asset - operating lease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3,750,200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Security deposits and other assets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8,735,500</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14,011,700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jc w:val="center"/>
              <w:spacing w:after="0"/>
              <w:rPr>
                <w:sz w:val="20"/>
                <w:szCs w:val="20"/>
                <w:color w:val="auto"/>
              </w:rPr>
            </w:pPr>
            <w:r>
              <w:rPr>
                <w:rFonts w:ascii="Arial" w:cs="Arial" w:eastAsia="Arial" w:hAnsi="Arial"/>
                <w:sz w:val="18"/>
                <w:szCs w:val="18"/>
                <w:b w:val="1"/>
                <w:bCs w:val="1"/>
                <w:color w:val="auto"/>
              </w:rPr>
              <w:t>LIABILITIES AND STOCKHOLDERS’ (DEFICIT) EQUITY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1,449,800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2,215,500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1,685,600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Current notes payable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159,300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57,300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oligation</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820" w:type="dxa"/>
            <w:vAlign w:val="bottom"/>
          </w:tcPr>
          <w:p>
            <w:pPr>
              <w:ind w:left="220"/>
              <w:spacing w:after="0"/>
              <w:rPr>
                <w:sz w:val="20"/>
                <w:szCs w:val="20"/>
                <w:color w:val="auto"/>
              </w:rPr>
            </w:pPr>
            <w:r>
              <w:rPr>
                <w:rFonts w:ascii="Arial" w:cs="Arial" w:eastAsia="Arial" w:hAnsi="Arial"/>
                <w:sz w:val="18"/>
                <w:szCs w:val="18"/>
                <w:color w:val="auto"/>
              </w:rPr>
              <w:t>Financing lease obligation</w:t>
            </w: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4,117,300</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2,800,900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8"/>
                <w:szCs w:val="18"/>
                <w:color w:val="auto"/>
              </w:rPr>
              <w:t>Accrued dividends on Series B Preferred Stock</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4,364,500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3,748,200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rent liability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Operating lease obligation</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3,879,400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Financing lease obligation</w:t>
            </w: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20" w:type="dxa"/>
            <w:vAlign w:val="bottom"/>
          </w:tcPr>
          <w:p>
            <w:pPr>
              <w:ind w:left="38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8,248,600</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4,135,600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12,365,900</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6,936,500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(deficit) equity: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440"/>
              <w:spacing w:after="0"/>
              <w:rPr>
                <w:sz w:val="20"/>
                <w:szCs w:val="20"/>
                <w:color w:val="auto"/>
              </w:rPr>
            </w:pPr>
            <w:r>
              <w:rPr>
                <w:rFonts w:ascii="Arial" w:cs="Arial" w:eastAsia="Arial" w:hAnsi="Arial"/>
                <w:sz w:val="18"/>
                <w:szCs w:val="18"/>
                <w:color w:val="auto"/>
                <w:w w:val="95"/>
              </w:rPr>
              <w:t>Preferred stock, $0.001 par value; 10,000,000 shares authorized at September 30, 2019 and March 31, 2019:</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9"/>
              </w:rPr>
              <w:t>Series A Preferred, 500,000 shares authorized, issued and outstanding at September 30, 2019 and March 31, 2019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600"/>
              <w:spacing w:after="0"/>
              <w:rPr>
                <w:sz w:val="20"/>
                <w:szCs w:val="20"/>
                <w:color w:val="auto"/>
              </w:rPr>
            </w:pPr>
            <w:r>
              <w:rPr>
                <w:rFonts w:ascii="Arial" w:cs="Arial" w:eastAsia="Arial" w:hAnsi="Arial"/>
                <w:sz w:val="18"/>
                <w:szCs w:val="18"/>
                <w:color w:val="auto"/>
                <w:w w:val="92"/>
              </w:rPr>
              <w:t>Series B Preferred; 4,000,000 shares authorized at September 30, 2019 and March 31, 2019; 1,160,240 shares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issued and outstanding at September 30, 2019 and March 31, 2019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600"/>
              <w:spacing w:after="0"/>
              <w:rPr>
                <w:sz w:val="20"/>
                <w:szCs w:val="20"/>
                <w:color w:val="auto"/>
              </w:rPr>
            </w:pPr>
            <w:r>
              <w:rPr>
                <w:rFonts w:ascii="Arial" w:cs="Arial" w:eastAsia="Arial" w:hAnsi="Arial"/>
                <w:sz w:val="18"/>
                <w:szCs w:val="18"/>
                <w:color w:val="auto"/>
                <w:w w:val="92"/>
              </w:rPr>
              <w:t>Series C Preferred; 3,000,000 shares authorized at September 30, 2019 and March 31, 2019; 2,318,012 shares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issued and outstanding at September 30, 2019 and March 31, 2019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w w:val="96"/>
              </w:rPr>
              <w:t>Common stock, $0.001 par value; 175,000,000 and 100,000,000 shares authorized at September 30, 2019 and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March 31, 2019, respectively; 42,758,630 shares issued and outstanding at September 30, 2019 and March 31, 2019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192,970,100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192,129,900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 at cost, 135,665 shares of common stock held at September 30, 2019 and March 31, 2019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(3,968,100)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(3,968,100)</w:t>
            </w:r>
          </w:p>
        </w:tc>
        <w:tc>
          <w:tcPr>
            <w:tcW w:w="0" w:type="dxa"/>
            <w:vAlign w:val="bottom"/>
          </w:tcPr>
          <w:p>
            <w:pPr>
              <w:spacing w:after="0"/>
              <w:rPr>
                <w:sz w:val="1"/>
                <w:szCs w:val="1"/>
                <w:color w:val="auto"/>
              </w:rPr>
            </w:pPr>
          </w:p>
        </w:tc>
      </w:tr>
      <w:tr>
        <w:trPr>
          <w:trHeight w:val="242"/>
        </w:trPr>
        <w:tc>
          <w:tcPr>
            <w:tcW w:w="88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(192,679,200)</w:t>
            </w:r>
          </w:p>
        </w:tc>
        <w:tc>
          <w:tcPr>
            <w:tcW w:w="1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(181,133,400)</w:t>
            </w:r>
          </w:p>
        </w:tc>
        <w:tc>
          <w:tcPr>
            <w:tcW w:w="0" w:type="dxa"/>
            <w:vAlign w:val="bottom"/>
          </w:tcPr>
          <w:p>
            <w:pPr>
              <w:spacing w:after="0"/>
              <w:rPr>
                <w:sz w:val="1"/>
                <w:szCs w:val="1"/>
                <w:color w:val="auto"/>
              </w:rPr>
            </w:pPr>
          </w:p>
        </w:tc>
      </w:tr>
      <w:tr>
        <w:trPr>
          <w:trHeight w:val="28"/>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stockholders’ (deficit) equity</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(3,630,400)</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7,075,200</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2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Total liabilities and stockholders’ (deficit) equity</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8,735,500</w:t>
            </w: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14,011,700</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vMerge w:val="restart"/>
          </w:tcPr>
          <w:p>
            <w:pPr>
              <w:ind w:left="562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1"/>
        </w:trPr>
        <w:tc>
          <w:tcPr>
            <w:tcW w:w="88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VISTAGEN THERAPEUTICS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Dollars,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4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Six Months Ended 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4,205,200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5,261,100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8,519,100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8,004,800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1,146,100</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2,171,000</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3,056,200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3,637,300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5,351,300</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7,432,100</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11,575,300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11,642,100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(5,351,300)</w:t>
            </w: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(7,432,100)</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(11,575,300)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(11,642,100)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 net: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Interest income (expense), net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31,900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(5,335,900)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(7,435,000)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(11,543,400)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(11,647,100)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(5,335,900)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(7,435,000)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(11,545,800)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(11,649,500)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dividend on Series B Preferred stock</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(313,800)</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(283,600)</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(616,300)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(5,649,700)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(7,718,600)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(12,162,100)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(12,206,600)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attributable to common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stockholders per common share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(0.29)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Weighted average shares used in computing</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 net loss attributable to common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stockholders per common share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42,622,965</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25,815,245</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42,622,965</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24,267,816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7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2019-11-28T11:12:59Z</dcterms:created>
  <dcterms:modified xsi:type="dcterms:W3CDTF">2019-11-28T11:12:59Z</dcterms:modified>
</cp:coreProperties>
</file>