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9284OH202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3" w:lineRule="exact"/>
        <w:rPr>
          <w:sz w:val="24"/>
          <w:szCs w:val="24"/>
          <w:color w:val="auto"/>
        </w:rPr>
      </w:pPr>
    </w:p>
    <w:p>
      <w:pPr>
        <w:ind w:left="440" w:hanging="432"/>
        <w:spacing w:after="0" w:line="207" w:lineRule="exact"/>
        <w:tabs>
          <w:tab w:leader="none" w:pos="4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ind w:firstLine="8"/>
        <w:spacing w:after="0" w:line="277" w:lineRule="auto"/>
        <w:tabs>
          <w:tab w:leader="none" w:pos="1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22"/>
          <w:szCs w:val="22"/>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41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Names of Reporting Persons. Mitchell P. Kopin</w:t>
      </w:r>
    </w:p>
    <w:p>
      <w:pPr>
        <w:ind w:left="660" w:hanging="41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1,442,667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1,442,067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89"/>
              </w:rPr>
              <w:t>1,442,067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4"/>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4.4%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 HC</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39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 Daniel B. Asher</w:t>
      </w:r>
    </w:p>
    <w:p>
      <w:pPr>
        <w:ind w:left="660" w:hanging="41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United States of America</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1,442,067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1,442,067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89"/>
              </w:rPr>
              <w:t>1,442,067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4"/>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4.4%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 HC</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w w:val="97"/>
              </w:rPr>
              <w:t>CUSIP No.</w:t>
            </w: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9284OH202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5025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6" w:lineRule="exact"/>
        <w:rPr>
          <w:sz w:val="20"/>
          <w:szCs w:val="20"/>
          <w:color w:val="auto"/>
        </w:rPr>
      </w:pPr>
    </w:p>
    <w:p>
      <w:pPr>
        <w:ind w:left="660" w:right="8660" w:hanging="416"/>
        <w:spacing w:after="0" w:line="44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Intracoastal Capital LLC</w:t>
      </w:r>
    </w:p>
    <w:p>
      <w:pPr>
        <w:ind w:left="660" w:hanging="41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00" w:hanging="248"/>
        <w:spacing w:after="0" w:line="207" w:lineRule="exact"/>
        <w:tabs>
          <w:tab w:leader="none" w:pos="9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Delaware</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5.</w:t>
            </w:r>
          </w:p>
        </w:tc>
        <w:tc>
          <w:tcPr>
            <w:tcW w:w="47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6.</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1300" w:type="dxa"/>
            <w:vAlign w:val="bottom"/>
            <w:tcBorders>
              <w:right w:val="single" w:sz="8" w:color="auto"/>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47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 Beneficially</w:t>
            </w:r>
          </w:p>
        </w:tc>
        <w:tc>
          <w:tcPr>
            <w:tcW w:w="18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1,442,067</w:t>
            </w:r>
          </w:p>
        </w:tc>
        <w:tc>
          <w:tcPr>
            <w:tcW w:w="4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7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Owned by Each</w:t>
            </w: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tcBorders>
            <w:vMerge w:val="continue"/>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60" w:type="dxa"/>
            <w:vAlign w:val="bottom"/>
            <w:tcBorders>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7.</w:t>
            </w: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center"/>
              <w:ind w:right="37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3"/>
                <w:szCs w:val="13"/>
                <w:color w:val="auto"/>
              </w:rPr>
            </w:pPr>
          </w:p>
        </w:tc>
        <w:tc>
          <w:tcPr>
            <w:tcW w:w="380" w:type="dxa"/>
            <w:vAlign w:val="bottom"/>
            <w:tcBorders>
              <w:right w:val="single" w:sz="8" w:color="auto"/>
            </w:tcBorders>
            <w:vMerge w:val="continue"/>
          </w:tcPr>
          <w:p>
            <w:pPr>
              <w:spacing w:after="0"/>
              <w:rPr>
                <w:sz w:val="13"/>
                <w:szCs w:val="13"/>
                <w:color w:val="auto"/>
              </w:rPr>
            </w:pPr>
          </w:p>
        </w:tc>
        <w:tc>
          <w:tcPr>
            <w:tcW w:w="4780" w:type="dxa"/>
            <w:vAlign w:val="bottom"/>
            <w:vMerge w:val="continue"/>
          </w:tcPr>
          <w:p>
            <w:pPr>
              <w:spacing w:after="0"/>
              <w:rPr>
                <w:sz w:val="13"/>
                <w:szCs w:val="13"/>
                <w:color w:val="auto"/>
              </w:rPr>
            </w:pPr>
          </w:p>
        </w:tc>
        <w:tc>
          <w:tcPr>
            <w:tcW w:w="4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4780" w:type="dxa"/>
            <w:vAlign w:val="bottom"/>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 With:</w:t>
            </w:r>
          </w:p>
        </w:tc>
        <w:tc>
          <w:tcPr>
            <w:tcW w:w="1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7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4780" w:type="dxa"/>
            <w:vAlign w:val="bottom"/>
            <w:tcBorders>
              <w:bottom w:val="single" w:sz="8" w:color="auto"/>
            </w:tcBorders>
            <w:vMerge w:val="continue"/>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79"/>
              </w:rPr>
              <w:t>8.</w:t>
            </w:r>
          </w:p>
        </w:tc>
        <w:tc>
          <w:tcPr>
            <w:tcW w:w="47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1,442,067</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92"/>
              </w:rPr>
              <w:t>9.</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89"/>
              </w:rPr>
              <w:t>1,442,067 (see Item 4)</w:t>
            </w: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10.</w:t>
            </w:r>
          </w:p>
        </w:tc>
        <w:tc>
          <w:tcPr>
            <w:tcW w:w="160" w:type="dxa"/>
            <w:vAlign w:val="bottom"/>
            <w:tcBorders>
              <w:right w:val="single" w:sz="8" w:color="auto"/>
            </w:tcBorders>
          </w:tcPr>
          <w:p>
            <w:pPr>
              <w:spacing w:after="0"/>
              <w:rPr>
                <w:sz w:val="24"/>
                <w:szCs w:val="24"/>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43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480" w:type="dxa"/>
            <w:vAlign w:val="bottom"/>
            <w:tcBorders>
              <w:bottom w:val="single" w:sz="8" w:color="auto"/>
            </w:tcBorders>
            <w:gridSpan w:val="4"/>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11.</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4.4% (see Item 4)</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center"/>
              <w:ind w:left="70"/>
              <w:spacing w:after="0"/>
              <w:rPr>
                <w:sz w:val="20"/>
                <w:szCs w:val="20"/>
                <w:color w:val="auto"/>
              </w:rPr>
            </w:pPr>
            <w:r>
              <w:rPr>
                <w:rFonts w:ascii="Arial" w:cs="Arial" w:eastAsia="Arial" w:hAnsi="Arial"/>
                <w:sz w:val="18"/>
                <w:szCs w:val="18"/>
                <w:color w:val="auto"/>
                <w:w w:val="87"/>
              </w:rPr>
              <w:t>12.</w:t>
            </w:r>
          </w:p>
        </w:tc>
        <w:tc>
          <w:tcPr>
            <w:tcW w:w="160" w:type="dxa"/>
            <w:vAlign w:val="bottom"/>
            <w:tcBorders>
              <w:right w:val="single" w:sz="8" w:color="auto"/>
            </w:tcBorders>
          </w:tcPr>
          <w:p>
            <w:pPr>
              <w:spacing w:after="0"/>
              <w:rPr>
                <w:sz w:val="20"/>
                <w:szCs w:val="20"/>
                <w:color w:val="auto"/>
              </w:rPr>
            </w:pPr>
          </w:p>
        </w:tc>
        <w:tc>
          <w:tcPr>
            <w:tcW w:w="64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OO</w:t>
            </w:r>
          </w:p>
        </w:tc>
        <w:tc>
          <w:tcPr>
            <w:tcW w:w="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4" w:name="page5"/>
    <w:bookmarkEnd w:id="4"/>
    <w:p>
      <w:pPr>
        <w:jc w:val="both"/>
        <w:ind w:firstLine="648"/>
        <w:spacing w:after="0" w:line="264" w:lineRule="auto"/>
        <w:rPr>
          <w:sz w:val="20"/>
          <w:szCs w:val="20"/>
          <w:color w:val="auto"/>
        </w:rPr>
      </w:pPr>
      <w:r>
        <w:rPr>
          <w:rFonts w:ascii="Arial" w:cs="Arial" w:eastAsia="Arial" w:hAnsi="Arial"/>
          <w:sz w:val="18"/>
          <w:szCs w:val="18"/>
          <w:color w:val="auto"/>
        </w:rPr>
        <w:t>This Amendment No. 2 is being filed jointly by the Reporting Persons and amends the Schedule 13G initially filed by the Reporting Persons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December 20, 2017, as amended by Amendment No. 1 thereto filed by the Reporting Persons with the SEC on February 13, 2018 (the “</w:t>
      </w:r>
      <w:r>
        <w:rPr>
          <w:rFonts w:ascii="Arial" w:cs="Arial" w:eastAsia="Arial" w:hAnsi="Arial"/>
          <w:sz w:val="18"/>
          <w:szCs w:val="18"/>
          <w:u w:val="single" w:color="auto"/>
          <w:color w:val="auto"/>
        </w:rPr>
        <w:t>Schedule 13G</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below, all Items of the Schedule 13G remain unchanged. All capitalized terms not otherwise defined herein shall have the meanings ascribed to such terms in the Schedule 13G.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As of close of business on December 31, 2018, each of the Reporting Persons may have been deemed to have beneficial ownership of 1,442,067 shares of Common Stock, which consisted of (i) 400 shares of Common Stock held by Intracoastal and (ii) 1,441,667 shares of Common Stock issuable upon exercise of the Intracoastal Warrant, and all such shares of Common Stock in the aggregate represented beneficial ownership of approximately 4.4% of the Common Stock, based on (1) 31,057,215 shares of Common Stock outstanding on October 26, 2018 as reported by the Issuer, plus (2) 1,441,667 shares of Common Stock issuable upon exercise of the Intracoastal Warrant.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as to which each Reporting Person has: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4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2920" w:type="dxa"/>
            <w:vAlign w:val="bottom"/>
          </w:tcPr>
          <w:p>
            <w:pPr>
              <w:ind w:left="20"/>
              <w:spacing w:after="0"/>
              <w:rPr>
                <w:sz w:val="20"/>
                <w:szCs w:val="20"/>
                <w:color w:val="auto"/>
              </w:rPr>
            </w:pPr>
            <w:r>
              <w:rPr>
                <w:rFonts w:ascii="Arial" w:cs="Arial" w:eastAsia="Arial" w:hAnsi="Arial"/>
                <w:sz w:val="18"/>
                <w:szCs w:val="18"/>
                <w:color w:val="auto"/>
                <w:w w:val="91"/>
              </w:rPr>
              <w:t>Sole power to vote or to direct the vote:</w:t>
            </w:r>
          </w:p>
        </w:tc>
        <w:tc>
          <w:tcPr>
            <w:tcW w:w="180" w:type="dxa"/>
            <w:vAlign w:val="bottom"/>
          </w:tcPr>
          <w:p>
            <w:pPr>
              <w:spacing w:after="0"/>
              <w:rPr>
                <w:sz w:val="17"/>
                <w:szCs w:val="17"/>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1"/>
              </w:rPr>
              <w:t>Shared power to vote or to direct the vote:</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1,442,067  .</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3780" w:type="dxa"/>
            <w:vAlign w:val="bottom"/>
            <w:gridSpan w:val="4"/>
          </w:tcPr>
          <w:p>
            <w:pPr>
              <w:ind w:left="20"/>
              <w:spacing w:after="0"/>
              <w:rPr>
                <w:sz w:val="20"/>
                <w:szCs w:val="20"/>
                <w:color w:val="auto"/>
              </w:rPr>
            </w:pPr>
            <w:r>
              <w:rPr>
                <w:rFonts w:ascii="Arial" w:cs="Arial" w:eastAsia="Arial" w:hAnsi="Arial"/>
                <w:sz w:val="18"/>
                <w:szCs w:val="18"/>
                <w:color w:val="auto"/>
                <w:w w:val="91"/>
              </w:rPr>
              <w:t>Sole power to dispose or to direct the disposition of</w:t>
            </w:r>
          </w:p>
        </w:tc>
        <w:tc>
          <w:tcPr>
            <w:tcW w:w="180" w:type="dxa"/>
            <w:vAlign w:val="bottom"/>
          </w:tcPr>
          <w:p>
            <w:pPr>
              <w:spacing w:after="0"/>
              <w:rPr>
                <w:sz w:val="24"/>
                <w:szCs w:val="24"/>
                <w:color w:val="auto"/>
              </w:rPr>
            </w:pPr>
          </w:p>
        </w:tc>
        <w:tc>
          <w:tcPr>
            <w:tcW w:w="1080" w:type="dxa"/>
            <w:vAlign w:val="bottom"/>
            <w:gridSpan w:val="3"/>
          </w:tcPr>
          <w:p>
            <w:pPr>
              <w:jc w:val="right"/>
              <w:ind w:right="780"/>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3960" w:type="dxa"/>
            <w:vAlign w:val="bottom"/>
            <w:gridSpan w:val="5"/>
          </w:tcPr>
          <w:p>
            <w:pPr>
              <w:ind w:left="2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1,442,067  .</w:t>
            </w:r>
          </w:p>
        </w:tc>
      </w:tr>
      <w:tr>
        <w:trPr>
          <w:trHeight w:val="20"/>
        </w:trPr>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þ.</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8,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2020-01-09T19:38:12Z</dcterms:created>
  <dcterms:modified xsi:type="dcterms:W3CDTF">2020-01-09T19:38:12Z</dcterms:modified>
</cp:coreProperties>
</file>