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u w:val="single" w:color="auto"/>
          <w:color w:val="auto"/>
        </w:rPr>
        <w:t>June 12, 2015</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000-54014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VistaGen Therapeutics,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small business issuer as specified in its charter)</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Nevada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20-5093315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343 Allerton Avenue, South San Francisco, California 94080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23" w:lineRule="exact"/>
        <w:rPr>
          <w:sz w:val="24"/>
          <w:szCs w:val="24"/>
          <w:color w:val="auto"/>
        </w:rPr>
      </w:pPr>
    </w:p>
    <w:p>
      <w:pPr>
        <w:ind w:left="5600" w:hanging="419"/>
        <w:spacing w:after="0"/>
        <w:tabs>
          <w:tab w:leader="none" w:pos="5600" w:val="left"/>
        </w:tabs>
        <w:numPr>
          <w:ilvl w:val="0"/>
          <w:numId w:val="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577-3600</w:t>
      </w:r>
    </w:p>
    <w:p>
      <w:pPr>
        <w:spacing w:after="0" w:line="26" w:lineRule="exact"/>
        <w:rPr>
          <w:rFonts w:ascii="Times New Roman" w:cs="Times New Roman" w:eastAsia="Times New Roman" w:hAnsi="Times New Roman"/>
          <w:sz w:val="17"/>
          <w:szCs w:val="17"/>
          <w:u w:val="single" w:color="auto"/>
          <w:color w:val="auto"/>
        </w:rPr>
      </w:pPr>
    </w:p>
    <w:p>
      <w:pPr>
        <w:ind w:left="4600"/>
        <w:spacing w:after="0"/>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(Registrant's Telephone number)</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0"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78" w:lineRule="exact"/>
        <w:rPr>
          <w:sz w:val="24"/>
          <w:szCs w:val="24"/>
          <w:color w:val="auto"/>
        </w:rPr>
      </w:pPr>
    </w:p>
    <w:p>
      <w:pPr>
        <w:ind w:left="140" w:hanging="138"/>
        <w:spacing w:after="0"/>
        <w:tabs>
          <w:tab w:leader="none" w:pos="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Written communications pursuant to Rule 425 under the Securities Act (17 CFR 230.425)</w:t>
      </w:r>
    </w:p>
    <w:p>
      <w:pPr>
        <w:spacing w:after="0" w:line="239"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Soliciting material pursuant to Rule 14a-12 under the Exchange Act (17 CFR 240.14a-12)</w:t>
      </w:r>
    </w:p>
    <w:p>
      <w:pPr>
        <w:spacing w:after="0" w:line="239"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Pre-commencement communications pursuant to Rule 14d-2(b) under the Exchange Act (17 CFR 240.14d-2(b))</w:t>
      </w:r>
    </w:p>
    <w:p>
      <w:pPr>
        <w:spacing w:after="0" w:line="239" w:lineRule="exact"/>
        <w:rPr>
          <w:rFonts w:ascii="Times New Roman" w:cs="Times New Roman" w:eastAsia="Times New Roman" w:hAnsi="Times New Roman"/>
          <w:sz w:val="17"/>
          <w:szCs w:val="17"/>
          <w:color w:val="auto"/>
        </w:rPr>
      </w:pPr>
    </w:p>
    <w:p>
      <w:pPr>
        <w:ind w:left="140" w:hanging="138"/>
        <w:spacing w:after="0"/>
        <w:tabs>
          <w:tab w:leader="none" w:pos="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25805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428625</wp:posOffset>
            </wp:positionV>
            <wp:extent cx="725805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40"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On June 12, 2015, VistaGen Therapeutics, Inc., a Nevada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certain of the Company’s note holders and strategic partners agreed to convert an aggregate total of approximately $5.3 million of the Company’s outstanding debt obligations into 750,918 shares of Series B 10% Convertible Preferred Stock (“</w:t>
      </w:r>
      <w:r>
        <w:rPr>
          <w:rFonts w:ascii="Times New Roman" w:cs="Times New Roman" w:eastAsia="Times New Roman" w:hAnsi="Times New Roman"/>
          <w:sz w:val="17"/>
          <w:szCs w:val="17"/>
          <w:i w:val="1"/>
          <w:iCs w:val="1"/>
          <w:color w:val="auto"/>
        </w:rPr>
        <w:t>Series B Preferred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i w:val="1"/>
          <w:iCs w:val="1"/>
          <w:color w:val="auto"/>
        </w:rPr>
        <w:t>Debt-to-Equity Conversions</w:t>
      </w:r>
      <w:r>
        <w:rPr>
          <w:rFonts w:ascii="Times New Roman" w:cs="Times New Roman" w:eastAsia="Times New Roman" w:hAnsi="Times New Roman"/>
          <w:sz w:val="17"/>
          <w:szCs w:val="17"/>
          <w:color w:val="auto"/>
        </w:rPr>
        <w:t>”). Including the conversion and cancellation of an aggregate of approximately $9.1 million of indebtedness disclosed by the Company in its Current Reports on Form 8-K filed on May 13, 2015 and May 22, 2015, the Company’s Debt-to-Equity Conversions since mid-May 2015 have resulted in the conversion and cancellation of an aggregate total of approximately $14.4 million of indebtedness. To effect the Debt-to-Equity Conversions, the Company and the parties involved in such transactions have entered into Securities Purchase Agreements, a form of which was attached to the Company’s Current Report on Form 8-K filed May 13, 2015 (the “</w:t>
      </w:r>
      <w:r>
        <w:rPr>
          <w:rFonts w:ascii="Times New Roman" w:cs="Times New Roman" w:eastAsia="Times New Roman" w:hAnsi="Times New Roman"/>
          <w:sz w:val="17"/>
          <w:szCs w:val="17"/>
          <w:i w:val="1"/>
          <w:iCs w:val="1"/>
          <w:color w:val="auto"/>
        </w:rPr>
        <w:t>Securities Purchase Agreement</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color w:val="auto"/>
        </w:rPr>
        <w:t>In connection with the foregoing Debt-to-Equity Conversions, effective as of June 12, 2015, the Company entered into a letter agreement with Morrison &amp; Foerster LLP (“</w:t>
      </w:r>
      <w:r>
        <w:rPr>
          <w:rFonts w:ascii="Times New Roman" w:cs="Times New Roman" w:eastAsia="Times New Roman" w:hAnsi="Times New Roman"/>
          <w:sz w:val="17"/>
          <w:szCs w:val="17"/>
          <w:i w:val="1"/>
          <w:iCs w:val="1"/>
          <w:color w:val="auto"/>
        </w:rPr>
        <w:t>MF</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i w:val="1"/>
          <w:iCs w:val="1"/>
          <w:color w:val="auto"/>
        </w:rPr>
        <w:t>Letter Agreement</w:t>
      </w:r>
      <w:r>
        <w:rPr>
          <w:rFonts w:ascii="Times New Roman" w:cs="Times New Roman" w:eastAsia="Times New Roman" w:hAnsi="Times New Roman"/>
          <w:sz w:val="17"/>
          <w:szCs w:val="17"/>
          <w:color w:val="auto"/>
        </w:rPr>
        <w:t>”) with regards to (i) certain promissory notes issued by the Company to MF, each due and payable on or before March 31, 2016, one in the principal amount of approximately $917,000 (“</w:t>
      </w:r>
      <w:r>
        <w:rPr>
          <w:rFonts w:ascii="Times New Roman" w:cs="Times New Roman" w:eastAsia="Times New Roman" w:hAnsi="Times New Roman"/>
          <w:sz w:val="17"/>
          <w:szCs w:val="17"/>
          <w:i w:val="1"/>
          <w:iCs w:val="1"/>
          <w:color w:val="auto"/>
        </w:rPr>
        <w:t>Note A</w:t>
      </w:r>
      <w:r>
        <w:rPr>
          <w:rFonts w:ascii="Times New Roman" w:cs="Times New Roman" w:eastAsia="Times New Roman" w:hAnsi="Times New Roman"/>
          <w:sz w:val="17"/>
          <w:szCs w:val="17"/>
          <w:color w:val="auto"/>
        </w:rPr>
        <w:t>”) and another in the principal amount of approximately $1.4 million (“</w:t>
      </w:r>
      <w:r>
        <w:rPr>
          <w:rFonts w:ascii="Times New Roman" w:cs="Times New Roman" w:eastAsia="Times New Roman" w:hAnsi="Times New Roman"/>
          <w:sz w:val="17"/>
          <w:szCs w:val="17"/>
          <w:i w:val="1"/>
          <w:iCs w:val="1"/>
          <w:color w:val="auto"/>
        </w:rPr>
        <w:t>Note B</w:t>
      </w:r>
      <w:r>
        <w:rPr>
          <w:rFonts w:ascii="Times New Roman" w:cs="Times New Roman" w:eastAsia="Times New Roman" w:hAnsi="Times New Roman"/>
          <w:sz w:val="17"/>
          <w:szCs w:val="17"/>
          <w:color w:val="auto"/>
        </w:rPr>
        <w:t>”), and (ii) certain warrants held by MF to purchase an aggregate of 110,448 shares of the Company’s common stock, par value $0.001 per share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at exercise prices of $20.00 per share $40.00 per share (the “</w:t>
      </w:r>
      <w:r>
        <w:rPr>
          <w:rFonts w:ascii="Times New Roman" w:cs="Times New Roman" w:eastAsia="Times New Roman" w:hAnsi="Times New Roman"/>
          <w:sz w:val="17"/>
          <w:szCs w:val="17"/>
          <w:i w:val="1"/>
          <w:iCs w:val="1"/>
          <w:color w:val="auto"/>
        </w:rPr>
        <w:t>MF Warrants</w:t>
      </w:r>
      <w:r>
        <w:rPr>
          <w:rFonts w:ascii="Times New Roman" w:cs="Times New Roman" w:eastAsia="Times New Roman" w:hAnsi="Times New Roman"/>
          <w:sz w:val="17"/>
          <w:szCs w:val="17"/>
          <w:color w:val="auto"/>
        </w:rPr>
        <w:t>”). Subject to certain conditions set forth in the Letter Agreement, each of which has now been satisfied by the Company, MF agreed to convert the principal amount and all accrued but unpaid interest of Note B into 257,143 shares of Series B Preferred and to withhold any and all action to collect amounts due under Note A, and certain amounts owed by the Company to MF in connection with services previously rendered by MF. Additionally, concurrently with the conversion of Note B into shares of Series B Preferred, the Company agreed to amend the MF Warrants to extend the expiration date of each warrant to September 15, 2019, and to set the exercise price of each MF Warrant to $20.00 per share.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3.02 Unregistered Sales of Equity Securities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See Item 1.01. The shares of Series B Preferred issued in connection with the Debt-to-Equity Conversions, and to be issued to MF pursuant to the Letter Agreement, were offered and sold in transactions exempt from registration under the Securities Act of 1933, as amended, in reliance on 3(a)(9) thereof and Rule 506 of Regulation D thereunder. Each recipient of shares of Series B Preferred represented that it is an "accredited investor" as defined in Regulation D, and not subject to the "Bad Actor" disqualifications described in Rule 506(d).</w:t>
      </w:r>
    </w:p>
    <w:p>
      <w:pPr>
        <w:spacing w:after="0" w:line="192"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color w:val="auto"/>
        </w:rPr>
        <w:t>Each share of the Company’s Series B Preferred is convertible, at the option of the holder thereof (“</w:t>
      </w:r>
      <w:r>
        <w:rPr>
          <w:rFonts w:ascii="Times New Roman" w:cs="Times New Roman" w:eastAsia="Times New Roman" w:hAnsi="Times New Roman"/>
          <w:sz w:val="17"/>
          <w:szCs w:val="17"/>
          <w:i w:val="1"/>
          <w:iCs w:val="1"/>
          <w:color w:val="auto"/>
        </w:rPr>
        <w:t>Voluntary Conversion</w:t>
      </w:r>
      <w:r>
        <w:rPr>
          <w:rFonts w:ascii="Times New Roman" w:cs="Times New Roman" w:eastAsia="Times New Roman" w:hAnsi="Times New Roman"/>
          <w:sz w:val="17"/>
          <w:szCs w:val="17"/>
          <w:color w:val="auto"/>
        </w:rPr>
        <w:t>”), into one (1) share of Common Stock at a fixed conversion price of $7.00 per share, subject to adjustment only for customary stock dividends, reclassifications, splits and similar transactions (“</w:t>
      </w:r>
      <w:r>
        <w:rPr>
          <w:rFonts w:ascii="Times New Roman" w:cs="Times New Roman" w:eastAsia="Times New Roman" w:hAnsi="Times New Roman"/>
          <w:sz w:val="17"/>
          <w:szCs w:val="17"/>
          <w:i w:val="1"/>
          <w:iCs w:val="1"/>
          <w:color w:val="auto"/>
        </w:rPr>
        <w:t>Fixed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Conversion Price</w:t>
      </w:r>
      <w:r>
        <w:rPr>
          <w:rFonts w:ascii="Times New Roman" w:cs="Times New Roman" w:eastAsia="Times New Roman" w:hAnsi="Times New Roman"/>
          <w:sz w:val="17"/>
          <w:szCs w:val="17"/>
          <w:color w:val="auto"/>
        </w:rPr>
        <w:t>”). All shares of Series B Preferred are also convertible automatically into Common Stock (“</w:t>
      </w:r>
      <w:r>
        <w:rPr>
          <w:rFonts w:ascii="Times New Roman" w:cs="Times New Roman" w:eastAsia="Times New Roman" w:hAnsi="Times New Roman"/>
          <w:sz w:val="17"/>
          <w:szCs w:val="17"/>
          <w:i w:val="1"/>
          <w:iCs w:val="1"/>
          <w:color w:val="auto"/>
        </w:rPr>
        <w:t>Automatic Conversion</w:t>
      </w:r>
      <w:r>
        <w:rPr>
          <w:rFonts w:ascii="Times New Roman" w:cs="Times New Roman" w:eastAsia="Times New Roman" w:hAnsi="Times New Roman"/>
          <w:sz w:val="17"/>
          <w:szCs w:val="17"/>
          <w:color w:val="auto"/>
        </w:rPr>
        <w:t>”) upon the closing or 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of any of the following transactions or events: (i) a strategic transaction involving AV-101, the Company’s orally-available new prodrug candidate in clinical development for Major Depressive Disorder and other diseases and disorders of the central nervous system,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(collectively, “</w:t>
      </w: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are subject to customary beneficial ownership blockers. Prior to Conversion, shares of Series B Preferred will accrue dividends, payable only in unregistered shares of Common Stock, at a rate of 10% per annum (the “</w:t>
      </w:r>
      <w:r>
        <w:rPr>
          <w:rFonts w:ascii="Times New Roman" w:cs="Times New Roman" w:eastAsia="Times New Roman" w:hAnsi="Times New Roman"/>
          <w:sz w:val="17"/>
          <w:szCs w:val="17"/>
          <w:i w:val="1"/>
          <w:iCs w:val="1"/>
          <w:color w:val="auto"/>
        </w:rPr>
        <w:t>Accrued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Dividend</w:t>
      </w:r>
      <w:r>
        <w:rPr>
          <w:rFonts w:ascii="Times New Roman" w:cs="Times New Roman" w:eastAsia="Times New Roman" w:hAnsi="Times New Roman"/>
          <w:sz w:val="17"/>
          <w:szCs w:val="17"/>
          <w:color w:val="auto"/>
        </w:rPr>
        <w:t>”). The Accrued Dividend will be payable only on the date of Conversion solely in that number of shares of Common Stock equal to the Accrued Dividend,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divided by the Fixed Conversion Price.</w:t>
      </w:r>
    </w:p>
    <w:p>
      <w:pPr>
        <w:spacing w:after="0" w:line="20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44" w:lineRule="exact"/>
        <w:rPr>
          <w:sz w:val="20"/>
          <w:szCs w:val="20"/>
          <w:color w:val="auto"/>
        </w:rPr>
      </w:pPr>
    </w:p>
    <w:p>
      <w:pPr>
        <w:jc w:val="both"/>
        <w:ind w:firstLine="857"/>
        <w:spacing w:after="0" w:line="284" w:lineRule="auto"/>
        <w:rPr>
          <w:sz w:val="20"/>
          <w:szCs w:val="20"/>
          <w:color w:val="auto"/>
        </w:rPr>
      </w:pPr>
      <w:r>
        <w:rPr>
          <w:rFonts w:ascii="Times New Roman" w:cs="Times New Roman" w:eastAsia="Times New Roman" w:hAnsi="Times New Roman"/>
          <w:sz w:val="17"/>
          <w:szCs w:val="17"/>
          <w:color w:val="auto"/>
        </w:rPr>
        <w:t>On or after June 16, 2015, the Company plans to meet with certain analysts, investors and other stakeholders, and will provide them with, among other information, certain information regarding AV-101. A copy of the Company’s presentation materials is attached hereto as Exhibit 99.1.</w:t>
      </w:r>
    </w:p>
    <w:p>
      <w:pPr>
        <w:spacing w:after="0" w:line="178" w:lineRule="exact"/>
        <w:rPr>
          <w:sz w:val="20"/>
          <w:szCs w:val="20"/>
          <w:color w:val="auto"/>
        </w:rPr>
      </w:pPr>
    </w:p>
    <w:p>
      <w:pPr>
        <w:jc w:val="both"/>
        <w:ind w:firstLine="755"/>
        <w:spacing w:after="0" w:line="262" w:lineRule="auto"/>
        <w:rPr>
          <w:sz w:val="20"/>
          <w:szCs w:val="20"/>
          <w:color w:val="auto"/>
        </w:rPr>
      </w:pPr>
      <w:r>
        <w:rPr>
          <w:rFonts w:ascii="Times New Roman" w:cs="Times New Roman" w:eastAsia="Times New Roman" w:hAnsi="Times New Roman"/>
          <w:sz w:val="17"/>
          <w:szCs w:val="17"/>
          <w:color w:val="auto"/>
        </w:rPr>
        <w:t>The information included under Item 7.01 of this Current Report on Form 8-K (including Exhibit 99.1 hereto) is being furnished and shall not be deemed filed for the purposes of Section 18 of the Securities Exchange Act of 1934, as amended, is not subject to the liabilities of that section and is not deemed incorporated by reference in any filing under the Securities Act of 1933, as amended, or the Securities Exchange Act of 1934, as amended, except as shall be expressly set forth by specific reference in such a filing.</w:t>
      </w:r>
    </w:p>
    <w:p>
      <w:pPr>
        <w:spacing w:after="0" w:line="19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See Exhibit Index.</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Disclaimer</w:t>
      </w:r>
    </w:p>
    <w:p>
      <w:pPr>
        <w:spacing w:after="0" w:line="244"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foregoing description of the Series B Preferred and the Securities Purchase Agreement do not purport to be complete, and are qualified in their entirety by reference to the full text of the Certificate of Designation of the Relative Rights and Preferences of the Series B 10% Preferred Stock of VistaGen Therapeutics, Inc. and Securities Purchase Agreement, substantially in the form attached as Exhibit 3.1 and Exhibit 10.3, respectively, to the Company’s Current Report on Form 8-K filed with the Securities and Exchange Commission on May 13, 2015, each of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37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b w:val="1"/>
          <w:bCs w:val="1"/>
          <w:color w:val="auto"/>
        </w:rPr>
        <w:t>VistaGen Therapeutics, Inc.</w:t>
      </w:r>
    </w:p>
    <w:p>
      <w:pPr>
        <w:spacing w:after="0" w:line="218" w:lineRule="exact"/>
        <w:rPr>
          <w:sz w:val="20"/>
          <w:szCs w:val="20"/>
          <w:color w:val="auto"/>
        </w:rPr>
      </w:pPr>
    </w:p>
    <w:p>
      <w:pPr>
        <w:spacing w:after="0"/>
        <w:tabs>
          <w:tab w:leader="none" w:pos="5680" w:val="left"/>
          <w:tab w:leader="none" w:pos="6140" w:val="left"/>
        </w:tabs>
        <w:rPr>
          <w:sz w:val="20"/>
          <w:szCs w:val="20"/>
          <w:color w:val="auto"/>
        </w:rPr>
      </w:pPr>
      <w:r>
        <w:rPr>
          <w:rFonts w:ascii="Times New Roman" w:cs="Times New Roman" w:eastAsia="Times New Roman" w:hAnsi="Times New Roman"/>
          <w:sz w:val="17"/>
          <w:szCs w:val="17"/>
          <w:color w:val="auto"/>
        </w:rPr>
        <w:t>Date: June 16, 2015</w:t>
      </w:r>
      <w:r>
        <w:rPr>
          <w:sz w:val="20"/>
          <w:szCs w:val="20"/>
          <w:color w:val="auto"/>
        </w:rPr>
        <w:tab/>
      </w:r>
      <w:r>
        <w:rPr>
          <w:rFonts w:ascii="Times New Roman" w:cs="Times New Roman" w:eastAsia="Times New Roman" w:hAnsi="Times New Roman"/>
          <w:sz w:val="17"/>
          <w:szCs w:val="17"/>
          <w:color w:val="auto"/>
        </w:rPr>
        <w:t>By:</w:t>
        <w:tab/>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16510</wp:posOffset>
            </wp:positionV>
            <wp:extent cx="33667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6770" cy="16510"/>
                    </a:xfrm>
                    <a:prstGeom prst="rect">
                      <a:avLst/>
                    </a:prstGeom>
                    <a:noFill/>
                  </pic:spPr>
                </pic:pic>
              </a:graphicData>
            </a:graphic>
          </wp:anchor>
        </w:drawing>
      </w:r>
    </w:p>
    <w:p>
      <w:pPr>
        <w:spacing w:after="0" w:line="1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Shawn K. Singh</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669925</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260"/>
          </w:cols>
          <w:pgMar w:left="240" w:top="695"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6"/>
        </w:trPr>
        <w:tc>
          <w:tcPr>
            <w:tcW w:w="1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160" w:type="dxa"/>
            <w:vAlign w:val="bottom"/>
          </w:tcPr>
          <w:p>
            <w:pPr>
              <w:spacing w:after="0"/>
              <w:rPr>
                <w:sz w:val="19"/>
                <w:szCs w:val="19"/>
                <w:color w:val="auto"/>
              </w:rPr>
            </w:pPr>
          </w:p>
        </w:tc>
        <w:tc>
          <w:tcPr>
            <w:tcW w:w="9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1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Number</w:t>
            </w:r>
          </w:p>
        </w:tc>
        <w:tc>
          <w:tcPr>
            <w:tcW w:w="99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99.1</w:t>
            </w:r>
          </w:p>
        </w:tc>
        <w:tc>
          <w:tcPr>
            <w:tcW w:w="200" w:type="dxa"/>
            <w:vAlign w:val="bottom"/>
            <w:shd w:val="clear" w:color="auto" w:fill="CCEEFF"/>
          </w:tcPr>
          <w:p>
            <w:pPr>
              <w:spacing w:after="0"/>
              <w:rPr>
                <w:sz w:val="17"/>
                <w:szCs w:val="17"/>
                <w:color w:val="auto"/>
              </w:rPr>
            </w:pPr>
          </w:p>
        </w:tc>
        <w:tc>
          <w:tcPr>
            <w:tcW w:w="9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Investor Presentation of VistaGen Therapeutics,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4" w:name="page5"/>
    <w:bookmarkEnd w:id="4"/>
    <w:p>
      <w:pPr>
        <w:ind w:left="916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165735</wp:posOffset>
            </wp:positionV>
            <wp:extent cx="7315835" cy="6434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6434455"/>
                    </a:xfrm>
                    <a:prstGeom prst="rect">
                      <a:avLst/>
                    </a:prstGeom>
                    <a:noFill/>
                  </pic:spPr>
                </pic:pic>
              </a:graphicData>
            </a:graphic>
          </wp:anchor>
        </w:drawing>
      </w:r>
    </w:p>
    <w:p>
      <w:pPr>
        <w:sectPr>
          <w:pgSz w:w="11900" w:h="16838" w:orient="portrait"/>
          <w:cols w:equalWidth="0" w:num="1">
            <w:col w:w="10220"/>
          </w:cols>
          <w:pgMar w:left="1440" w:top="110"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178435</wp:posOffset>
            </wp:positionV>
            <wp:extent cx="7315835" cy="5897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5835" cy="5897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178435</wp:posOffset>
            </wp:positionV>
            <wp:extent cx="7313930" cy="6025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13930" cy="60255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2020-01-23T20:32:14Z</dcterms:created>
  <dcterms:modified xsi:type="dcterms:W3CDTF">2020-01-23T20:32:14Z</dcterms:modified>
</cp:coreProperties>
</file>