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300" w:hanging="995"/>
        <w:spacing w:after="0"/>
        <w:tabs>
          <w:tab w:leader="none" w:pos="13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1300" w:hanging="959"/>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24" w:lineRule="exact"/>
        <w:rPr>
          <w:sz w:val="24"/>
          <w:szCs w:val="24"/>
          <w:color w:val="auto"/>
        </w:rPr>
      </w:pPr>
    </w:p>
    <w:tbl>
      <w:tblPr>
        <w:tblLayout w:type="fixed"/>
        <w:tblInd w:w="152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200" w:type="dxa"/>
            <w:vAlign w:val="bottom"/>
          </w:tcPr>
          <w:p>
            <w:pPr>
              <w:jc w:val="right"/>
              <w:ind w:right="1030"/>
              <w:spacing w:after="0"/>
              <w:rPr>
                <w:sz w:val="20"/>
                <w:szCs w:val="20"/>
                <w:color w:val="auto"/>
              </w:rPr>
            </w:pPr>
            <w:r>
              <w:rPr>
                <w:rFonts w:ascii="Arial" w:cs="Arial" w:eastAsia="Arial" w:hAnsi="Arial"/>
                <w:sz w:val="18"/>
                <w:szCs w:val="18"/>
                <w:b w:val="1"/>
                <w:bCs w:val="1"/>
                <w:color w:val="auto"/>
              </w:rPr>
              <w:t>.</w:t>
            </w:r>
          </w:p>
        </w:tc>
      </w:tr>
      <w:tr>
        <w:trPr>
          <w:trHeight w:val="453"/>
        </w:trPr>
        <w:tc>
          <w:tcPr>
            <w:tcW w:w="2380" w:type="dxa"/>
            <w:vAlign w:val="bottom"/>
          </w:tcPr>
          <w:p>
            <w:pPr>
              <w:spacing w:after="0"/>
              <w:rPr>
                <w:sz w:val="24"/>
                <w:szCs w:val="24"/>
                <w:color w:val="auto"/>
              </w:rPr>
            </w:pPr>
          </w:p>
        </w:tc>
        <w:tc>
          <w:tcPr>
            <w:tcW w:w="3240" w:type="dxa"/>
            <w:vAlign w:val="bottom"/>
            <w:gridSpan w:val="4"/>
          </w:tcPr>
          <w:p>
            <w:pPr>
              <w:jc w:val="right"/>
              <w:spacing w:after="0"/>
              <w:rPr>
                <w:sz w:val="20"/>
                <w:szCs w:val="20"/>
                <w:color w:val="auto"/>
              </w:rPr>
            </w:pPr>
            <w:r>
              <w:rPr>
                <w:rFonts w:ascii="Arial" w:cs="Arial" w:eastAsia="Arial" w:hAnsi="Arial"/>
                <w:sz w:val="18"/>
                <w:szCs w:val="18"/>
                <w:b w:val="1"/>
                <w:bCs w:val="1"/>
                <w:color w:val="auto"/>
              </w:rPr>
              <w:t>Commission File Number: 000-54014</w:t>
            </w:r>
          </w:p>
        </w:tc>
      </w:tr>
    </w:tbl>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301" w:right="239" w:bottom="1440" w:gutter="0" w:footer="0" w:header="0"/>
        </w:sectPr>
      </w:pPr>
    </w:p>
    <w:p>
      <w:pPr>
        <w:spacing w:after="0" w:line="20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158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4"/>
          <w:szCs w:val="24"/>
          <w:color w:val="auto"/>
        </w:rPr>
      </w:pPr>
    </w:p>
    <w:p>
      <w:pPr>
        <w:ind w:left="152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7"/>
          <w:szCs w:val="17"/>
          <w:i w:val="1"/>
          <w:iCs w:val="1"/>
          <w:color w:val="auto"/>
        </w:rPr>
        <w:t>(I.R.S. Employer</w:t>
      </w:r>
    </w:p>
    <w:p>
      <w:pPr>
        <w:spacing w:after="0" w:line="21" w:lineRule="exact"/>
        <w:rPr>
          <w:sz w:val="24"/>
          <w:szCs w:val="24"/>
          <w:color w:val="auto"/>
        </w:rPr>
      </w:pPr>
    </w:p>
    <w:p>
      <w:pPr>
        <w:jc w:val="center"/>
        <w:ind w:right="1980"/>
        <w:spacing w:after="0"/>
        <w:rPr>
          <w:sz w:val="20"/>
          <w:szCs w:val="20"/>
          <w:color w:val="auto"/>
        </w:rPr>
      </w:pPr>
      <w:r>
        <w:rPr>
          <w:rFonts w:ascii="Arial" w:cs="Arial" w:eastAsia="Arial" w:hAnsi="Arial"/>
          <w:sz w:val="16"/>
          <w:szCs w:val="16"/>
          <w:i w:val="1"/>
          <w:iCs w:val="1"/>
          <w:color w:val="auto"/>
        </w:rPr>
        <w:t>Identification No.)</w:t>
      </w:r>
    </w:p>
    <w:p>
      <w:pPr>
        <w:spacing w:after="0" w:line="211" w:lineRule="exact"/>
        <w:rPr>
          <w:sz w:val="24"/>
          <w:szCs w:val="24"/>
          <w:color w:val="auto"/>
        </w:rPr>
      </w:pPr>
    </w:p>
    <w:p>
      <w:pPr>
        <w:sectPr>
          <w:pgSz w:w="11900" w:h="16838" w:orient="portrait"/>
          <w:cols w:equalWidth="0" w:num="2">
            <w:col w:w="7400" w:space="720"/>
            <w:col w:w="3300"/>
          </w:cols>
          <w:pgMar w:left="240" w:top="301" w:right="239" w:bottom="144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Avenue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01" w:right="23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4"/>
          <w:szCs w:val="24"/>
          <w:color w:val="auto"/>
        </w:rPr>
      </w:pPr>
    </w:p>
    <w:p>
      <w:pPr>
        <w:sectPr>
          <w:pgSz w:w="11900" w:h="16838" w:orient="portrait"/>
          <w:cols w:equalWidth="0" w:num="4">
            <w:col w:w="2620" w:space="720"/>
            <w:col w:w="2900" w:space="720"/>
            <w:col w:w="2680" w:space="720"/>
            <w:col w:w="1060"/>
          </w:cols>
          <w:pgMar w:left="240" w:top="301"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301" w:right="239" w:bottom="1440" w:gutter="0" w:footer="0" w:header="0"/>
          <w:type w:val="continuous"/>
        </w:sectPr>
      </w:pP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13, 2015, 1,748,399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490220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756285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0" w:type="dxa"/>
            <w:vAlign w:val="bottom"/>
            <w:gridSpan w:val="7"/>
          </w:tcPr>
          <w:p>
            <w:pPr>
              <w:jc w:val="center"/>
              <w:ind w:right="3540"/>
              <w:spacing w:after="0"/>
              <w:rPr>
                <w:sz w:val="20"/>
                <w:szCs w:val="20"/>
                <w:color w:val="auto"/>
              </w:rPr>
            </w:pPr>
            <w:r>
              <w:rPr>
                <w:rFonts w:ascii="Arial" w:cs="Arial" w:eastAsia="Arial" w:hAnsi="Arial"/>
                <w:sz w:val="18"/>
                <w:szCs w:val="18"/>
                <w:b w:val="1"/>
                <w:bCs w:val="1"/>
                <w:color w:val="auto"/>
              </w:rPr>
              <w:t>PART I. FINANCIAL INFORMATION</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40" w:type="dxa"/>
            <w:vAlign w:val="bottom"/>
            <w:tcBorders>
              <w:left w:val="single" w:sz="8" w:color="CCEEFF"/>
              <w:right w:val="single" w:sz="8" w:color="CCEEFF"/>
            </w:tcBorders>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 (Unaudited)</w:t>
              </w:r>
            </w:hyperlink>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60" w:type="dxa"/>
            <w:vAlign w:val="bottom"/>
            <w:gridSpan w:val="15"/>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September 30, 2015 and March 31, 2015</w:t>
              </w:r>
            </w:hyperlink>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left w:val="single" w:sz="8" w:color="CCEEFF"/>
            </w:tcBorders>
            <w:shd w:val="clear" w:color="auto" w:fill="CCEEFF"/>
          </w:tcPr>
          <w:p>
            <w:pPr>
              <w:spacing w:after="0"/>
              <w:rPr>
                <w:sz w:val="15"/>
                <w:szCs w:val="15"/>
                <w:color w:val="auto"/>
              </w:rPr>
            </w:pPr>
          </w:p>
        </w:tc>
        <w:tc>
          <w:tcPr>
            <w:tcW w:w="9860" w:type="dxa"/>
            <w:vAlign w:val="bottom"/>
            <w:tcBorders>
              <w:right w:val="single" w:sz="8" w:color="CCEEFF"/>
            </w:tcBorders>
            <w:gridSpan w:val="15"/>
            <w:shd w:val="clear" w:color="auto" w:fill="CCEEFF"/>
          </w:tcPr>
          <w:p>
            <w:pPr>
              <w:spacing w:after="0" w:line="17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and Comprehensive Loss for the three and six months ended September 30, 2015 and</w:t>
              </w:r>
            </w:hyperlink>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120" w:type="dxa"/>
            <w:vAlign w:val="bottom"/>
            <w:tcBorders>
              <w:right w:val="single" w:sz="8" w:color="CCEEFF"/>
            </w:tcBorders>
            <w:shd w:val="clear" w:color="auto" w:fill="0000EE"/>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Borders>
              <w:left w:val="single" w:sz="8" w:color="CCEEFF"/>
            </w:tcBorders>
            <w:gridSpan w:val="3"/>
            <w:shd w:val="clear" w:color="auto" w:fill="CCEEFF"/>
          </w:tcPr>
          <w:p>
            <w:pPr>
              <w:ind w:left="480"/>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2014</w:t>
              </w:r>
            </w:hyperlink>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120" w:type="dxa"/>
            <w:vAlign w:val="bottom"/>
            <w:tcBorders>
              <w:right w:val="single" w:sz="8" w:color="CCEEFF"/>
            </w:tcBorders>
            <w:shd w:val="clear" w:color="auto" w:fill="CCEEFF"/>
          </w:tcPr>
          <w:p>
            <w:pPr>
              <w:spacing w:after="0"/>
              <w:rPr>
                <w:sz w:val="17"/>
                <w:szCs w:val="17"/>
                <w:color w:val="auto"/>
              </w:rPr>
            </w:pPr>
          </w:p>
        </w:tc>
        <w:tc>
          <w:tcPr>
            <w:tcW w:w="10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60" w:type="dxa"/>
            <w:vAlign w:val="bottom"/>
            <w:gridSpan w:val="15"/>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September 30, 2015 and 2014</w:t>
              </w:r>
            </w:hyperlink>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Borders>
              <w:left w:val="single" w:sz="8" w:color="CCEEFF"/>
              <w:bottom w:val="single" w:sz="8" w:color="CCEEFF"/>
            </w:tcBorders>
            <w:shd w:val="clear" w:color="auto" w:fill="CCEEFF"/>
          </w:tcPr>
          <w:p>
            <w:pPr>
              <w:spacing w:after="0"/>
              <w:rPr>
                <w:sz w:val="17"/>
                <w:szCs w:val="17"/>
                <w:color w:val="auto"/>
              </w:rPr>
            </w:pPr>
          </w:p>
        </w:tc>
        <w:tc>
          <w:tcPr>
            <w:tcW w:w="42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the Condensed Consolidated Financial Statements</w:t>
              </w:r>
            </w:hyperlink>
          </w:p>
        </w:tc>
        <w:tc>
          <w:tcPr>
            <w:tcW w:w="5600" w:type="dxa"/>
            <w:vAlign w:val="bottom"/>
            <w:tcBorders>
              <w:bottom w:val="single" w:sz="8" w:color="CCEEFF"/>
              <w:right w:val="single" w:sz="8" w:color="CCEEFF"/>
            </w:tcBorders>
            <w:gridSpan w:val="6"/>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40" w:type="dxa"/>
            <w:vAlign w:val="bottom"/>
            <w:gridSpan w:val="16"/>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2. Management’s Discussion and Analysis of Financial Condition and Results of Operations</w:t>
              </w:r>
            </w:hyperlink>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40" w:type="dxa"/>
            <w:vAlign w:val="bottom"/>
            <w:tcBorders>
              <w:left w:val="single" w:sz="8" w:color="CCEEFF"/>
              <w:right w:val="single" w:sz="8" w:color="CCEEFF"/>
            </w:tcBorders>
            <w:gridSpan w:val="16"/>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4. Controls and Procedures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6800" w:type="dxa"/>
            <w:vAlign w:val="bottom"/>
            <w:tcBorders>
              <w:top w:val="single" w:sz="8" w:color="CCEEFF"/>
            </w:tcBorders>
            <w:gridSpan w:val="7"/>
          </w:tcPr>
          <w:p>
            <w:pPr>
              <w:jc w:val="center"/>
              <w:ind w:right="3540"/>
              <w:spacing w:after="0"/>
              <w:rPr>
                <w:sz w:val="20"/>
                <w:szCs w:val="20"/>
                <w:color w:val="auto"/>
              </w:rPr>
            </w:pPr>
            <w:r>
              <w:rPr>
                <w:rFonts w:ascii="Arial" w:cs="Arial" w:eastAsia="Arial" w:hAnsi="Arial"/>
                <w:sz w:val="18"/>
                <w:szCs w:val="18"/>
                <w:b w:val="1"/>
                <w:bCs w:val="1"/>
                <w:color w:val="auto"/>
              </w:rPr>
              <w:t>PART II. OTHER INFORMATION</w:t>
            </w:r>
          </w:p>
        </w:tc>
        <w:tc>
          <w:tcPr>
            <w:tcW w:w="10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tcBorders>
              <w:left w:val="single" w:sz="8" w:color="CCEEFF"/>
            </w:tcBorders>
            <w:gridSpan w:val="2"/>
            <w:shd w:val="clear" w:color="auto" w:fill="CCEEFF"/>
          </w:tcPr>
          <w:p>
            <w:pPr>
              <w:spacing w:after="0" w:line="17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Item 1.</w:t>
              </w:r>
            </w:hyperlink>
          </w:p>
        </w:tc>
        <w:tc>
          <w:tcPr>
            <w:tcW w:w="9800" w:type="dxa"/>
            <w:vAlign w:val="bottom"/>
            <w:tcBorders>
              <w:right w:val="single" w:sz="8" w:color="CCEEFF"/>
            </w:tcBorders>
            <w:gridSpan w:val="14"/>
            <w:shd w:val="clear" w:color="auto" w:fill="CCEEFF"/>
          </w:tcPr>
          <w:p>
            <w:pPr>
              <w:ind w:left="4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2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1A. Risk Factors</w:t>
              </w:r>
            </w:hyperlink>
          </w:p>
        </w:tc>
        <w:tc>
          <w:tcPr>
            <w:tcW w:w="8420" w:type="dxa"/>
            <w:vAlign w:val="bottom"/>
            <w:tcBorders>
              <w:top w:val="single" w:sz="8" w:color="CCEEFF"/>
            </w:tcBorders>
            <w:gridSpan w:val="9"/>
          </w:tcPr>
          <w:p>
            <w:pPr>
              <w:spacing w:after="0"/>
              <w:rPr>
                <w:sz w:val="15"/>
                <w:szCs w:val="15"/>
                <w:color w:val="auto"/>
              </w:rPr>
            </w:pPr>
          </w:p>
        </w:tc>
        <w:tc>
          <w:tcPr>
            <w:tcW w:w="10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tcBorders>
              <w:left w:val="single" w:sz="8" w:color="CCEEFF"/>
              <w:bottom w:val="single" w:sz="8" w:color="0000EE"/>
            </w:tcBorders>
            <w:gridSpan w:val="2"/>
            <w:shd w:val="clear" w:color="auto" w:fill="CCEEFF"/>
          </w:tcPr>
          <w:p>
            <w:pPr>
              <w:spacing w:after="0" w:line="176" w:lineRule="exact"/>
              <w:rPr>
                <w:rFonts w:ascii="Arial" w:cs="Arial" w:eastAsia="Arial" w:hAnsi="Arial"/>
                <w:sz w:val="18"/>
                <w:szCs w:val="18"/>
                <w:color w:val="0000EE"/>
                <w:w w:val="94"/>
              </w:rPr>
            </w:pPr>
            <w:hyperlink w:anchor="page73">
              <w:r>
                <w:rPr>
                  <w:rFonts w:ascii="Arial" w:cs="Arial" w:eastAsia="Arial" w:hAnsi="Arial"/>
                  <w:sz w:val="18"/>
                  <w:szCs w:val="18"/>
                  <w:color w:val="0000EE"/>
                  <w:w w:val="94"/>
                </w:rPr>
                <w:t>Item 2.</w:t>
              </w:r>
            </w:hyperlink>
          </w:p>
        </w:tc>
        <w:tc>
          <w:tcPr>
            <w:tcW w:w="4400" w:type="dxa"/>
            <w:vAlign w:val="bottom"/>
            <w:tcBorders>
              <w:bottom w:val="single" w:sz="8" w:color="0000EE"/>
            </w:tcBorders>
            <w:gridSpan w:val="10"/>
            <w:shd w:val="clear" w:color="auto" w:fill="CCEEFF"/>
          </w:tcPr>
          <w:p>
            <w:pPr>
              <w:ind w:left="40"/>
              <w:spacing w:after="0" w:line="17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Unregistered Sales of Equity Securities and Use of Proceeds</w:t>
              </w:r>
            </w:hyperlink>
          </w:p>
        </w:tc>
        <w:tc>
          <w:tcPr>
            <w:tcW w:w="5400" w:type="dxa"/>
            <w:vAlign w:val="bottom"/>
            <w:tcBorders>
              <w:bottom w:val="single" w:sz="8" w:color="CCEEFF"/>
              <w:right w:val="single" w:sz="8" w:color="CCEEFF"/>
            </w:tcBorders>
            <w:gridSpan w:val="4"/>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gridSpan w:val="2"/>
          </w:tcPr>
          <w:p>
            <w:pPr>
              <w:spacing w:after="0" w:line="176" w:lineRule="exact"/>
              <w:rPr>
                <w:rFonts w:ascii="Arial" w:cs="Arial" w:eastAsia="Arial" w:hAnsi="Arial"/>
                <w:sz w:val="18"/>
                <w:szCs w:val="18"/>
                <w:color w:val="0000EE"/>
                <w:w w:val="94"/>
              </w:rPr>
            </w:pPr>
            <w:hyperlink w:anchor="page73">
              <w:r>
                <w:rPr>
                  <w:rFonts w:ascii="Arial" w:cs="Arial" w:eastAsia="Arial" w:hAnsi="Arial"/>
                  <w:sz w:val="18"/>
                  <w:szCs w:val="18"/>
                  <w:color w:val="0000EE"/>
                  <w:w w:val="94"/>
                </w:rPr>
                <w:t>Item 3.</w:t>
              </w:r>
            </w:hyperlink>
          </w:p>
        </w:tc>
        <w:tc>
          <w:tcPr>
            <w:tcW w:w="9800" w:type="dxa"/>
            <w:vAlign w:val="bottom"/>
            <w:gridSpan w:val="14"/>
          </w:tcPr>
          <w:p>
            <w:pPr>
              <w:ind w:left="4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Defaults Upon Senior Secured Securities</w:t>
              </w:r>
            </w:hyperlink>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tcBorders>
              <w:left w:val="single" w:sz="8" w:color="CCEEFF"/>
            </w:tcBorders>
            <w:gridSpan w:val="2"/>
            <w:shd w:val="clear" w:color="auto" w:fill="CCEEFF"/>
          </w:tcPr>
          <w:p>
            <w:pPr>
              <w:spacing w:after="0" w:line="176" w:lineRule="exact"/>
              <w:rPr>
                <w:rFonts w:ascii="Arial" w:cs="Arial" w:eastAsia="Arial" w:hAnsi="Arial"/>
                <w:sz w:val="18"/>
                <w:szCs w:val="18"/>
                <w:color w:val="0000EE"/>
                <w:w w:val="94"/>
              </w:rPr>
            </w:pPr>
            <w:hyperlink w:anchor="page74">
              <w:r>
                <w:rPr>
                  <w:rFonts w:ascii="Arial" w:cs="Arial" w:eastAsia="Arial" w:hAnsi="Arial"/>
                  <w:sz w:val="18"/>
                  <w:szCs w:val="18"/>
                  <w:color w:val="0000EE"/>
                  <w:w w:val="94"/>
                </w:rPr>
                <w:t>Item 6.</w:t>
              </w:r>
            </w:hyperlink>
          </w:p>
        </w:tc>
        <w:tc>
          <w:tcPr>
            <w:tcW w:w="9800" w:type="dxa"/>
            <w:vAlign w:val="bottom"/>
            <w:tcBorders>
              <w:right w:val="single" w:sz="8" w:color="CCEEFF"/>
            </w:tcBorders>
            <w:gridSpan w:val="14"/>
            <w:shd w:val="clear" w:color="auto" w:fill="CCEEFF"/>
          </w:tcPr>
          <w:p>
            <w:pPr>
              <w:ind w:left="4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Exhibits</w:t>
              </w:r>
            </w:hyperlink>
          </w:p>
        </w:tc>
        <w:tc>
          <w:tcPr>
            <w:tcW w:w="10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40" w:type="dxa"/>
            <w:vAlign w:val="bottom"/>
            <w:tcBorders>
              <w:left w:val="single" w:sz="8" w:color="CCEEFF"/>
              <w:right w:val="single" w:sz="8" w:color="CCEEFF"/>
            </w:tcBorders>
            <w:gridSpan w:val="16"/>
            <w:shd w:val="clear" w:color="auto" w:fill="CCEEFF"/>
          </w:tcPr>
          <w:p>
            <w:pPr>
              <w:ind w:left="4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SIGNATURES</w:t>
              </w:r>
            </w:hyperlink>
          </w:p>
        </w:tc>
        <w:tc>
          <w:tcPr>
            <w:tcW w:w="1060" w:type="dxa"/>
            <w:vAlign w:val="bottom"/>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8820" w:type="dxa"/>
            <w:vAlign w:val="bottom"/>
            <w:gridSpan w:val="3"/>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80" w:type="dxa"/>
            <w:vAlign w:val="bottom"/>
          </w:tcPr>
          <w:p>
            <w:pPr>
              <w:jc w:val="center"/>
              <w:ind w:left="1370"/>
              <w:spacing w:after="0"/>
              <w:rPr>
                <w:sz w:val="20"/>
                <w:szCs w:val="20"/>
                <w:color w:val="auto"/>
              </w:rPr>
            </w:pPr>
            <w:r>
              <w:rPr>
                <w:rFonts w:ascii="Arial" w:cs="Arial" w:eastAsia="Arial" w:hAnsi="Arial"/>
                <w:sz w:val="18"/>
                <w:szCs w:val="18"/>
                <w:b w:val="1"/>
                <w:bCs w:val="1"/>
                <w:color w:val="auto"/>
              </w:rPr>
              <w:t>VISTAGEN THERAPEUTICS,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80" w:type="dxa"/>
            <w:vAlign w:val="bottom"/>
          </w:tcPr>
          <w:p>
            <w:pPr>
              <w:jc w:val="center"/>
              <w:ind w:left="13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8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(Amounts in Dollars, except share amounts)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80" w:type="dxa"/>
            <w:vAlign w:val="bottom"/>
            <w:vMerge w:val="restart"/>
          </w:tcPr>
          <w:p>
            <w:pPr>
              <w:jc w:val="center"/>
              <w:ind w:right="1130"/>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(Note 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694,000</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1,103,400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1,797,400</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88,200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Security deposits and other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1,932,500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269,700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80" w:type="dxa"/>
            <w:vAlign w:val="bottom"/>
          </w:tcPr>
          <w:p>
            <w:pPr>
              <w:jc w:val="center"/>
              <w:ind w:right="1130"/>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1,110,300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2,251,100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1,130,900</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Current maturities of senior secured convertible promissory notes and accrued interest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4,146,100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Current portion of notes payable, net of discount of $0 at September 30, 2015 and $474,500 at March 31, 2015,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106,400</w:t>
            </w:r>
          </w:p>
        </w:tc>
        <w:tc>
          <w:tcPr>
            <w:tcW w:w="14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4,117,000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2"/>
              </w:rPr>
              <w:t>Current portion of notes payable to related parties, net of discount of $0 at September 30, 2015 and $54,500 at March</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31, 2015, and accrued interest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1,508,800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Convertible promissory notes and accrued interest, net of discount of $0 at September 30, 2015 and $180,000 at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March 31, 2015, respectively</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4,157,600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2,348,700</w:t>
            </w:r>
          </w:p>
        </w:tc>
        <w:tc>
          <w:tcPr>
            <w:tcW w:w="1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17,388,100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7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Senior secured convertible promissory notes and accrued interest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3,008,500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dividends on Series B Preferred Stock</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805,300</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Deferred rent liability</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71,400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gridSpan w:val="2"/>
          </w:tcPr>
          <w:p>
            <w:pPr>
              <w:ind w:left="48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908,700</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3,424,400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3,257,400</w:t>
            </w:r>
          </w:p>
        </w:tc>
        <w:tc>
          <w:tcPr>
            <w:tcW w:w="1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7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w w:val="98"/>
              </w:rPr>
              <w:t>Preferred stock, $0.001 par value; 10,000,000 shares authorized at September 30, 2015 and March 31, 2015: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8"/>
              </w:rPr>
              <w:t>Series A Preferred, 500,000 shares authorized and outstanding at September 30, 2015 and March 31, 2015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7"/>
              </w:rPr>
              <w:t>Series B Preferred, 4,000,000 shares and no shares authorized at September 30, 2015 and March 31, 2015,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w w:val="91"/>
              </w:rPr>
              <w:t>respectively; 3,426,523 shares and no shares issued and outstanding at September 30, 2015 and March 31, 2015,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$0.001 par value; 30,000,000 shares and 10,000,000 shares authorized at September 30, 2015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1"/>
              </w:rPr>
              <w:t>March 31, 2015, respectively; 1,868,808 shares and 1,677,110 shares issued at September 30, 2015 and March 31,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2015 respectively</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4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123,732,300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67,945,800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Treasury stock, at cost, 135,665 shares of common stock held at September 30, 2015 and March 31, 2015,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(3,968,100)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(121,094,900)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(84,522,700)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(1,324,900)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(20,542,800)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Total liabilities and stockholders’ deficit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1,932,500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269,700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18" w:right="239" w:bottom="3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368" w:gutter="0" w:footer="0" w:header="0"/>
          <w:type w:val="continuous"/>
        </w:sectPr>
      </w:pPr>
    </w:p>
    <w:bookmarkStart w:id="3" w:name="page4"/>
    <w:bookmarkEnd w:id="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1,656,100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557,600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2,028,700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3,730,500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556,100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5,179,000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1,353,300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1,113,700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7,207,700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(5,386,600)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(1,113,700)</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(7,207,700)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(2,384,500)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(605,600)</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(767,300)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(1,390,500)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warrant liability</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1,301,800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(1,894,700)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(1,649,300)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(1,603,400)</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(26,700,200)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(2,371,400)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(7,048,100)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(2,020,900)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(36,569,900)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(6,571,800)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(7,048,100)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(2,020,900)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(36,572,200)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(6,574,200)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dividends on Series B Preferred stock</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(614,700)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Deemed dividend on Series B Preferred Units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(886,900)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(1,143,100)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(8,549,700)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(2,020,900)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(38,543,300)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(6,574,200)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 net loss attributable to common stockholders per common share</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(5.26)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(24.21)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9"/>
              </w:rPr>
              <w:t>Diluted net loss attributable to common stockholders per common share</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(5.26)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(24.21)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Weighted average shares used in computing:</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Basic net loss attributable to common stockholders per common share</w:t>
            </w: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1,624,371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1,279,251</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1,592,104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1,254,506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Diluted net loss attributable to common stockholders per common share</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1,624,371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1,299,099</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1,592,104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620" w:type="dxa"/>
            <w:vAlign w:val="bottom"/>
            <w:gridSpan w:val="3"/>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7480" w:type="dxa"/>
            <w:vAlign w:val="bottom"/>
          </w:tcPr>
          <w:p>
            <w:pPr>
              <w:jc w:val="center"/>
              <w:ind w:left="1570"/>
              <w:spacing w:after="0"/>
              <w:rPr>
                <w:sz w:val="20"/>
                <w:szCs w:val="20"/>
                <w:color w:val="auto"/>
              </w:rPr>
            </w:pPr>
            <w:r>
              <w:rPr>
                <w:rFonts w:ascii="Arial" w:cs="Arial" w:eastAsia="Arial" w:hAnsi="Arial"/>
                <w:sz w:val="18"/>
                <w:szCs w:val="18"/>
                <w:b w:val="1"/>
                <w:bCs w:val="1"/>
                <w:color w:val="auto"/>
              </w:rPr>
              <w:t>VISTAGEN THERAPEUTICS, INC.</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80" w:type="dxa"/>
            <w:vAlign w:val="bottom"/>
          </w:tcPr>
          <w:p>
            <w:pPr>
              <w:jc w:val="center"/>
              <w:ind w:left="15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8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80" w:type="dxa"/>
            <w:vAlign w:val="bottom"/>
          </w:tcPr>
          <w:p>
            <w:pPr>
              <w:jc w:val="center"/>
              <w:ind w:left="1570"/>
              <w:spacing w:after="0"/>
              <w:rPr>
                <w:sz w:val="20"/>
                <w:szCs w:val="20"/>
                <w:color w:val="auto"/>
              </w:rPr>
            </w:pPr>
            <w:r>
              <w:rPr>
                <w:rFonts w:ascii="Arial" w:cs="Arial" w:eastAsia="Arial" w:hAnsi="Arial"/>
                <w:sz w:val="18"/>
                <w:szCs w:val="18"/>
                <w:b w:val="1"/>
                <w:bCs w:val="1"/>
                <w:color w:val="auto"/>
                <w:w w:val="91"/>
              </w:rPr>
              <w:t>(Amounts in Dollars)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0"/>
              </w:rPr>
              <w:t>Six Months Ended September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(36,572,200)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Amortization of discounts on convertible and promissory notes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564,800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Change in warrant liability</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1,894,700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3,769,900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Expense related to modification of warrants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Non-cash rent expense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(11,600)</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Interest income on note receivable for stock purchase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Fair value of common stock granted for services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Fair value of Series B Preferred stock granted for services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707,500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Fair value of warrants granted for services and interest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Foreign currency transaction gain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26,700,200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2,371,400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24,200</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 including accrued interest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(2,329,500)</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(1,533,400)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equipment, net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280,000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Net proceeds from issuance of Series B Preferred Units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2,722,800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Repayment of notes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(48,800)</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(193,300)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2,953,500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624,000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694,000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Supplemental disclosure of noncash activities: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Senior Secured Notes, 2014 Unit Notes, other promissory notes and related accrued interest, and accounts payable,</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including conversion premiums, converted into Series B Preferred stock</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18,891,400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VistaGen Therapeutics, Inc., (OTCQB: VSTA), a Nevada corporation, is a clinical-stage biopharmaceutical company committed to developing and commercializing innovative product candidates for patients with depression, cancer, other diseases involving the central nervous system (</w:t>
      </w:r>
      <w:r>
        <w:rPr>
          <w:rFonts w:ascii="Arial" w:cs="Arial" w:eastAsia="Arial" w:hAnsi="Arial"/>
          <w:sz w:val="17"/>
          <w:szCs w:val="17"/>
          <w:i w:val="1"/>
          <w:iCs w:val="1"/>
          <w:color w:val="auto"/>
        </w:rPr>
        <w:t>CNS</w:t>
      </w:r>
      <w:r>
        <w:rPr>
          <w:rFonts w:ascii="Arial" w:cs="Arial" w:eastAsia="Arial" w:hAnsi="Arial"/>
          <w:sz w:val="17"/>
          <w:szCs w:val="17"/>
          <w:color w:val="auto"/>
        </w:rPr>
        <w:t xml:space="preserve">), as well as certain neurodegenerative diseases. Our principal executive offices are located at 343 Allerton Avenue, South San Francisco, California 94080, and our telephone number is (650) 577-3600. Our website address is </w:t>
      </w:r>
      <w:r>
        <w:rPr>
          <w:rFonts w:ascii="Arial" w:cs="Arial" w:eastAsia="Arial" w:hAnsi="Arial"/>
          <w:sz w:val="17"/>
          <w:szCs w:val="17"/>
          <w:i w:val="1"/>
          <w:iCs w:val="1"/>
          <w:color w:val="auto"/>
        </w:rPr>
        <w:t>www.vistagen.com</w:t>
      </w:r>
      <w:r>
        <w:rPr>
          <w:rFonts w:ascii="Arial" w:cs="Arial" w:eastAsia="Arial" w:hAnsi="Arial"/>
          <w:sz w:val="17"/>
          <w:szCs w:val="17"/>
          <w:color w:val="auto"/>
        </w:rPr>
        <w:t>. Unless the context otherwise requires, the words “</w:t>
      </w:r>
      <w:r>
        <w:rPr>
          <w:rFonts w:ascii="Arial" w:cs="Arial" w:eastAsia="Arial" w:hAnsi="Arial"/>
          <w:sz w:val="17"/>
          <w:szCs w:val="17"/>
          <w:i w:val="1"/>
          <w:iCs w:val="1"/>
          <w:color w:val="auto"/>
        </w:rPr>
        <w:t>VistaGen Therapeutics,</w:t>
      </w:r>
      <w:r>
        <w:rPr>
          <w:rFonts w:ascii="Arial" w:cs="Arial" w:eastAsia="Arial" w:hAnsi="Arial"/>
          <w:sz w:val="17"/>
          <w:szCs w:val="17"/>
          <w:color w:val="auto"/>
        </w:rPr>
        <w:t xml:space="preserve"> </w:t>
      </w:r>
      <w:r>
        <w:rPr>
          <w:rFonts w:ascii="Arial" w:cs="Arial" w:eastAsia="Arial" w:hAnsi="Arial"/>
          <w:sz w:val="17"/>
          <w:szCs w:val="17"/>
          <w:i w:val="1"/>
          <w:iCs w:val="1"/>
          <w:color w:val="auto"/>
        </w:rPr>
        <w:t>Inc.</w:t>
      </w:r>
      <w:r>
        <w:rPr>
          <w:rFonts w:ascii="Arial" w:cs="Arial" w:eastAsia="Arial" w:hAnsi="Arial"/>
          <w:sz w:val="17"/>
          <w:szCs w:val="17"/>
          <w:color w:val="auto"/>
        </w:rPr>
        <w:t>” “</w:t>
      </w:r>
      <w:r>
        <w:rPr>
          <w:rFonts w:ascii="Arial" w:cs="Arial" w:eastAsia="Arial" w:hAnsi="Arial"/>
          <w:sz w:val="17"/>
          <w:szCs w:val="17"/>
          <w:i w:val="1"/>
          <w:iCs w:val="1"/>
          <w:color w:val="auto"/>
        </w:rPr>
        <w:t>VistaGen</w:t>
      </w:r>
      <w:r>
        <w:rPr>
          <w:rFonts w:ascii="Arial" w:cs="Arial" w:eastAsia="Arial" w:hAnsi="Arial"/>
          <w:sz w:val="17"/>
          <w:szCs w:val="17"/>
          <w:color w:val="auto"/>
        </w:rPr>
        <w:t>,” “</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the Company</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 and “</w:t>
      </w:r>
      <w:r>
        <w:rPr>
          <w:rFonts w:ascii="Arial" w:cs="Arial" w:eastAsia="Arial" w:hAnsi="Arial"/>
          <w:sz w:val="17"/>
          <w:szCs w:val="17"/>
          <w:i w:val="1"/>
          <w:iCs w:val="1"/>
          <w:color w:val="auto"/>
        </w:rPr>
        <w:t>our</w:t>
      </w:r>
      <w:r>
        <w:rPr>
          <w:rFonts w:ascii="Arial" w:cs="Arial" w:eastAsia="Arial" w:hAnsi="Arial"/>
          <w:sz w:val="17"/>
          <w:szCs w:val="17"/>
          <w:color w:val="auto"/>
        </w:rPr>
        <w:t>” refer to VistaGen Therapeutics, Inc., a Nevada corporation.</w:t>
      </w:r>
    </w:p>
    <w:p>
      <w:pPr>
        <w:spacing w:after="0" w:line="2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AV-101, our new generation, orally available prodrug candidate is in Phase 2 development, initially for the adjunctive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AV-101’s novel mechanism of action, as an N-methyl D aspartate receptor (</w:t>
      </w:r>
      <w:r>
        <w:rPr>
          <w:rFonts w:ascii="Arial" w:cs="Arial" w:eastAsia="Arial" w:hAnsi="Arial"/>
          <w:sz w:val="16"/>
          <w:szCs w:val="16"/>
          <w:i w:val="1"/>
          <w:iCs w:val="1"/>
          <w:color w:val="auto"/>
        </w:rPr>
        <w:t>NMDAR</w:t>
      </w:r>
      <w:r>
        <w:rPr>
          <w:rFonts w:ascii="Arial" w:cs="Arial" w:eastAsia="Arial" w:hAnsi="Arial"/>
          <w:sz w:val="16"/>
          <w:szCs w:val="16"/>
          <w:color w:val="auto"/>
        </w:rPr>
        <w:t>) antagonist binding selectively at the glycine binding (</w:t>
      </w:r>
      <w:r>
        <w:rPr>
          <w:rFonts w:ascii="Arial" w:cs="Arial" w:eastAsia="Arial" w:hAnsi="Arial"/>
          <w:sz w:val="16"/>
          <w:szCs w:val="16"/>
          <w:i w:val="1"/>
          <w:iCs w:val="1"/>
          <w:color w:val="auto"/>
        </w:rPr>
        <w:t>GlyB</w:t>
      </w:r>
      <w:r>
        <w:rPr>
          <w:rFonts w:ascii="Arial" w:cs="Arial" w:eastAsia="Arial" w:hAnsi="Arial"/>
          <w:sz w:val="16"/>
          <w:szCs w:val="16"/>
          <w:color w:val="auto"/>
        </w:rPr>
        <w:t>) co-agonist site of the NMDAR, is fundamentally differentiated from all antidepressants currently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 Phase 2A clinical study of AV-101 in subjects with treatment-resistant MDD is being conducted and funded by the National Institutes of Mental Health (</w:t>
      </w:r>
      <w:r>
        <w:rPr>
          <w:rFonts w:ascii="Arial" w:cs="Arial" w:eastAsia="Arial" w:hAnsi="Arial"/>
          <w:sz w:val="16"/>
          <w:szCs w:val="16"/>
          <w:i w:val="1"/>
          <w:iCs w:val="1"/>
          <w:color w:val="auto"/>
        </w:rPr>
        <w:t>NIMH</w:t>
      </w:r>
      <w:r>
        <w:rPr>
          <w:rFonts w:ascii="Arial" w:cs="Arial" w:eastAsia="Arial" w:hAnsi="Arial"/>
          <w:sz w:val="16"/>
          <w:szCs w:val="16"/>
          <w:color w:val="auto"/>
        </w:rPr>
        <w:t>) under a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The Principal Investigator of this NIMH-funded Phase 2A study, which was initiated in October 2015, is Dr. Carlos Zarate, Jr., Chief of the NIMH’s Experimental Therapeutics &amp; Pathophysiology Branch and its Section on Neurobiology and Treatment of Mood and Anxiety Disorders.</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Beyond MDD, we believe that AV-101 has therapeutic potential in additional CNS indications, including neuropathic pain and epilepsy, and in neurodegenerative diseases such as Parkinson’s disease and Huntington’s disease.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our focus on CNS and neurology, we are applying our proprietary, human pluripotent stem cell (hPSC) technology for drug rescue to develop proprietary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internal drug candidate pipeline. Initial drug rescue programs are focused on NCEs for the treatment of cancer.</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are also considering regenerative medicine applications of our stem cell technology platform. Using hPSC-derived blood, cartilage, heart and liver cells in collaborative arrangements with academic research partners, including our co-founder and the Chairman of our Scientific Advisory Board, Gordon Keller, Ph.D., the Director of the University Health Network's McEwen Centre for the Regenerative Medicine in Toronto, we may pursue development of novel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human disease models with produce for our pipeline NCEs and biologics with regenerative potential and nonclinical proof of concept studies focused on cell therapy.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Background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World Health Organization estimates that 350 million people worldwide are affected by depression. According to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major depression is one of the most common mental disorders in the U.S. In 2013, the NIMH estimated that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8"/>
          <w:szCs w:val="18"/>
          <w:i w:val="1"/>
          <w:iCs w:val="1"/>
          <w:color w:val="auto"/>
        </w:rPr>
        <w:t>CDC</w:t>
      </w:r>
      <w:r>
        <w:rPr>
          <w:rFonts w:ascii="Arial" w:cs="Arial" w:eastAsia="Arial" w:hAnsi="Arial"/>
          <w:sz w:val="18"/>
          <w:szCs w:val="18"/>
          <w:color w:val="auto"/>
        </w:rPr>
        <w:t>), one in 10 Americans take an antidepressant medication.</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Unfortunately, millions of depression sufferers do not benefit from initial treatment with standard antidepressants, which generally consists of a selective serotonin reuptake inhibitor (</w:t>
      </w:r>
      <w:r>
        <w:rPr>
          <w:rFonts w:ascii="Arial" w:cs="Arial" w:eastAsia="Arial" w:hAnsi="Arial"/>
          <w:sz w:val="18"/>
          <w:szCs w:val="18"/>
          <w:i w:val="1"/>
          <w:iCs w:val="1"/>
          <w:color w:val="auto"/>
        </w:rPr>
        <w:t>SSRI</w:t>
      </w:r>
      <w:r>
        <w:rPr>
          <w:rFonts w:ascii="Arial" w:cs="Arial" w:eastAsia="Arial" w:hAnsi="Arial"/>
          <w:sz w:val="18"/>
          <w:szCs w:val="18"/>
          <w:color w:val="auto"/>
        </w:rPr>
        <w:t>) or serotonin-norepinephrine reuptake inhibitor (</w:t>
      </w:r>
      <w:r>
        <w:rPr>
          <w:rFonts w:ascii="Arial" w:cs="Arial" w:eastAsia="Arial" w:hAnsi="Arial"/>
          <w:sz w:val="18"/>
          <w:szCs w:val="18"/>
          <w:i w:val="1"/>
          <w:iCs w:val="1"/>
          <w:color w:val="auto"/>
        </w:rPr>
        <w:t>SNRI</w:t>
      </w:r>
      <w:r>
        <w:rPr>
          <w:rFonts w:ascii="Arial" w:cs="Arial" w:eastAsia="Arial" w:hAnsi="Arial"/>
          <w:sz w:val="18"/>
          <w:szCs w:val="18"/>
          <w:color w:val="auto"/>
        </w:rPr>
        <w:t>). Moreover, even when they do relieve depressive symptoms and induce remission of a major depressive episode, SSRIs and SNRIs take many weeks to achieve therapeutic benefits because of their mechanism of action. During the multiple-weeks to months before onset of therapeutic benefits, side effects of SSRIs and SNRIs, including anxiety, metabolic syndrome, sleep disturbance, sexual dysfunction and suicidal thoughts and behaviors, may be considerable. Unfortunately, even after as many as four different treatment cycles, millions of patients suffering with MDD (over 30% of drug-related MDD patients) do not achieve an adequate therapeutic response to standard antidepressant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AV-101</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AV-101, our orally available prodrug candidate, is in Phase 2 clinical development, initially for the adjunctive treatment of MDD patients with an inadequate response to standard antidepressant therapies. As published in the October 2015 issue of the peer-reviewed, </w:t>
      </w:r>
      <w:r>
        <w:rPr>
          <w:rFonts w:ascii="Arial" w:cs="Arial" w:eastAsia="Arial" w:hAnsi="Arial"/>
          <w:sz w:val="17"/>
          <w:szCs w:val="17"/>
          <w:i w:val="1"/>
          <w:iCs w:val="1"/>
          <w:color w:val="auto"/>
        </w:rPr>
        <w:t>Journal of Pharmacology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Experimental Therapeutics, </w:t>
      </w:r>
      <w:r>
        <w:rPr>
          <w:rFonts w:ascii="Arial" w:cs="Arial" w:eastAsia="Arial" w:hAnsi="Arial"/>
          <w:sz w:val="17"/>
          <w:szCs w:val="17"/>
          <w:color w:val="auto"/>
        </w:rPr>
        <w:t>in an article entitled,</w:t>
      </w:r>
      <w:r>
        <w:rPr>
          <w:rFonts w:ascii="Arial" w:cs="Arial" w:eastAsia="Arial" w:hAnsi="Arial"/>
          <w:sz w:val="17"/>
          <w:szCs w:val="17"/>
          <w:i w:val="1"/>
          <w:iCs w:val="1"/>
          <w:color w:val="auto"/>
        </w:rPr>
        <w:t xml:space="preserve"> The prodrug 4-chlorokynurenine causes ketamine-like antidepressant effects, but not side effects, by NMDA/glycineB-site inhibition, </w:t>
      </w:r>
      <w:r>
        <w:rPr>
          <w:rFonts w:ascii="Arial" w:cs="Arial" w:eastAsia="Arial" w:hAnsi="Arial"/>
          <w:sz w:val="17"/>
          <w:szCs w:val="17"/>
          <w:color w:val="auto"/>
        </w:rPr>
        <w:t>AV-101 was shown to induce fast-acting, dose-dependent, persistent and statistically significant antidepressant-like responses,</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a single treatment, which responses were equivalent to responses seen with a control single sub-anesthetic dose of ketamine (an FDA-approved anesthetic administered intravenously by clinicians off-label to treat MDD patients who have not responded adequately to standard antidepressant therapies). In the same preclinical studies, fluoxetine (Prozac), an SSRI, did not induce rapid onset antidepressant-like responses.</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Following two successful randomized, double-blind, placebo-controlled Phase 1A and Phase 1B safety studies funded by the NIH, we are now collaborating with the NIMH on a Phase 2A efficacy and safety study of AV-101 in subjects with treatment-resistant MDD. This NIMH-funded Phase 2A study, began in October 2015, and is expected to enroll up to 28 patients. Dr. Carlos Zarate, Jr., Chief of the NIMH's Experimental Therapeutics &amp; Pathophysiology Branch and its Section on Neurobiology and Treatment of Mood and Anxiety Disorders, is the Principal Investigator of the study.</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Preclinical studies also support the hypothesis that AV-101 has the potential to treat several additional CNS disorders, including chronic neuropathic pain, epilepsy and neurodegenerative diseases, such as Parkinson’s disease and Huntington’s disease, where modulation of the NMDAR may have therapeutic benefit.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NCE Drug Rescue</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Our drug rescue strategy involves using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our customized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bioassay system, to predict potential human heart toxicity of NCEs, long before they are ever tested in animal and human studies. Our drug rescue programs are focused on recapturing value from substantial prior investments by pharmaceutical companies and others related to screening large-scale compound libraries, optimizing and testing for efficacy NCEs that were terminated before FDA approval due to heart toxicity risks and are now amendable to drug rescue and available in the public domain.</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CardioSafe </w:t>
      </w:r>
      <w:r>
        <w:rPr>
          <w:rFonts w:ascii="Arial" w:cs="Arial" w:eastAsia="Arial" w:hAnsi="Arial"/>
          <w:sz w:val="18"/>
          <w:szCs w:val="18"/>
          <w:color w:val="auto"/>
        </w:rPr>
        <w:t>3D</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our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xml:space="preserve">)-derived human heart cells. Due to the high purity and functionality of our hPSC-derived heart cells, we believe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more comprehensive and clinically predictive than the hERG assay, which is currently the only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cardiac safety assay required by FDA guidelines.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offers a new paradigm for evaluating and predicting potential human heart toxicity of NCEs early in the development process, long before costly, high risk animal studies and human clinical trials. Combining our stem cell biology expertise, the clinically predictive power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contract medicinal chemistry, our drug rescue programs are focused on producing and developing safe and effective proprietary NCEs for our drug candidate pipeline.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Regenerative Medicine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stem cell technology-based regenerative medicine has the potential to transform the U.S. healthcare system over the next two decades by altering the fundamental mechanisms of disease, and helping to slow rapidly rising healthcare costs. Using hPSC-derived blood, bone, cartilage, heart, and liver cells, our current interests in the regenerative medicine arena include developing novel human disease models for discovery of small molecule drugs and biologics that activate the endogenous growth and healing processes (enabling the body to repair tissue damage caused by certain degenerative diseases) and, through collaborative nonclinical proof of concept studies with academic research partners, exploring potential regenerative cell therapy applications.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and Stock Consolidation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VistaGen Therapeutics, Inc., a California corporation (</w:t>
      </w:r>
      <w:r>
        <w:rPr>
          <w:rFonts w:ascii="Arial" w:cs="Arial" w:eastAsia="Arial" w:hAnsi="Arial"/>
          <w:sz w:val="18"/>
          <w:szCs w:val="18"/>
          <w:i w:val="1"/>
          <w:iCs w:val="1"/>
          <w:color w:val="auto"/>
        </w:rPr>
        <w:t>VistaGen California</w:t>
      </w:r>
      <w:r>
        <w:rPr>
          <w:rFonts w:ascii="Arial" w:cs="Arial" w:eastAsia="Arial" w:hAnsi="Arial"/>
          <w:sz w:val="18"/>
          <w:szCs w:val="18"/>
          <w:color w:val="auto"/>
        </w:rPr>
        <w:t>), is our wholly-owned subsidiary. Our Condensed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August 14, 2014, we consummated a 1-for-20 reverse split of our authorized, and issued and outstanding shares of common stock (</w:t>
      </w:r>
      <w:r>
        <w:rPr>
          <w:rFonts w:ascii="Arial" w:cs="Arial" w:eastAsia="Arial" w:hAnsi="Arial"/>
          <w:sz w:val="18"/>
          <w:szCs w:val="18"/>
          <w:i w:val="1"/>
          <w:iCs w:val="1"/>
          <w:color w:val="auto"/>
        </w:rPr>
        <w:t>Stock</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Consolidation</w:t>
      </w:r>
      <w:r>
        <w:rPr>
          <w:rFonts w:ascii="Arial" w:cs="Arial" w:eastAsia="Arial" w:hAnsi="Arial"/>
          <w:sz w:val="18"/>
          <w:szCs w:val="18"/>
          <w:color w:val="auto"/>
        </w:rPr>
        <w:t>). Each reference to shares of common stock or the price per share of common stock in these financial statements is post-Stock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reflects the 1-for-20 adjustment as a result of the Stock Consolidation.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Going Concern</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w:t>
      </w:r>
      <w:r>
        <w:rPr>
          <w:rFonts w:ascii="Arial" w:cs="Arial" w:eastAsia="Arial" w:hAnsi="Arial"/>
          <w:sz w:val="17"/>
          <w:szCs w:val="17"/>
          <w:i w:val="1"/>
          <w:iCs w:val="1"/>
          <w:color w:val="auto"/>
        </w:rPr>
        <w:t>U.S. GAAP</w:t>
      </w:r>
      <w:r>
        <w:rPr>
          <w:rFonts w:ascii="Arial" w:cs="Arial" w:eastAsia="Arial" w:hAnsi="Arial"/>
          <w:sz w:val="17"/>
          <w:szCs w:val="17"/>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2015 has been derived from our audited consolidated financial statements at that date but does not include all disclosures required by U.S. GAAP. The operating results for the six months ended September 30, 2015 are not necessarily indicative of the operating results to be expected for our fiscal year ending March 31, 2016 or for any other interim period or any other future period.</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accompanying unaudited Condensed Consolidated Financial Statements and notes to Condensed Consolidated Financial Statements should be read in conjunction with our audited Consolidated Financial Statements for the fiscal year ended March 31, 2015 contained in our Annual Report on Form 10-K, as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June 29, 2015.</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accompanying Condensed Consolidated Financial Statements have been prepared assuming we will continue as a going concern. As an entity having not yet achieved sustainable revenues, we have experienced recurring losses and negative cash flows from operations resulting in a deficit of $121.1 million accumulated from inception through September 30, 2015. We expect losses and negative cash flows from operations to continue for the foreseeable future as we continue to develop AV-101 for Major Depressive Disorder and other CNS indications, and engage in drug rescue, drug development and exploratory regenerative medicine programs.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our inception in May 1998 through September 30, 2015, we have financed our operations through (1) the issuance and sale of our common stock, preferred stock, warrants for common stock, and promissory notes for aggregate cash proceeds of approximately $32.2 million; (2) issuance of common stock and preferred stock with an approximate value at issuance of $28.7 million as consideration for, among other things, technology license fees and patent prosecution, sponsored research, contract research, drug development, drug manufacturing, U.S. and foreign regulatory services, as well as legal, corporate development and financial advisory services; and (3) receipt of aggregate non-dilutive cash proceeds of approximately $16.4 million from government research and development grant awards and strategic collaboration transactions.</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As described more completely in Note 7,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xml:space="preserve">, and Note 8, </w:t>
      </w:r>
      <w:r>
        <w:rPr>
          <w:rFonts w:ascii="Arial" w:cs="Arial" w:eastAsia="Arial" w:hAnsi="Arial"/>
          <w:sz w:val="16"/>
          <w:szCs w:val="16"/>
          <w:i w:val="1"/>
          <w:iCs w:val="1"/>
          <w:color w:val="auto"/>
        </w:rPr>
        <w:t>Capital Stock</w:t>
      </w:r>
      <w:r>
        <w:rPr>
          <w:rFonts w:ascii="Arial" w:cs="Arial" w:eastAsia="Arial" w:hAnsi="Arial"/>
          <w:sz w:val="16"/>
          <w:szCs w:val="16"/>
          <w:color w:val="auto"/>
        </w:rPr>
        <w:t>, in May 2015, we created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Between March 31, 2015 and September 30, 2015, we extinguished the outstanding balances of approximately $17.2 million of indebtedness, including promissory notes, other debt obligations and certain adjustments thereto that were either due and payable or would have otherwise become due and payable prior to March 31, 2016, through conversion of such indebtedness into our Series B Preferred and, with respect to a portion of the indebtedness converted, warrants to purchase our common stock. More specifically, we converted the outstanding balances of (i) all Senior Secured Convertible Promissory Notes originally issued to Platinum Long Term Growth VII, LLC (</w:t>
      </w:r>
      <w:r>
        <w:rPr>
          <w:rFonts w:ascii="Arial" w:cs="Arial" w:eastAsia="Arial" w:hAnsi="Arial"/>
          <w:sz w:val="16"/>
          <w:szCs w:val="16"/>
          <w:i w:val="1"/>
          <w:iCs w:val="1"/>
          <w:color w:val="auto"/>
        </w:rPr>
        <w:t>Platinum</w:t>
      </w:r>
      <w:r>
        <w:rPr>
          <w:rFonts w:ascii="Arial" w:cs="Arial" w:eastAsia="Arial" w:hAnsi="Arial"/>
          <w:sz w:val="16"/>
          <w:szCs w:val="16"/>
          <w:color w:val="auto"/>
        </w:rPr>
        <w:t xml:space="preserve">), (ii) all 2014 Unit Notes outstanding at March 31, 2015 and those issued subsequently, and (iii) other outstanding promissory notes, including promissory notes issued to Cato Research Ltd., Cato Holding Company, Morrison &amp; Foerster (Note A and Note B), McCarthy Tetrault, Burr Pilger &amp; Mayer, University Health Network (Toronto), the Icahn School of Medicine at Mount Sinai, National Jewish Health and others, through the issuance of an aggregate of 2,618,917 shares of our Series B Preferred. Additionally, through September 30, 2015, we issued in self-placed private placement transactions with Platinum and other accredited investors, Series B Preferred Units consisting of an aggregate of 388,978 unregistered shares of Series B Preferred and five-year warrants to purchase 388,978 shares of our common stock, and we received cash proceeds of $2,722,800 therefrom. See Note 10, </w:t>
      </w:r>
      <w:r>
        <w:rPr>
          <w:rFonts w:ascii="Arial" w:cs="Arial" w:eastAsia="Arial" w:hAnsi="Arial"/>
          <w:sz w:val="16"/>
          <w:szCs w:val="16"/>
          <w:i w:val="1"/>
          <w:iCs w:val="1"/>
          <w:color w:val="auto"/>
        </w:rPr>
        <w:t>Subsequent Events</w:t>
      </w:r>
      <w:r>
        <w:rPr>
          <w:rFonts w:ascii="Arial" w:cs="Arial" w:eastAsia="Arial" w:hAnsi="Arial"/>
          <w:sz w:val="16"/>
          <w:szCs w:val="16"/>
          <w:color w:val="auto"/>
        </w:rPr>
        <w:t>, regarding disclosure of additional self-placed private placement sales of Series B Preferred Units after September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At September 30, 2015, we did not have sufficient cash and cash equivalents to enable us to fund our planned operations over the next twelve months, including expected cash expenditures of approximately $6.0 million. However, as described in greater detail in Note 8, </w:t>
      </w:r>
      <w:r>
        <w:rPr>
          <w:rFonts w:ascii="Arial" w:cs="Arial" w:eastAsia="Arial" w:hAnsi="Arial"/>
          <w:sz w:val="16"/>
          <w:szCs w:val="16"/>
          <w:i w:val="1"/>
          <w:iCs w:val="1"/>
          <w:color w:val="auto"/>
        </w:rPr>
        <w:t>Capital Stock</w:t>
      </w:r>
      <w:r>
        <w:rPr>
          <w:rFonts w:ascii="Arial" w:cs="Arial" w:eastAsia="Arial" w:hAnsi="Arial"/>
          <w:sz w:val="16"/>
          <w:szCs w:val="16"/>
          <w:color w:val="auto"/>
        </w:rPr>
        <w:t>, on August 3, 2015, we entered into an agreement with Platinum pursuant to which Platinum agreed to purchase an additional $3.0 million of our Series B Preferred and Series B Warrants between August 15, 2015 and October 15, 2015 (</w:t>
      </w:r>
      <w:r>
        <w:rPr>
          <w:rFonts w:ascii="Arial" w:cs="Arial" w:eastAsia="Arial" w:hAnsi="Arial"/>
          <w:sz w:val="16"/>
          <w:szCs w:val="16"/>
          <w:i w:val="1"/>
          <w:iCs w:val="1"/>
          <w:color w:val="auto"/>
        </w:rPr>
        <w:t>August 2015 Platinum Agreement</w:t>
      </w:r>
      <w:r>
        <w:rPr>
          <w:rFonts w:ascii="Arial" w:cs="Arial" w:eastAsia="Arial" w:hAnsi="Arial"/>
          <w:sz w:val="16"/>
          <w:szCs w:val="16"/>
          <w:color w:val="auto"/>
        </w:rPr>
        <w:t>). At September 30, 2015, Platinum had purchased an additional $500,000 of Series B Preferred and Series B Warrants under the August 2015 Platinum Agreement. We believe that the August 2015 Platinum Agreement and our participation in potential strategic collaborations, including potential transactions involving AV-101 such as our February 2015 CRADA with the NIMH providing for a Phase 2A study of AV-101 in treatment-resistant MDD patients funded by the NIH, may provide resources to support a portion of our future cash needs and working capital requirements, however, no assurances can be provided. When and as necessary, we have and will continue to seek to raise sufficient financing through conversion, exchange, issuance, and sale of our securities, which may include both debt and equity securities. We may also seek research and development collaborations that could generate revenue, as well as government grant awards. Our future working capital requirements will depend on many factors, including, without limitation, the scope and nature of strategic opportunities related to our success and the success of certain other companies in clinical trials, including our development of AV-101 as a treatment for MDD and other CNS conditions, our stem cell technology platform, including drug rescue and exploratory research and development efforts related to regenerative medicine, and the success of such programs, the availability of, and our ability to obtain, government grant awards and our ability to enter into strategic collaborations on terms acceptable to us. To further advance the clinical development of AV-101 and potential drug rescue and regenerative medicine applications of our stem cell technology platform, as well as support our operating activities, we plan to continue to carefully manage our routine operating costs, including salaries and benefits, and costs relating to regulatory consulting, contract research and development, investor relations and corporate development, legal, accounting, public company compliance and other professional services and working capital costs.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 accompanying Condensed Consolidated Financial Statements do not include any adjustments that might result from the outcome of this uncertainty.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to value warrants, warrant modifications, warrant liabilities. We do not currently have, nor have we had during the periods covered by this report, any arrangements requiring the recognition of revenue.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development of AV-101, now in Phase 2 clinical development, initially for Major Depressive Disorder, internal and sponsored third-party stem cell technology research and development costs, and costs related to the filing, maintenance and prosecution of patents and patent applications related to AV-101 and our stem cell technology platform. All such costs are charged to expense as incurred.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recognize compensation cost for all stock-based awards to employees or consultants based on the grant date fair value of the award. Non-cash, stock-based compensation expense is recognized over the period during which the employee or consultant is required to perform services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summarizes stock-based compensation expense included in the accompanying Condensed Consolidated Statements of Operations and Comprehensive Loss for the three and six months ended September 30, 2015 and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 grants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Warrants granted to officer in March 2014 and March 2013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36,300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 granted to officer in September 2015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852,200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100,900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905,300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Stock option grants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33,300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Warrants granted to officers and directors in March 2014 and March 2013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w w:val="99"/>
              </w:rPr>
              <w:t>Warrants granted to officers, directors and consultants in September 2015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2,840,700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2,840,700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2,853,700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104,100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2,864,600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3,740,700</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205,000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3,769,900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408,400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September 2015, we granted options to purchase an aggregate of 90,000 shares of our common stock at an exercise price of $9.25 per share to our non-officer employees and certain consultants. We did not grant stock options to any of our employees or consultants during the six months ended September 30, 2014. At September 30, 2015, there were stock options outstanding to purchase 296,738 shares of our common stock at a weighted average exercise price of $9.83 per share. During September 2015, we also granted immediately vested warrants to purchase an aggregate of 650,000 shares of our common stock to our executive officers, independent members of our Board of Directors and certain consultants. We valued the warrants and options granted in September 2015 using the Black-Scholes Option Pricing Model and the following assumptions: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Employee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Non-employee</w:t>
            </w:r>
          </w:p>
        </w:tc>
        <w:tc>
          <w:tcPr>
            <w:tcW w:w="0" w:type="dxa"/>
            <w:vAlign w:val="bottom"/>
          </w:tcPr>
          <w:p>
            <w:pPr>
              <w:spacing w:after="0"/>
              <w:rPr>
                <w:sz w:val="1"/>
                <w:szCs w:val="1"/>
                <w:color w:val="auto"/>
              </w:rPr>
            </w:pPr>
          </w:p>
        </w:tc>
      </w:t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Warrants</w:t>
            </w:r>
          </w:p>
        </w:tc>
        <w:tc>
          <w:tcPr>
            <w:tcW w:w="20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Options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Contractual or estimated term in years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77.19%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650,000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6.35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8.27</w:t>
            </w:r>
          </w:p>
        </w:tc>
        <w:tc>
          <w:tcPr>
            <w:tcW w:w="0" w:type="dxa"/>
            <w:vAlign w:val="bottom"/>
          </w:tcPr>
          <w:p>
            <w:pPr>
              <w:spacing w:after="0"/>
              <w:rPr>
                <w:sz w:val="1"/>
                <w:szCs w:val="1"/>
                <w:color w:val="auto"/>
              </w:rPr>
            </w:pPr>
          </w:p>
        </w:tc>
      </w:tr>
      <w:tr>
        <w:trPr>
          <w:trHeight w:val="459"/>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Warrant Liability</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Between October 2012 and July 2013, we issued to Platinum warrants to purchase a 176,129 unregistered shares of our common stock and, subject to Platinum’s exercise of its rights to exchange shares of our Series A Preferred Stock that it holds, we are obligated to issue to Platinum an additional warrant to purchase 375,000 unregistered shares of common stock (collectively, the </w:t>
      </w:r>
      <w:r>
        <w:rPr>
          <w:rFonts w:ascii="Arial" w:cs="Arial" w:eastAsia="Arial" w:hAnsi="Arial"/>
          <w:sz w:val="16"/>
          <w:szCs w:val="16"/>
          <w:i w:val="1"/>
          <w:iCs w:val="1"/>
          <w:color w:val="auto"/>
        </w:rPr>
        <w:t>Platinum Warrants</w:t>
      </w:r>
      <w:r>
        <w:rPr>
          <w:rFonts w:ascii="Arial" w:cs="Arial" w:eastAsia="Arial" w:hAnsi="Arial"/>
          <w:sz w:val="16"/>
          <w:szCs w:val="16"/>
          <w:color w:val="auto"/>
        </w:rPr>
        <w:t>). As originally issued, the Platinum Warrants contained an exercise price adjustment feature that would reduce the exercise price of the warrants and increase the number of shares of our common stock eligible for Platinum’s purchase thereunder in the event we subsequently issued equity instruments at a price lower than the exercise price of the Platinum Warrants. Prior to their amendment in May 2015, as described below, we accounted for the Platinum Warrants as non-cash liabilities and estimated their fair value at the end of each financial reporting period and recorded the change in the fair value as non-cash expense or non-cash income. The key component in determining the fair value of the Platinum Warrants and the related liability was the market price of our common stock, which is subject to significant fluctuation and is not under our control. The resulting change in the fair value of the warrant liability on our net income or loss was therefore also subject to significant fluctuation. Assuming all other fair value inputs remained generally constant, we generally recorded an increase in the warrant liability and non-cash losses when our stock price increased and a decrease in the warrant liability and non-cash gains when our stock price decreased.</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0" w:name="page11"/>
    <w:bookmarkEnd w:id="1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As described more completely in Note 8, </w:t>
      </w:r>
      <w:r>
        <w:rPr>
          <w:rFonts w:ascii="Arial" w:cs="Arial" w:eastAsia="Arial" w:hAnsi="Arial"/>
          <w:sz w:val="16"/>
          <w:szCs w:val="16"/>
          <w:i w:val="1"/>
          <w:iCs w:val="1"/>
          <w:color w:val="auto"/>
        </w:rPr>
        <w:t>Capital Stock</w:t>
      </w:r>
      <w:r>
        <w:rPr>
          <w:rFonts w:ascii="Arial" w:cs="Arial" w:eastAsia="Arial" w:hAnsi="Arial"/>
          <w:sz w:val="16"/>
          <w:szCs w:val="16"/>
          <w:color w:val="auto"/>
        </w:rPr>
        <w:t>, on May 12, 2015, we entered into an agreement with Platinum pursuant to which Platinum agreed, among other things, to amend the Platinum Warrants to fix the exercise price thereof, eliminate the exercise price reset and cashless exercise features and fix the number of shares of our common stock issuable thereunder. This agreement and the related modifications to the Platinum Warrants resulted in the complete elimination of the warrant liability with respect to the Platinum Warrants during our fiscal quarter ended June 30,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per Common Share</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have historically adjusted the numerator for the change in the fair value of the warrant liability attributable to outstanding warrants, only if dilutive, and increased the denominator to include the number of potentially dilutive common shares assumed to be outstanding during the period using the treasury stock method. The change in the fair value of the warrant liability had an impact on the diluted earnings per share calculation only in the three month period ended September 30, 2014, but in no other period included in these Condensed Consolidated Financial Statements, as indicated in the table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5"/>
          </w:tcPr>
          <w:p>
            <w:pPr>
              <w:jc w:val="right"/>
              <w:ind w:right="320"/>
              <w:spacing w:after="0"/>
              <w:rPr>
                <w:sz w:val="20"/>
                <w:szCs w:val="20"/>
                <w:color w:val="auto"/>
              </w:rPr>
            </w:pPr>
            <w:r>
              <w:rPr>
                <w:rFonts w:ascii="Arial" w:cs="Arial" w:eastAsia="Arial" w:hAnsi="Arial"/>
                <w:sz w:val="18"/>
                <w:szCs w:val="18"/>
                <w:color w:val="auto"/>
                <w:w w:val="88"/>
              </w:rPr>
              <w:t>Three Months Ended September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jc w:val="right"/>
              <w:ind w:right="140"/>
              <w:spacing w:after="0"/>
              <w:rPr>
                <w:sz w:val="20"/>
                <w:szCs w:val="20"/>
                <w:color w:val="auto"/>
              </w:rPr>
            </w:pPr>
            <w:r>
              <w:rPr>
                <w:rFonts w:ascii="Arial" w:cs="Arial" w:eastAsia="Arial" w:hAnsi="Arial"/>
                <w:sz w:val="18"/>
                <w:szCs w:val="18"/>
                <w:color w:val="auto"/>
                <w:w w:val="90"/>
              </w:rPr>
              <w:t>Six Months Ended September 30,</w:t>
            </w:r>
          </w:p>
        </w:tc>
      </w:tr>
      <w:tr>
        <w:trPr>
          <w:trHeight w:val="223"/>
        </w:trPr>
        <w:tc>
          <w:tcPr>
            <w:tcW w:w="5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 attributable to common stockholders for basic earnings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per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(8,549,700)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(2,020,900)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(38,543,300)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(6,574,200)</w:t>
            </w:r>
          </w:p>
        </w:tc>
      </w:tr>
      <w:tr>
        <w:trPr>
          <w:trHeight w:val="202"/>
        </w:trPr>
        <w:tc>
          <w:tcPr>
            <w:tcW w:w="5960" w:type="dxa"/>
            <w:vAlign w:val="bottom"/>
          </w:tcPr>
          <w:p>
            <w:pPr>
              <w:ind w:left="240"/>
              <w:spacing w:after="0" w:line="201" w:lineRule="exact"/>
              <w:rPr>
                <w:sz w:val="20"/>
                <w:szCs w:val="20"/>
                <w:color w:val="auto"/>
              </w:rPr>
            </w:pPr>
            <w:r>
              <w:rPr>
                <w:rFonts w:ascii="Arial" w:cs="Arial" w:eastAsia="Arial" w:hAnsi="Arial"/>
                <w:sz w:val="18"/>
                <w:szCs w:val="18"/>
                <w:color w:val="auto"/>
              </w:rPr>
              <w:t>less: change in fair value of warrant liability attributable to</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960" w:type="dxa"/>
            <w:vAlign w:val="bottom"/>
          </w:tcPr>
          <w:p>
            <w:pPr>
              <w:ind w:left="560"/>
              <w:spacing w:after="0"/>
              <w:rPr>
                <w:sz w:val="20"/>
                <w:szCs w:val="20"/>
                <w:color w:val="auto"/>
              </w:rPr>
            </w:pPr>
            <w:r>
              <w:rPr>
                <w:rFonts w:ascii="Arial" w:cs="Arial" w:eastAsia="Arial" w:hAnsi="Arial"/>
                <w:sz w:val="18"/>
                <w:szCs w:val="18"/>
                <w:color w:val="auto"/>
              </w:rPr>
              <w:t>Exchange, Investment and Bridge Warrants issued to Platinum</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(441,700)</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240"/>
              <w:spacing w:after="0"/>
              <w:rPr>
                <w:sz w:val="20"/>
                <w:szCs w:val="20"/>
                <w:color w:val="auto"/>
              </w:rPr>
            </w:pPr>
            <w:r>
              <w:rPr>
                <w:rFonts w:ascii="Arial" w:cs="Arial" w:eastAsia="Arial" w:hAnsi="Arial"/>
                <w:sz w:val="18"/>
                <w:szCs w:val="18"/>
                <w:color w:val="auto"/>
                <w:w w:val="95"/>
              </w:rPr>
              <w:t>Net loss for diluted earnings per share attributable to common stockholders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(8,549,700)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(2,462,600)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(38,543,300)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(6,574,200)</w:t>
            </w:r>
          </w:p>
        </w:tc>
      </w:tr>
      <w:tr>
        <w:trPr>
          <w:trHeight w:val="21"/>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 average basic common shares outstanding</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1,624,371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1,279,251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1,592,104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1,254,506</w:t>
            </w:r>
          </w:p>
        </w:tc>
      </w:tr>
      <w:tr>
        <w:trPr>
          <w:trHeight w:val="216"/>
        </w:trPr>
        <w:tc>
          <w:tcPr>
            <w:tcW w:w="5960" w:type="dxa"/>
            <w:vAlign w:val="bottom"/>
          </w:tcPr>
          <w:p>
            <w:pPr>
              <w:ind w:left="400"/>
              <w:spacing w:after="0"/>
              <w:rPr>
                <w:sz w:val="20"/>
                <w:szCs w:val="20"/>
                <w:color w:val="auto"/>
              </w:rPr>
            </w:pPr>
            <w:r>
              <w:rPr>
                <w:rFonts w:ascii="Arial" w:cs="Arial" w:eastAsia="Arial" w:hAnsi="Arial"/>
                <w:sz w:val="18"/>
                <w:szCs w:val="18"/>
                <w:color w:val="auto"/>
              </w:rPr>
              <w:t>Assumed conversion of dilutive securities: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Warrants to purchase common stock</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60" w:type="dxa"/>
            <w:vAlign w:val="bottom"/>
          </w:tcPr>
          <w:p>
            <w:pPr>
              <w:ind w:left="960"/>
              <w:spacing w:after="0"/>
              <w:rPr>
                <w:sz w:val="20"/>
                <w:szCs w:val="20"/>
                <w:color w:val="auto"/>
              </w:rPr>
            </w:pPr>
            <w:r>
              <w:rPr>
                <w:rFonts w:ascii="Arial" w:cs="Arial" w:eastAsia="Arial" w:hAnsi="Arial"/>
                <w:sz w:val="18"/>
                <w:szCs w:val="18"/>
                <w:color w:val="auto"/>
              </w:rPr>
              <w:t>Potentially dilutive common shares assumed converted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19,848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960" w:type="dxa"/>
            <w:vAlign w:val="bottom"/>
          </w:tcPr>
          <w:p>
            <w:pPr>
              <w:ind w:left="280"/>
              <w:spacing w:after="0" w:line="201" w:lineRule="exact"/>
              <w:rPr>
                <w:sz w:val="20"/>
                <w:szCs w:val="20"/>
                <w:color w:val="auto"/>
              </w:rPr>
            </w:pPr>
            <w:r>
              <w:rPr>
                <w:rFonts w:ascii="Arial" w:cs="Arial" w:eastAsia="Arial" w:hAnsi="Arial"/>
                <w:sz w:val="18"/>
                <w:szCs w:val="18"/>
                <w:color w:val="auto"/>
              </w:rPr>
              <w:t>Denominator for diluted earnings per share - adjusted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60" w:type="dxa"/>
            <w:vAlign w:val="bottom"/>
          </w:tcPr>
          <w:p>
            <w:pPr>
              <w:ind w:left="960"/>
              <w:spacing w:after="0"/>
              <w:rPr>
                <w:sz w:val="20"/>
                <w:szCs w:val="20"/>
                <w:color w:val="auto"/>
              </w:rPr>
            </w:pPr>
            <w:r>
              <w:rPr>
                <w:rFonts w:ascii="Arial" w:cs="Arial" w:eastAsia="Arial" w:hAnsi="Arial"/>
                <w:sz w:val="18"/>
                <w:szCs w:val="18"/>
                <w:color w:val="auto"/>
              </w:rPr>
              <w:t>weighted average 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1,624,371</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1,299,099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1,592,104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1,254,506</w:t>
            </w:r>
          </w:p>
        </w:tc>
      </w:tr>
      <w:tr>
        <w:trPr>
          <w:trHeight w:val="21"/>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Basic net loss attributable to common stockholders per common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(5.26)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(24.21)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r>
      <w:tr>
        <w:trPr>
          <w:trHeight w:val="21"/>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Diluted net loss attributable to common stockholders per common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(5.26)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(24.21)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r>
      <w:tr>
        <w:trPr>
          <w:trHeight w:val="21"/>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our net loss for the periods presented, potentially dilutive securities were excluded from the computation, as their effect would be antidilutive. For the three month and six month periods ended September 30, 2015, the accrual for dividends on our Series B Preferred and the deemed dividend attributable to the issuance of our Series B Preferred Units represent deductions from our net loss to arrive at net loss attributable to common stockholders for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8820" w:type="dxa"/>
            <w:vAlign w:val="bottom"/>
            <w:gridSpan w:val="3"/>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8800" w:type="dxa"/>
            <w:vAlign w:val="bottom"/>
            <w:gridSpan w:val="2"/>
          </w:tcPr>
          <w:p>
            <w:pPr>
              <w:ind w:left="640"/>
              <w:spacing w:after="0"/>
              <w:rPr>
                <w:sz w:val="20"/>
                <w:szCs w:val="20"/>
                <w:color w:val="auto"/>
              </w:rPr>
            </w:pPr>
            <w:r>
              <w:rPr>
                <w:rFonts w:ascii="Arial" w:cs="Arial" w:eastAsia="Arial" w:hAnsi="Arial"/>
                <w:sz w:val="18"/>
                <w:szCs w:val="18"/>
                <w:color w:val="auto"/>
                <w:w w:val="99"/>
              </w:rPr>
              <w:t>Potentially dilutive securities excluded in determining diluted net loss per common share are as follows: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600" w:type="dxa"/>
            <w:vAlign w:val="bottom"/>
            <w:gridSpan w:val="4"/>
          </w:tcPr>
          <w:p>
            <w:pPr>
              <w:ind w:left="480"/>
              <w:spacing w:after="0"/>
              <w:rPr>
                <w:sz w:val="20"/>
                <w:szCs w:val="20"/>
                <w:color w:val="auto"/>
              </w:rPr>
            </w:pPr>
            <w:r>
              <w:rPr>
                <w:rFonts w:ascii="Arial" w:cs="Arial" w:eastAsia="Arial" w:hAnsi="Arial"/>
                <w:sz w:val="18"/>
                <w:szCs w:val="18"/>
                <w:b w:val="1"/>
                <w:bCs w:val="1"/>
                <w:color w:val="auto"/>
              </w:rPr>
              <w:t>As of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5"/>
                <w:szCs w:val="25"/>
                <w:color w:val="auto"/>
                <w:vertAlign w:val="superscript"/>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5"/>
                <w:szCs w:val="25"/>
                <w:color w:val="auto"/>
                <w:vertAlign w:val="superscript"/>
              </w:rPr>
              <w:t>(2)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3,426,523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Warrant shares issuable to Platinum upon exercise of common stock warrants by Platinum upon exchange of Series A</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Preferred under the terms of the October 11, 2012 Note Exchange and Purchase Agreement, as subsequently amended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535,715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options under the 2008 and 1999 Stock Incentive Plans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296,738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4,687,211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962,758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10% Senior Secured Convertible Notes issued to Platinum between October 2012 and July 2013, including accrued</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through September 30, 2014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10% convertible notes issued as a component of Unit Private Placements, including accrued interest through March 31,</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2014 accrued interest through September 30, 2014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76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9,696,187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3,000,966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tcBorders>
              <w:top w:val="single" w:sz="8" w:color="CCEEFF"/>
            </w:tcBorders>
          </w:tcPr>
          <w:p>
            <w:pPr>
              <w:spacing w:after="0" w:line="206" w:lineRule="exact"/>
              <w:rPr>
                <w:sz w:val="20"/>
                <w:szCs w:val="20"/>
                <w:color w:val="auto"/>
              </w:rPr>
            </w:pPr>
            <w:r>
              <w:rPr>
                <w:rFonts w:ascii="Arial" w:cs="Arial" w:eastAsia="Arial" w:hAnsi="Arial"/>
                <w:sz w:val="18"/>
                <w:szCs w:val="18"/>
                <w:color w:val="auto"/>
                <w:w w:val="91"/>
              </w:rPr>
              <w:t>____________</w:t>
            </w:r>
          </w:p>
        </w:tc>
        <w:tc>
          <w:tcPr>
            <w:tcW w:w="768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ind w:left="200" w:hanging="192"/>
        <w:spacing w:after="0" w:line="199" w:lineRule="auto"/>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Assumes exchange under the terms of the October 11, 2012 Note Exchange and Purchase Agreement with Platinum</w:t>
      </w:r>
    </w:p>
    <w:p>
      <w:pPr>
        <w:spacing w:after="0" w:line="2" w:lineRule="exact"/>
        <w:rPr>
          <w:rFonts w:ascii="Arial" w:cs="Arial" w:eastAsia="Arial" w:hAnsi="Arial"/>
          <w:sz w:val="23"/>
          <w:szCs w:val="23"/>
          <w:color w:val="auto"/>
          <w:vertAlign w:val="superscript"/>
        </w:rPr>
      </w:pPr>
    </w:p>
    <w:p>
      <w:pPr>
        <w:ind w:right="420" w:firstLine="8"/>
        <w:spacing w:after="0" w:line="262" w:lineRule="auto"/>
        <w:tabs>
          <w:tab w:leader="none" w:pos="182"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Assumes exchange under the terms of the Certificate of Designation of the Relative Rights and Preferences of the Series B 10% Convertible Preferred Stock, effective May 5, 2015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recent accounting pronouncements or changes in accounting pronouncements during the six months ended September 30, 2015, as compared to the recent accounting pronouncements described in the Company’s Form 10-K for the fiscal year ended March 31, 2015, that are of significance or potential significance to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follow the principles of fair value accounting as they relate to our financial assets and financial liabilities. The required fair value hierarchy that prioritizes observable and unobservable inputs used to measure and classify fair value into three broad levels is described as follows:</w:t>
      </w:r>
    </w:p>
    <w:p>
      <w:pPr>
        <w:spacing w:after="0" w:line="174" w:lineRule="exact"/>
        <w:rPr>
          <w:sz w:val="20"/>
          <w:szCs w:val="20"/>
          <w:color w:val="auto"/>
        </w:rPr>
      </w:pPr>
    </w:p>
    <w:p>
      <w:pPr>
        <w:ind w:left="1020" w:hanging="4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in active markets for identical assets or liabilities.</w:t>
      </w:r>
    </w:p>
    <w:p>
      <w:pPr>
        <w:spacing w:after="0" w:line="252" w:lineRule="exact"/>
        <w:rPr>
          <w:rFonts w:ascii="Arial" w:cs="Arial" w:eastAsia="Arial" w:hAnsi="Arial"/>
          <w:sz w:val="18"/>
          <w:szCs w:val="18"/>
          <w:color w:val="auto"/>
        </w:rPr>
      </w:pPr>
    </w:p>
    <w:p>
      <w:pPr>
        <w:jc w:val="both"/>
        <w:ind w:left="1020" w:hanging="404"/>
        <w:spacing w:after="0" w:line="26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markets that are not active; or other inputs that are observable or can be corroborated by observable market data for substantially the full term of the assets or liabilities.</w:t>
      </w:r>
    </w:p>
    <w:p>
      <w:pPr>
        <w:spacing w:after="0" w:line="208" w:lineRule="exact"/>
        <w:rPr>
          <w:rFonts w:ascii="Arial" w:cs="Arial" w:eastAsia="Arial" w:hAnsi="Arial"/>
          <w:sz w:val="18"/>
          <w:szCs w:val="18"/>
          <w:color w:val="auto"/>
        </w:rPr>
      </w:pPr>
    </w:p>
    <w:p>
      <w:pPr>
        <w:ind w:left="1020" w:hanging="4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w:t>
      </w:r>
      <w:r>
        <w:rPr>
          <w:rFonts w:ascii="Arial" w:cs="Arial" w:eastAsia="Arial" w:hAnsi="Arial"/>
          <w:sz w:val="18"/>
          <w:szCs w:val="18"/>
          <w:i w:val="1"/>
          <w:iCs w:val="1"/>
          <w:color w:val="auto"/>
        </w:rPr>
        <w:t xml:space="preserve">i.e., </w:t>
      </w:r>
      <w:r>
        <w:rPr>
          <w:rFonts w:ascii="Arial" w:cs="Arial" w:eastAsia="Arial" w:hAnsi="Arial"/>
          <w:sz w:val="18"/>
          <w:szCs w:val="18"/>
          <w:color w:val="auto"/>
        </w:rPr>
        <w:t>inputs that reflect the reporting entity’s own assumptions about the assumptions that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use in estimating the fair value of an asset or liability) are used when little or no market data is available.</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We do not use derivative instruments for hedging of market risks or for trading or speculative purposes. In conjunction with the issuance of the Senior Secured Convertible Promissory Notes and Platinum Warrants to Platinum between October 2012 and July 2013, and the potential issuance of the Series A Exchange Warrant pursuant to Platinum’s exchange of the Series A Preferred stock that it holds into shares of our common stock, we determined that the Platinum Warrants included certain exercise price adjustment features that required the warrants to be treated as non-cash liabilities and recorded at their estimated fair value. Prior to their amendment in May 2015, as described below, we determined the initial fair value and subsequent fair value measurements of the warrant liability using a Monte Carlo simulation model with Level 3 inputs or the Black-Scholes Option Pricing model. Inputs used to determine fair value included the remaining contractual term of the Platinum Warrants, risk-free interest rates, expected volatility of the price of the underlying common stock, and the probability of a financing transaction or other equity issuance that would trigger a reset in the exercise price of the Platinum Warrants, and, in the case of the Series A Exchange Warrant, the probability of Platinum’s exchange of the shares of Series A preferred stock it holds into shares of common stock. As described more completely in Note 8, </w:t>
      </w:r>
      <w:r>
        <w:rPr>
          <w:rFonts w:ascii="Arial" w:cs="Arial" w:eastAsia="Arial" w:hAnsi="Arial"/>
          <w:sz w:val="16"/>
          <w:szCs w:val="16"/>
          <w:i w:val="1"/>
          <w:iCs w:val="1"/>
          <w:color w:val="auto"/>
        </w:rPr>
        <w:t>Capital Stock</w:t>
      </w:r>
      <w:r>
        <w:rPr>
          <w:rFonts w:ascii="Arial" w:cs="Arial" w:eastAsia="Arial" w:hAnsi="Arial"/>
          <w:sz w:val="16"/>
          <w:szCs w:val="16"/>
          <w:color w:val="auto"/>
        </w:rPr>
        <w:t>, on May 12, 2015, we entered into an agreement with Platinum pursuant to which we amended the Platinum Warrants to fix the exercise price thereof and eliminate the anti-dilution reset features that had previously required the Platinum Warrants to be treated as liabilities and carried at fair value. As a result of the agreement with Platinum, at May 12, 2015, we adjusted the Platinum Warrants to their fair value, estimated to be $4,903,200, reflecting an increase of $1,894,700 since March 31, 2015, which was recorded as a non-cash charge to other expense, net in the Condensed Consolidated Statements of Operations and Comprehensive Loss for the first quarter of our current fiscal year, and subsequently eliminated the warrant liability with respect to the Platinum Warrants, with a corresponding credit to Additional Paid-in Capital.</w:t>
      </w:r>
    </w:p>
    <w:p>
      <w:pPr>
        <w:sectPr>
          <w:pgSz w:w="11900" w:h="16838" w:orient="portrait"/>
          <w:cols w:equalWidth="0" w:num="1">
            <w:col w:w="11420"/>
          </w:cols>
          <w:pgMar w:left="240" w:top="118" w:right="239" w:bottom="8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892"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3780" w:type="dxa"/>
            <w:vAlign w:val="bottom"/>
            <w:gridSpan w:val="3"/>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72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840" w:type="dxa"/>
            <w:vAlign w:val="bottom"/>
            <w:gridSpan w:val="11"/>
          </w:tcPr>
          <w:p>
            <w:pPr>
              <w:ind w:left="640"/>
              <w:spacing w:after="0"/>
              <w:rPr>
                <w:sz w:val="20"/>
                <w:szCs w:val="20"/>
                <w:color w:val="auto"/>
              </w:rPr>
            </w:pPr>
            <w:r>
              <w:rPr>
                <w:rFonts w:ascii="Arial" w:cs="Arial" w:eastAsia="Arial" w:hAnsi="Arial"/>
                <w:sz w:val="18"/>
                <w:szCs w:val="18"/>
                <w:color w:val="auto"/>
                <w:w w:val="96"/>
              </w:rPr>
              <w:t>The fair value hierarchy for the warrant liability which had been measured at fair value on a recurring basis is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w w:val="91"/>
              </w:rPr>
              <w:t>Fair Value Measurements at Reporting Date</w:t>
            </w:r>
          </w:p>
        </w:tc>
      </w:tr>
      <w:tr>
        <w:trPr>
          <w:trHeight w:val="24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Using</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Quoted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Prices in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Active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September 30, 2015:</w:t>
            </w:r>
          </w:p>
        </w:tc>
        <w:tc>
          <w:tcPr>
            <w:tcW w:w="2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Warrant liability</w:t>
            </w:r>
          </w:p>
        </w:tc>
        <w:tc>
          <w:tcPr>
            <w:tcW w:w="2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March 31, 2015:</w:t>
            </w:r>
          </w:p>
        </w:tc>
        <w:tc>
          <w:tcPr>
            <w:tcW w:w="23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Warrant liability</w:t>
            </w:r>
          </w:p>
        </w:tc>
        <w:tc>
          <w:tcPr>
            <w:tcW w:w="2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3,008,500</w:t>
            </w:r>
          </w:p>
        </w:tc>
        <w:tc>
          <w:tcPr>
            <w:tcW w:w="11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3,008,500</w:t>
            </w: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 period ended September 30, 2015, there was no significant change to the valuation models used for purposes of determining the fair value of the Level 3 warrant liability.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Level 3 liabilities measured at fair value on a recurring basis are as follows:</w:t>
      </w:r>
    </w:p>
    <w:p>
      <w:pPr>
        <w:spacing w:after="0" w:line="248" w:lineRule="exact"/>
        <w:rPr>
          <w:sz w:val="20"/>
          <w:szCs w:val="20"/>
          <w:color w:val="auto"/>
        </w:rPr>
      </w:pPr>
    </w:p>
    <w:p>
      <w:pPr>
        <w:jc w:val="center"/>
        <w:ind w:left="9960"/>
        <w:spacing w:after="0"/>
        <w:rPr>
          <w:sz w:val="20"/>
          <w:szCs w:val="20"/>
          <w:color w:val="auto"/>
        </w:rPr>
      </w:pPr>
      <w:r>
        <w:rPr>
          <w:rFonts w:ascii="Arial" w:cs="Arial" w:eastAsia="Arial" w:hAnsi="Arial"/>
          <w:sz w:val="18"/>
          <w:szCs w:val="18"/>
          <w:b w:val="1"/>
          <w:bCs w:val="1"/>
          <w:color w:val="auto"/>
        </w:rPr>
        <w:t>Fair Value</w:t>
      </w:r>
    </w:p>
    <w:p>
      <w:pPr>
        <w:spacing w:after="0" w:line="27" w:lineRule="exact"/>
        <w:rPr>
          <w:sz w:val="20"/>
          <w:szCs w:val="20"/>
          <w:color w:val="auto"/>
        </w:rPr>
      </w:pPr>
    </w:p>
    <w:p>
      <w:pPr>
        <w:jc w:val="center"/>
        <w:ind w:left="9960"/>
        <w:spacing w:after="0"/>
        <w:rPr>
          <w:sz w:val="20"/>
          <w:szCs w:val="20"/>
          <w:color w:val="auto"/>
        </w:rPr>
      </w:pPr>
      <w:r>
        <w:rPr>
          <w:rFonts w:ascii="Arial" w:cs="Arial" w:eastAsia="Arial" w:hAnsi="Arial"/>
          <w:sz w:val="18"/>
          <w:szCs w:val="18"/>
          <w:b w:val="1"/>
          <w:bCs w:val="1"/>
          <w:color w:val="auto"/>
        </w:rPr>
        <w:t>Measurements</w:t>
      </w:r>
    </w:p>
    <w:p>
      <w:pPr>
        <w:spacing w:after="0" w:line="9" w:lineRule="exact"/>
        <w:rPr>
          <w:sz w:val="20"/>
          <w:szCs w:val="20"/>
          <w:color w:val="auto"/>
        </w:rPr>
      </w:pPr>
    </w:p>
    <w:p>
      <w:pPr>
        <w:jc w:val="center"/>
        <w:ind w:left="9960"/>
        <w:spacing w:after="0"/>
        <w:rPr>
          <w:sz w:val="20"/>
          <w:szCs w:val="20"/>
          <w:color w:val="auto"/>
        </w:rPr>
      </w:pPr>
      <w:r>
        <w:rPr>
          <w:rFonts w:ascii="Arial" w:cs="Arial" w:eastAsia="Arial" w:hAnsi="Arial"/>
          <w:sz w:val="18"/>
          <w:szCs w:val="18"/>
          <w:b w:val="1"/>
          <w:bCs w:val="1"/>
          <w:color w:val="auto"/>
        </w:rPr>
        <w:t>Using</w:t>
      </w:r>
    </w:p>
    <w:p>
      <w:pPr>
        <w:spacing w:after="0" w:line="9" w:lineRule="exact"/>
        <w:rPr>
          <w:sz w:val="20"/>
          <w:szCs w:val="20"/>
          <w:color w:val="auto"/>
        </w:rPr>
      </w:pPr>
    </w:p>
    <w:p>
      <w:pPr>
        <w:jc w:val="center"/>
        <w:ind w:left="9960"/>
        <w:spacing w:after="0"/>
        <w:rPr>
          <w:sz w:val="20"/>
          <w:szCs w:val="20"/>
          <w:color w:val="auto"/>
        </w:rPr>
      </w:pPr>
      <w:r>
        <w:rPr>
          <w:rFonts w:ascii="Arial" w:cs="Arial" w:eastAsia="Arial" w:hAnsi="Arial"/>
          <w:sz w:val="18"/>
          <w:szCs w:val="18"/>
          <w:b w:val="1"/>
          <w:bCs w:val="1"/>
          <w:color w:val="auto"/>
        </w:rPr>
        <w:t>Significant</w:t>
      </w:r>
    </w:p>
    <w:p>
      <w:pPr>
        <w:spacing w:after="0" w:line="9" w:lineRule="exact"/>
        <w:rPr>
          <w:sz w:val="20"/>
          <w:szCs w:val="20"/>
          <w:color w:val="auto"/>
        </w:rPr>
      </w:pPr>
    </w:p>
    <w:p>
      <w:pPr>
        <w:jc w:val="center"/>
        <w:ind w:left="9960"/>
        <w:spacing w:after="0"/>
        <w:rPr>
          <w:sz w:val="20"/>
          <w:szCs w:val="20"/>
          <w:color w:val="auto"/>
        </w:rPr>
      </w:pPr>
      <w:r>
        <w:rPr>
          <w:rFonts w:ascii="Arial" w:cs="Arial" w:eastAsia="Arial" w:hAnsi="Arial"/>
          <w:sz w:val="18"/>
          <w:szCs w:val="18"/>
          <w:b w:val="1"/>
          <w:bCs w:val="1"/>
          <w:color w:val="auto"/>
        </w:rPr>
        <w:t>Unobservable</w:t>
      </w:r>
    </w:p>
    <w:p>
      <w:pPr>
        <w:spacing w:after="0" w:line="9" w:lineRule="exact"/>
        <w:rPr>
          <w:sz w:val="20"/>
          <w:szCs w:val="20"/>
          <w:color w:val="auto"/>
        </w:rPr>
      </w:pPr>
    </w:p>
    <w:p>
      <w:pPr>
        <w:jc w:val="center"/>
        <w:ind w:left="9960"/>
        <w:spacing w:after="0"/>
        <w:rPr>
          <w:sz w:val="20"/>
          <w:szCs w:val="20"/>
          <w:color w:val="auto"/>
        </w:rPr>
      </w:pPr>
      <w:r>
        <w:rPr>
          <w:rFonts w:ascii="Arial" w:cs="Arial" w:eastAsia="Arial" w:hAnsi="Arial"/>
          <w:sz w:val="18"/>
          <w:szCs w:val="18"/>
          <w:b w:val="1"/>
          <w:bCs w:val="1"/>
          <w:color w:val="auto"/>
        </w:rPr>
        <w:t>Inputs</w:t>
      </w:r>
    </w:p>
    <w:p>
      <w:pPr>
        <w:spacing w:after="0" w:line="9" w:lineRule="exact"/>
        <w:rPr>
          <w:sz w:val="20"/>
          <w:szCs w:val="20"/>
          <w:color w:val="auto"/>
        </w:rPr>
      </w:pPr>
    </w:p>
    <w:p>
      <w:pPr>
        <w:jc w:val="center"/>
        <w:ind w:left="9960"/>
        <w:spacing w:after="0"/>
        <w:rPr>
          <w:sz w:val="20"/>
          <w:szCs w:val="20"/>
          <w:color w:val="auto"/>
        </w:rPr>
      </w:pPr>
      <w:r>
        <w:rPr>
          <w:rFonts w:ascii="Arial" w:cs="Arial" w:eastAsia="Arial" w:hAnsi="Arial"/>
          <w:sz w:val="18"/>
          <w:szCs w:val="18"/>
          <w:b w:val="1"/>
          <w:bCs w:val="1"/>
          <w:color w:val="auto"/>
        </w:rPr>
        <w:t>(Level 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40"/>
              <w:spacing w:after="0" w:line="205" w:lineRule="exact"/>
              <w:rPr>
                <w:sz w:val="20"/>
                <w:szCs w:val="20"/>
                <w:color w:val="auto"/>
              </w:rPr>
            </w:pPr>
            <w:r>
              <w:rPr>
                <w:rFonts w:ascii="Arial" w:cs="Arial" w:eastAsia="Arial" w:hAnsi="Arial"/>
                <w:sz w:val="18"/>
                <w:szCs w:val="18"/>
                <w:b w:val="1"/>
                <w:bCs w:val="1"/>
                <w:color w:val="auto"/>
              </w:rPr>
              <w:t>Warrant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Liability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Mark to market loss included in net loss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1,894,700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Elimination of liability upon modification of warrants</w:t>
            </w:r>
          </w:p>
        </w:tc>
        <w:tc>
          <w:tcPr>
            <w:tcW w:w="3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September 30, 2015</w:t>
            </w: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vMerge w:val="restart"/>
          </w:tcPr>
          <w:p>
            <w:pPr>
              <w:ind w:left="640"/>
              <w:spacing w:after="0"/>
              <w:rPr>
                <w:sz w:val="20"/>
                <w:szCs w:val="20"/>
                <w:color w:val="auto"/>
              </w:rPr>
            </w:pPr>
            <w:r>
              <w:rPr>
                <w:rFonts w:ascii="Arial" w:cs="Arial" w:eastAsia="Arial" w:hAnsi="Arial"/>
                <w:sz w:val="18"/>
                <w:szCs w:val="18"/>
                <w:color w:val="auto"/>
              </w:rPr>
              <w:t>We carried no assets or other liabilities at fair value at September 30, 2015 or March 31, 2015.</w:t>
            </w: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Note 5. Prepaid Expenses and Other Current Assets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140" w:type="dxa"/>
            <w:vAlign w:val="bottom"/>
            <w:gridSpan w:val="2"/>
          </w:tcPr>
          <w:p>
            <w:pPr>
              <w:ind w:left="640"/>
              <w:spacing w:after="0"/>
              <w:rPr>
                <w:sz w:val="20"/>
                <w:szCs w:val="20"/>
                <w:color w:val="auto"/>
              </w:rPr>
            </w:pPr>
            <w:r>
              <w:rPr>
                <w:rFonts w:ascii="Arial" w:cs="Arial" w:eastAsia="Arial" w:hAnsi="Arial"/>
                <w:sz w:val="18"/>
                <w:szCs w:val="18"/>
                <w:color w:val="auto"/>
                <w:w w:val="89"/>
              </w:rPr>
              <w:t>Prepaid expenses and other current assets are composed of the following at September 30, 2015 and March 31, 2015:</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Prepaid compensation under financial advisory and other consulting agreements</w:t>
            </w: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1,012,500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Legal fees</w:t>
            </w: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
              <w:spacing w:after="0"/>
              <w:rPr>
                <w:sz w:val="20"/>
                <w:szCs w:val="20"/>
                <w:color w:val="auto"/>
              </w:rPr>
            </w:pPr>
            <w:r>
              <w:rPr>
                <w:rFonts w:ascii="Arial" w:cs="Arial" w:eastAsia="Arial" w:hAnsi="Arial"/>
                <w:sz w:val="18"/>
                <w:szCs w:val="18"/>
                <w:color w:val="auto"/>
              </w:rPr>
              <w:t>Technology license fees and all other</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1,103,400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Note 6. Accrued Expenses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Accrued expenses are composed of the following at September 30, 2015 and March 31, 2015:</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343,700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767,800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340" w:type="dxa"/>
            <w:vAlign w:val="bottom"/>
          </w:tcPr>
          <w:p>
            <w:pPr>
              <w:jc w:val="right"/>
              <w:ind w:right="1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1,130,900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1,206,500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line="5" w:lineRule="exact"/>
        <w:rPr>
          <w:sz w:val="20"/>
          <w:szCs w:val="20"/>
          <w:color w:val="auto"/>
        </w:rPr>
      </w:pPr>
    </w:p>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Convertible Promissory Notes and Other Notes Payable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our secured and unsecured convertible promissory notes and other notes payable at September 30, 2015 and March 31,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89"/>
              </w:rPr>
              <w:t>September 30, 2015</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3"/>
              </w:rPr>
              <w:t>March 31, 2015</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310"/>
              <w:spacing w:after="0" w:line="201" w:lineRule="exact"/>
              <w:rPr>
                <w:sz w:val="20"/>
                <w:szCs w:val="20"/>
                <w:color w:val="auto"/>
              </w:rPr>
            </w:pPr>
            <w:r>
              <w:rPr>
                <w:rFonts w:ascii="Arial" w:cs="Arial" w:eastAsia="Arial" w:hAnsi="Arial"/>
                <w:sz w:val="18"/>
                <w:szCs w:val="18"/>
                <w:color w:val="auto"/>
              </w:rPr>
              <w:t>Principal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0"/>
              </w:rPr>
              <w:t>Accrued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Principal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3"/>
              </w:rPr>
              <w:t>Accrued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5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Interest</w:t>
            </w:r>
          </w:p>
        </w:tc>
        <w:tc>
          <w:tcPr>
            <w:tcW w:w="24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Balance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Interest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Senior Secured 10% Convertible</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b w:val="1"/>
                <w:bCs w:val="1"/>
                <w:i w:val="1"/>
                <w:iCs w:val="1"/>
                <w:color w:val="auto"/>
                <w:w w:val="96"/>
              </w:rPr>
              <w:t>Promissory Notes issued to Platinum:</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Total Senior notes issued between</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October 11, 2012 and July 23, 2013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3,522,600</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919,700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(3,272,600)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(873,500)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(4,146,100)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notes - non-current portion</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w w:val="95"/>
              </w:rPr>
              <w:t>10% Convertible Promissory Notes (Unit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Notes)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2014 Unit Notes, including amended</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due 3/31/15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4,066,900</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270,700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4,337,600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Note discounts</w:t>
            </w:r>
          </w:p>
        </w:tc>
        <w:tc>
          <w:tcPr>
            <w:tcW w:w="160" w:type="dxa"/>
            <w:vAlign w:val="bottom"/>
          </w:tcPr>
          <w:p>
            <w:pPr>
              <w:spacing w:after="0"/>
              <w:rPr>
                <w:sz w:val="19"/>
                <w:szCs w:val="19"/>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convertible notes (all current at</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March 31, 2015)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3,886,900</w:t>
            </w:r>
          </w:p>
        </w:tc>
        <w:tc>
          <w:tcPr>
            <w:tcW w:w="12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270,700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4,157,600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i w:val="1"/>
                <w:iCs w:val="1"/>
                <w:color w:val="auto"/>
              </w:rPr>
              <w:t>Notes Payable to unrelated parties: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w w:val="97"/>
              </w:rPr>
              <w:t>7.5% Notes payable to service providers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w w:val="93"/>
              </w:rPr>
              <w:t>for accounts payable converted to notes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payable: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Burr, Pilger, Mayer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90,400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80"/>
              <w:spacing w:after="0"/>
              <w:rPr>
                <w:sz w:val="20"/>
                <w:szCs w:val="20"/>
                <w:color w:val="auto"/>
              </w:rPr>
            </w:pPr>
            <w:r>
              <w:rPr>
                <w:rFonts w:ascii="Arial" w:cs="Arial" w:eastAsia="Arial" w:hAnsi="Arial"/>
                <w:sz w:val="18"/>
                <w:szCs w:val="18"/>
                <w:color w:val="auto"/>
              </w:rPr>
              <w:t>Desjardins</w:t>
            </w:r>
          </w:p>
        </w:tc>
        <w:tc>
          <w:tcPr>
            <w:tcW w:w="1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156,300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McCarthy Tetrault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319,700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60"/>
              <w:spacing w:after="0" w:line="201" w:lineRule="exact"/>
              <w:rPr>
                <w:sz w:val="20"/>
                <w:szCs w:val="20"/>
                <w:color w:val="auto"/>
              </w:rPr>
            </w:pPr>
            <w:r>
              <w:rPr>
                <w:rFonts w:ascii="Arial" w:cs="Arial" w:eastAsia="Arial" w:hAnsi="Arial"/>
                <w:sz w:val="18"/>
                <w:szCs w:val="18"/>
                <w:color w:val="auto"/>
              </w:rPr>
              <w:t>August 2012 Morrison &amp; Foerster</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Note A</w:t>
            </w:r>
          </w:p>
        </w:tc>
        <w:tc>
          <w:tcPr>
            <w:tcW w:w="16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918,200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193,200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1,111,400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August 2012 Morrison &amp; Foerster</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 B</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1,379,400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333,100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80"/>
              <w:spacing w:after="0"/>
              <w:rPr>
                <w:sz w:val="20"/>
                <w:szCs w:val="20"/>
                <w:color w:val="auto"/>
              </w:rPr>
            </w:pPr>
            <w:r>
              <w:rPr>
                <w:rFonts w:ascii="Arial" w:cs="Arial" w:eastAsia="Arial" w:hAnsi="Arial"/>
                <w:sz w:val="18"/>
                <w:szCs w:val="18"/>
                <w:color w:val="auto"/>
              </w:rPr>
              <w:t>University Health Network</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549,500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651,300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Note discount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(474,500)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(474,500)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3,650,300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less: current portion (and discount at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March 31, 2015)</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(2,939,000)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(711,300)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(3,650,300)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portion and discount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5.67% and 10.25% Notes payable to</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insurance premium financing company</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36,400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10% Notes payable to vendors for</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converted to notes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payable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26,300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378,300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(6,400)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(32,700)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(378,300)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(51,500)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(429,800)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portion</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7.0% Note payable (August 2012)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58,800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(9,900)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(37,300)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(23,200)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(7,900)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7.0% Notes payable - non-current portion</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w:t>
            </w:r>
          </w:p>
        </w:tc>
        <w:tc>
          <w:tcPr>
            <w:tcW w:w="1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Total notes payable to unrelated parties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121,500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137,800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3,381,900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770,700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4,152,600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less: current portion (and discount at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March 31, 2015)</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(16,300)</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(106,400)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(3,346,300)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(770,700)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(4,117,000)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non-current portion</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w:t>
            </w:r>
          </w:p>
        </w:tc>
        <w:tc>
          <w:tcPr>
            <w:tcW w:w="1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i w:val="1"/>
                <w:iCs w:val="1"/>
                <w:color w:val="auto"/>
              </w:rPr>
              <w:t>Notes payable to related parties: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October 2012 7.5% Note to Cato Holding</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293,600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October 2012 7.5% Note to Cato</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Research Ltd.</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1,009,000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204,800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1,213,800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1,302,600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260,700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1,563,300</w:t>
            </w:r>
          </w:p>
        </w:tc>
        <w:tc>
          <w:tcPr>
            <w:tcW w:w="0" w:type="dxa"/>
            <w:vAlign w:val="bottom"/>
          </w:tcPr>
          <w:p>
            <w:pPr>
              <w:spacing w:after="0"/>
              <w:rPr>
                <w:sz w:val="1"/>
                <w:szCs w:val="1"/>
                <w:color w:val="auto"/>
              </w:rPr>
            </w:pPr>
          </w:p>
        </w:tc>
      </w:tr>
    </w:tbl>
    <w:p>
      <w:pPr>
        <w:sectPr>
          <w:pgSz w:w="11900" w:h="16843" w:orient="portrait"/>
          <w:cols w:equalWidth="0" w:num="1">
            <w:col w:w="11420"/>
          </w:cols>
          <w:pgMar w:left="240" w:top="130"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Note discount</w:t>
            </w:r>
          </w:p>
        </w:tc>
        <w:tc>
          <w:tcPr>
            <w:tcW w:w="580" w:type="dxa"/>
            <w:vAlign w:val="bottom"/>
          </w:tcPr>
          <w:p>
            <w:pPr>
              <w:spacing w:after="0"/>
              <w:rPr>
                <w:sz w:val="20"/>
                <w:szCs w:val="20"/>
                <w:color w:val="auto"/>
              </w:rPr>
            </w:pPr>
          </w:p>
        </w:tc>
        <w:tc>
          <w:tcPr>
            <w:tcW w:w="580" w:type="dxa"/>
            <w:vAlign w:val="bottom"/>
          </w:tcPr>
          <w:p>
            <w:pPr>
              <w:ind w:left="5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ind w:left="50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(54,500)</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(54,500)</w:t>
            </w:r>
          </w:p>
        </w:tc>
      </w:tr>
      <w:tr>
        <w:trPr>
          <w:trHeight w:val="27"/>
        </w:trPr>
        <w:tc>
          <w:tcPr>
            <w:tcW w:w="3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notes payable to related parties</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1,248,100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260,700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1,508,800</w:t>
            </w:r>
          </w:p>
        </w:tc>
      </w:tr>
      <w:tr>
        <w:trPr>
          <w:trHeight w:val="27"/>
        </w:trPr>
        <w:tc>
          <w:tcPr>
            <w:tcW w:w="334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less: current portion</w:t>
            </w:r>
          </w:p>
        </w:tc>
        <w:tc>
          <w:tcPr>
            <w:tcW w:w="580" w:type="dxa"/>
            <w:vAlign w:val="bottom"/>
          </w:tcPr>
          <w:p>
            <w:pPr>
              <w:spacing w:after="0"/>
              <w:rPr>
                <w:sz w:val="18"/>
                <w:szCs w:val="18"/>
                <w:color w:val="auto"/>
              </w:rPr>
            </w:pPr>
          </w:p>
        </w:tc>
        <w:tc>
          <w:tcPr>
            <w:tcW w:w="580" w:type="dxa"/>
            <w:vAlign w:val="bottom"/>
          </w:tcPr>
          <w:p>
            <w:pPr>
              <w:ind w:left="5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ind w:left="50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(1,248,100)</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(260,700)</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(1,508,800)</w:t>
            </w:r>
          </w:p>
        </w:tc>
      </w:tr>
      <w:tr>
        <w:trPr>
          <w:trHeight w:val="27"/>
        </w:trPr>
        <w:tc>
          <w:tcPr>
            <w:tcW w:w="3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portion and discount</w:t>
            </w: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3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10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Between March 31, 2015 and September 30, 2015, we have extinguished the outstanding balances of approximately $17.2 million of indebtedness, including all secured promissory notes, substantially all unsecured promissory notes, other indebtedness, and certain adjustments thereto, that were either due and payable or would have become due and payable prior to March 31, 2016, by converting such indebtedness into shares of our Series B Preferred. Significant changes in and conversions of our convertible promissory notes and other promissory notes since March 31, 2015 are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Convertible Notes Issued in Connection with 2014 Unit Private Placement</w:t>
      </w:r>
    </w:p>
    <w:p>
      <w:pPr>
        <w:spacing w:after="0" w:line="25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As described more completely in the section entitled </w:t>
      </w:r>
      <w:r>
        <w:rPr>
          <w:rFonts w:ascii="Arial" w:cs="Arial" w:eastAsia="Arial" w:hAnsi="Arial"/>
          <w:sz w:val="16"/>
          <w:szCs w:val="16"/>
          <w:i w:val="1"/>
          <w:iCs w:val="1"/>
          <w:color w:val="auto"/>
        </w:rPr>
        <w:t>2014 Unit Private Placement</w:t>
      </w:r>
      <w:r>
        <w:rPr>
          <w:rFonts w:ascii="Arial" w:cs="Arial" w:eastAsia="Arial" w:hAnsi="Arial"/>
          <w:sz w:val="16"/>
          <w:szCs w:val="16"/>
          <w:color w:val="auto"/>
        </w:rPr>
        <w:t xml:space="preserve"> in Note 8,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between April 1, 2015 and May 14, 2015, we issued to accredited investors in self-placed private placement transactions 10% convertible notes (the </w:t>
      </w:r>
      <w:r>
        <w:rPr>
          <w:rFonts w:ascii="Arial" w:cs="Arial" w:eastAsia="Arial" w:hAnsi="Arial"/>
          <w:sz w:val="16"/>
          <w:szCs w:val="16"/>
          <w:i w:val="1"/>
          <w:iCs w:val="1"/>
          <w:color w:val="auto"/>
        </w:rPr>
        <w:t>2014Unit Notes</w:t>
      </w:r>
      <w:r>
        <w:rPr>
          <w:rFonts w:ascii="Arial" w:cs="Arial" w:eastAsia="Arial" w:hAnsi="Arial"/>
          <w:sz w:val="16"/>
          <w:szCs w:val="16"/>
          <w:color w:val="auto"/>
        </w:rPr>
        <w:t>) in the aggregate face amount of $280,000. The 2014 Unit Notes issued in April and May 2015 represented a continuation of the 2014 Unit Private Placement pursuant to which we had issued in self-placed private placement transactions to accredited investors an aggregate of $3,113,500 principal amount of substantially similar notes between late-March 2014 and March 31, 2015. The 2014 Unit Notes matured between April 30, 2015 and May 15, 2015 (</w:t>
      </w:r>
      <w:r>
        <w:rPr>
          <w:rFonts w:ascii="Arial" w:cs="Arial" w:eastAsia="Arial" w:hAnsi="Arial"/>
          <w:sz w:val="16"/>
          <w:szCs w:val="16"/>
          <w:i w:val="1"/>
          <w:iCs w:val="1"/>
          <w:color w:val="auto"/>
        </w:rPr>
        <w:t>Maturity</w:t>
      </w:r>
      <w:r>
        <w:rPr>
          <w:rFonts w:ascii="Arial" w:cs="Arial" w:eastAsia="Arial" w:hAnsi="Arial"/>
          <w:sz w:val="16"/>
          <w:szCs w:val="16"/>
          <w:color w:val="auto"/>
        </w:rPr>
        <w:t xml:space="preserve">) and the outstanding principal of the 2014 Unit Notes and their related accrued interest (the </w:t>
      </w:r>
      <w:r>
        <w:rPr>
          <w:rFonts w:ascii="Arial" w:cs="Arial" w:eastAsia="Arial" w:hAnsi="Arial"/>
          <w:sz w:val="16"/>
          <w:szCs w:val="16"/>
          <w:i w:val="1"/>
          <w:iCs w:val="1"/>
          <w:color w:val="auto"/>
        </w:rPr>
        <w:t>Outstanding Balance</w:t>
      </w:r>
      <w:r>
        <w:rPr>
          <w:rFonts w:ascii="Arial" w:cs="Arial" w:eastAsia="Arial" w:hAnsi="Arial"/>
          <w:sz w:val="16"/>
          <w:szCs w:val="16"/>
          <w:color w:val="auto"/>
        </w:rPr>
        <w:t xml:space="preserve">) was convertible into shares of our common stock at a conversion price of $10.00 per share at or prior to Maturity, at the option of the accredited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6"/>
          <w:szCs w:val="16"/>
          <w:i w:val="1"/>
          <w:iCs w:val="1"/>
          <w:color w:val="auto"/>
        </w:rPr>
        <w:t>Qualified Financing</w:t>
      </w:r>
      <w:r>
        <w:rPr>
          <w:rFonts w:ascii="Arial" w:cs="Arial" w:eastAsia="Arial" w:hAnsi="Arial"/>
          <w:sz w:val="16"/>
          <w:szCs w:val="16"/>
          <w:color w:val="auto"/>
        </w:rPr>
        <w:t>), the Outstanding Balance of the 2014 Unit Notes would automatically convert into securities substantially similar to those sold in the Qualified Financing, based on the following formula:</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(the Outstanding Balance as of the closing of the Qualified Financing) x 1.25 / (the per security price of the securities sold in the Qualified Financing).</w:t>
      </w:r>
    </w:p>
    <w:p>
      <w:pPr>
        <w:spacing w:after="0" w:line="2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allocated the proceeds from the self-placed private placement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contained an embedded conversion feature having intrinsic value at the issuance date, which value we treated as an additional discount attributable to those 2014 Unit Notes, subject to limitations on the absolute amount of discount attributable to each 2014 Unit Note. We recorded a corresponding credit to additional paid-in capital, an equity account, attributable to the beneficial conversion feature. We amortized the discounts attributable to the 2014 Unit Notes issued in April and May 2015, an aggregate of $277,200, using the effective interest method over the respective term of each 2014 Unit Note. Because the discount on each of these 2014 Unit Notes represented 99% of its initial face value, and because we were required to amortize such discount over the period from issuance to maturity, which was no more than two months for these notes, the calculated effective interest rate is extremely high. Based on the amounts of their respective discounts and the term between issuance and maturity, the effective interest rates attributable to the 2014 Unit Notes issued in April and May 2015 are in excess of 10,000%.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Senior Secured 10% Convertible Promissory Notes issued to Platinum into Series B Preferred</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As described more completely in Note 8, </w:t>
      </w:r>
      <w:r>
        <w:rPr>
          <w:rFonts w:ascii="Arial" w:cs="Arial" w:eastAsia="Arial" w:hAnsi="Arial"/>
          <w:sz w:val="17"/>
          <w:szCs w:val="17"/>
          <w:i w:val="1"/>
          <w:iCs w:val="1"/>
          <w:color w:val="auto"/>
        </w:rPr>
        <w:t>Capital Stock</w:t>
      </w:r>
      <w:r>
        <w:rPr>
          <w:rFonts w:ascii="Arial" w:cs="Arial" w:eastAsia="Arial" w:hAnsi="Arial"/>
          <w:sz w:val="17"/>
          <w:szCs w:val="17"/>
          <w:color w:val="auto"/>
        </w:rPr>
        <w:t>, effective on May 12, 2015, we entered in to a broad strategic agreement with Platinum (</w:t>
      </w:r>
      <w:r>
        <w:rPr>
          <w:rFonts w:ascii="Arial" w:cs="Arial" w:eastAsia="Arial" w:hAnsi="Arial"/>
          <w:sz w:val="17"/>
          <w:szCs w:val="17"/>
          <w:i w:val="1"/>
          <w:iCs w:val="1"/>
          <w:color w:val="auto"/>
        </w:rPr>
        <w:t>Platinum Agreement</w:t>
      </w:r>
      <w:r>
        <w:rPr>
          <w:rFonts w:ascii="Arial" w:cs="Arial" w:eastAsia="Arial" w:hAnsi="Arial"/>
          <w:sz w:val="17"/>
          <w:szCs w:val="17"/>
          <w:color w:val="auto"/>
        </w:rPr>
        <w:t>) pursuant to which Platinum, among other things, converted the $4,489,300 outstanding balance (principal and accrued interest) of the Senior Secured Notes having maturity dates between October 2015 and July 2016 into 641,335 shares of our Series B Preferred. We determined that the conversion of the Senior Secured Notes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Senior Secured Notes was equal to the market value of a share of our common stock on the conversion date. Based on the $10.00 per share fair value of the Series B Preferred at the date the Senior Secured Notes were converted, we issued Series B Preferred having an aggregate fair value of $6,413,300 to Platinum. Accordingly, we recognized a non-cash loss on the extinguishment of debt of $1,924,000 in the quarter ended June 30, 2015, as reflected in the accompanying Condensed Consolidated Statement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2014 Unit Notes into Series B Preferred</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Pursuant to the Platinum Agreement, Platinum also converted the $1,345,700 outstanding balance of the 2014 Unit Notes originally issued by us to Platinum that had matured on March 31, 2015 (</w:t>
      </w:r>
      <w:r>
        <w:rPr>
          <w:rFonts w:ascii="Arial" w:cs="Arial" w:eastAsia="Arial" w:hAnsi="Arial"/>
          <w:sz w:val="16"/>
          <w:szCs w:val="16"/>
          <w:i w:val="1"/>
          <w:iCs w:val="1"/>
          <w:color w:val="auto"/>
        </w:rPr>
        <w:t>Platinum Unit Notes</w:t>
      </w:r>
      <w:r>
        <w:rPr>
          <w:rFonts w:ascii="Arial" w:cs="Arial" w:eastAsia="Arial" w:hAnsi="Arial"/>
          <w:sz w:val="16"/>
          <w:szCs w:val="16"/>
          <w:color w:val="auto"/>
        </w:rPr>
        <w:t>) into shares of our Series B Preferred. Platinum additionally agreed to acquire and convert into our Series B Preferred other 2014 Unit Notes that had matured on March 31, 2015 originally issued to other investors having an aggregate outstanding balance of $1,487,900 (</w:t>
      </w:r>
      <w:r>
        <w:rPr>
          <w:rFonts w:ascii="Arial" w:cs="Arial" w:eastAsia="Arial" w:hAnsi="Arial"/>
          <w:sz w:val="16"/>
          <w:szCs w:val="16"/>
          <w:i w:val="1"/>
          <w:iCs w:val="1"/>
          <w:color w:val="auto"/>
        </w:rPr>
        <w:t>Acquired Unit Notes</w:t>
      </w:r>
      <w:r>
        <w:rPr>
          <w:rFonts w:ascii="Arial" w:cs="Arial" w:eastAsia="Arial" w:hAnsi="Arial"/>
          <w:sz w:val="16"/>
          <w:szCs w:val="16"/>
          <w:color w:val="auto"/>
        </w:rPr>
        <w:t>). Further, effective May 20, 2015, the holders of other 2014 Unit Notes that had matured on March 31, 2015 or shortly thereafter having an aggregate outstanding balance of $1,831,200 (</w:t>
      </w:r>
      <w:r>
        <w:rPr>
          <w:rFonts w:ascii="Arial" w:cs="Arial" w:eastAsia="Arial" w:hAnsi="Arial"/>
          <w:sz w:val="16"/>
          <w:szCs w:val="16"/>
          <w:i w:val="1"/>
          <w:iCs w:val="1"/>
          <w:color w:val="auto"/>
        </w:rPr>
        <w:t>Investor Unit Notes</w:t>
      </w:r>
      <w:r>
        <w:rPr>
          <w:rFonts w:ascii="Arial" w:cs="Arial" w:eastAsia="Arial" w:hAnsi="Arial"/>
          <w:sz w:val="16"/>
          <w:szCs w:val="16"/>
          <w:color w:val="auto"/>
        </w:rPr>
        <w:t xml:space="preserve">) individually converted such notes into our Series B Preferred. Consequently, the aggregate outstanding balance totaling $4,664,800 of all 2014 Unit Notes, including those issued in April and May 2015, was converted into shares of our Series B Preferred. We determined that the Series B Preferred Unit Offering, as described in Note 8, </w:t>
      </w:r>
      <w:r>
        <w:rPr>
          <w:rFonts w:ascii="Arial" w:cs="Arial" w:eastAsia="Arial" w:hAnsi="Arial"/>
          <w:sz w:val="16"/>
          <w:szCs w:val="16"/>
          <w:i w:val="1"/>
          <w:iCs w:val="1"/>
          <w:color w:val="auto"/>
        </w:rPr>
        <w:t>Capital Stock</w:t>
      </w:r>
      <w:r>
        <w:rPr>
          <w:rFonts w:ascii="Arial" w:cs="Arial" w:eastAsia="Arial" w:hAnsi="Arial"/>
          <w:sz w:val="16"/>
          <w:szCs w:val="16"/>
          <w:color w:val="auto"/>
        </w:rPr>
        <w:t>, would be treated as a Qualified Financing applicable to the 2014 Unit Notes, entitling the 2014 Unit Note holders at the time of conversion to the 25% Qualified Financing conversion premium under the terms of the 2014 Unit Notes. Accordingly, we issued in a self-placed private placement transaction an aggregate of 833,020 shares of our Series B Preferred and warrants to purchase an aggregate of 833,020 shares of our common stock upon the conversion of the outstanding balance of all 2014 Unit Notes, including an aggregate conversion premium of $1,166,200.</w:t>
      </w:r>
    </w:p>
    <w:p>
      <w:pPr>
        <w:spacing w:after="0" w:line="2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determined that the conversion of the 2014 Unit Notes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2014 Unit Notes was equal to the market value of a share of our common stock on the conversion dates. Based on the $10.00 per share fair value of the Series B Preferred at the date the Platinum Unit Notes and Acquired Unit Notes were converted and the $8.00 per share fair value of the Series B Preferred at the date the Investor Unit Notes were converted, we issued in a self-placed private placement transaction Series B Preferred having an aggregate fair value of $7,676,200 upon the conversions. We valued the warrants issued in connection with the 2014 Unit Note conversions at an aggregate of $5,168,400 using the Black Scholes option pricing model and the following assumptions: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Platinum Unit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9"/>
              </w:rPr>
              <w:t>Notes and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Acquired Unit</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6"/>
              </w:rPr>
              <w:t>Investor Unit</w:t>
            </w:r>
          </w:p>
        </w:tc>
        <w:tc>
          <w:tcPr>
            <w:tcW w:w="0" w:type="dxa"/>
            <w:vAlign w:val="bottom"/>
          </w:tcPr>
          <w:p>
            <w:pPr>
              <w:spacing w:after="0"/>
              <w:rPr>
                <w:sz w:val="1"/>
                <w:szCs w:val="1"/>
                <w:color w:val="auto"/>
              </w:rPr>
            </w:pPr>
          </w:p>
        </w:tc>
      </w:tr>
      <w:tr>
        <w:trPr>
          <w:trHeight w:val="234"/>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Notes</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Notes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conversion date</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7.00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Warrant shares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506,004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6.89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Nearly all of the 2014 Unit Notes contained a beneficial conversion feature at the time they were originally issued. We have accounted for the repurchase of the beneficial conversion feature at the time of the extinguishment and conversion, an aggregate of $2,237,100, as a reduction to the loss on extinguishment of debt in the accompanying Condensed Consolidated Statements of Operations and Comprehensive Loss, with a corresponding reduction to additional paid-in capital. In aggregate, we recognized a non-cash loss on extinguishment of debt attributable to the conversion of the 2014 Unit Notes in the amount of $5,942,700 in the quarter ended June 30, 2015, as reflected in the accompanying Condensed Consolidated Statement of Operations and Comprehensive Loss.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Promissory Note issued to University Health Network into Series B Preferred</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29, 2015, University Health Network (</w:t>
      </w:r>
      <w:r>
        <w:rPr>
          <w:rFonts w:ascii="Arial" w:cs="Arial" w:eastAsia="Arial" w:hAnsi="Arial"/>
          <w:sz w:val="17"/>
          <w:szCs w:val="17"/>
          <w:i w:val="1"/>
          <w:iCs w:val="1"/>
          <w:color w:val="auto"/>
        </w:rPr>
        <w:t>UHN</w:t>
      </w:r>
      <w:r>
        <w:rPr>
          <w:rFonts w:ascii="Arial" w:cs="Arial" w:eastAsia="Arial" w:hAnsi="Arial"/>
          <w:sz w:val="17"/>
          <w:szCs w:val="17"/>
          <w:color w:val="auto"/>
        </w:rPr>
        <w:t>) converted the entire $656,400 outstanding balance (principal and accrued interest) of our promissory note maturing on March 31, 2016 into 93,775 shares of our Series B Preferred. We determined that the conversion of the UHN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UHN note was equal to the market value of a share of our common stock on the conversion date. Based on the $10.00 per share fair value of the Series B Preferred at the date the UHN note was converted, we issued Series B Preferred having an aggregate fair value of $937,800 to UHN. After eliminating the remaining $27,500 of unamortized discount on the UHN note, we recognized a non-cash loss on the extinguishment of debt attributable to the conversion of the UHN Note of $308,900 in the quarter ended June 30, 2015, as reflected in the accompanying Condensed Consolidated Statement of Operations and Comprehensive Loss.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7" w:name="page18"/>
    <w:bookmarkEnd w:id="1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Conversion of Promissory Notes and Accounts Payable issued to Cato Holding Company (CHC) and Cato Research Ltd. (CRL) into Series B Preferred</w:t>
      </w:r>
    </w:p>
    <w:p>
      <w:pPr>
        <w:spacing w:after="0" w:line="27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On June 10, 2015, CHC, the parent company of CRL and a related party, converted the entire aggregate outstanding balance (principal and accrued interest) of $1,583,000 of our outstanding promissory notes issued to CHC and CRL and maturing on March 31, 2016 (together, the </w:t>
      </w:r>
      <w:r>
        <w:rPr>
          <w:rFonts w:ascii="Arial" w:cs="Arial" w:eastAsia="Arial" w:hAnsi="Arial"/>
          <w:sz w:val="17"/>
          <w:szCs w:val="17"/>
          <w:i w:val="1"/>
          <w:iCs w:val="1"/>
          <w:color w:val="auto"/>
        </w:rPr>
        <w:t>Cato Notes</w:t>
      </w:r>
      <w:r>
        <w:rPr>
          <w:rFonts w:ascii="Arial" w:cs="Arial" w:eastAsia="Arial" w:hAnsi="Arial"/>
          <w:sz w:val="17"/>
          <w:szCs w:val="17"/>
          <w:color w:val="auto"/>
        </w:rPr>
        <w:t>), plus an additional $171,300 of past due accounts payable to CRL and a strategic adjustment thereto (</w:t>
      </w:r>
      <w:r>
        <w:rPr>
          <w:rFonts w:ascii="Arial" w:cs="Arial" w:eastAsia="Arial" w:hAnsi="Arial"/>
          <w:sz w:val="17"/>
          <w:szCs w:val="17"/>
          <w:i w:val="1"/>
          <w:iCs w:val="1"/>
          <w:color w:val="auto"/>
        </w:rPr>
        <w:t>CRL Payables</w:t>
      </w:r>
      <w:r>
        <w:rPr>
          <w:rFonts w:ascii="Arial" w:cs="Arial" w:eastAsia="Arial" w:hAnsi="Arial"/>
          <w:sz w:val="17"/>
          <w:szCs w:val="17"/>
          <w:color w:val="auto"/>
        </w:rPr>
        <w:t>) into a total of 328,571 shares of our Series B Preferred. We determined that the conversion of the Cato Notes and the CRL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Cato Notes and CRL Payables was equal to the market value of a share of our common stock on the conversion date. Based on the $10.00 per share fair value of the Series B Preferred at the date the Cato Notes and CRL Payables were converted, we issued Series B Preferred having an aggregate fair value of $3,285,700 to CHC. As additional consideration for the conversion of the Cato Notes and the CRL Payables, we amended certain outstanding warrants held by CHC and CRL to purchase 12,500 and 60,691 restricted shares of our common stock, respectively, to reduce the exercise price thereof from $30.00 and $20.00 per share, respectively, to $7.00 per share. We calculated the fair value of the warrants immediately before and after the modifications and determined that the fair value of the warrants increased by $222,700. The warrants subject to the exercise price modifications were valued using the Black-Scholes Option Pricing Model and the following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Pre-modification</w:t>
            </w:r>
          </w:p>
        </w:tc>
        <w:tc>
          <w:tcPr>
            <w:tcW w:w="120" w:type="dxa"/>
            <w:vAlign w:val="bottom"/>
          </w:tcPr>
          <w:p>
            <w:pPr>
              <w:spacing w:after="0"/>
              <w:rPr>
                <w:sz w:val="20"/>
                <w:szCs w:val="20"/>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modification date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20.00 and $30.00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Dividend rate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2.44 and $1.57</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5.33</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eliminating the remaining unamortized discount of $46,000 attributable to the Cato Notes, we recognized a non-cash loss on the extinguishment of debt attributable to the conversion of the Cato Notes and CRL Payables of $1,800,100 in the quarter ended June 30, 2015, as reflected in the accompanying Condensed Consolidated Statement of Operations and Comprehensive Loss.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Promissory Note B issued to Morrison &amp; Foerster into Series B Preferred</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June 12, 2015, Morrison &amp; Foerster (</w:t>
      </w:r>
      <w:r>
        <w:rPr>
          <w:rFonts w:ascii="Arial" w:cs="Arial" w:eastAsia="Arial" w:hAnsi="Arial"/>
          <w:sz w:val="17"/>
          <w:szCs w:val="17"/>
          <w:i w:val="1"/>
          <w:iCs w:val="1"/>
          <w:color w:val="auto"/>
        </w:rPr>
        <w:t>M&amp;F</w:t>
      </w:r>
      <w:r>
        <w:rPr>
          <w:rFonts w:ascii="Arial" w:cs="Arial" w:eastAsia="Arial" w:hAnsi="Arial"/>
          <w:sz w:val="17"/>
          <w:szCs w:val="17"/>
          <w:color w:val="auto"/>
        </w:rPr>
        <w:t>) converted the entire aggregate outstanding balance (principal and accrued interest) of $1,735,500 of our August 2012 promissory Note B maturing on March 31, 2016 (</w:t>
      </w:r>
      <w:r>
        <w:rPr>
          <w:rFonts w:ascii="Arial" w:cs="Arial" w:eastAsia="Arial" w:hAnsi="Arial"/>
          <w:sz w:val="17"/>
          <w:szCs w:val="17"/>
          <w:i w:val="1"/>
          <w:iCs w:val="1"/>
          <w:color w:val="auto"/>
        </w:rPr>
        <w:t>M&amp;F Note B</w:t>
      </w:r>
      <w:r>
        <w:rPr>
          <w:rFonts w:ascii="Arial" w:cs="Arial" w:eastAsia="Arial" w:hAnsi="Arial"/>
          <w:sz w:val="17"/>
          <w:szCs w:val="17"/>
          <w:color w:val="auto"/>
        </w:rPr>
        <w:t>), plus an agreed strategic adjustment thereto into a total of 257,143 shares of our Series B Preferred. We determined that the conversion of M&amp;F Note B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M&amp;F Note B was equal to the market value of a share of our common stock on the conversion date. Based on the $10.00 per share fair value of the Series B Preferred at the date M&amp;F Note B was converted, we issued Series B Preferred having an aggregate fair value of $2,571,400 to M&amp;F. As additional consideration for the conversion of M&amp;F Note B, we amended two outstanding warrants held by M&amp;F to purchase an aggregate of 110,448 restricted shares of our common stock to reduce the exercise price of one of the warrants from $40.00 per share to $20.00 per share and to extend the term of both warrants from September 15, 2017 to September 15, 2019. We calculated the fair value of the warrants immediately before and after the modifications and determined that the fair value of the warrants increased by $244,200. The warrants subject to the exercise price and term modifications were valued using the Black-Scholes Option Pricing Model and the following assumptions: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Pre-modification</w:t>
            </w:r>
          </w:p>
        </w:tc>
        <w:tc>
          <w:tcPr>
            <w:tcW w:w="120" w:type="dxa"/>
            <w:vAlign w:val="bottom"/>
          </w:tcPr>
          <w:p>
            <w:pPr>
              <w:spacing w:after="0"/>
              <w:rPr>
                <w:sz w:val="20"/>
                <w:szCs w:val="20"/>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modification date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20.00 and $40.00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Dividend rate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2.39 and $1.04</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8" w:name="page19"/>
    <w:bookmarkEnd w:id="1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eliminating the remaining unamortized discount of $225,500 attributable to M&amp;F Note B, we recognized a non-cash loss on the extinguishment of debt attributable to the conversion of M&amp;F Note B of $1,305,600 in the quarter ended June 30, 2015, as reflected in the accompanying Condensed Consolidated Statement of Operations and Comprehensive Loss.</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its agreement to convert M&amp;F Note B into Series B Preferred, M&amp;F also agreed to withhold, through the later of (i) December 31, 2016 or (ii) our consummation of a registered public offering or a strategic transaction involving AV-101 in which, in either case, we received gross proceeds of at least $20.0 million, any and all action to collect amounts due under our August 2012 promissory Note A maturing on March 31, 2016 (</w:t>
      </w:r>
      <w:r>
        <w:rPr>
          <w:rFonts w:ascii="Arial" w:cs="Arial" w:eastAsia="Arial" w:hAnsi="Arial"/>
          <w:sz w:val="17"/>
          <w:szCs w:val="17"/>
          <w:i w:val="1"/>
          <w:iCs w:val="1"/>
          <w:color w:val="auto"/>
        </w:rPr>
        <w:t>M&amp;F Note A</w:t>
      </w:r>
      <w:r>
        <w:rPr>
          <w:rFonts w:ascii="Arial" w:cs="Arial" w:eastAsia="Arial" w:hAnsi="Arial"/>
          <w:sz w:val="17"/>
          <w:szCs w:val="17"/>
          <w:color w:val="auto"/>
        </w:rPr>
        <w:t>) and all past due amounts owed by us to M&amp;F in connection with professional services previously rendered by M&amp;F (</w:t>
      </w:r>
      <w:r>
        <w:rPr>
          <w:rFonts w:ascii="Arial" w:cs="Arial" w:eastAsia="Arial" w:hAnsi="Arial"/>
          <w:sz w:val="17"/>
          <w:szCs w:val="17"/>
          <w:i w:val="1"/>
          <w:iCs w:val="1"/>
          <w:color w:val="auto"/>
        </w:rPr>
        <w:t>M&amp;F Payables</w:t>
      </w:r>
      <w:r>
        <w:rPr>
          <w:rFonts w:ascii="Arial" w:cs="Arial" w:eastAsia="Arial" w:hAnsi="Arial"/>
          <w:sz w:val="17"/>
          <w:szCs w:val="17"/>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M&amp;F Note A and M&amp;F Payables into Series B Preferred</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a transaction to which we were not a party, M&amp;F sold M&amp;F Note A, which, at the time of the sale, had an outstanding balance (principal and accrued interest) of $1,149,000, as well as the M&amp;F Payables in the amount of $165,100, to two third-party accredited investors (the </w:t>
      </w:r>
      <w:r>
        <w:rPr>
          <w:rFonts w:ascii="Arial" w:cs="Arial" w:eastAsia="Arial" w:hAnsi="Arial"/>
          <w:sz w:val="16"/>
          <w:szCs w:val="16"/>
          <w:i w:val="1"/>
          <w:iCs w:val="1"/>
          <w:color w:val="auto"/>
        </w:rPr>
        <w:t>M&amp;F Note A Investors</w:t>
      </w:r>
      <w:r>
        <w:rPr>
          <w:rFonts w:ascii="Arial" w:cs="Arial" w:eastAsia="Arial" w:hAnsi="Arial"/>
          <w:sz w:val="16"/>
          <w:szCs w:val="16"/>
          <w:color w:val="auto"/>
        </w:rPr>
        <w:t>). On August 10, 2015, the M&amp;F Note A Investors converted M&amp;F Note A and the M&amp;F Payables into 192,628 shares of our Series B Preferred. We determined that the conversion of M&amp;F Note A and the M&amp;F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M&amp;F Note A and M&amp;F Payables was equal to the market value of a share of our common stock on the conversion date. Based on the $12.25 per share fair value of the Series B Preferred at the date M&amp;F Note A and the M&amp;F Payables were converted, we issued Series B Preferred having an aggregate fair value of $2,359,700 to the M&amp;F Note A Investors. After eliminating the remaining unamortized discount of $122,400 attributable to M&amp;F Note A, we recognized a non-cash loss on extinguishment of debt attributable to the conversion of M&amp;F Note A and the M&amp;F Payables of $1,168,000 in the quarter ended September 30, 2015, as reflected in the accompanying Condensed Consolidated Statement of Operations and Comprehensive Loss.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Promissory Note issued to McCarthy Tetrault into Series B Preferred</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June 18, 2015, McCarthy Tetrault (</w:t>
      </w:r>
      <w:r>
        <w:rPr>
          <w:rFonts w:ascii="Arial" w:cs="Arial" w:eastAsia="Arial" w:hAnsi="Arial"/>
          <w:sz w:val="16"/>
          <w:szCs w:val="16"/>
          <w:i w:val="1"/>
          <w:iCs w:val="1"/>
          <w:color w:val="auto"/>
        </w:rPr>
        <w:t>McCarthy</w:t>
      </w:r>
      <w:r>
        <w:rPr>
          <w:rFonts w:ascii="Arial" w:cs="Arial" w:eastAsia="Arial" w:hAnsi="Arial"/>
          <w:sz w:val="16"/>
          <w:szCs w:val="16"/>
          <w:color w:val="auto"/>
        </w:rPr>
        <w:t xml:space="preserve">) converted the entire $379,600 outstanding balance (principal and accrued interest) of our past due promissory note issued in May 2011, plus an additional $2,100 of past due accounts payable (together, the </w:t>
      </w:r>
      <w:r>
        <w:rPr>
          <w:rFonts w:ascii="Arial" w:cs="Arial" w:eastAsia="Arial" w:hAnsi="Arial"/>
          <w:sz w:val="16"/>
          <w:szCs w:val="16"/>
          <w:i w:val="1"/>
          <w:iCs w:val="1"/>
          <w:color w:val="auto"/>
        </w:rPr>
        <w:t>McCarthy Note</w:t>
      </w:r>
      <w:r>
        <w:rPr>
          <w:rFonts w:ascii="Arial" w:cs="Arial" w:eastAsia="Arial" w:hAnsi="Arial"/>
          <w:sz w:val="16"/>
          <w:szCs w:val="16"/>
          <w:color w:val="auto"/>
        </w:rPr>
        <w:t>), into 59,230 shares of our Series B Preferred. We determined that the conversion of the McCarthy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McCarthy Note was equal to the market value of a share of our common stock on the McCarthy Note conversion date. Based on the $14.00 per share fair value of the Series B Preferred at the date the McCarthy Note was converted, we issued Series B Preferred having an aggregate fair value of $829,200 to McCarthy. Accordingly, we recognized a non-cash loss on extinguishment of debt attributable to the conversion of the McCarthy Note of $447,500 in the quarter ended June 30, 2015 in the accompanying Condensed Consolidated Statement of Operations and Comprehensive Loss.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Promissory Note issued to Burr Pilger &amp; Mayer into Series B Preferred</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On June 24, 2015, Burr Pilger &amp; Mayer </w:t>
      </w:r>
      <w:r>
        <w:rPr>
          <w:rFonts w:ascii="Arial" w:cs="Arial" w:eastAsia="Arial" w:hAnsi="Arial"/>
          <w:sz w:val="17"/>
          <w:szCs w:val="17"/>
          <w:i w:val="1"/>
          <w:iCs w:val="1"/>
          <w:color w:val="auto"/>
        </w:rPr>
        <w:t>(Burr)</w:t>
      </w:r>
      <w:r>
        <w:rPr>
          <w:rFonts w:ascii="Arial" w:cs="Arial" w:eastAsia="Arial" w:hAnsi="Arial"/>
          <w:sz w:val="17"/>
          <w:szCs w:val="17"/>
          <w:color w:val="auto"/>
        </w:rPr>
        <w:t xml:space="preserve"> converted the entire $105,200 outstanding balance (principal and accrued interest) of our past due promissory note issued in May 2011, plus an additional $17,900 of past due accounts payable (together, the </w:t>
      </w:r>
      <w:r>
        <w:rPr>
          <w:rFonts w:ascii="Arial" w:cs="Arial" w:eastAsia="Arial" w:hAnsi="Arial"/>
          <w:sz w:val="17"/>
          <w:szCs w:val="17"/>
          <w:i w:val="1"/>
          <w:iCs w:val="1"/>
          <w:color w:val="auto"/>
        </w:rPr>
        <w:t>Burr Note</w:t>
      </w:r>
      <w:r>
        <w:rPr>
          <w:rFonts w:ascii="Arial" w:cs="Arial" w:eastAsia="Arial" w:hAnsi="Arial"/>
          <w:sz w:val="17"/>
          <w:szCs w:val="17"/>
          <w:color w:val="auto"/>
        </w:rPr>
        <w:t>), into 21,429 shares of our Series B Preferred. We determined that the conversion of the Burr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Burr Note was equal to the market value of a share of our common stock on the note conversion date. Based on the $16.50 per share fair value of the Series B Preferred at the date the Burr Note was converted, we issued Series B Preferred having an aggregate fair value of $353,600 to Burr. Accordingly, we recognized a non-cash loss on the extinguishment of debt attributable to the conversion of the Burr Note of $230,500 in the quarter ended June 30, 2015, as reflected in the accompanying Condensed Consolidated Statement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Promissory Note and Accounts Payable Issued to Icahn School of Medicine at Mount Sinai into Series B Preferred</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June 26, 2015, Icahn School of Medicine at Mount Sinai (</w:t>
      </w:r>
      <w:r>
        <w:rPr>
          <w:rFonts w:ascii="Arial" w:cs="Arial" w:eastAsia="Arial" w:hAnsi="Arial"/>
          <w:sz w:val="16"/>
          <w:szCs w:val="16"/>
          <w:i w:val="1"/>
          <w:iCs w:val="1"/>
          <w:color w:val="auto"/>
        </w:rPr>
        <w:t>ISMMS</w:t>
      </w:r>
      <w:r>
        <w:rPr>
          <w:rFonts w:ascii="Arial" w:cs="Arial" w:eastAsia="Arial" w:hAnsi="Arial"/>
          <w:sz w:val="16"/>
          <w:szCs w:val="16"/>
          <w:color w:val="auto"/>
        </w:rPr>
        <w:t>) converted the entire $270,400 outstanding balance (principal and accrued interest) of our past due April 2014 promissory note into a total of 40,000 shares of our Series B Preferred. We determined that the conversion of the ISMMS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ISMMS note was equal to the market value of a share of our common stock on the conversion date. Based on the $16.00 per share fair value of the Series B Preferred at the date the note was converted, we issued Series B Preferred having an aggregate fair value of $640,000 to ISMMS. As additional consideration for the conversion of the ISMMS note, we amended an outstanding warrant held by ISMMS to purchase 15,000 restricted shares of our common stock to reduce the exercise price from $10.00 per share to $7.00 per share. We calculated the fair value of the warrant immediately before and after the modification and determined that the fair value of the warrant increased by $16,600. The warrant subject to the exercise price modification was valued using the Black-Scholes Option Pricing Model and the following assumptions: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Pre-modification</w:t>
            </w:r>
          </w:p>
        </w:tc>
        <w:tc>
          <w:tcPr>
            <w:tcW w:w="120" w:type="dxa"/>
            <w:vAlign w:val="bottom"/>
          </w:tcPr>
          <w:p>
            <w:pPr>
              <w:spacing w:after="0"/>
              <w:rPr>
                <w:sz w:val="20"/>
                <w:szCs w:val="20"/>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modification date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Dividend rate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10.48</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11.60</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recognized a non-cash loss on extinguishment of debt attributable to the conversion of ISMMS note of $386,200 in the quarter ended June 30, 2015 in the accompanying Condensed Consolidated Statement of Operations and Comprehensive Loss.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13, 2015, ISMMS also converted accounts payable in the amount of $19,100 (</w:t>
      </w:r>
      <w:r>
        <w:rPr>
          <w:rFonts w:ascii="Arial" w:cs="Arial" w:eastAsia="Arial" w:hAnsi="Arial"/>
          <w:sz w:val="18"/>
          <w:szCs w:val="18"/>
          <w:i w:val="1"/>
          <w:iCs w:val="1"/>
          <w:color w:val="auto"/>
        </w:rPr>
        <w:t>ISMMS Payables</w:t>
      </w:r>
      <w:r>
        <w:rPr>
          <w:rFonts w:ascii="Arial" w:cs="Arial" w:eastAsia="Arial" w:hAnsi="Arial"/>
          <w:sz w:val="18"/>
          <w:szCs w:val="18"/>
          <w:color w:val="auto"/>
        </w:rPr>
        <w:t>) into an additional 3,000 shares of our Series B Preferred. We determined that the conversion of the ISMMS Payables into Series B Preferred should also be accounted for as an extinguishment of debt. Based on the $12.00 per share fair value of the Series B Preferred at the date the ISMMS Payables were converted, we issued Series B Preferred having an aggregate fair value of $36,000 to ISMMS. Accordingly, we recognized a non-cash loss on the extinguishment of debt attributable to the conversion of the ISMMS Payables of $16,900 in the quarter ended September 30, 2015 in the accompanying Condensed Consolidated Statement of Operations and Comprehensive Loss.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Promissory Note issued to National Jewish Health into Series B Preferred</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June 29, 2015, National Jewish Health (</w:t>
      </w:r>
      <w:r>
        <w:rPr>
          <w:rFonts w:ascii="Arial" w:cs="Arial" w:eastAsia="Arial" w:hAnsi="Arial"/>
          <w:sz w:val="16"/>
          <w:szCs w:val="16"/>
          <w:i w:val="1"/>
          <w:iCs w:val="1"/>
          <w:color w:val="auto"/>
        </w:rPr>
        <w:t>NJH</w:t>
      </w:r>
      <w:r>
        <w:rPr>
          <w:rFonts w:ascii="Arial" w:cs="Arial" w:eastAsia="Arial" w:hAnsi="Arial"/>
          <w:sz w:val="16"/>
          <w:szCs w:val="16"/>
          <w:color w:val="auto"/>
        </w:rPr>
        <w:t>) converted the entire $115,000 outstanding balance (principal and accrued interest) of our past due promissory note into 17,857 shares of our Series B Preferred. We determined that the conversion of the NJH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NJH note was equal to the market value of a share of our common stock on the conversion date. Based on the $15.00 per share fair value of the Series B Preferred at the date the NJH note was converted, we issued Series B Preferred having an aggregate fair value of $267,900 to NJH. Accordingly, we recognized a non-cash loss on the extinguishment of debt attributable to the conversion of the NJH note of $152,900 in the quarter ended June 30, 2015, as reflected in the accompanying Condensed Consolidated Statement of Operations and Comprehensive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Promissory Note issued to Desjardins Securities into Series B Preferred</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On July 2, 2015, Desjardins Securities </w:t>
      </w:r>
      <w:r>
        <w:rPr>
          <w:rFonts w:ascii="Arial" w:cs="Arial" w:eastAsia="Arial" w:hAnsi="Arial"/>
          <w:sz w:val="16"/>
          <w:szCs w:val="16"/>
          <w:i w:val="1"/>
          <w:iCs w:val="1"/>
          <w:color w:val="auto"/>
        </w:rPr>
        <w:t>(Desjardins</w:t>
      </w:r>
      <w:r>
        <w:rPr>
          <w:rFonts w:ascii="Arial" w:cs="Arial" w:eastAsia="Arial" w:hAnsi="Arial"/>
          <w:sz w:val="16"/>
          <w:szCs w:val="16"/>
          <w:color w:val="auto"/>
        </w:rPr>
        <w:t>) converted the entire $187,400 outstanding balance (principal and accrued interest) of our past due promissory note into 32,143 shares of our Series B Preferred. We determined that the conversion of the Desjardins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Desjardins note was equal to the market value of a share of our common stock on the conversion date. Based on the $14.00 per share fair value of the Series B Preferred at the date the Desjardins note was converted, we issued Series B Preferred having an aggregate fair value of $450,000 to Desjardins. Accordingly, we recognized a non-cash loss on extinguishment of the debt attributable to the conversion of the Desjardins note of $262,600 in the quarter ended September 30, 2015 as reflected in the accompanying Condensed Consolidated Statement of Operations and Comprehensive Loss.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20" w:name="page21"/>
    <w:bookmarkEnd w:id="2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Promissory Note and Accounts Payable issued to MicroConstants into Series B Preferred</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July 6, 2015, MicroConstants, Inc. (</w:t>
      </w:r>
      <w:r>
        <w:rPr>
          <w:rFonts w:ascii="Arial" w:cs="Arial" w:eastAsia="Arial" w:hAnsi="Arial"/>
          <w:sz w:val="16"/>
          <w:szCs w:val="16"/>
          <w:i w:val="1"/>
          <w:iCs w:val="1"/>
          <w:color w:val="auto"/>
        </w:rPr>
        <w:t>MicroConstants)</w:t>
      </w:r>
      <w:r>
        <w:rPr>
          <w:rFonts w:ascii="Arial" w:cs="Arial" w:eastAsia="Arial" w:hAnsi="Arial"/>
          <w:sz w:val="16"/>
          <w:szCs w:val="16"/>
          <w:color w:val="auto"/>
        </w:rPr>
        <w:t xml:space="preserve"> converted the $22,000 outstanding balance (principal and accrued interest) of our past due promissory note and outstanding accounts payable in the amount of $70,400 into an aggregate of 17,857 shares of our Series B Preferred. We determined that the conversion of the MicroConstants note and accounts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MicroConstants note and accounts payable was equal to the market value of a share of our common stock on the conversion date. Based on the $14.00 per share fair value of the Series B Preferred at the date the MicroConstants note and accounts payable were converted, we issued Series B Preferred having an aggregate fair value of $250,000. Accordingly, we recognized a non-cash loss on extinguishment of debt attributable to the conversion of the MicroConstants note and payables of $157,600 in the quarter ended September 30, 2015 as reflected in the accompanying Condensed Consolidated Statement of Operations and Comprehensive Loss.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Accounts Payable to Professional Services Providers and Other Debt into Series B Preferred</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June and July 2015, two of our professional service providers and a former employee to whom we were contractually obligated for certain accrued compensation amounts converted an aggregate of $497,900 past due amounts for prior services (</w:t>
      </w:r>
      <w:r>
        <w:rPr>
          <w:rFonts w:ascii="Arial" w:cs="Arial" w:eastAsia="Arial" w:hAnsi="Arial"/>
          <w:sz w:val="17"/>
          <w:szCs w:val="17"/>
          <w:i w:val="1"/>
          <w:iCs w:val="1"/>
          <w:color w:val="auto"/>
        </w:rPr>
        <w:t>Service Provider Payables</w:t>
      </w:r>
      <w:r>
        <w:rPr>
          <w:rFonts w:ascii="Arial" w:cs="Arial" w:eastAsia="Arial" w:hAnsi="Arial"/>
          <w:sz w:val="17"/>
          <w:szCs w:val="17"/>
          <w:color w:val="auto"/>
        </w:rPr>
        <w:t>) into an aggregate of 80,929 shares of our Series B Preferred. We determined that the conversion of the Service Provider Payables balances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Service Provider Payables was equal to the market value of a share of our common stock on the respective Service Provider Payable conversion dates. Based on the per share fair value of the Series B Preferred on the respective dates that each Service Provider Payable was converted, which ranged from $10.00 per share to $12.00 per share, we issued Series B Preferred having an aggregate fair value of $823,800 to the Service Providers. Accordingly, we recognized an aggregate non-cash loss on the extinguishment of debt attributable to the conversion of the Service Provider Payables in the amounts of $281,800 and $44,100 in the quarters ended June 30, 2015 and September 30, 2015, respectively, as reflected in the accompanying Condensed Consolidated Statement of Operations and Comprehensive Loss.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Unit Private Placement</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Between April 1, 2015 and May 14, 2015, in self-placed private placement transactions, we entered into securities purchase agreements with accredited investors pursuant to which we sold Units (</w:t>
      </w:r>
      <w:r>
        <w:rPr>
          <w:rFonts w:ascii="Arial" w:cs="Arial" w:eastAsia="Arial" w:hAnsi="Arial"/>
          <w:sz w:val="17"/>
          <w:szCs w:val="17"/>
          <w:i w:val="1"/>
          <w:iCs w:val="1"/>
          <w:color w:val="auto"/>
        </w:rPr>
        <w:t>2014 Units</w:t>
      </w:r>
      <w:r>
        <w:rPr>
          <w:rFonts w:ascii="Arial" w:cs="Arial" w:eastAsia="Arial" w:hAnsi="Arial"/>
          <w:sz w:val="17"/>
          <w:szCs w:val="17"/>
          <w:color w:val="auto"/>
        </w:rPr>
        <w:t>) to such accredited investors for aggregate cash proceeds of $280,000, such 2014 Units consisting of (i) 10% convertible notes in the aggregate face amount of $280,000 due between April 30, 2015 and May 15, 2015 or automatically convertible into securities issuable upon our consummation of a Qualified Financing, as defined in the note (</w:t>
      </w:r>
      <w:r>
        <w:rPr>
          <w:rFonts w:ascii="Arial" w:cs="Arial" w:eastAsia="Arial" w:hAnsi="Arial"/>
          <w:sz w:val="17"/>
          <w:szCs w:val="17"/>
          <w:i w:val="1"/>
          <w:iCs w:val="1"/>
          <w:color w:val="auto"/>
        </w:rPr>
        <w:t>2014 Unit Notes</w:t>
      </w:r>
      <w:r>
        <w:rPr>
          <w:rFonts w:ascii="Arial" w:cs="Arial" w:eastAsia="Arial" w:hAnsi="Arial"/>
          <w:sz w:val="17"/>
          <w:szCs w:val="17"/>
          <w:color w:val="auto"/>
        </w:rPr>
        <w:t>); (ii) an aggregate of 33,000 restricted shares of our common stock (</w:t>
      </w:r>
      <w:r>
        <w:rPr>
          <w:rFonts w:ascii="Arial" w:cs="Arial" w:eastAsia="Arial" w:hAnsi="Arial"/>
          <w:sz w:val="17"/>
          <w:szCs w:val="17"/>
          <w:i w:val="1"/>
          <w:iCs w:val="1"/>
          <w:color w:val="auto"/>
        </w:rPr>
        <w:t>2014 Unit Stock</w:t>
      </w:r>
      <w:r>
        <w:rPr>
          <w:rFonts w:ascii="Arial" w:cs="Arial" w:eastAsia="Arial" w:hAnsi="Arial"/>
          <w:sz w:val="17"/>
          <w:szCs w:val="17"/>
          <w:color w:val="auto"/>
        </w:rPr>
        <w:t>); and (iii) warrants (</w:t>
      </w:r>
      <w:r>
        <w:rPr>
          <w:rFonts w:ascii="Arial" w:cs="Arial" w:eastAsia="Arial" w:hAnsi="Arial"/>
          <w:sz w:val="17"/>
          <w:szCs w:val="17"/>
          <w:i w:val="1"/>
          <w:iCs w:val="1"/>
          <w:color w:val="auto"/>
        </w:rPr>
        <w:t>2014 Unit Warrants</w:t>
      </w:r>
      <w:r>
        <w:rPr>
          <w:rFonts w:ascii="Arial" w:cs="Arial" w:eastAsia="Arial" w:hAnsi="Arial"/>
          <w:sz w:val="17"/>
          <w:szCs w:val="17"/>
          <w:color w:val="auto"/>
        </w:rPr>
        <w:t>) exercisable through December 31, 2016 to purchase an aggregate of 24,250 restricted shares of our common stock at an exercise price of $10.00 per share.</w:t>
      </w:r>
    </w:p>
    <w:p>
      <w:pPr>
        <w:spacing w:after="0" w:line="20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We allocated the proceeds from the private placement sales of the 2014 Units to the various securities based on their relative fair values on the dates of the sales. As described in Note 8,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based on the short-term nature of the Unit Notes, we determined that fair value of the 2014 Unit Notes was equal to their face value. We determined the fair value of the 2014 Unit Stock based on the quoted market price of our common stock on the respective dates of the 2014 Unit sales.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8"/>
                <w:szCs w:val="18"/>
                <w:color w:val="auto"/>
                <w:w w:val="94"/>
              </w:rPr>
              <w:t>Unit Warrants</w:t>
            </w: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13"/>
          </w:tcPr>
          <w:p>
            <w:pPr>
              <w:jc w:val="right"/>
              <w:ind w:right="660"/>
              <w:spacing w:after="0" w:line="202" w:lineRule="exact"/>
              <w:rPr>
                <w:sz w:val="20"/>
                <w:szCs w:val="20"/>
                <w:color w:val="auto"/>
              </w:rPr>
            </w:pPr>
            <w:r>
              <w:rPr>
                <w:rFonts w:ascii="Arial" w:cs="Arial" w:eastAsia="Arial" w:hAnsi="Arial"/>
                <w:sz w:val="18"/>
                <w:szCs w:val="18"/>
                <w:color w:val="auto"/>
                <w:w w:val="97"/>
              </w:rPr>
              <w:t>Weighted Average Issuance Date Valuation Assumptions</w:t>
            </w:r>
          </w:p>
        </w:tc>
        <w:tc>
          <w:tcPr>
            <w:tcW w:w="80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85"/>
              </w:rPr>
              <w:t>Per</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6"/>
            <w:vMerge w:val="restart"/>
          </w:tcPr>
          <w:p>
            <w:pPr>
              <w:jc w:val="center"/>
              <w:ind w:right="120"/>
              <w:spacing w:after="0"/>
              <w:rPr>
                <w:sz w:val="20"/>
                <w:szCs w:val="20"/>
                <w:color w:val="auto"/>
              </w:rPr>
            </w:pPr>
            <w:r>
              <w:rPr>
                <w:rFonts w:ascii="Arial" w:cs="Arial" w:eastAsia="Arial" w:hAnsi="Arial"/>
                <w:sz w:val="18"/>
                <w:szCs w:val="18"/>
                <w:color w:val="auto"/>
                <w:w w:val="91"/>
              </w:rPr>
              <w:t>Aggregate Allocation of Proceeds</w:t>
            </w:r>
          </w:p>
        </w:tc>
        <w:tc>
          <w:tcPr>
            <w:tcW w:w="0" w:type="dxa"/>
            <w:vAlign w:val="bottom"/>
          </w:tcPr>
          <w:p>
            <w:pPr>
              <w:spacing w:after="0"/>
              <w:rPr>
                <w:sz w:val="1"/>
                <w:szCs w:val="1"/>
                <w:color w:val="auto"/>
              </w:rPr>
            </w:pPr>
          </w:p>
        </w:tc>
      </w:tr>
      <w:tr>
        <w:trPr>
          <w:trHeight w:val="61"/>
        </w:trPr>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gridSpan w:val="2"/>
            <w:vMerge w:val="restart"/>
          </w:tcPr>
          <w:p>
            <w:pPr>
              <w:jc w:val="center"/>
              <w:ind w:right="220"/>
              <w:spacing w:after="0" w:line="176" w:lineRule="exact"/>
              <w:rPr>
                <w:sz w:val="20"/>
                <w:szCs w:val="20"/>
                <w:color w:val="auto"/>
              </w:rPr>
            </w:pPr>
            <w:r>
              <w:rPr>
                <w:rFonts w:ascii="Arial" w:cs="Arial" w:eastAsia="Arial" w:hAnsi="Arial"/>
                <w:sz w:val="18"/>
                <w:szCs w:val="18"/>
                <w:color w:val="auto"/>
                <w:w w:val="87"/>
              </w:rPr>
              <w:t>Share</w:t>
            </w: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26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6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center"/>
              <w:ind w:right="260"/>
              <w:spacing w:after="0" w:line="196" w:lineRule="exact"/>
              <w:rPr>
                <w:sz w:val="20"/>
                <w:szCs w:val="20"/>
                <w:color w:val="auto"/>
              </w:rPr>
            </w:pPr>
            <w:r>
              <w:rPr>
                <w:rFonts w:ascii="Arial" w:cs="Arial" w:eastAsia="Arial" w:hAnsi="Arial"/>
                <w:sz w:val="18"/>
                <w:szCs w:val="18"/>
                <w:color w:val="auto"/>
                <w:w w:val="97"/>
              </w:rPr>
              <w:t>Risk</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6"/>
              </w:rPr>
              <w:t>Fair</w:t>
            </w:r>
          </w:p>
        </w:tc>
        <w:tc>
          <w:tcPr>
            <w:tcW w:w="96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89"/>
              </w:rPr>
              <w:t>Aggregate</w:t>
            </w:r>
          </w:p>
        </w:tc>
        <w:tc>
          <w:tcPr>
            <w:tcW w:w="8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9"/>
              </w:rPr>
              <w:t>Aggregate</w:t>
            </w:r>
          </w:p>
        </w:tc>
        <w:tc>
          <w:tcPr>
            <w:tcW w:w="120" w:type="dxa"/>
            <w:vAlign w:val="bottom"/>
          </w:tcPr>
          <w:p>
            <w:pPr>
              <w:spacing w:after="0"/>
              <w:rPr>
                <w:sz w:val="19"/>
                <w:szCs w:val="19"/>
                <w:color w:val="auto"/>
              </w:rPr>
            </w:pPr>
          </w:p>
        </w:tc>
        <w:tc>
          <w:tcPr>
            <w:tcW w:w="2680" w:type="dxa"/>
            <w:vAlign w:val="bottom"/>
            <w:gridSpan w:val="6"/>
          </w:tcPr>
          <w:p>
            <w:pPr>
              <w:jc w:val="center"/>
              <w:ind w:right="140"/>
              <w:spacing w:after="0" w:line="196" w:lineRule="exact"/>
              <w:rPr>
                <w:sz w:val="20"/>
                <w:szCs w:val="20"/>
                <w:color w:val="auto"/>
              </w:rPr>
            </w:pPr>
            <w:r>
              <w:rPr>
                <w:rFonts w:ascii="Arial" w:cs="Arial" w:eastAsia="Arial" w:hAnsi="Arial"/>
                <w:sz w:val="18"/>
                <w:szCs w:val="18"/>
                <w:color w:val="auto"/>
                <w:w w:val="90"/>
              </w:rPr>
              <w:t>Based on Relative Fair Value of:</w:t>
            </w:r>
          </w:p>
        </w:tc>
        <w:tc>
          <w:tcPr>
            <w:tcW w:w="0" w:type="dxa"/>
            <w:vAlign w:val="bottom"/>
          </w:tcPr>
          <w:p>
            <w:pPr>
              <w:spacing w:after="0"/>
              <w:rPr>
                <w:sz w:val="1"/>
                <w:szCs w:val="1"/>
                <w:color w:val="auto"/>
              </w:rPr>
            </w:pPr>
          </w:p>
        </w:tc>
      </w:tr>
      <w:tr>
        <w:trPr>
          <w:trHeight w:val="229"/>
        </w:trPr>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Warrant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free</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Value</w:t>
            </w: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Fair Value</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Proceeds</w:t>
            </w: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Market</w:t>
            </w: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Exercise</w:t>
            </w:r>
          </w:p>
        </w:tc>
        <w:tc>
          <w:tcPr>
            <w:tcW w:w="7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Term</w:t>
            </w:r>
          </w:p>
        </w:tc>
        <w:tc>
          <w:tcPr>
            <w:tcW w:w="8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Dividend</w:t>
            </w: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of</w:t>
            </w: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of Unit</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of Unit</w:t>
            </w: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Unit</w:t>
            </w: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Unit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Price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Price</w:t>
            </w:r>
          </w:p>
        </w:tc>
        <w:tc>
          <w:tcPr>
            <w:tcW w:w="2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(Years)</w:t>
            </w:r>
          </w:p>
        </w:tc>
        <w:tc>
          <w:tcPr>
            <w:tcW w:w="2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2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Volatility</w:t>
            </w:r>
          </w:p>
        </w:tc>
        <w:tc>
          <w:tcPr>
            <w:tcW w:w="28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Warrant</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Warrants</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Sales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Stock</w:t>
            </w:r>
          </w:p>
        </w:tc>
        <w:tc>
          <w:tcPr>
            <w:tcW w:w="22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Warrant</w:t>
            </w:r>
          </w:p>
        </w:tc>
        <w:tc>
          <w:tcPr>
            <w:tcW w:w="220" w:type="dxa"/>
            <w:vAlign w:val="bottom"/>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Unit Note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24,250</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$ 10.00</w:t>
            </w:r>
          </w:p>
        </w:tc>
        <w:tc>
          <w:tcPr>
            <w:tcW w:w="9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5"/>
              </w:rPr>
              <w:t>$  10.00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  3.69</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  89,600</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$ 280,000</w:t>
            </w:r>
          </w:p>
        </w:tc>
        <w:tc>
          <w:tcPr>
            <w:tcW w:w="10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$ 128,900</w:t>
            </w:r>
          </w:p>
        </w:tc>
        <w:tc>
          <w:tcPr>
            <w:tcW w:w="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$ 32,900</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$ 118,200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Between late-March 2014 and May 14, 2015, in self-placed private placement transactions, we entered into securities purchase agreements with accredited investors for the 2014 Unit Private Placement pursuant to which we sold 2014 Units to such accredited investors for aggregate cash proceeds of $3,393,500, consisting of (i) 2014 Unit Notes in the aggregate face amount of $3,393,500 due between March 31, 2015 and May 15, 2015 or automatically convertible into securities issuable upon our consummation of a Qualified Financing, as defined in the note; (ii) an aggregate of 315,850 restricted shares of 2014 Unit Stock; and (iii) 2014 Unit Warrants exercisable through December 31, 2016 to purchase an aggregate of 307,100 restricted shares of our common stock at an exercise price of $10.00 per share.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Creation of Series B Preferred Stock</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May 7, 2015, we filed a Certificate of Designation of the Relative Rights and Preferences of the Series B 10% Preferred Stock of VistaGen Therapeutics, Inc. (</w:t>
      </w:r>
      <w:r>
        <w:rPr>
          <w:rFonts w:ascii="Arial" w:cs="Arial" w:eastAsia="Arial" w:hAnsi="Arial"/>
          <w:sz w:val="18"/>
          <w:szCs w:val="18"/>
          <w:i w:val="1"/>
          <w:iCs w:val="1"/>
          <w:color w:val="auto"/>
        </w:rPr>
        <w:t>Certificate of Designation</w:t>
      </w:r>
      <w:r>
        <w:rPr>
          <w:rFonts w:ascii="Arial" w:cs="Arial" w:eastAsia="Arial" w:hAnsi="Arial"/>
          <w:sz w:val="18"/>
          <w:szCs w:val="18"/>
          <w:color w:val="auto"/>
        </w:rPr>
        <w:t>) with the Nevada Secretary of State to designate 4.0 million shares of our authorized preferred stock as Series B 10% Convertible Preferred Stock (</w:t>
      </w:r>
      <w:r>
        <w:rPr>
          <w:rFonts w:ascii="Arial" w:cs="Arial" w:eastAsia="Arial" w:hAnsi="Arial"/>
          <w:sz w:val="18"/>
          <w:szCs w:val="18"/>
          <w:i w:val="1"/>
          <w:iCs w:val="1"/>
          <w:color w:val="auto"/>
        </w:rPr>
        <w:t>Series B Preferred</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our common stock at a fixed conversion price of $7.00 per share (</w:t>
      </w:r>
      <w:r>
        <w:rPr>
          <w:rFonts w:ascii="Arial" w:cs="Arial" w:eastAsia="Arial" w:hAnsi="Arial"/>
          <w:sz w:val="16"/>
          <w:szCs w:val="16"/>
          <w:i w:val="1"/>
          <w:iCs w:val="1"/>
          <w:color w:val="auto"/>
        </w:rPr>
        <w:t>Conversion Price</w:t>
      </w:r>
      <w:r>
        <w:rPr>
          <w:rFonts w:ascii="Arial" w:cs="Arial" w:eastAsia="Arial" w:hAnsi="Arial"/>
          <w:sz w:val="16"/>
          <w:szCs w:val="16"/>
          <w:color w:val="auto"/>
        </w:rPr>
        <w:t>). The Conversion Price is subject to adjustment, but only for customary stock dividends, reclassifications, splits and similar transactions set forth in the Certificate of Designation. All outstanding shares of Series B Preferred are also convertible automatically into shares of our common stock (</w:t>
      </w:r>
      <w:r>
        <w:rPr>
          <w:rFonts w:ascii="Arial" w:cs="Arial" w:eastAsia="Arial" w:hAnsi="Arial"/>
          <w:sz w:val="16"/>
          <w:szCs w:val="16"/>
          <w:i w:val="1"/>
          <w:iCs w:val="1"/>
          <w:color w:val="auto"/>
        </w:rPr>
        <w:t>Automatic Conversion</w:t>
      </w:r>
      <w:r>
        <w:rPr>
          <w:rFonts w:ascii="Arial" w:cs="Arial" w:eastAsia="Arial" w:hAnsi="Arial"/>
          <w:sz w:val="16"/>
          <w:szCs w:val="16"/>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6"/>
          <w:szCs w:val="16"/>
          <w:i w:val="1"/>
          <w:iCs w:val="1"/>
          <w:color w:val="auto"/>
        </w:rPr>
        <w:t>Conversion</w:t>
      </w:r>
      <w:r>
        <w:rPr>
          <w:rFonts w:ascii="Arial" w:cs="Arial" w:eastAsia="Arial" w:hAnsi="Arial"/>
          <w:sz w:val="16"/>
          <w:szCs w:val="16"/>
          <w:color w:val="auto"/>
        </w:rPr>
        <w:t>) are subject to certain beneficial ownership blockers as set forth in the Certificate of Designation and/or securities purchase agreements.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Prior to Conversion, shares of Series B Preferred will accrue dividends, payable only in unregistered shares of our common stock, at a rate of 10% per annum (</w:t>
      </w:r>
      <w:r>
        <w:rPr>
          <w:rFonts w:ascii="Arial" w:cs="Arial" w:eastAsia="Arial" w:hAnsi="Arial"/>
          <w:sz w:val="16"/>
          <w:szCs w:val="16"/>
          <w:i w:val="1"/>
          <w:iCs w:val="1"/>
          <w:color w:val="auto"/>
        </w:rPr>
        <w:t>Accrued Dividends</w:t>
      </w:r>
      <w:r>
        <w:rPr>
          <w:rFonts w:ascii="Arial" w:cs="Arial" w:eastAsia="Arial" w:hAnsi="Arial"/>
          <w:sz w:val="16"/>
          <w:szCs w:val="16"/>
          <w:color w:val="auto"/>
        </w:rPr>
        <w:t>). The Accrued Dividends will be payable on the date of either a Voluntary Conversion or Automatic Conversion solely in that number of shares of common stock equal to the Accrued Dividends. At September 30, 2015, we have recognized a liability in the amount of $805,300 for Accrued Dividends in the accompanying Condensed Consolidated Balance Sheet at September 30, 2015, based on the Series B Preferred issued and outstanding, net of exchanges to common stock, through the quarter ended September 30, 2015. We have recognized $828,000 in arriving at net loss attributable to common stockholders in the accompanying Condensed Consolidated Statement of Operations and Comprehensive Loss for the six month period ended September 30, 2015. The liquidation value of the Series B Preferred at September 30, 2015 is approximately $24,287,600.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2015 Agreement with Platinum</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May 5, 2015, we entered into an Agreement with Platinum, which, as modified, became effective on May 12, 2015 (</w:t>
      </w:r>
      <w:r>
        <w:rPr>
          <w:rFonts w:ascii="Arial" w:cs="Arial" w:eastAsia="Arial" w:hAnsi="Arial"/>
          <w:sz w:val="18"/>
          <w:szCs w:val="18"/>
          <w:i w:val="1"/>
          <w:iCs w:val="1"/>
          <w:color w:val="auto"/>
        </w:rPr>
        <w:t>Platinum Agreement</w:t>
      </w:r>
      <w:r>
        <w:rPr>
          <w:rFonts w:ascii="Arial" w:cs="Arial" w:eastAsia="Arial" w:hAnsi="Arial"/>
          <w:sz w:val="18"/>
          <w:szCs w:val="18"/>
          <w:color w:val="auto"/>
        </w:rPr>
        <w:t>) and pursuant to which Platinum:</w:t>
      </w:r>
    </w:p>
    <w:p>
      <w:pPr>
        <w:spacing w:after="0" w:line="197" w:lineRule="exact"/>
        <w:rPr>
          <w:sz w:val="20"/>
          <w:szCs w:val="20"/>
          <w:color w:val="auto"/>
        </w:rPr>
      </w:pPr>
    </w:p>
    <w:p>
      <w:pPr>
        <w:jc w:val="both"/>
        <w:ind w:left="1480" w:hanging="759"/>
        <w:spacing w:after="0" w:line="264"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Converted all of the approximately $4.5 million outstanding balance (principal and accrued but unpaid interest) of the Senior Secured Notes we had previously issued to Platinum into 641,335 shares of Series B Preferred, as described previously in Note 7, </w:t>
      </w:r>
      <w:r>
        <w:rPr>
          <w:rFonts w:ascii="Arial" w:cs="Arial" w:eastAsia="Arial" w:hAnsi="Arial"/>
          <w:sz w:val="18"/>
          <w:szCs w:val="18"/>
          <w:i w:val="1"/>
          <w:iCs w:val="1"/>
          <w:color w:val="auto"/>
        </w:rPr>
        <w:t>Convertible</w:t>
      </w:r>
      <w:r>
        <w:rPr>
          <w:rFonts w:ascii="Arial" w:cs="Arial" w:eastAsia="Arial" w:hAnsi="Arial"/>
          <w:sz w:val="18"/>
          <w:szCs w:val="18"/>
          <w:color w:val="auto"/>
        </w:rPr>
        <w:t xml:space="preserve"> </w:t>
      </w:r>
      <w:r>
        <w:rPr>
          <w:rFonts w:ascii="Arial" w:cs="Arial" w:eastAsia="Arial" w:hAnsi="Arial"/>
          <w:sz w:val="18"/>
          <w:szCs w:val="18"/>
          <w:i w:val="1"/>
          <w:iCs w:val="1"/>
          <w:color w:val="auto"/>
        </w:rPr>
        <w:t>Promissory Notes and Other Notes Payable</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1480" w:right="20" w:hanging="759"/>
        <w:spacing w:after="0" w:line="308" w:lineRule="auto"/>
        <w:tabs>
          <w:tab w:leader="none" w:pos="1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Released all of its security interests in our assets and those of our subsidiaries by terminating the Amended and Restated Security Agreement, IP Security Agreement and Negative Covenant, each dated October 11, 2012 between us and Platinum;</w:t>
      </w:r>
    </w:p>
    <w:p>
      <w:pPr>
        <w:spacing w:after="0" w:line="173" w:lineRule="exact"/>
        <w:rPr>
          <w:rFonts w:ascii="Arial" w:cs="Arial" w:eastAsia="Arial" w:hAnsi="Arial"/>
          <w:sz w:val="17"/>
          <w:szCs w:val="17"/>
          <w:color w:val="auto"/>
        </w:rPr>
      </w:pPr>
    </w:p>
    <w:p>
      <w:pPr>
        <w:jc w:val="both"/>
        <w:ind w:left="1480" w:hanging="759"/>
        <w:spacing w:after="0" w:line="259"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Converted all of the approximately $1.3 million outstanding balance (principal and accrued but unpaid interest) of the 2014 Unit Notes that we issued to Platinum into 240,305 shares of Series B Preferred and five-year warrants to purchase 240,305 shares of our common stock at a fixed exercise price of $7.00 per share (</w:t>
      </w:r>
      <w:r>
        <w:rPr>
          <w:rFonts w:ascii="Arial" w:cs="Arial" w:eastAsia="Arial" w:hAnsi="Arial"/>
          <w:sz w:val="18"/>
          <w:szCs w:val="18"/>
          <w:i w:val="1"/>
          <w:iCs w:val="1"/>
          <w:color w:val="auto"/>
        </w:rPr>
        <w:t>Series B Warrants</w:t>
      </w:r>
      <w:r>
        <w:rPr>
          <w:rFonts w:ascii="Arial" w:cs="Arial" w:eastAsia="Arial" w:hAnsi="Arial"/>
          <w:sz w:val="18"/>
          <w:szCs w:val="18"/>
          <w:color w:val="auto"/>
        </w:rPr>
        <w:t xml:space="preserve">), as described previously in Note 7, </w:t>
      </w:r>
      <w:r>
        <w:rPr>
          <w:rFonts w:ascii="Arial" w:cs="Arial" w:eastAsia="Arial" w:hAnsi="Arial"/>
          <w:sz w:val="18"/>
          <w:szCs w:val="18"/>
          <w:i w:val="1"/>
          <w:iCs w:val="1"/>
          <w:color w:val="auto"/>
        </w:rPr>
        <w:t>Convertible Promissory Notes</w:t>
      </w:r>
      <w:r>
        <w:rPr>
          <w:rFonts w:ascii="Arial" w:cs="Arial" w:eastAsia="Arial" w:hAnsi="Arial"/>
          <w:sz w:val="18"/>
          <w:szCs w:val="18"/>
          <w:color w:val="auto"/>
        </w:rPr>
        <w:t xml:space="preserve"> </w:t>
      </w:r>
      <w:r>
        <w:rPr>
          <w:rFonts w:ascii="Arial" w:cs="Arial" w:eastAsia="Arial" w:hAnsi="Arial"/>
          <w:sz w:val="18"/>
          <w:szCs w:val="18"/>
          <w:i w:val="1"/>
          <w:iCs w:val="1"/>
          <w:color w:val="auto"/>
        </w:rPr>
        <w:t>and Other Notes Payable</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1480" w:hanging="759"/>
        <w:spacing w:after="0" w:line="279" w:lineRule="auto"/>
        <w:tabs>
          <w:tab w:leader="none" w:pos="1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Purchased approximately $1.5 million (including accrued but unpaid interest thereon) of outstanding 2014 Unit Notes we had previously issued to various accredited investors from the respective holders thereof (</w:t>
      </w:r>
      <w:r>
        <w:rPr>
          <w:rFonts w:ascii="Arial" w:cs="Arial" w:eastAsia="Arial" w:hAnsi="Arial"/>
          <w:sz w:val="17"/>
          <w:szCs w:val="17"/>
          <w:i w:val="1"/>
          <w:iCs w:val="1"/>
          <w:color w:val="auto"/>
        </w:rPr>
        <w:t>Acquired Unit Notes</w:t>
      </w:r>
      <w:r>
        <w:rPr>
          <w:rFonts w:ascii="Arial" w:cs="Arial" w:eastAsia="Arial" w:hAnsi="Arial"/>
          <w:sz w:val="17"/>
          <w:szCs w:val="17"/>
          <w:color w:val="auto"/>
        </w:rPr>
        <w:t xml:space="preserve">) and converted the entire outstanding balance of the Acquired Unit Notes into 265,699 shares of Series B Preferred and Series B Warrants to purchase 265,699 shares of our common stock, as described previously in Note 7,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w:t>
      </w:r>
    </w:p>
    <w:p>
      <w:pPr>
        <w:spacing w:after="0" w:line="198" w:lineRule="exact"/>
        <w:rPr>
          <w:rFonts w:ascii="Arial" w:cs="Arial" w:eastAsia="Arial" w:hAnsi="Arial"/>
          <w:sz w:val="17"/>
          <w:szCs w:val="17"/>
          <w:color w:val="auto"/>
        </w:rPr>
      </w:pPr>
    </w:p>
    <w:p>
      <w:pPr>
        <w:jc w:val="both"/>
        <w:ind w:left="1480" w:hanging="759"/>
        <w:spacing w:after="0" w:line="259"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Entered into a Securities Purchase Agreement (</w:t>
      </w:r>
      <w:r>
        <w:rPr>
          <w:rFonts w:ascii="Arial" w:cs="Arial" w:eastAsia="Arial" w:hAnsi="Arial"/>
          <w:sz w:val="18"/>
          <w:szCs w:val="18"/>
          <w:i w:val="1"/>
          <w:iCs w:val="1"/>
          <w:color w:val="auto"/>
        </w:rPr>
        <w:t>SPA</w:t>
      </w:r>
      <w:r>
        <w:rPr>
          <w:rFonts w:ascii="Arial" w:cs="Arial" w:eastAsia="Arial" w:hAnsi="Arial"/>
          <w:sz w:val="18"/>
          <w:szCs w:val="18"/>
          <w:color w:val="auto"/>
        </w:rPr>
        <w:t>) to purchase from us, in our self-placed private placement, for $1.0 million, a total of 142,857 shares of Series B Preferred and a Series B Warrant to purchase 142,857 shares of our common stock, on or before June 11, 2015. (The $1.0 million purchase was completed in multiple tranches between June 19, 2015 and August 5, 2015, and we have issued the Series B Preferred and Series B Warrants indicated above.);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22" w:name="page23"/>
    <w:bookmarkEnd w:id="2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left="1480" w:hanging="759"/>
        <w:spacing w:after="0" w:line="259"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Amended the Platinum Warrants previously issued by us to Platinum in connection with the Senior Secured Notes and the Series A Exchange Warrant to fix the exercise price thereof, eliminate the exercise price reset features and fix the number of shares of our common stock issuable thereunder, and eliminate the cashless exercise provisions from the Platinum Warrants and the Series A Exchange Warrant; and</w:t>
      </w:r>
    </w:p>
    <w:p>
      <w:pPr>
        <w:spacing w:after="0" w:line="213" w:lineRule="exact"/>
        <w:rPr>
          <w:rFonts w:ascii="Arial" w:cs="Arial" w:eastAsia="Arial" w:hAnsi="Arial"/>
          <w:sz w:val="18"/>
          <w:szCs w:val="18"/>
          <w:color w:val="auto"/>
        </w:rPr>
      </w:pPr>
    </w:p>
    <w:p>
      <w:pPr>
        <w:jc w:val="both"/>
        <w:ind w:left="1480" w:hanging="759"/>
        <w:spacing w:after="0" w:line="264"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additional consideration for the several agreements of Platinum under the Platinum Agreement, we issued to Platinum 400,000 shares of Series B Preferred (</w:t>
      </w:r>
      <w:r>
        <w:rPr>
          <w:rFonts w:ascii="Arial" w:cs="Arial" w:eastAsia="Arial" w:hAnsi="Arial"/>
          <w:sz w:val="16"/>
          <w:szCs w:val="16"/>
          <w:i w:val="1"/>
          <w:iCs w:val="1"/>
          <w:color w:val="auto"/>
        </w:rPr>
        <w:t>Additional Consideration Shares</w:t>
      </w:r>
      <w:r>
        <w:rPr>
          <w:rFonts w:ascii="Arial" w:cs="Arial" w:eastAsia="Arial" w:hAnsi="Arial"/>
          <w:sz w:val="16"/>
          <w:szCs w:val="16"/>
          <w:color w:val="auto"/>
        </w:rPr>
        <w:t>) and Series B Warrants (</w:t>
      </w:r>
      <w:r>
        <w:rPr>
          <w:rFonts w:ascii="Arial" w:cs="Arial" w:eastAsia="Arial" w:hAnsi="Arial"/>
          <w:sz w:val="16"/>
          <w:szCs w:val="16"/>
          <w:i w:val="1"/>
          <w:iCs w:val="1"/>
          <w:color w:val="auto"/>
        </w:rPr>
        <w:t>Additional Consideration Warrants</w:t>
      </w:r>
      <w:r>
        <w:rPr>
          <w:rFonts w:ascii="Arial" w:cs="Arial" w:eastAsia="Arial" w:hAnsi="Arial"/>
          <w:sz w:val="16"/>
          <w:szCs w:val="16"/>
          <w:color w:val="auto"/>
        </w:rPr>
        <w:t xml:space="preserve">) to purchase 1.2 million shares of our common stock, and exchanged 30,000 shares of our common stock then beneficially owned or controlled by Platinum for 30,000 shares of Series B Preferred. Considering the exchangeability of the Series B Preferred into our common stock, the dividend applicable to the Series B Preferred prior to such exchange and other factors, we determined that the fair value of a share of Series B Preferred issued to Platinum pursuant to the Platinum Agreement was equal to the market value of a share of our common stock on the effective date of the Platinum Agreement. Based on the $10.00 per share fair value of the Series B Preferred at the May 12, 2015 effective date of the Platinum Agreement, we issued Additional Consideration Shares having an aggregate fair value of $4.0 million to Platinum. We valued the Additional Consideration Warrants at an aggregate of $8,270,900 using the Black Scholes option pricing model and the same assumptions used in valuing the Series B Warrants issued to Platinum in connection with the conversion of the Platinum Unit Notes and the Acquired Unit Notes, as described previously in Note 7,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We recognized the aggregate fair value of the Additional Consideration Shares and Additional Consideration Warrants as a non-cash component of loss on debt extinguishment in the quarter ended June 30, 2015, as reflected in the accompanying Condensed Consolidated Statement of Operations and Comprehensive Loss.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2015 Agreement with Platinum</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August 3, 2015, we entered into the August 2015 Agreement with Platinum pursuant to which Platinum agreed to purchase an additional $3.0 million of our Series B Preferred and Series B Warrants between August 15, 2015 and October 15, 2015 and would receive an aggregate of 458,571 shares of Series B Preferred and Series B Warrants to purchase 458,571 shares of our common stock. At September 30, 2015, Platinum had purchased an additional $500,000 of Series B Preferred and Series B Warrants under the August 2015 Agreement with Platinum and we had issued 71,430 shares of Series B Preferred and Series B Warrants to purchase 71,430 shares of our common stock. See Note 10, </w:t>
      </w:r>
      <w:r>
        <w:rPr>
          <w:rFonts w:ascii="Arial" w:cs="Arial" w:eastAsia="Arial" w:hAnsi="Arial"/>
          <w:sz w:val="18"/>
          <w:szCs w:val="18"/>
          <w:i w:val="1"/>
          <w:iCs w:val="1"/>
          <w:color w:val="auto"/>
        </w:rPr>
        <w:t>Subsequent Events</w:t>
      </w:r>
      <w:r>
        <w:rPr>
          <w:rFonts w:ascii="Arial" w:cs="Arial" w:eastAsia="Arial" w:hAnsi="Arial"/>
          <w:sz w:val="18"/>
          <w:szCs w:val="18"/>
          <w:color w:val="auto"/>
        </w:rPr>
        <w:t>, for disclosure regarding additional purchases by Platinum after September 30, 2015.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Series B Preferred Unit Offering</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Between May 26, 2015 and September 30, 2015, in self-placed private placement transactions, we sold to accredited investors an aggregate of $2,722,800 of units in our Series B Preferred Unit offering, which units consist of Series B Preferred and Series B Warrants (together </w:t>
      </w:r>
      <w:r>
        <w:rPr>
          <w:rFonts w:ascii="Arial" w:cs="Arial" w:eastAsia="Arial" w:hAnsi="Arial"/>
          <w:sz w:val="17"/>
          <w:szCs w:val="17"/>
          <w:i w:val="1"/>
          <w:iCs w:val="1"/>
          <w:color w:val="auto"/>
        </w:rPr>
        <w:t>Series B Preferred</w:t>
      </w:r>
      <w:r>
        <w:rPr>
          <w:rFonts w:ascii="Arial" w:cs="Arial" w:eastAsia="Arial" w:hAnsi="Arial"/>
          <w:sz w:val="17"/>
          <w:szCs w:val="17"/>
          <w:color w:val="auto"/>
        </w:rPr>
        <w:t xml:space="preserve"> </w:t>
      </w:r>
      <w:r>
        <w:rPr>
          <w:rFonts w:ascii="Arial" w:cs="Arial" w:eastAsia="Arial" w:hAnsi="Arial"/>
          <w:sz w:val="17"/>
          <w:szCs w:val="17"/>
          <w:i w:val="1"/>
          <w:iCs w:val="1"/>
          <w:color w:val="auto"/>
        </w:rPr>
        <w:t>Units</w:t>
      </w:r>
      <w:r>
        <w:rPr>
          <w:rFonts w:ascii="Arial" w:cs="Arial" w:eastAsia="Arial" w:hAnsi="Arial"/>
          <w:sz w:val="17"/>
          <w:szCs w:val="17"/>
          <w:color w:val="auto"/>
        </w:rPr>
        <w:t>), including $1,500,000 to Platinum, which amount includes $500,000 pursuant ot the August 2015 Agreement with Platinum. We issued 388,978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Series B Preferred and Series B Warrants to purchase 388,978 shares of our common stock. Through September 30, 2015, we received an aggregate of $2,722,800 in cash proceeds from our self-placed private placement and sale of the Series B Preferred Units.</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allocated the proceeds from the sale of the Series B Preferred Units to the Series B Preferred and the Series B Warrants based on their relative fair values on the dates of the sales. As described in Note 7,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 we determined that the fair value of a share of Series B Preferred was equal to the quoted market value of a share of our common stock on the date of a Series B Preferred Unit sale. We 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$4.06 per share, and its Conversion Price (or stated value) of $7.00 per share represents a deemed dividend to the purchasers of the Series B Preferred Units. Accordingly, we have recognized a deemed dividend in the aggregate amount of $1,143,100 in arriving at net loss attributable to common stockholders in the accompanying Condensed Consolidated Statement of Operations and Comprehensive Loss for the six months ended September 30, 2015.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8"/>
                <w:szCs w:val="18"/>
                <w:color w:val="auto"/>
                <w:w w:val="94"/>
              </w:rPr>
              <w:t>Unit Warrants</w:t>
            </w: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gridSpan w:val="12"/>
            <w:vMerge w:val="restart"/>
          </w:tcPr>
          <w:p>
            <w:pPr>
              <w:jc w:val="right"/>
              <w:ind w:right="700"/>
              <w:spacing w:after="0"/>
              <w:rPr>
                <w:sz w:val="20"/>
                <w:szCs w:val="20"/>
                <w:color w:val="auto"/>
              </w:rPr>
            </w:pPr>
            <w:r>
              <w:rPr>
                <w:rFonts w:ascii="Arial" w:cs="Arial" w:eastAsia="Arial" w:hAnsi="Arial"/>
                <w:sz w:val="18"/>
                <w:szCs w:val="18"/>
                <w:color w:val="auto"/>
                <w:w w:val="99"/>
              </w:rPr>
              <w:t>Weighted Average Issuance Date Valuation Assumptions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4"/>
          </w:tcPr>
          <w:p>
            <w:pPr>
              <w:jc w:val="center"/>
              <w:ind w:right="120"/>
              <w:spacing w:after="0" w:line="201" w:lineRule="exact"/>
              <w:rPr>
                <w:sz w:val="20"/>
                <w:szCs w:val="20"/>
                <w:color w:val="auto"/>
              </w:rPr>
            </w:pPr>
            <w:r>
              <w:rPr>
                <w:rFonts w:ascii="Arial" w:cs="Arial" w:eastAsia="Arial" w:hAnsi="Arial"/>
                <w:sz w:val="18"/>
                <w:szCs w:val="18"/>
                <w:color w:val="auto"/>
                <w:w w:val="93"/>
              </w:rPr>
              <w:t>Aggregate Allocation of</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gridSpan w:val="12"/>
            <w:vMerge w:val="continue"/>
          </w:tcPr>
          <w:p>
            <w:pPr>
              <w:spacing w:after="0"/>
              <w:rPr>
                <w:sz w:val="19"/>
                <w:szCs w:val="19"/>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Per</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4"/>
          </w:tcPr>
          <w:p>
            <w:pPr>
              <w:jc w:val="center"/>
              <w:ind w:right="120"/>
              <w:spacing w:after="0"/>
              <w:rPr>
                <w:sz w:val="20"/>
                <w:szCs w:val="20"/>
                <w:color w:val="auto"/>
              </w:rPr>
            </w:pPr>
            <w:r>
              <w:rPr>
                <w:rFonts w:ascii="Arial" w:cs="Arial" w:eastAsia="Arial" w:hAnsi="Arial"/>
                <w:sz w:val="18"/>
                <w:szCs w:val="18"/>
                <w:color w:val="auto"/>
                <w:w w:val="86"/>
              </w:rPr>
              <w:t>Proceeds</w:t>
            </w: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center"/>
              <w:ind w:right="280"/>
              <w:spacing w:after="0" w:line="189" w:lineRule="exact"/>
              <w:rPr>
                <w:sz w:val="20"/>
                <w:szCs w:val="20"/>
                <w:color w:val="auto"/>
              </w:rPr>
            </w:pPr>
            <w:r>
              <w:rPr>
                <w:rFonts w:ascii="Arial" w:cs="Arial" w:eastAsia="Arial" w:hAnsi="Arial"/>
                <w:sz w:val="18"/>
                <w:szCs w:val="18"/>
                <w:color w:val="auto"/>
                <w:w w:val="97"/>
              </w:rPr>
              <w:t>Risk</w:t>
            </w:r>
          </w:p>
        </w:tc>
        <w:tc>
          <w:tcPr>
            <w:tcW w:w="7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center"/>
              <w:ind w:right="220"/>
              <w:spacing w:after="0" w:line="189" w:lineRule="exact"/>
              <w:rPr>
                <w:sz w:val="20"/>
                <w:szCs w:val="20"/>
                <w:color w:val="auto"/>
              </w:rPr>
            </w:pPr>
            <w:r>
              <w:rPr>
                <w:rFonts w:ascii="Arial" w:cs="Arial" w:eastAsia="Arial" w:hAnsi="Arial"/>
                <w:sz w:val="18"/>
                <w:szCs w:val="18"/>
                <w:color w:val="auto"/>
                <w:w w:val="83"/>
              </w:rPr>
              <w:t>Share</w:t>
            </w:r>
          </w:p>
        </w:tc>
        <w:tc>
          <w:tcPr>
            <w:tcW w:w="980" w:type="dxa"/>
            <w:vAlign w:val="bottom"/>
            <w:gridSpan w:val="2"/>
          </w:tcPr>
          <w:p>
            <w:pPr>
              <w:spacing w:after="0" w:line="189" w:lineRule="exact"/>
              <w:rPr>
                <w:sz w:val="20"/>
                <w:szCs w:val="20"/>
                <w:color w:val="auto"/>
              </w:rPr>
            </w:pPr>
            <w:r>
              <w:rPr>
                <w:rFonts w:ascii="Arial" w:cs="Arial" w:eastAsia="Arial" w:hAnsi="Arial"/>
                <w:sz w:val="18"/>
                <w:szCs w:val="18"/>
                <w:color w:val="auto"/>
              </w:rPr>
              <w:t>Aggregate</w:t>
            </w:r>
          </w:p>
        </w:tc>
        <w:tc>
          <w:tcPr>
            <w:tcW w:w="120" w:type="dxa"/>
            <w:vAlign w:val="bottom"/>
          </w:tcPr>
          <w:p>
            <w:pPr>
              <w:spacing w:after="0"/>
              <w:rPr>
                <w:sz w:val="16"/>
                <w:szCs w:val="16"/>
                <w:color w:val="auto"/>
              </w:rPr>
            </w:pPr>
          </w:p>
        </w:tc>
        <w:tc>
          <w:tcPr>
            <w:tcW w:w="102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89"/>
              </w:rPr>
              <w:t>Aggregate</w:t>
            </w:r>
          </w:p>
        </w:tc>
        <w:tc>
          <w:tcPr>
            <w:tcW w:w="120" w:type="dxa"/>
            <w:vAlign w:val="bottom"/>
          </w:tcPr>
          <w:p>
            <w:pPr>
              <w:spacing w:after="0"/>
              <w:rPr>
                <w:sz w:val="16"/>
                <w:szCs w:val="16"/>
                <w:color w:val="auto"/>
              </w:rPr>
            </w:pPr>
          </w:p>
        </w:tc>
        <w:tc>
          <w:tcPr>
            <w:tcW w:w="2180" w:type="dxa"/>
            <w:vAlign w:val="bottom"/>
            <w:gridSpan w:val="4"/>
          </w:tcPr>
          <w:p>
            <w:pPr>
              <w:jc w:val="center"/>
              <w:ind w:right="120"/>
              <w:spacing w:after="0" w:line="189" w:lineRule="exact"/>
              <w:rPr>
                <w:sz w:val="20"/>
                <w:szCs w:val="20"/>
                <w:color w:val="auto"/>
              </w:rPr>
            </w:pPr>
            <w:r>
              <w:rPr>
                <w:rFonts w:ascii="Arial" w:cs="Arial" w:eastAsia="Arial" w:hAnsi="Arial"/>
                <w:sz w:val="18"/>
                <w:szCs w:val="18"/>
                <w:color w:val="auto"/>
                <w:w w:val="91"/>
              </w:rPr>
              <w:t>Based on Relative Fair</w:t>
            </w:r>
          </w:p>
        </w:tc>
        <w:tc>
          <w:tcPr>
            <w:tcW w:w="0" w:type="dxa"/>
            <w:vAlign w:val="bottom"/>
          </w:tcPr>
          <w:p>
            <w:pPr>
              <w:spacing w:after="0"/>
              <w:rPr>
                <w:sz w:val="1"/>
                <w:szCs w:val="1"/>
                <w:color w:val="auto"/>
              </w:rPr>
            </w:pPr>
          </w:p>
        </w:tc>
      </w:tr>
      <w:tr>
        <w:trPr>
          <w:trHeight w:val="237"/>
        </w:trPr>
        <w:tc>
          <w:tcPr>
            <w:tcW w:w="940" w:type="dxa"/>
            <w:vAlign w:val="bottom"/>
            <w:gridSpan w:val="2"/>
          </w:tcPr>
          <w:p>
            <w:pPr>
              <w:ind w:left="80"/>
              <w:spacing w:after="0"/>
              <w:rPr>
                <w:sz w:val="20"/>
                <w:szCs w:val="20"/>
                <w:color w:val="auto"/>
              </w:rPr>
            </w:pPr>
            <w:r>
              <w:rPr>
                <w:rFonts w:ascii="Arial" w:cs="Arial" w:eastAsia="Arial" w:hAnsi="Arial"/>
                <w:sz w:val="18"/>
                <w:szCs w:val="18"/>
                <w:color w:val="auto"/>
              </w:rPr>
              <w:t>Warrant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free</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Fair</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Proceeds</w:t>
            </w:r>
          </w:p>
        </w:tc>
        <w:tc>
          <w:tcPr>
            <w:tcW w:w="120" w:type="dxa"/>
            <w:vAlign w:val="bottom"/>
          </w:tcPr>
          <w:p>
            <w:pPr>
              <w:spacing w:after="0"/>
              <w:rPr>
                <w:sz w:val="20"/>
                <w:szCs w:val="20"/>
                <w:color w:val="auto"/>
              </w:rPr>
            </w:pPr>
          </w:p>
        </w:tc>
        <w:tc>
          <w:tcPr>
            <w:tcW w:w="218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Value of:</w:t>
            </w:r>
          </w:p>
        </w:tc>
        <w:tc>
          <w:tcPr>
            <w:tcW w:w="0" w:type="dxa"/>
            <w:vAlign w:val="bottom"/>
          </w:tcPr>
          <w:p>
            <w:pPr>
              <w:spacing w:after="0"/>
              <w:rPr>
                <w:sz w:val="1"/>
                <w:szCs w:val="1"/>
                <w:color w:val="auto"/>
              </w:rPr>
            </w:pPr>
          </w:p>
        </w:tc>
      </w:tr>
      <w:tr>
        <w:trPr>
          <w:trHeight w:val="202"/>
        </w:trPr>
        <w:tc>
          <w:tcPr>
            <w:tcW w:w="9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Shares</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4"/>
              </w:rPr>
              <w:t>Market</w:t>
            </w:r>
          </w:p>
        </w:tc>
        <w:tc>
          <w:tcPr>
            <w:tcW w:w="220" w:type="dxa"/>
            <w:vAlign w:val="bottom"/>
          </w:tcPr>
          <w:p>
            <w:pPr>
              <w:spacing w:after="0"/>
              <w:rPr>
                <w:sz w:val="17"/>
                <w:szCs w:val="17"/>
                <w:color w:val="auto"/>
              </w:rPr>
            </w:pPr>
          </w:p>
        </w:tc>
        <w:tc>
          <w:tcPr>
            <w:tcW w:w="8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Exercise</w:t>
            </w:r>
          </w:p>
        </w:tc>
        <w:tc>
          <w:tcPr>
            <w:tcW w:w="8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Term</w:t>
            </w:r>
          </w:p>
        </w:tc>
        <w:tc>
          <w:tcPr>
            <w:tcW w:w="86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9"/>
              </w:rPr>
              <w:t>Interest</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7"/>
              </w:rPr>
              <w:t>Dividend</w:t>
            </w:r>
          </w:p>
        </w:tc>
        <w:tc>
          <w:tcPr>
            <w:tcW w:w="8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Value of</w:t>
            </w:r>
          </w:p>
        </w:tc>
        <w:tc>
          <w:tcPr>
            <w:tcW w:w="9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9"/>
              </w:rPr>
              <w:t>of Unit</w:t>
            </w:r>
          </w:p>
        </w:tc>
        <w:tc>
          <w:tcPr>
            <w:tcW w:w="120" w:type="dxa"/>
            <w:vAlign w:val="bottom"/>
          </w:tcPr>
          <w:p>
            <w:pPr>
              <w:spacing w:after="0"/>
              <w:rPr>
                <w:sz w:val="17"/>
                <w:szCs w:val="17"/>
                <w:color w:val="auto"/>
              </w:rPr>
            </w:pPr>
          </w:p>
        </w:tc>
        <w:tc>
          <w:tcPr>
            <w:tcW w:w="10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6"/>
              </w:rPr>
              <w:t>of Unit</w:t>
            </w: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Unit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Issued</w:t>
            </w:r>
          </w:p>
        </w:tc>
        <w:tc>
          <w:tcPr>
            <w:tcW w:w="22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Price</w:t>
            </w:r>
          </w:p>
        </w:tc>
        <w:tc>
          <w:tcPr>
            <w:tcW w:w="22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Price</w:t>
            </w:r>
          </w:p>
        </w:tc>
        <w:tc>
          <w:tcPr>
            <w:tcW w:w="20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(Years)</w:t>
            </w:r>
          </w:p>
        </w:tc>
        <w:tc>
          <w:tcPr>
            <w:tcW w:w="22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2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Volatility</w:t>
            </w:r>
          </w:p>
        </w:tc>
        <w:tc>
          <w:tcPr>
            <w:tcW w:w="26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Warrant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Warrants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Sales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Unit Stock</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Warrant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388,978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$ 12.28</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7.00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  8.93</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$ 3,474,100</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$ 2,722,800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$ 1,579,700</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4"/>
              </w:rPr>
              <w:t>$ 1,143,100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23" w:name="page24"/>
    <w:bookmarkEnd w:id="2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Subsequent Events</w:t>
      </w:r>
      <w:r>
        <w:rPr>
          <w:rFonts w:ascii="Arial" w:cs="Arial" w:eastAsia="Arial" w:hAnsi="Arial"/>
          <w:sz w:val="18"/>
          <w:szCs w:val="18"/>
          <w:color w:val="auto"/>
        </w:rPr>
        <w:t>, for disclosure regarding additional sales of Series B Preferred Units after September 30,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for Common Stock underlying Series B Preferred and Series B Warrants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securities purchase agreements for the Series B Preferred and Series B Preferred Units executed with Platinum, the holders of the Investor Unit Notes, the holders of our promissory notes and other contractual indebtedness converted into shares of Series B Preferred, investors in Series B Preferred Units, and certain others to whom we issued Series B Preferred, contained registration rights requiring that a Registration Statement on Form S-1 (</w:t>
      </w:r>
      <w:r>
        <w:rPr>
          <w:rFonts w:ascii="Arial" w:cs="Arial" w:eastAsia="Arial" w:hAnsi="Arial"/>
          <w:sz w:val="18"/>
          <w:szCs w:val="18"/>
          <w:i w:val="1"/>
          <w:iCs w:val="1"/>
          <w:color w:val="auto"/>
        </w:rPr>
        <w:t>Registration Statement</w:t>
      </w:r>
      <w:r>
        <w:rPr>
          <w:rFonts w:ascii="Arial" w:cs="Arial" w:eastAsia="Arial" w:hAnsi="Arial"/>
          <w:sz w:val="18"/>
          <w:szCs w:val="18"/>
          <w:color w:val="auto"/>
        </w:rPr>
        <w:t>) registering, under the Securities Act, certain shares of common stock underlying the Series B Preferred and the Series B Warrants be declared effective on or before August 30, 2015. We filed an initial Registration Statement with the SEC on July 21, 2015, which we amended on August 25, 2015, and which was declared effective by the SEC on August 28, 2015. The Registration Statement registered an aggregate of 3,992,479 shares of our common stock underlying outstanding Series B Preferred and Series B Warrants. Accordingly, we incurred no cash or in kind penalties under the securities purchase agreements.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Series B Preferred to Common Stock</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September 2015, holders of an aggregate of 136,372 shares of Series B Preferred converted such shares into an equivalent number of registered shares of our common stock. Additionally, we issued an aggregate of 2,310 shares of our restricted common stock in payment of $22,700 in accrued dividends on the Series B Preferred converted.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to Professional Service Providers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June 2015, we issued, in a self-placed private placement transaction, an aggregate of 25,000 shares of our Series B Preferred having a fair value of $250,000 as compensation for legal services related to our debt restructuring and other corporate finance matters. Effective on June 30, 2015, we issued, in a self-placed private placement transaction, an aggregate of 90,000 shares of our Series B Preferred having an aggregate value of $1,350,000 as compensation for financial advisory and corporate development service contracts with two independent contractors for services to be performed through June 30, 2016. The value of the Series B Preferred grants was recorded as a prepaid expense in the Condensed Consolidated Balance Sheet at the date of the grant and is being expensed ratably over the twelve months ending June 30, 2016, with $337,500 expensed as a component of general and administrative expense in the quarter ended September 30, 2015. During the quarter ended June 30, 2015, we also issued, in a self-placed private placement transaction, an aggregate of 50,000 shares of our common stock, having an aggregate value of $500,000, as compensation under two corporate development service contracts. The value of the common stock grants was expensed as a component of general and administrative expense in the Condensed Consolidated Statement of Operations and Comprehensive Loss for the quarter ended June 30, 2015. During the quarter ended September 30, 2015, we issued, in a self-placed private placement transaction, an aggregate of 10,000 shares of our Series B Preferred having an aggregate fair value of $120,000 to two providers of intellectual property-related legal services.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Warrants</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addition to warrants modified in connection with conversions of certain of our outstanding promissory notes into Series B Preferred as described earlier in Note 7,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 on June 10, 2015, we modified certain other outstanding warrants to purchase an aggregate of 54,576 shares of our common stock to reduce their exercise price. We calculated the fair value of the modified warrants immediately before and after the modifications and determined that the fair value of the warrants increased by an aggregate of $122,300, which we recognized as a component of general and administrative expense in the Condensed Consolidated Statements of Operations and Comprehensive Loss for the quarter ended June 30, 2015, with a corresponding credit to additional paid-in capital. The warrants subject to the exercise price modifications were valued using the Black-Scholes Option Pricing Model and the following assumptions: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Pre-modification</w:t>
            </w:r>
          </w:p>
        </w:tc>
        <w:tc>
          <w:tcPr>
            <w:tcW w:w="120" w:type="dxa"/>
            <w:vAlign w:val="bottom"/>
          </w:tcPr>
          <w:p>
            <w:pPr>
              <w:spacing w:after="0"/>
              <w:rPr>
                <w:sz w:val="20"/>
                <w:szCs w:val="20"/>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30.23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Remaining contractual term in years (weighted 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Dividend rate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Fair Value per share (weighted average)</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1.55</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Grants</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September 2, 2015, when the market price of our common stock was $9.11 per share, our Board of Directors (</w:t>
      </w:r>
      <w:r>
        <w:rPr>
          <w:rFonts w:ascii="Arial" w:cs="Arial" w:eastAsia="Arial" w:hAnsi="Arial"/>
          <w:sz w:val="17"/>
          <w:szCs w:val="17"/>
          <w:i w:val="1"/>
          <w:iCs w:val="1"/>
          <w:color w:val="auto"/>
        </w:rPr>
        <w:t>Board</w:t>
      </w:r>
      <w:r>
        <w:rPr>
          <w:rFonts w:ascii="Arial" w:cs="Arial" w:eastAsia="Arial" w:hAnsi="Arial"/>
          <w:sz w:val="17"/>
          <w:szCs w:val="17"/>
          <w:color w:val="auto"/>
        </w:rPr>
        <w:t xml:space="preserve">) authorized the grant of fully-vested five-year warrants to purchase an aggregate of 650,000 restricted shares of our common stock at an exercise price of $9.25 per share, including an aggregate of 600,000 of such shares to company officers and independent members of the Board. We valued the new warrant grants at $5.68 per share, or an aggregate of $3,692,900, using the Black Scholes Option Pricing Model and the assumptions indicated in Note 2,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Policies. </w:t>
      </w:r>
      <w:r>
        <w:rPr>
          <w:rFonts w:ascii="Arial" w:cs="Arial" w:eastAsia="Arial" w:hAnsi="Arial"/>
          <w:sz w:val="17"/>
          <w:szCs w:val="17"/>
          <w:color w:val="auto"/>
        </w:rPr>
        <w:t>We recognized non-cash research and development and general and administrative stock compensation expense in the amounts of $852,200 and</w:t>
      </w:r>
      <w:r>
        <w:rPr>
          <w:rFonts w:ascii="Arial" w:cs="Arial" w:eastAsia="Arial" w:hAnsi="Arial"/>
          <w:sz w:val="17"/>
          <w:szCs w:val="17"/>
          <w:i w:val="1"/>
          <w:iCs w:val="1"/>
          <w:color w:val="auto"/>
        </w:rPr>
        <w:t xml:space="preserve"> </w:t>
      </w:r>
      <w:r>
        <w:rPr>
          <w:rFonts w:ascii="Arial" w:cs="Arial" w:eastAsia="Arial" w:hAnsi="Arial"/>
          <w:sz w:val="17"/>
          <w:szCs w:val="17"/>
          <w:color w:val="auto"/>
        </w:rPr>
        <w:t>$2,840,700, respectively, attributable to the warrant grants in the quarter ended September 30, 2015, as reflected in the accompanying Condensed Consolidated Statement of Operations and Comprehensive Loss.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Outstanding</w:t>
      </w:r>
    </w:p>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Following the Series B Warrant issuances and other warrant grants and modifications described above, at September 30, 2015, we had outstanding warrants to purchase shares of our unregistered common stock at a weighted average exercise price of $8.57 per share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Shares Subject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jc w:val="center"/>
              <w:ind w:left="720"/>
              <w:spacing w:after="0"/>
              <w:rPr>
                <w:sz w:val="20"/>
                <w:szCs w:val="20"/>
                <w:color w:val="auto"/>
              </w:rPr>
            </w:pPr>
            <w:r>
              <w:rPr>
                <w:rFonts w:ascii="Arial" w:cs="Arial" w:eastAsia="Arial" w:hAnsi="Arial"/>
                <w:sz w:val="18"/>
                <w:szCs w:val="18"/>
                <w:b w:val="1"/>
                <w:bCs w:val="1"/>
                <w:color w:val="auto"/>
                <w:w w:val="86"/>
              </w:rPr>
              <w:t>Exercise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to Purchase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jc w:val="center"/>
              <w:ind w:left="720"/>
              <w:spacing w:after="0"/>
              <w:rPr>
                <w:sz w:val="20"/>
                <w:szCs w:val="20"/>
                <w:color w:val="auto"/>
              </w:rPr>
            </w:pPr>
            <w:r>
              <w:rPr>
                <w:rFonts w:ascii="Arial" w:cs="Arial" w:eastAsia="Arial" w:hAnsi="Arial"/>
                <w:sz w:val="18"/>
                <w:szCs w:val="18"/>
                <w:b w:val="1"/>
                <w:bCs w:val="1"/>
                <w:color w:val="auto"/>
                <w:w w:val="90"/>
              </w:rPr>
              <w:t>Price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tcPr>
          <w:p>
            <w:pPr>
              <w:jc w:val="center"/>
              <w:ind w:left="720"/>
              <w:spacing w:after="0"/>
              <w:rPr>
                <w:sz w:val="20"/>
                <w:szCs w:val="20"/>
                <w:color w:val="auto"/>
              </w:rPr>
            </w:pPr>
            <w:r>
              <w:rPr>
                <w:rFonts w:ascii="Arial" w:cs="Arial" w:eastAsia="Arial" w:hAnsi="Arial"/>
                <w:sz w:val="18"/>
                <w:szCs w:val="18"/>
                <w:b w:val="1"/>
                <w:bCs w:val="1"/>
                <w:color w:val="auto"/>
                <w:w w:val="91"/>
              </w:rPr>
              <w:t>per Share</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c>
          <w:tcPr>
            <w:tcW w:w="33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jc w:val="right"/>
              <w:ind w:right="220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9/30/2017 to 9/9/2020</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2,761,806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jc w:val="right"/>
              <w:ind w:right="22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9/2/2020</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650,000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jc w:val="right"/>
              <w:ind w:right="220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1/31/2016 to 1/11/2020</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931,468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jc w:val="right"/>
              <w:ind w:right="22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12.80</w:t>
            </w: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3/3/2023</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147,000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jc w:val="right"/>
              <w:ind w:right="220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w:t>
            </w: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1/31/2016 to 3/4/2018</w:t>
            </w:r>
          </w:p>
        </w:tc>
        <w:tc>
          <w:tcPr>
            <w:tcW w:w="3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jc w:val="right"/>
              <w:ind w:right="22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7/30/2016 to 9/15/2019</w:t>
            </w:r>
          </w:p>
        </w:tc>
        <w:tc>
          <w:tcPr>
            <w:tcW w:w="3520" w:type="dxa"/>
            <w:vAlign w:val="bottom"/>
            <w:gridSpan w:val="3"/>
          </w:tcPr>
          <w:p>
            <w:pPr>
              <w:jc w:val="right"/>
              <w:ind w:right="140"/>
              <w:spacing w:after="0"/>
              <w:rPr>
                <w:sz w:val="20"/>
                <w:szCs w:val="20"/>
                <w:color w:val="auto"/>
              </w:rPr>
            </w:pPr>
            <w:r>
              <w:rPr>
                <w:rFonts w:ascii="Arial" w:cs="Arial" w:eastAsia="Arial" w:hAnsi="Arial"/>
                <w:sz w:val="18"/>
                <w:szCs w:val="18"/>
                <w:color w:val="auto"/>
              </w:rPr>
              <w:t>115,448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tcBorders>
              <w:bottom w:val="single" w:sz="8" w:color="CCEEFF"/>
            </w:tcBorders>
            <w:shd w:val="clear" w:color="auto" w:fill="CCEEFF"/>
          </w:tcPr>
          <w:p>
            <w:pPr>
              <w:jc w:val="right"/>
              <w:ind w:right="220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c>
          <w:tcPr>
            <w:tcW w:w="4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2/13/2016 to 11/20/2017</w:t>
            </w:r>
          </w:p>
        </w:tc>
        <w:tc>
          <w:tcPr>
            <w:tcW w:w="14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4,687,211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Cato Holding Company,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is one the largest institutional holders of our common stock at September 30, 2015. In October 2012, we issued a 7.5% promissory note (</w:t>
      </w:r>
      <w:r>
        <w:rPr>
          <w:rFonts w:ascii="Arial" w:cs="Arial" w:eastAsia="Arial" w:hAnsi="Arial"/>
          <w:sz w:val="16"/>
          <w:szCs w:val="16"/>
          <w:i w:val="1"/>
          <w:iCs w:val="1"/>
          <w:color w:val="auto"/>
        </w:rPr>
        <w:t>CHC Note</w:t>
      </w:r>
      <w:r>
        <w:rPr>
          <w:rFonts w:ascii="Arial" w:cs="Arial" w:eastAsia="Arial" w:hAnsi="Arial"/>
          <w:sz w:val="16"/>
          <w:szCs w:val="16"/>
          <w:color w:val="auto"/>
        </w:rPr>
        <w:t>) and a warrant (</w:t>
      </w:r>
      <w:r>
        <w:rPr>
          <w:rFonts w:ascii="Arial" w:cs="Arial" w:eastAsia="Arial" w:hAnsi="Arial"/>
          <w:sz w:val="16"/>
          <w:szCs w:val="16"/>
          <w:i w:val="1"/>
          <w:iCs w:val="1"/>
          <w:color w:val="auto"/>
        </w:rPr>
        <w:t>CHC Warrant</w:t>
      </w:r>
      <w:r>
        <w:rPr>
          <w:rFonts w:ascii="Arial" w:cs="Arial" w:eastAsia="Arial" w:hAnsi="Arial"/>
          <w:sz w:val="16"/>
          <w:szCs w:val="16"/>
          <w:color w:val="auto"/>
        </w:rPr>
        <w:t xml:space="preserve">) to CHC in settlement of prior indebtedness. As disclosed in Note 7,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during June 2015, the outstanding balance of the CHC Note was converted into shares of our Series B Preferred and we reduced the exercise price of the CHC Warrant from $30.00 per share to $7.00 per share. Total interest expense, including amortization of note discount, on the CHC Note was $0 and $7,500 for the quarters ended September 30, 2015 and 2014, respectively, and $4,700 and $15,100 in the six month periods ended September 30 , 2015 and 2014, respectively.</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fiscal year 2007, we entered into a master contract research, development and regulatory service arrangement with CRL, a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related to the development of AV-101, our orally available small molecule prodrug candidate now in Phase 2 clinical development for Major Depressive Disorder, and subsequent other projects under which we incurred expenses of $14,300 and $7,500 for the quarters ended September 30, 2015 and 2014, respectively, and $22,100 and $15,000 in the six month periods ended September 30, 2015 and 2014, respectively.</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October 2012, we issued to CRL (i) a 7.5% promissory note (</w:t>
      </w:r>
      <w:r>
        <w:rPr>
          <w:rFonts w:ascii="Arial" w:cs="Arial" w:eastAsia="Arial" w:hAnsi="Arial"/>
          <w:sz w:val="17"/>
          <w:szCs w:val="17"/>
          <w:i w:val="1"/>
          <w:iCs w:val="1"/>
          <w:color w:val="auto"/>
        </w:rPr>
        <w:t>CRL Note</w:t>
      </w:r>
      <w:r>
        <w:rPr>
          <w:rFonts w:ascii="Arial" w:cs="Arial" w:eastAsia="Arial" w:hAnsi="Arial"/>
          <w:sz w:val="17"/>
          <w:szCs w:val="17"/>
          <w:color w:val="auto"/>
        </w:rPr>
        <w:t>) as payment in full for all contract research, development and regulatory services and advice (</w:t>
      </w:r>
      <w:r>
        <w:rPr>
          <w:rFonts w:ascii="Arial" w:cs="Arial" w:eastAsia="Arial" w:hAnsi="Arial"/>
          <w:sz w:val="17"/>
          <w:szCs w:val="17"/>
          <w:i w:val="1"/>
          <w:iCs w:val="1"/>
          <w:color w:val="auto"/>
        </w:rPr>
        <w:t>CRO Services</w:t>
      </w:r>
      <w:r>
        <w:rPr>
          <w:rFonts w:ascii="Arial" w:cs="Arial" w:eastAsia="Arial" w:hAnsi="Arial"/>
          <w:sz w:val="17"/>
          <w:szCs w:val="17"/>
          <w:color w:val="auto"/>
        </w:rPr>
        <w:t>) rendered by CRL to us through December 31, 2012 with respect to the preclinical and clinical development of AV-101, and (ii) a warrant (</w:t>
      </w:r>
      <w:r>
        <w:rPr>
          <w:rFonts w:ascii="Arial" w:cs="Arial" w:eastAsia="Arial" w:hAnsi="Arial"/>
          <w:sz w:val="17"/>
          <w:szCs w:val="17"/>
          <w:i w:val="1"/>
          <w:iCs w:val="1"/>
          <w:color w:val="auto"/>
        </w:rPr>
        <w:t>CRL Warrant</w:t>
      </w:r>
      <w:r>
        <w:rPr>
          <w:rFonts w:ascii="Arial" w:cs="Arial" w:eastAsia="Arial" w:hAnsi="Arial"/>
          <w:sz w:val="17"/>
          <w:szCs w:val="17"/>
          <w:color w:val="auto"/>
        </w:rPr>
        <w:t xml:space="preserve">). As disclosed in Note 7,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 during June 2015, the entire outstanding balance of the CRL Note and all other outstanding amounts owed to CRL for CRO services were converted into shares of our Series B Preferred and we reduced the exercise price of the CRL Warrant from $20.00 per share to $7.00 per share. Total interest expense, including amortization of the note discount, on the CRL Note was $0 and $36,800 for the quarters ended September 30, 2015 and 2014, respectively, and $23,500 and 73,600 for the six month periods ended September 30,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Unit Offering</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Between October 1, 2015 and November 13, 2015, we sold to Platinum Series B Preferred Units consisting of (i) an aggregate of 21,429 shares of our Series B Preferred and (ii) Series B Warrants to purchase an aggregate of 21,429 shares of our common stock at an exercise price of $7.00 per share. We received cash proceeds of $150,000 from the self-placed private placement and sale of the Series B Preferred Units.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Series B Preferred into Common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Between October 1, 2015 and November 13, 2015, holders of an aggregate of 14,714 shares of Series B Preferred converted such shares into an equivalent number of registered shares of our common stock. Additionally, we issued an aggregate of 542 shares of our restricted common stock in payment of $4,300 in accrued dividends on the Series B Preferred converted.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Warrants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11, 2015, our Board of Directors (</w:t>
      </w:r>
      <w:r>
        <w:rPr>
          <w:rFonts w:ascii="Arial" w:cs="Arial" w:eastAsia="Arial" w:hAnsi="Arial"/>
          <w:sz w:val="18"/>
          <w:szCs w:val="18"/>
          <w:i w:val="1"/>
          <w:iCs w:val="1"/>
          <w:color w:val="auto"/>
        </w:rPr>
        <w:t>Board</w:t>
      </w:r>
      <w:r>
        <w:rPr>
          <w:rFonts w:ascii="Arial" w:cs="Arial" w:eastAsia="Arial" w:hAnsi="Arial"/>
          <w:sz w:val="18"/>
          <w:szCs w:val="18"/>
          <w:color w:val="auto"/>
        </w:rPr>
        <w:t>) authorized the modification of outstanding warrants to purchase an aggregate of 1,123,553 unregistered shares of our common stock previously issued to our officers, the independent members of our Board and a key scientific advisor to reduce the exercise prices thereof to $7.00 per share and to extend through March 19, 2019 the expiration date of such warrants to purchase an aggregate of 10,803 shares of our unregistered common stock otherwise scheduled to expire during calendar 2016.</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Quarterly Report on Form 10-Q includes forward-looking statements. All statements contained in this Quarterly Report on Form 10-Q includes forward-looking statements. All statements contained in this Quarterly Report on Form 10-Q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our Annual Report on Form 10-K for the year ended March 31, 2015 and in our other filings with the SEC.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Quarterly Report on Form 10-Q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 clinical-stage biopharmaceutical company committed to developing and commercializing innovative product candidates for patients with depression, cancer, other diseases involving the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as well as certain neurodegenerative diseases. AV-101, our new generation, orally available prodrug candidate, is in Phase 2 development, initially for the adjunctive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AV-101’s novel mechanism of action, as an N-methyl D aspartate receptor (</w:t>
      </w:r>
      <w:r>
        <w:rPr>
          <w:rFonts w:ascii="Arial" w:cs="Arial" w:eastAsia="Arial" w:hAnsi="Arial"/>
          <w:sz w:val="16"/>
          <w:szCs w:val="16"/>
          <w:i w:val="1"/>
          <w:iCs w:val="1"/>
          <w:color w:val="auto"/>
        </w:rPr>
        <w:t>NMDAR</w:t>
      </w:r>
      <w:r>
        <w:rPr>
          <w:rFonts w:ascii="Arial" w:cs="Arial" w:eastAsia="Arial" w:hAnsi="Arial"/>
          <w:sz w:val="16"/>
          <w:szCs w:val="16"/>
          <w:color w:val="auto"/>
        </w:rPr>
        <w:t>) antagonist binding selectively at the glycine binding (</w:t>
      </w:r>
      <w:r>
        <w:rPr>
          <w:rFonts w:ascii="Arial" w:cs="Arial" w:eastAsia="Arial" w:hAnsi="Arial"/>
          <w:sz w:val="16"/>
          <w:szCs w:val="16"/>
          <w:i w:val="1"/>
          <w:iCs w:val="1"/>
          <w:color w:val="auto"/>
        </w:rPr>
        <w:t>GlyB</w:t>
      </w:r>
      <w:r>
        <w:rPr>
          <w:rFonts w:ascii="Arial" w:cs="Arial" w:eastAsia="Arial" w:hAnsi="Arial"/>
          <w:sz w:val="16"/>
          <w:szCs w:val="16"/>
          <w:color w:val="auto"/>
        </w:rPr>
        <w:t>) co-agonist site of the NMDAR, is fundamentally differentiated from all antidepressants currently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 Phase 2A clinical study of AV-101 in subjects with treatment-resistant MDD is being conducted and funded by the National Institutes of Mental Health (</w:t>
      </w:r>
      <w:r>
        <w:rPr>
          <w:rFonts w:ascii="Arial" w:cs="Arial" w:eastAsia="Arial" w:hAnsi="Arial"/>
          <w:sz w:val="16"/>
          <w:szCs w:val="16"/>
          <w:i w:val="1"/>
          <w:iCs w:val="1"/>
          <w:color w:val="auto"/>
        </w:rPr>
        <w:t>NIMH</w:t>
      </w:r>
      <w:r>
        <w:rPr>
          <w:rFonts w:ascii="Arial" w:cs="Arial" w:eastAsia="Arial" w:hAnsi="Arial"/>
          <w:sz w:val="16"/>
          <w:szCs w:val="16"/>
          <w:color w:val="auto"/>
        </w:rPr>
        <w:t>) under a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The Principal Investigator of this NIMH-funded Phase 2A study, which was initiated in October 2015, is Dr. Carlos Zarate, Jr., Chief of the NIMH’s Experimental Therapeutics &amp; Pathophysiology Branch and its Section on Neurobiology and Treatment of Mood and Anxiety Disorders.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7" w:name="page28"/>
    <w:bookmarkEnd w:id="27"/>
    <w:p>
      <w:pPr>
        <w:jc w:val="both"/>
        <w:ind w:firstLine="648"/>
        <w:spacing w:after="0" w:line="277" w:lineRule="auto"/>
        <w:rPr>
          <w:sz w:val="20"/>
          <w:szCs w:val="20"/>
          <w:color w:val="auto"/>
        </w:rPr>
      </w:pPr>
      <w:r>
        <w:rPr>
          <w:rFonts w:ascii="Arial" w:cs="Arial" w:eastAsia="Arial" w:hAnsi="Arial"/>
          <w:sz w:val="18"/>
          <w:szCs w:val="18"/>
          <w:color w:val="auto"/>
        </w:rPr>
        <w:t>Beyond MDD, we believe that AV-101 has therapeutic potential in additional CNS indications, including neuropathic pain and epilepsy, and in neurodegenerative diseases such as Parkinson’s disease and Huntington’s disease.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our focus on CNS and neurology, we are applying our proprietary,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technology for drug rescue to develop proprietary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internal drug candidate pipeline. Initial drug rescue programs are focused on NCEs for the treatment of cancer.</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are also considering regenerative medicine applications of our stem cell technology platform. Using hPSC-derived blood, cartilage, heart and liver cells in collaborative arrangements with academic research partners, including our co-founder and the Chairman of our Scientific Advisory Board, Gordon Keller, Ph.D., the Director of the University Health Network’s McEwen Centre for Regenerative Medicine in Toronto, we may pursue development of novel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human disease models to produce for our pipeline NCEs and biologics with regenerative potential and nonclinical proof of concept studies focused on regenerative cell therapy.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World Health Organization estimates that 350 million people worldwide are affected by depression. According to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major depression is one of the most common mental disorders in the U.S. In 2013, the NIMH estimated that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8"/>
          <w:szCs w:val="18"/>
          <w:i w:val="1"/>
          <w:iCs w:val="1"/>
          <w:color w:val="auto"/>
        </w:rPr>
        <w:t>CDC</w:t>
      </w:r>
      <w:r>
        <w:rPr>
          <w:rFonts w:ascii="Arial" w:cs="Arial" w:eastAsia="Arial" w:hAnsi="Arial"/>
          <w:sz w:val="18"/>
          <w:szCs w:val="18"/>
          <w:color w:val="auto"/>
        </w:rPr>
        <w:t>), one in 10 Americans take an antidepressant medication.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Unfortunately, millions of depression sufferers do not benefit from initial treatment with standard antidepressants, which generally consists of a selective serotonin reuptake inhibitor (</w:t>
      </w:r>
      <w:r>
        <w:rPr>
          <w:rFonts w:ascii="Arial" w:cs="Arial" w:eastAsia="Arial" w:hAnsi="Arial"/>
          <w:sz w:val="18"/>
          <w:szCs w:val="18"/>
          <w:i w:val="1"/>
          <w:iCs w:val="1"/>
          <w:color w:val="auto"/>
        </w:rPr>
        <w:t>SSRI</w:t>
      </w:r>
      <w:r>
        <w:rPr>
          <w:rFonts w:ascii="Arial" w:cs="Arial" w:eastAsia="Arial" w:hAnsi="Arial"/>
          <w:sz w:val="18"/>
          <w:szCs w:val="18"/>
          <w:color w:val="auto"/>
        </w:rPr>
        <w:t>) or serotonin-norepinephrine reuptake inhibitor (</w:t>
      </w:r>
      <w:r>
        <w:rPr>
          <w:rFonts w:ascii="Arial" w:cs="Arial" w:eastAsia="Arial" w:hAnsi="Arial"/>
          <w:sz w:val="18"/>
          <w:szCs w:val="18"/>
          <w:i w:val="1"/>
          <w:iCs w:val="1"/>
          <w:color w:val="auto"/>
        </w:rPr>
        <w:t>SNRI</w:t>
      </w:r>
      <w:r>
        <w:rPr>
          <w:rFonts w:ascii="Arial" w:cs="Arial" w:eastAsia="Arial" w:hAnsi="Arial"/>
          <w:sz w:val="18"/>
          <w:szCs w:val="18"/>
          <w:color w:val="auto"/>
        </w:rPr>
        <w:t>). Moreover, even when they do relieve depressive symptoms and induce remission of a major depressive episode, SSRIs and SNRIs take many weeks to achieve therapeutic benefits because of their mechanism of action. During the multiple-weeks to months before onset of therapeutic benefits, side effects of SSRIs and SNRIs, including anxiety, metabolic syndrome, sleep disturbance, sexual dysfunction and suicidal thoughts and behaviors, may be considerable. Unfortunately, even after as many as four different treatment cycles, millions of patients suffering with MDD (over 30% of drug-treated MDD patients) do not achieve an adequate therapeutic response to standard antidepressant therapies.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AV-101</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AV-101, our orally available prodrug candidate, is in Phase 2 clinical development, initially for the adjunctive treatment of MDD patients with an inadequate response to standard antidepressant therapies. As published in the October 2015 issue of the peer-reviewed, </w:t>
      </w:r>
      <w:r>
        <w:rPr>
          <w:rFonts w:ascii="Arial" w:cs="Arial" w:eastAsia="Arial" w:hAnsi="Arial"/>
          <w:sz w:val="17"/>
          <w:szCs w:val="17"/>
          <w:i w:val="1"/>
          <w:iCs w:val="1"/>
          <w:color w:val="auto"/>
        </w:rPr>
        <w:t>Journal of Pharmacology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Experimental Therapeutics, </w:t>
      </w:r>
      <w:r>
        <w:rPr>
          <w:rFonts w:ascii="Arial" w:cs="Arial" w:eastAsia="Arial" w:hAnsi="Arial"/>
          <w:sz w:val="17"/>
          <w:szCs w:val="17"/>
          <w:color w:val="auto"/>
        </w:rPr>
        <w:t>in an article entitled,</w:t>
      </w:r>
      <w:r>
        <w:rPr>
          <w:rFonts w:ascii="Arial" w:cs="Arial" w:eastAsia="Arial" w:hAnsi="Arial"/>
          <w:sz w:val="17"/>
          <w:szCs w:val="17"/>
          <w:i w:val="1"/>
          <w:iCs w:val="1"/>
          <w:color w:val="auto"/>
        </w:rPr>
        <w:t xml:space="preserve"> The prodrug 4-chlorokynurenine causes ketamine-like antidepressant effects, but not side effects, by NMDA/glycineB-site inhibition, </w:t>
      </w:r>
      <w:r>
        <w:rPr>
          <w:rFonts w:ascii="Arial" w:cs="Arial" w:eastAsia="Arial" w:hAnsi="Arial"/>
          <w:sz w:val="17"/>
          <w:szCs w:val="17"/>
          <w:color w:val="auto"/>
        </w:rPr>
        <w:t>AV-101 was shown to induce fast-acting, dose-dependent, persistent and statistically significant antidepressant-like responses,</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a single treatment, which responses were equivalent to responses seen with a control single sub-anesthetic dose of ketamine (an FDA-approved anesthetic administered intravenously by clinicians off-label to treat MDD patients who have not responded adequately to standard antidepressant therapies). In the same preclinical studies, fluoxetine (Prozac), an SSRI, did not induce rapid onset antidepressant-like responses.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jc w:val="both"/>
        <w:ind w:firstLine="648"/>
        <w:spacing w:after="0" w:line="279" w:lineRule="auto"/>
        <w:rPr>
          <w:sz w:val="20"/>
          <w:szCs w:val="20"/>
          <w:color w:val="auto"/>
        </w:rPr>
      </w:pPr>
      <w:r>
        <w:rPr>
          <w:rFonts w:ascii="Arial" w:cs="Arial" w:eastAsia="Arial" w:hAnsi="Arial"/>
          <w:sz w:val="17"/>
          <w:szCs w:val="17"/>
          <w:color w:val="auto"/>
        </w:rPr>
        <w:t>Following two successful randomized, double-blind, placebo-controlled Phase 1A and Phase 1B safety studies funded by the NIH, we are now collaborating with the NIMH on a Phase 2A efficacy and safety study of AV-101 in subjects with treatment-resistant MDD. This NIMH-funded Phase 2A studybegan in October 2015, and is expected to enroll up to 28 patients. Dr. Carlos Zarate, Jr., Chief of the NIMH’s Experimental Therapeutics &amp; Pathophysiology Branch and its Section on Neurobiology and Treatment of Mood and Anxiety Disorders, is the Principal Investigator of the study.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Preclinical studies also support the hypothesis that AV-101 has the potential to treat several additional CNS disorders, including chronic neuropathic pain, epilepsy and neurodegenerative diseases, such as Parkinson’s disease and Huntington’s disease, where modulation of the NMDAR may have therapeutic benefit.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NCE Drug Rescue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Our drug rescue strategy involves using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w:t>
      </w:r>
      <w:r>
        <w:rPr>
          <w:rFonts w:ascii="Arial" w:cs="Arial" w:eastAsia="Arial" w:hAnsi="Arial"/>
          <w:sz w:val="17"/>
          <w:szCs w:val="17"/>
          <w:i w:val="1"/>
          <w:iCs w:val="1"/>
          <w:color w:val="auto"/>
        </w:rPr>
        <w:t>,</w:t>
      </w:r>
      <w:r>
        <w:rPr>
          <w:rFonts w:ascii="Arial" w:cs="Arial" w:eastAsia="Arial" w:hAnsi="Arial"/>
          <w:sz w:val="17"/>
          <w:szCs w:val="17"/>
          <w:color w:val="auto"/>
        </w:rPr>
        <w:t xml:space="preserve"> our customized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bioassay system, to predict potential human heart toxicity of NCEs, long before they are ever tested in animal and human studies. Our drug rescue programs are focused on recapturing value from substantial prior investments by pharmaceutical companies and others related to screening large-scale compound libraries, optimizing and testing for efficacy NCEs that were terminated before FDA approval due to heart toxicity risks and are now amenable to drug rescue and available in the public domain.</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CardioSafe </w:t>
      </w:r>
      <w:r>
        <w:rPr>
          <w:rFonts w:ascii="Arial" w:cs="Arial" w:eastAsia="Arial" w:hAnsi="Arial"/>
          <w:sz w:val="18"/>
          <w:szCs w:val="18"/>
          <w:color w:val="auto"/>
        </w:rPr>
        <w:t>3D includes our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xml:space="preserve">)-derived human heart cells. Due to the high purity and functionality of our hPSC-derived heart cells, we believe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more comprehensive and clinically predictive than the hERG assay, which is currently the only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cardiac safety assay required by FDA guidelines.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offers a new paradigm for evaluating and predicting potential human heart toxicity of NCEs early in the development process, long before costly, high risk animal studies and human clinical trials. Combining our stem cell biology expertise, the clinically predictive power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contract medicinal chemistry, our drug rescue programs are focused on producing and developing safe and effective proprietary NCEs for our drug candidate pipeline.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Regenerative Medicine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stem cell technology-based regenerative medicine has the potential to transform the U.S. healthcare system over the next two decades by altering the fundamental mechanisms of disease, and helping to slow rapidly rising healthcare costs. Using hPSC-derived blood, bone, cartilage, heart, and liver cells, our current interests in the regenerative medicine arena include developing novel human disease models for discovery of small molecule drugs and biologics that activate the endogenous growth and healing processes (enabling the body to repair tissue damage caused by certain degenerative diseases) and, through collaborative nonclinical proof of concept studies with academic research partners, exploring potential regenerative cell therapy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2015, as filed with the SEC on June 29, 2015, and in Note 3 to the accompanying unaudited Condensed Consolidated Financial Statements included in Part 1, Item 1 of this Quarterly Report on Form 10-Q.</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not yet achieved revenue-generating status from any of our product candidates. Since inception, we have devoted substantially all of our time and efforts to development of AV-101, from early preclinical studies through Phase 1 clinical trials, and preparation for Phase 2 clinical development, stem cell research and bioassay development, small molecule drug development, and creating, protecting and patenting intellectual property in support of AV-101 and stem cell technology platform, with the corollary initiatives of recruiting personnel and raising working capital. As of September 30, 2015, we had an accumulated deficit (including cash and non-cash charges) of approximately $121.1 million. Our net loss for the six month periods ended September 30, 2015 and 2014 was $36.6 million and $6.6 million, respectively, including a non-cash loss of approximately $26.7 million attributable to converting over $17.2 million of our indebtedness into equity securities between May 2015 and August 2015. We expect losses to continue for the foreseeable future as we continue development of AV-101 for Major Depressive Disorder and other CNS indications, and pursue NCE drug rescue programs and exploratory regenerative medicine programs related to our stem cell technology platform.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Six Months Ended September 30, 2015</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Although our financial resources have been limited, our scientific personnel and collaborators continue to develop AV-101 for Major Depressive Disorder and other CNS indications and explore drug rescue and regenerative medicine opportunities related to our stem cell technology platform and customized bioassay systems,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As indicated previously, we have entered into a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with the NIH, pursuant to which the NIH is funding and conducting a Phase 2 clinical study of AV-101 in Major Depressive Disorder.</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Throughout all of fiscal 2014 and 2015 and the six months ended September 30, 2015, through self-placed private placement transactions and other corporate finance initiatives, our executive management has been focused on raising sufficient operating capital to continue to advance our development of AV-101, as well as other research and development objectives, while meeting our continuing operational needs. Among our most significant accomplishments during the six months ended September 30, 2015 have been (i) receiving clearance from the FDA and the NIH to initiate the NIH-funded Phase 2 clinical study of AV-101 in subjects with treatment-resistant Major Depressive Disorder (</w:t>
      </w:r>
      <w:r>
        <w:rPr>
          <w:rFonts w:ascii="Arial" w:cs="Arial" w:eastAsia="Arial" w:hAnsi="Arial"/>
          <w:sz w:val="17"/>
          <w:szCs w:val="17"/>
          <w:i w:val="1"/>
          <w:iCs w:val="1"/>
          <w:color w:val="auto"/>
        </w:rPr>
        <w:t>MDD</w:t>
      </w:r>
      <w:r>
        <w:rPr>
          <w:rFonts w:ascii="Arial" w:cs="Arial" w:eastAsia="Arial" w:hAnsi="Arial"/>
          <w:sz w:val="17"/>
          <w:szCs w:val="17"/>
          <w:color w:val="auto"/>
        </w:rPr>
        <w:t>), with Dr. Carlos Zarate, Jr., Chief of the Section on the Neurobiology and Treatment of Mood Disorders and Chief of the Experimental Therapeutics and Pathophysiology Branch at the U.S. National Institutes of Mental Health (</w:t>
      </w:r>
      <w:r>
        <w:rPr>
          <w:rFonts w:ascii="Arial" w:cs="Arial" w:eastAsia="Arial" w:hAnsi="Arial"/>
          <w:sz w:val="17"/>
          <w:szCs w:val="17"/>
          <w:i w:val="1"/>
          <w:iCs w:val="1"/>
          <w:color w:val="auto"/>
        </w:rPr>
        <w:t>NIMH</w:t>
      </w:r>
      <w:r>
        <w:rPr>
          <w:rFonts w:ascii="Arial" w:cs="Arial" w:eastAsia="Arial" w:hAnsi="Arial"/>
          <w:sz w:val="17"/>
          <w:szCs w:val="17"/>
          <w:color w:val="auto"/>
        </w:rPr>
        <w:t>), which is part of the NIH, as Principal Investigator; (ii) expanding our Clinical and Scientific Advisory Board to include Maurizio Fava, MD, a world renowned expert in depressive disorders and psychopharmacology, Director of the Division of Clinical Research of the Massachusetts General Hospital (</w:t>
      </w:r>
      <w:r>
        <w:rPr>
          <w:rFonts w:ascii="Arial" w:cs="Arial" w:eastAsia="Arial" w:hAnsi="Arial"/>
          <w:sz w:val="17"/>
          <w:szCs w:val="17"/>
          <w:i w:val="1"/>
          <w:iCs w:val="1"/>
          <w:color w:val="auto"/>
        </w:rPr>
        <w:t>MGH</w:t>
      </w:r>
      <w:r>
        <w:rPr>
          <w:rFonts w:ascii="Arial" w:cs="Arial" w:eastAsia="Arial" w:hAnsi="Arial"/>
          <w:sz w:val="17"/>
          <w:szCs w:val="17"/>
          <w:color w:val="auto"/>
        </w:rPr>
        <w:t xml:space="preserve">) Research Institute and Professor of Psychiatry at Harvard Medical School; (iii) preparing to publish preclinical data on AV-101 in the October 2015 issue of the peer-reviewed, </w:t>
      </w:r>
      <w:r>
        <w:rPr>
          <w:rFonts w:ascii="Arial" w:cs="Arial" w:eastAsia="Arial" w:hAnsi="Arial"/>
          <w:sz w:val="17"/>
          <w:szCs w:val="17"/>
          <w:i w:val="1"/>
          <w:iCs w:val="1"/>
          <w:color w:val="auto"/>
        </w:rPr>
        <w:t>Journal of Pharmacology and Experimental Therapeutics</w:t>
      </w:r>
      <w:r>
        <w:rPr>
          <w:rFonts w:ascii="Arial" w:cs="Arial" w:eastAsia="Arial" w:hAnsi="Arial"/>
          <w:sz w:val="17"/>
          <w:szCs w:val="17"/>
          <w:color w:val="auto"/>
        </w:rPr>
        <w:t>, in an article entitled “The prodrug 4-chlorokynurenine causes ketamine-like antidepressant effects, but not side effects, by NMDA/glycineB-site inhibition;” (iv) successfully negotiating, extinguishing and converting (in self-placed private placement transactions) approximately $17.2 million (a substantial majority) of our outstanding indebtedness into our equity securities; (v) completing self-placed private placement transactions with accredited investors thereby providing additional operating capital through the sale of our equity securities; and (vi) obtaining approval by our stockholders to increase the number of authorized shares of our common stock from 10 million shares to 30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To meet our working capital needs, between April 1, 2015 and May 14, 2015, we completed self-placed private placement transactions involving securities purchase agreements with accredited investors pursuant to which we sold to such accredited investors 2014 Private Placement Units, for aggregate cash proceeds of $280,000, consisting of (i) 10% convertible notes in the aggregate face amount of $280,000 due between April 30, 2015 and May 15, 2015;</w:t>
      </w:r>
    </w:p>
    <w:p>
      <w:pPr>
        <w:jc w:val="both"/>
        <w:ind w:firstLine="8"/>
        <w:spacing w:after="0" w:line="290" w:lineRule="auto"/>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aggregate of 33,000 restricted shares of our common stock; and (iii) warrants exercisable through December 31, 2016 to purchase an aggregate of 24,250 restricted shares of our common stock at an exercise price of $10.00 per share. Between May 26, 2015 and September 30, 2015, we entered into self-placed private placement transactions involving securities purchase agreements with accredited investors, pursuant to which we sold Series B Preferred Units, for aggregate cash proceeds of $2,722,800, consisting of an aggregate of (i) 388,978 shares of our Series B 10% Convertible Preferred Stock (</w:t>
      </w:r>
      <w:r>
        <w:rPr>
          <w:rFonts w:ascii="Arial" w:cs="Arial" w:eastAsia="Arial" w:hAnsi="Arial"/>
          <w:sz w:val="16"/>
          <w:szCs w:val="16"/>
          <w:i w:val="1"/>
          <w:iCs w:val="1"/>
          <w:color w:val="auto"/>
        </w:rPr>
        <w:t>Series B</w:t>
      </w:r>
      <w:r>
        <w:rPr>
          <w:rFonts w:ascii="Arial" w:cs="Arial" w:eastAsia="Arial" w:hAnsi="Arial"/>
          <w:sz w:val="16"/>
          <w:szCs w:val="16"/>
          <w:color w:val="auto"/>
        </w:rPr>
        <w:t xml:space="preserve"> </w:t>
      </w:r>
      <w:r>
        <w:rPr>
          <w:rFonts w:ascii="Arial" w:cs="Arial" w:eastAsia="Arial" w:hAnsi="Arial"/>
          <w:sz w:val="16"/>
          <w:szCs w:val="16"/>
          <w:i w:val="1"/>
          <w:iCs w:val="1"/>
          <w:color w:val="auto"/>
        </w:rPr>
        <w:t>Preferred</w:t>
      </w:r>
      <w:r>
        <w:rPr>
          <w:rFonts w:ascii="Arial" w:cs="Arial" w:eastAsia="Arial" w:hAnsi="Arial"/>
          <w:sz w:val="16"/>
          <w:szCs w:val="16"/>
          <w:color w:val="auto"/>
        </w:rPr>
        <w:t>); and (ii) five-year warrants to purchase an aggregate of 388,978 shares of our common stock. In connection with the foregoing self-placed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transactions, between April 1, 2015 and September 30, 2015, we received aggregate cash proceeds of $3.0 million.</w:t>
      </w:r>
    </w:p>
    <w:p>
      <w:pPr>
        <w:spacing w:after="0" w:line="19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a matter of course, we seek to minimize cash commitments and expenditures for both internal and external research and development and general and administrative services to the greatest extent possible. The conversion of such a substantial portion of our outstanding indebtedness, much of which was either already due and payable or would have matured within the next nine to twelve months, materially reduced our cash requirements for debt service.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2015 and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results of our operations for the three months ended September 30, 2015 and 2014 (amounts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Change in warrant liabilities</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Income taxes</w:t>
            </w: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Net loss</w:t>
            </w:r>
          </w:p>
        </w:tc>
        <w:tc>
          <w:tcPr>
            <w:tcW w:w="2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(7,048)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jc w:val="right"/>
              <w:ind w:right="2530"/>
              <w:spacing w:after="0"/>
              <w:rPr>
                <w:sz w:val="20"/>
                <w:szCs w:val="20"/>
                <w:color w:val="auto"/>
              </w:rPr>
            </w:pPr>
            <w:r>
              <w:rPr>
                <w:rFonts w:ascii="Arial" w:cs="Arial" w:eastAsia="Arial" w:hAnsi="Arial"/>
                <w:sz w:val="18"/>
                <w:szCs w:val="18"/>
                <w:color w:val="auto"/>
                <w:w w:val="96"/>
              </w:rPr>
              <w:t>Accrued dividend on Series B Preferred Stock</w:t>
            </w: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jc w:val="right"/>
              <w:ind w:right="2530"/>
              <w:spacing w:after="0"/>
              <w:rPr>
                <w:sz w:val="20"/>
                <w:szCs w:val="20"/>
                <w:color w:val="auto"/>
              </w:rPr>
            </w:pPr>
            <w:r>
              <w:rPr>
                <w:rFonts w:ascii="Arial" w:cs="Arial" w:eastAsia="Arial" w:hAnsi="Arial"/>
                <w:sz w:val="18"/>
                <w:szCs w:val="18"/>
                <w:color w:val="auto"/>
                <w:w w:val="96"/>
              </w:rPr>
              <w:t>Deemed dividend on Series B Preferred Stock</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(8,550)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reported no revenue for the quarters ended September 30, 2015 or 2014 and we presently have no revenue generating arrangements. However, as indicated previously, we have entered into a CRADA with the NIH providing for a Phase 2 clinical study of AV-101 in treatment resistant Major Depressive Disorder. This Phase 2 study, which began in October 2015, will be funded by the NIH and conducted at the NIH.</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Research and development expense totaled $1,656,000 for the quarter ended September 30, 2015, nearly three times the $558,000 reported for the quarter ended September 30, 2014, primarily as a result of the noncash expense related to stock based compensation awards granted in September 2015. The following table indicates the primary components of research and development expense for each of the periods (amounts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6"/>
          </w:tcPr>
          <w:p>
            <w:pPr>
              <w:ind w:left="60"/>
              <w:spacing w:after="0"/>
              <w:rPr>
                <w:sz w:val="20"/>
                <w:szCs w:val="20"/>
                <w:color w:val="auto"/>
              </w:rPr>
            </w:pPr>
            <w:r>
              <w:rPr>
                <w:rFonts w:ascii="Arial" w:cs="Arial" w:eastAsia="Arial" w:hAnsi="Arial"/>
                <w:sz w:val="18"/>
                <w:szCs w:val="18"/>
                <w:color w:val="auto"/>
                <w:w w:val="95"/>
              </w:rPr>
              <w:t>Three Months Ended September</w:t>
            </w: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887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AV-101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Stem cell and all other</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To conserve cash resources, during 2014, Ralph Snodgrass, Ph.D., our Chief Scientific Officer (</w:t>
      </w:r>
      <w:r>
        <w:rPr>
          <w:rFonts w:ascii="Arial" w:cs="Arial" w:eastAsia="Arial" w:hAnsi="Arial"/>
          <w:sz w:val="16"/>
          <w:szCs w:val="16"/>
          <w:i w:val="1"/>
          <w:iCs w:val="1"/>
          <w:color w:val="auto"/>
        </w:rPr>
        <w:t>CSO</w:t>
      </w:r>
      <w:r>
        <w:rPr>
          <w:rFonts w:ascii="Arial" w:cs="Arial" w:eastAsia="Arial" w:hAnsi="Arial"/>
          <w:sz w:val="16"/>
          <w:szCs w:val="16"/>
          <w:color w:val="auto"/>
        </w:rPr>
        <w:t>), voluntarily accepted a temporary salary reduction to substantially less than his contractual pay rate. During the quarter ended September 30, 2015, Dr. Snodgrass has received cash compensation at his contractual base salary rate. Partially offsetting this increase is the impact of the voluntary resignation of one member of our scientific staff at the end of September 2014 and the voluntary reduction of work hours and pay by another member of our scientific staff beginning in the last quarter of calendar 2014.</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The increase in stock based compensation expense for 2015 reflects the $852,200 fair value, determined using the Black-Scholes Option Pricing Model and the assumptions indicated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to the accompanying Condensed Consolidated Financial Statements in Part I of this Report, of the September 2015 grant of immediately vested and expensed warrants to purchase 150,000 shares of our common stock granted to our CSO. Stock based compensation expense additionally reflects the ratable amortization of option grants made to scientific staff and consultants, most recently in September 2015, March 2014 and October 2013, as well as the ratable amortization of a warrant grant made to our CSO in March 2014. Our stock options are generally amortized over a two-year or four-year vesting period, and warrants granted to the CSO in March 2014 are being amortized over a three-year vesting period. Essentially all of the option grants made prior to October 2013 and the warrant grant made to our CSO in March 2013 are fully-vested and fully-expensed at September 30, 2015.</w:t>
      </w:r>
    </w:p>
    <w:p>
      <w:pPr>
        <w:spacing w:after="0" w:line="20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Consulting services reflects fees paid or accrued for scientific services rendered to us by third-parties, primarily by members of our scientific and clinical advisory board.</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Technology license expense reflects both recurring annual fees as well as legal counsel and other costs related to patent prosecution and protection that we are required to fund under the terms of certain of our stem cell technology license agreements or have elected to pursue for commercial purposes. We recognize these costs as they are invoiced to us by the licensors and they do not occur ratably throughout the year or between years. Additionally, in 2015, this expense includes legal counsel and other costs we have incurred to advance in the U.S. and numerous foreign countries several pending patent applications with respect to AV-101 and our stem cell technology platform.</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AV-101 expenses in both periods presented reflect the costs associated with monitoring for and responding to potential feedback related to the Phase 1 clinical trial and preparing other reports required under the terms of our prior NIH grant, primarily through our contract research collaborator, Cato Research Ltd. Expenses in 2015 also include costs related to updating documentation to facilitate the Phase 2 clinical trial of AV-101 in treatment resistant Major Depressive Disorder to be sponsored and conducted by the NIH. Stem cell and other project related expenses in both periods were minimal.</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 increased significantly, to $3.7 million, for the quarter ended September 30, 2015 compared to the $556,000 reported for the quarter ended September 30, 2014, primarily as a result of the noncash expense related to stock based compensation awards granted in September 2015 and increased professional services fees. The following table indicates the primary components of general and administrative expenses for each of the periods (amounts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7"/>
          </w:tcPr>
          <w:p>
            <w:pPr>
              <w:ind w:left="40"/>
              <w:spacing w:after="0"/>
              <w:rPr>
                <w:sz w:val="20"/>
                <w:szCs w:val="20"/>
                <w:color w:val="auto"/>
              </w:rPr>
            </w:pPr>
            <w:r>
              <w:rPr>
                <w:rFonts w:ascii="Arial" w:cs="Arial" w:eastAsia="Arial" w:hAnsi="Arial"/>
                <w:sz w:val="18"/>
                <w:szCs w:val="18"/>
                <w:color w:val="auto"/>
                <w:w w:val="94"/>
              </w:rPr>
              <w:t>Six Months Ended September 30,</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General and Administrative Expense</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conserve cash resources, during 2014, each of Shawn Singh, our Chief Executive Officer, and Jerrold Dotson, our Chief Financial Officer, voluntarily accepted a temporary salary reduction to substantially less than his contractual or agreed pay rate. During the quarter ended September 30, 2015, both Messrs. Singh and Dotson have received cash compensation at their respective contractual base salary rate. Pay rates and administrative employee headcount have otherwise remained stable between the periods reported.</w:t>
      </w:r>
    </w:p>
    <w:p>
      <w:pPr>
        <w:spacing w:after="0" w:line="21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The increase in noncash stock based compensation expense for 2015 reflects the $2,840,700 fair value, determined using the Black-Scholes Option Pricing Model and the assumptions indicated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the accompanying Condensed Consolidated Financial Statements in Part I of this Report, of the September 2015 grant of immediately vested and expensed warrants to purchase an aggregate of 500,000 shares of our common stock granted to our officers, independent members of our Board of Directors and certain administrative consultants. Stock based compensation expense additionally reflects the ratable amortization of option grants made to administrative staff and consultants, most recently in September 2015, March 2014 and October 2013, as well as the ratable amortization of a warrant grant made to certain officers and independent members of our Board of Directors in March 2014. Our stock options are generally amortized over a two-year or four-year vesting period, and warrants granted to officers and directors in March 2014 are being amortized over a three-year vesting period. Essentially all of the option grants made prior to October 2013 and warrant grants made to our officers and independent members of our Board of Directors in March 2013 are fully-vested and fully-expensed at September 30, 2015.</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Consulting services primarily includes fees accrued for the services of independent members of our Board of Directors.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increase in legal, accounting and other professional service fees results primarily from the $337,500 noncash quarterly expense recognized pursuant to the June 30, 2015 grant of an aggregate of 90,000 shares of our Series B Preferred having an aggregate fair value of $1,350,000 as compensation for financial advisory and corporate development service contracts with two independent contractors for services to be performed through June 30, 2016. As described in Note 8,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Condensed Consolidated Financial Statements in Part I of this Report, the value of the Series B Preferred grants was recorded as a prepaid expense at the date of the grant and is being expensed ratably over the twelve months ending June 30, 2016. Legal expense for 2015 also includes one-time fees associated with the conversion of our promissory notes and other debt into our Series B Preferred.</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both periods, travel expenses reflect costs associated with meetings with accredited investors in connection with self-placed private placements of our securities, and in 2015, with various creditors in connection with extinguishment of a substantial portion of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net totaled $12,000 for the quarter ended September 30, 2015, a significant decrease compared to the $606,000 reported for the quarter ended September 30, 2014 resulting from the extinguishment of substantially all of our promissory notes, as well as other indebtedness, by conversion into our Series B Preferred and the related elimination of note interest and discount amortization. The following table summarizes the primary components of interest expense for each of the periods (amounts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6"/>
          </w:tcPr>
          <w:p>
            <w:pPr>
              <w:jc w:val="right"/>
              <w:ind w:right="180"/>
              <w:spacing w:after="0"/>
              <w:rPr>
                <w:sz w:val="20"/>
                <w:szCs w:val="20"/>
                <w:color w:val="auto"/>
              </w:rPr>
            </w:pPr>
            <w:r>
              <w:rPr>
                <w:rFonts w:ascii="Arial" w:cs="Arial" w:eastAsia="Arial" w:hAnsi="Arial"/>
                <w:sz w:val="18"/>
                <w:szCs w:val="18"/>
                <w:color w:val="auto"/>
                <w:w w:val="91"/>
              </w:rPr>
              <w:t>Three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promissory notes</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Amortization of discount on promissory notes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expense, including on capital leases and premium financing</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fluctuations on notes payable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substantial overall decrease in interest expense on promissory notes and the related amortization of discounts on such notes between the periods primarily reflects the cessation of interest accrual and discount amortization upon the extinguishment and conversion of all outstanding Senior Secured Convertible Notes, 2014 Unit Notes and other outstanding promissory notes into shares of our Series B Preferred between May 2015 and August 2015.</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terms of the October 2012 Note Exchange and Purchase Agreement we entered with Platinum Long Term Growth VII, LLC (</w:t>
      </w:r>
      <w:r>
        <w:rPr>
          <w:rFonts w:ascii="Arial" w:cs="Arial" w:eastAsia="Arial" w:hAnsi="Arial"/>
          <w:sz w:val="17"/>
          <w:szCs w:val="17"/>
          <w:i w:val="1"/>
          <w:iCs w:val="1"/>
          <w:color w:val="auto"/>
        </w:rPr>
        <w:t>Platinum</w:t>
      </w:r>
      <w:r>
        <w:rPr>
          <w:rFonts w:ascii="Arial" w:cs="Arial" w:eastAsia="Arial" w:hAnsi="Arial"/>
          <w:sz w:val="17"/>
          <w:szCs w:val="17"/>
          <w:color w:val="auto"/>
        </w:rPr>
        <w:t xml:space="preserve">), our largest investor, we issued certain Senior Secured Convertible Promissory Notes and a related Exchange Warrant and Investment Warrants between October 2012 and July 2013. Upon Platinum’s exchange of the shares of our Series A Preferred Stock held by Platinum into shares of our common stock, we will also be required to issue a Series A Exchange Warrant to Platinum. We determined that the various warrants included certain exercise price adjustment and other anti-dilution features requiring us to treat the warrants as liabilities. Accordingly, we recorded a noncash warrant liability at its estimated fair value as of the date of warrant issuance or contract execution. As described in Note 8, </w:t>
      </w:r>
      <w:r>
        <w:rPr>
          <w:rFonts w:ascii="Arial" w:cs="Arial" w:eastAsia="Arial" w:hAnsi="Arial"/>
          <w:sz w:val="17"/>
          <w:szCs w:val="17"/>
          <w:i w:val="1"/>
          <w:iCs w:val="1"/>
          <w:color w:val="auto"/>
        </w:rPr>
        <w:t>Capital Stock</w:t>
      </w:r>
      <w:r>
        <w:rPr>
          <w:rFonts w:ascii="Arial" w:cs="Arial" w:eastAsia="Arial" w:hAnsi="Arial"/>
          <w:sz w:val="17"/>
          <w:szCs w:val="17"/>
          <w:color w:val="auto"/>
        </w:rPr>
        <w:t xml:space="preserve">, and Note 4,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to the Condensed Consolidated Financial Statements included in Part 1, Item 1 of this Quarterly Report on Form 10-Q, on May 12, 2015, we entered into an agreement with Platinum pursuant to which we amended the warrants to fix the exercise price thereof and eliminated the anti-dilution reset features that had previously required the warrants to be treated as liabilities and carried at fair value. Accordingly, we eliminated the entire warrant liability with respect to these warrants during the quarter ended June 30, 2015. During the quarter ended September 30, 2014, we recognized noncash income of $1,301,800 related to the net decrease in the estimated fair value of the warrant liabilities since March 31, 2014, which resulted primarily from the decrease in the market price of our common stock in relation to the exercise price of the warrants.</w:t>
      </w: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As described more completely in Note 7,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 xml:space="preserve">, and Note 8, </w:t>
      </w:r>
      <w:r>
        <w:rPr>
          <w:rFonts w:ascii="Arial" w:cs="Arial" w:eastAsia="Arial" w:hAnsi="Arial"/>
          <w:sz w:val="17"/>
          <w:szCs w:val="17"/>
          <w:i w:val="1"/>
          <w:iCs w:val="1"/>
          <w:color w:val="auto"/>
        </w:rPr>
        <w:t>Capital Stock</w:t>
      </w:r>
      <w:r>
        <w:rPr>
          <w:rFonts w:ascii="Arial" w:cs="Arial" w:eastAsia="Arial" w:hAnsi="Arial"/>
          <w:sz w:val="17"/>
          <w:szCs w:val="17"/>
          <w:color w:val="auto"/>
        </w:rPr>
        <w:t>, to the accompanying Condensed Consolidated Financial Statements in Part I of this Report, during the quarter ended September 30, 2015, we eliminated the outstanding balances of an additional approximately $1.8 million of promissory notes and other debt after having eliminated the outstanding balances of approximately $15.4 million of promissory notes, including our Senior Secured Notes, our 2014 Unit Notes and other debt and certain adjustments thereto, in the quarter ended June 30, 2015, by converting such balances into shares of Series B Preferred. We treated the conversion of the indebtedness into Series B Preferred as extinguishments of debt for accounting purposes. Since the fair value of the Series B Preferred we negotiated in settlement of the promissory notes and other indebtedness in both the quarters ended June 30, 2015 and September 30, 2015 exceeded the carrying value of the debts, we incurred losses on each of the extinguishments. During the quarter ended September 30, 2015, we recorded an aggregate net noncash loss of $1,649,300 attributable to the extinguishment of debt converted into Series B Preferred.</w:t>
      </w:r>
    </w:p>
    <w:p>
      <w:pPr>
        <w:spacing w:after="0" w:line="20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July 2014, we entered into an agreement with Platinum, as further amended in September 2014, pursuant to which Platinum agreed to convert into our unregistered equity securities all then outstanding Senior Secured Notes and related accrued interest held by Platinum upon our consummation prior to October 31, 2014 of either a Private Financing or a Public Offering, each as defined in the agreement. Prior to the agreement, the Senior Secured Notes were convertible, at Platinum’s option, at any time prior to maturity at a conversion price of $10.00 per share. The modification of the conversion feature in the Senior Secured Notes was treated as an extinguishment of debt for accounting purposes and we recognized a noncash loss on the extinguishment of debt in the aggregate amount of $1,603,400 attributable to the amendment in the quarter ended September 30, 2014.</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We allocated proceeds from the self-placed private placement sales of Series B Preferred Units during the quarter ended September 30, 2015 to the Series B Preferred and the Series B Warrants based on their relative fair values on the dates of the sales. The difference, for accounting purposes, between the relative fair value per share of the Series B Preferred, approximately $4.05 per share, and its Conversion Price (or stated value) of $7.00 per share represents a deemed dividend to the purchasers of the Series B Preferred Units. Accordingly, we have recognized a deemed dividend in the aggregate amount of $886,900 in arriving at net loss attributable to common stockholders for the quarter ended September 30, 2015 in the accompanying Condensed Consolidated Statement of Operations and Comprehensive Loss included in Part I of this Report. Further, we have recognized $614,700 representing the 10% cumulative dividend payable on our Series B Preferred as an additional deduction in arriving at net loss attributable to common stockholders for the quarter ended September 30, 2015 in the accompanying Condensed Consolidated Statement of Operations and Comprehensive Loss.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September 30, 2015 and 2014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summarizes the results of our operations for the six months ended September 30, 2015 and 2014 (amounts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Six Months Ended September 30,</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7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5,179</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1,353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2,385</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(767</w:t>
            </w:r>
          </w:p>
        </w:tc>
        <w:tc>
          <w:tcPr>
            <w:tcW w:w="110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Change in warrant liabilities</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(1,895</w:t>
            </w:r>
          </w:p>
        </w:tc>
        <w:tc>
          <w:tcPr>
            <w:tcW w:w="320" w:type="dxa"/>
            <w:vAlign w:val="bottom"/>
          </w:tcPr>
          <w:p>
            <w:pPr>
              <w:spacing w:after="0"/>
              <w:rPr>
                <w:sz w:val="18"/>
                <w:szCs w:val="18"/>
                <w:color w:val="auto"/>
              </w:rPr>
            </w:pPr>
          </w:p>
        </w:tc>
        <w:tc>
          <w:tcPr>
            <w:tcW w:w="1100" w:type="dxa"/>
            <w:vAlign w:val="bottom"/>
          </w:tcPr>
          <w:p>
            <w:pPr>
              <w:jc w:val="center"/>
              <w:ind w:right="27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(425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(26,700</w:t>
            </w:r>
          </w:p>
        </w:tc>
        <w:tc>
          <w:tcPr>
            <w:tcW w:w="110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(36,570</w:t>
            </w:r>
          </w:p>
        </w:tc>
        <w:tc>
          <w:tcPr>
            <w:tcW w:w="110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(6,572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taxes</w:t>
            </w:r>
          </w:p>
        </w:tc>
        <w:tc>
          <w:tcPr>
            <w:tcW w:w="126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100" w:type="dxa"/>
            <w:vAlign w:val="bottom"/>
          </w:tcPr>
          <w:p>
            <w:pPr>
              <w:jc w:val="center"/>
              <w:ind w:right="27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(36,572</w:t>
            </w:r>
          </w:p>
        </w:tc>
        <w:tc>
          <w:tcPr>
            <w:tcW w:w="1100" w:type="dxa"/>
            <w:vAlign w:val="bottom"/>
          </w:tcPr>
          <w:p>
            <w:pPr>
              <w:jc w:val="center"/>
              <w:ind w:right="27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(6,574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jc w:val="right"/>
              <w:ind w:right="1790"/>
              <w:spacing w:after="0"/>
              <w:rPr>
                <w:sz w:val="20"/>
                <w:szCs w:val="20"/>
                <w:color w:val="auto"/>
              </w:rPr>
            </w:pPr>
            <w:r>
              <w:rPr>
                <w:rFonts w:ascii="Arial" w:cs="Arial" w:eastAsia="Arial" w:hAnsi="Arial"/>
                <w:sz w:val="18"/>
                <w:szCs w:val="18"/>
                <w:color w:val="auto"/>
                <w:w w:val="96"/>
              </w:rPr>
              <w:t>Accrued dividend on Series B Preferred Stock</w:t>
            </w:r>
          </w:p>
        </w:tc>
        <w:tc>
          <w:tcPr>
            <w:tcW w:w="1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(828</w:t>
            </w:r>
          </w:p>
        </w:tc>
        <w:tc>
          <w:tcPr>
            <w:tcW w:w="110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jc w:val="right"/>
              <w:ind w:right="1790"/>
              <w:spacing w:after="0"/>
              <w:rPr>
                <w:sz w:val="20"/>
                <w:szCs w:val="20"/>
                <w:color w:val="auto"/>
              </w:rPr>
            </w:pPr>
            <w:r>
              <w:rPr>
                <w:rFonts w:ascii="Arial" w:cs="Arial" w:eastAsia="Arial" w:hAnsi="Arial"/>
                <w:sz w:val="18"/>
                <w:szCs w:val="18"/>
                <w:color w:val="auto"/>
                <w:w w:val="96"/>
              </w:rPr>
              <w:t>Deemed dividend on Series B Preferred Stock</w:t>
            </w:r>
          </w:p>
        </w:tc>
        <w:tc>
          <w:tcPr>
            <w:tcW w:w="1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320" w:type="dxa"/>
            <w:vAlign w:val="bottom"/>
          </w:tcPr>
          <w:p>
            <w:pPr>
              <w:spacing w:after="0"/>
              <w:rPr>
                <w:sz w:val="19"/>
                <w:szCs w:val="19"/>
                <w:color w:val="auto"/>
              </w:rPr>
            </w:pPr>
          </w:p>
        </w:tc>
        <w:tc>
          <w:tcPr>
            <w:tcW w:w="1100" w:type="dxa"/>
            <w:vAlign w:val="bottom"/>
          </w:tcPr>
          <w:p>
            <w:pPr>
              <w:jc w:val="center"/>
              <w:ind w:right="27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2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(38,543</w:t>
            </w:r>
          </w:p>
        </w:tc>
        <w:tc>
          <w:tcPr>
            <w:tcW w:w="110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(6,574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reported no revenue for the six month periods ended September 30, 2015 or 2014 and we presently have no revenue generating arrangements. However, as indicated previously, we have entered into a CRADA with the NIH providing for a Phase 2 clinical study of AV-101 in treatment resistant Major Depressive Disorder. This Phase 2 study, which began in October 2015, will be funded by the NIH and conducted at the NIH.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 totaled $2.0 million for the six months ended September 30, 2015 compared to $1.0 million for the six months ended September 30, 2014, primarily as a result of the noncash expense related to stock based compensation awards granted in September 2015, as well as patent- and technology license-related expenses. The following table indicates the primary components of research and development expense for each of the periods (amounts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00" w:type="dxa"/>
            <w:vAlign w:val="bottom"/>
            <w:gridSpan w:val="7"/>
          </w:tcPr>
          <w:p>
            <w:pPr>
              <w:ind w:left="40"/>
              <w:spacing w:after="0"/>
              <w:rPr>
                <w:sz w:val="20"/>
                <w:szCs w:val="20"/>
                <w:color w:val="auto"/>
              </w:rPr>
            </w:pPr>
            <w:r>
              <w:rPr>
                <w:rFonts w:ascii="Arial" w:cs="Arial" w:eastAsia="Arial" w:hAnsi="Arial"/>
                <w:sz w:val="18"/>
                <w:szCs w:val="18"/>
                <w:color w:val="auto"/>
                <w:w w:val="94"/>
              </w:rPr>
              <w:t>Six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3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AV-101</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Stem cell and all other</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Depreciation</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3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0" w:gutter="0" w:footer="0" w:header="0"/>
          <w:type w:val="continuous"/>
        </w:sectPr>
      </w:pPr>
    </w:p>
    <w:bookmarkStart w:id="35" w:name="page36"/>
    <w:bookmarkEnd w:id="3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0" w:lineRule="exact"/>
        <w:rPr>
          <w:sz w:val="20"/>
          <w:szCs w:val="20"/>
          <w:color w:val="auto"/>
        </w:rPr>
      </w:pPr>
    </w:p>
    <w:p>
      <w:pPr>
        <w:jc w:val="both"/>
        <w:ind w:firstLine="1149"/>
        <w:spacing w:after="0" w:line="282" w:lineRule="auto"/>
        <w:rPr>
          <w:sz w:val="20"/>
          <w:szCs w:val="20"/>
          <w:color w:val="auto"/>
        </w:rPr>
      </w:pPr>
      <w:r>
        <w:rPr>
          <w:rFonts w:ascii="Arial" w:cs="Arial" w:eastAsia="Arial" w:hAnsi="Arial"/>
          <w:sz w:val="19"/>
          <w:szCs w:val="19"/>
          <w:color w:val="auto"/>
        </w:rPr>
        <w:t>To conserve cash resources, during 2014, Ralph Snodgrass, Ph.D., our Chief Scientific Officer (</w:t>
      </w:r>
      <w:r>
        <w:rPr>
          <w:rFonts w:ascii="Arial" w:cs="Arial" w:eastAsia="Arial" w:hAnsi="Arial"/>
          <w:sz w:val="19"/>
          <w:szCs w:val="19"/>
          <w:i w:val="1"/>
          <w:iCs w:val="1"/>
          <w:color w:val="auto"/>
        </w:rPr>
        <w:t>CSO</w:t>
      </w:r>
      <w:r>
        <w:rPr>
          <w:rFonts w:ascii="Arial" w:cs="Arial" w:eastAsia="Arial" w:hAnsi="Arial"/>
          <w:sz w:val="19"/>
          <w:szCs w:val="19"/>
          <w:color w:val="auto"/>
        </w:rPr>
        <w:t>), voluntarily accepted a temporary salary reduction to substantially less than his contractual pay rate. During the six months ended September 30, 2015, Dr. Snodgrass has received cash compensation at his contractual base salary rate. Partially offsetting this increase is the impact of the voluntary resignation of one member of our scientific staff at the end of September 2014 and the voluntary reduction of work hours and pay by another member of our scientific staff beginning in the last quarter of calendar 2014.</w:t>
      </w:r>
    </w:p>
    <w:p>
      <w:pPr>
        <w:spacing w:after="0" w:line="15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The increase in stock based compensation expense for 2015 reflects the $852,200 fair value, determined using the Black-Scholes Option Pricing Model and the assumptions indicated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to the accompanying Condensed Consolidated Financial Statements in Part I of this Report, of the September 2015 grant of immediately vested and expensed warrants to purchase 150,000 shares of our common stock granted to our CSO. Stock based compensation expense additionally reflects the ratable amortization of option grants made to scientific staff and consultants, most recently in September 2015, March 2014 and October 2013, as well as the ratable amortization of a warrant grant made to our CSO in March 2014. Our stock options are generally amortized over a two-year or four-year vesting period, and warrants granted to the CSO in March 2014 are being amortized over a three-year vesting period. Essentially all of the option grants made prior to October 2013 and a warrant grant made to our CSO in March 2013 are fully-vested and fully-expensed at September 30, 2015.</w:t>
      </w:r>
    </w:p>
    <w:p>
      <w:pPr>
        <w:spacing w:after="0" w:line="20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Consulting services reflects fees paid or accrued for scientific services rendered to us by third-parties, primarily by members of our scientific and clinical advisory board.</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Technology license expense reflects both recurring annual fees as well as costs for patent prosecution and protection that we are required to fund under the terms of certain of our stem cell technology license agreements, as well as those we elected to make for commercial purposes. We recognize these costs as they are invoiced to us by the licensors and they do not occur ratably throughout the year or between years. Additionally, in 2015, this expense includes costs we have incurred to advance, in the U.S. and numerous foreign counties, patent applications with respect to both AV-101 and our stem cell technology platform.</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AV-101 expenses in both periods presented reflect the costs associated with monitoring for and responding to potential feedback related to the Phase 1 clinical trial and preparing other reports required under the terms of our prior NIH grant, primarily through our contract research collaborator, Cato Research Ltd. Expenses incurred during the six months ended September 30, 2015 also include costs related to updating documentation to facilitate the Phase 2 clinical trial of AV-101 in treatment resistant Major Depressive Disorder to be fully funded and conducted by the NIH. Stem cell and other project related expenses in both periods were minimal.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 was $5.2 million for the six months ended September 30, 2015 compared to $1.4 million reported for the six months ended September 30, 2014, primarily as a result of the noncash expense related to stock based compensation awards granted in September 2015, as well as increased professional services fees. The following table indicates the primary components of general and administrative expenses for each of the periods (amounts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600" w:type="dxa"/>
            <w:vAlign w:val="bottom"/>
            <w:gridSpan w:val="7"/>
          </w:tcPr>
          <w:p>
            <w:pPr>
              <w:ind w:left="40"/>
              <w:spacing w:after="0"/>
              <w:rPr>
                <w:sz w:val="20"/>
                <w:szCs w:val="20"/>
                <w:color w:val="auto"/>
              </w:rPr>
            </w:pPr>
            <w:r>
              <w:rPr>
                <w:rFonts w:ascii="Arial" w:cs="Arial" w:eastAsia="Arial" w:hAnsi="Arial"/>
                <w:sz w:val="18"/>
                <w:szCs w:val="18"/>
                <w:color w:val="auto"/>
                <w:w w:val="94"/>
              </w:rPr>
              <w:t>Six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3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Consulting Services</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Insurance</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Rent and utilities</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All other expenses</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w:t>
            </w:r>
          </w:p>
        </w:tc>
        <w:tc>
          <w:tcPr>
            <w:tcW w:w="3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To conserve cash resources, during 2014, each of Shawn Singh, our Chief Executive Officer, and Jerrold Dotson, our Chief Financial Officer, voluntarily accepted a temporary salary reduction to substantially less than his contractual or agreed pay rate. During the six months ended September 30, 2015, both Messrs. Singh and Dotson have received cash compensation at their respective contractual base salary rate. Pay rates and administrative employee headcount have otherwise remained stable between the periods reported.</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36" w:name="page37"/>
    <w:bookmarkEnd w:id="3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The increase in stock based compensation expense for 2015 reflects the $2,840,700 fair value, determined using the Black-Scholes Option Pricing Model and the assumptions indicated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the accompanying Condensed Consolidated Financial Statements in Part I of this Report, of the September 2015 grant of immediately vested and expensed warrants to purchase an aggregate of 500,000 shares of our common stock granted to our officers, independent members of our Board of Directors and certain administrative consultants. Stock based compensation expense additionally reflects the ratable amortization of option grants made to administrative staff and consultants, most recently in September 2015, March 2014 and October 2013, as well as the ratable amortization of a warrant grant made to certain officers and independent members of our Board of Directors in March 2014. Our stock options are generally amortized over a two-year or four-year vesting period, and warrants granted to officers and directors in March 2014 are being amortized over a three-year vesting period. Essentially all of the option grants made prior to October 2013 and warrant grants made to our officers and independent members of our Board of Directors in March 2013 are fully-vested and fully-expensed at September 30, 2015.</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Consulting services primarily includes fees accrued for the services of independent members of our Board of Directors.</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increase in legal, accounting and other professional service fees results primarily from (i) the $337,500 quarterly noncash expense recognized pursuant to the June 30, 2015 grant of an aggregate of 90,000 shares of our Series B Preferred having an aggregate value of $1,350,000 as compensation for financial advisory and corporate development service contracts with two independent contractors for services to be performed through June 30, 2016; (ii) the grant of an aggregate of 50,000 shares of our common stock having an aggregate fair value of $500,000 pursuant to two corporate development contracts initiated during the quarter ended June 30, 2015; and (iii) the grant of 25,000 shares of our Series B Preferred having a fair value of $250,000 to legal counsel as compensation for services in connection with our debt restructuring and other corporate finance matters. As described in Note 8,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Condensed Consolidated Financial Statements in Part I of this Report, the $1,350,000 fair value of the 90,000 shares of Series B Preferred was recorded as a prepaid expense at the date of the grant and is being expensed ratably over the twelve months ending June 30, 2016. Legal expense for 2015 also includes one-time cash fees associated with the conversion of our promissory notes and other debt into our Series B Preferred. Professional services expense for 2014 also includes $204,000 attributable to a consulting agreement for strategic advisory and business development services that has now expired. In both years, professional services fees include the expense related to the annual audit of the prior year financial statements.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Outsourced investor relations service expenses are essentially flat between periods.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both periods, travel expense reflects costs associated with meetings with accredited investors in connection with the self-placed private placements of our securities, and in 2015, with various creditors in connection with extinguishment of a substantial portion of our indebtedness.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Warrant modification expense in 2015 reflects the impact of June 2015 strategic reductions in the exercise price of certain outstanding warrants, generally from $30.00 per share to $10.00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net totaled $767,300 for the six months ended September 30, 2015 compared to the $1,390,500 reported for the six months ended September 30, 2014, reflecting the extinguishment of substantially all of our promissory notes and related discounts by conversion into our Series B Preferred between May 2015 and August 2015. The following table summarizes the primary components of interest expense for each of the periods (amounts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0" w:type="dxa"/>
            <w:vAlign w:val="bottom"/>
            <w:gridSpan w:val="7"/>
          </w:tcPr>
          <w:p>
            <w:pPr>
              <w:jc w:val="right"/>
              <w:ind w:right="140"/>
              <w:spacing w:after="0"/>
              <w:rPr>
                <w:sz w:val="20"/>
                <w:szCs w:val="20"/>
                <w:color w:val="auto"/>
              </w:rPr>
            </w:pPr>
            <w:r>
              <w:rPr>
                <w:rFonts w:ascii="Arial" w:cs="Arial" w:eastAsia="Arial" w:hAnsi="Arial"/>
                <w:sz w:val="18"/>
                <w:szCs w:val="18"/>
                <w:color w:val="auto"/>
                <w:w w:val="90"/>
              </w:rPr>
              <w:t>Six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promissory notes</w:t>
            </w:r>
          </w:p>
        </w:tc>
        <w:tc>
          <w:tcPr>
            <w:tcW w:w="1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Amortization of discount on promissory notes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expense, including on capital leases and premium financing</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fluctuations on notes payable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Interest income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substantial overall decrease in interest expense on promissory notes and the related amortization of discounts on such notes between the periods primarily reflects (i) accrued interest and discount amortization recorded for the issuances between July 2014 and May 2015 of an aggregate of approximately $1.8 million of 10% convertible promissory notes (2014 Unit Notes); and (ii) the offsetting cessation of interest accrual and discount amortization upon the conversion of all outstanding Senior Secured Convertible Notes, 2014 Unit Notes and other outstanding promissory notes aggregating approximately $13.3 million into shares of our Series B Preferred between May 2015 and August 2015.</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37" w:name="page38"/>
    <w:bookmarkEnd w:id="3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Under the terms of the October 2012 Note Exchange and Purchase Agreement we entered with Platinum, we issued certain Senior Secured Convertible Promissory Notes and a related Exchange Warrant and Investment Warrants between October 2012 and July 2013. Upon Platinum’s exchange of the shares of our Series A Preferred Stock held by Platinum into shares of our common stock, we will also be required to issue a Series A Exchange Warrant to Platinum. We determined that the various warrants included certain exercise price adjustment features requiring us to treat the warrants as liabilities. Accordingly, we recorded a noncash warrant liability at its estimated fair value as of the date of warrant issuance or contract execution. As described in Note 8,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and Note 4,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to the Condensed Consolidated Financial Statements included in Part 1, Item 1 of this Quarterly Report on Form 10-Q, on May 12, 2015, we entered into an agreement with Platinum pursuant to which we amended the various warrants to fix the exercise price thereof and eliminate the anti-dilution reset features that had previously required the warrants to be treated as liabilities and carried at fair value. Accordingly, during the quarter ended June 30, 2015, we adjusted these Platinum warrants to their fair value, estimated to be $4,903,200, reflecting an increase of $1,894,700 since March 31, 2015, resulting primarily from the increase in the market price of our common stock in relation to the exercise price of the warrants, and then subsequently eliminated the entire warrant liability with respect to these warrants. During the six months ended September 30, 2014, we recognized noncash expense of $425,400 related to the net increase in the estimated fair value of the warrant liabilities since March 31, 2014, which resulted primarily from the increase in the market price of our common stock in relation to the exercise price of the warrants.</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As described more completely in Note 7,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xml:space="preserve">, and Note 8,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Condensed Consolidated Financial Statements in Part I of this Report, between May 12, 2015 and September 30, 2015, we have extinguished the outstanding balances of approximately $17.2 million of promissory notes, including our Senior Secured Notes, our 2014 Unit Notes and other debt and certain adjustments thereto that were either already due and payable or would have otherwise matured prior to March 31, 2016 by converting such balances into shares of our Series B Preferred. We treated the conversion of the indebtedness into Series B Preferred as extinguishments of debt for accounting purposes. Since the fair value of the Series B Preferred we negotiated in settlement of the promissory notes and other indebtedness exceeded the carrying value of the debts, we incurred noncash losses on each of the extinguishments. Additionally, under the terms of the Platinum Agreement, we issued to Platinum 400,000 shares of Series B Preferred having an aggregate fair value of $4.0 million and Series B Warrants to purchase 1.2 million shares of our common stock having an aggregate of fair value of $8,270,900. We recognized this aggregate fair value as an additional noncash component of loss on extinguishment of debt. Many of the 2014 Unit Notes that were converted into Series B Preferred contained a beneficial conversion feature at the time they were originally issued. We have accounted for the repurchase of the beneficial conversion feature at the time the 2014 Unit Notes were extinguished and converted, an aggregate of $2,237,100, as a reduction to the loss on extinguishment of debt. We recorded an aggregate net noncash loss of $26.7 million attributable to the extinguishment of the indebtedness converted into Series B Preferred.</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quarter ended June 30, 2014, we entered into agreements with substantially all holders of our 2013 Unit Notes and 2013 Unit Warrants to amend certain terms of the notes and the warrants to essentially conform them to the 2014 Unit Notes and 2014 Unit Warrants. We treated the amendments as an extinguishment of debt for accounting purposes and recognized noncash losses on the extinguishment of debt in the aggregate amount of $526,200 attributable to the amendments. We also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during the quarter ended June 30, 2014. In July 2014, we entered into an agreement with Platinum, as further amended in September 2014, pursuant to which Platinum agreed to convert into our unregistered equity securities all then outstanding Senior Secured Notes and related accrued interest held by Platinum upon our consummation prior to October 31, 2014 of either (i) a Private Financing or a Public Offering, each as defined in the agreement. Prior to the agreement, the Senior Secured Notes were convertible, at Platinum’s option, at any time prior to maturity at a conversion price of $10.00 per share. The modification of the conversion feature in the Senior Secured Notes was treated as an extinguishment of the debt for accounting purposes and we recognized a non-cash loss on the extinguishment of debt in the aggregate amount of $1,603,400 attributable to the amendment in the quarter ended September 30, 2014.</w:t>
      </w:r>
    </w:p>
    <w:p>
      <w:pPr>
        <w:spacing w:after="0" w:line="20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allocated the proceeds from the self-placed private placement sales of Series B Preferred Units between May 2015 and September 30, 2015 to the Series B Preferred and the Series B Warrants based on their relative fair values on the dates of the sales. The difference, for accounting purposes, between the relative fair value per share of the Series B Preferred, approximately $4.06 per share, and its Conversion Price (or stated value) of $7.00 per share represents a deemed dividend to the purchasers of the Series B Preferred Units. Accordingly, we have recognized a deemed dividend in the aggregate amount of $1,143,100 in arriving at net loss attributable to common stockholders for the six months ended September 30, 2015 in the accompanying Condensed Consolidated Statement of Operations and Comprehensive Loss included in Part I of this Report. Further, we have recognized $828,000 representing the 10% cumulative dividend payable on our Series B Preferred as an additional deduction in arriving at net loss attributable to common stockholders for the six months ended September 30, 2015 in the accompanying Condensed Consolidated Statement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our inception in May 1998 through September 30, 2015, we have financed our operations through (1) the issuance and sale of our common stock, preferred stock, warrants for common stock, and promissory notes for aggregate cash proceeds of approximately $32.2 million; (2) issuance of common stock and preferred stock with an approximate value at issuance of $28.7 million as consideration for, among other things, technology licenses and patent prosecution, sponsored research, contract research, drug development, drug manufacturing, regulatory services, and legal, investor relations, corporate development and financial advisory services; and (3) receipt of aggregate non-dilutive cash proceeds of approximately $16.4 million from government research and development grant awards and strategic collaboration transactions.</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As described more completely in Note 7,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xml:space="preserve">, and Note 8,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Condensed Consolidated Financial Statements in Part I of this Report, between March 31, 2015 and September 30, 2015, we created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and eliminated the outstanding balances of approximately $17.2 million of promissory notes, other indebtedness and certain adjustments thereto that was either already due and payable or would have otherwise matured prior to March 31, 2016, through conversion into our Series B Preferred and, with respect to a portion of the indebtedness converted, warrants to purchase common stock. More specifically, through September 30, 2015, we have extinguished and converted the outstanding balances of (i) all of the Senior Secured Convertible Promissory Notes originally issued to Platinum, (ii) all of the 2014 Unit Notes outstanding at March 31, 2015 and those issued subsequently, and (iii) substantially all other outstanding promissory notes and accounts payable, including those issued to Cato Research Ltd., Cato Holding Company, Morrison &amp; Foerster (Note A and Note B), University Health Network, McCarthy Tetrault, Desjardins Securities, Burr Pilger &amp; Mayer, National Jewish Health, MicroConstants and several others, through the issuance of an aggregate of 2,618,917 shares of our Series B Preferred. Additionally, through September 30, 2015, in our self-placed private placement of Series B Units, we have sold additional Series B Preferred Units consisting of an aggregate of 388,978 unregistered shares of Series B Preferred and five year warrants to purchase 388,978 shares of our common stock, and we have received cash proceeds of $2,722,800.</w:t>
      </w:r>
    </w:p>
    <w:p>
      <w:pPr>
        <w:spacing w:after="0" w:line="19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At September 30, 2015, we did not have sufficient cash and cash equivalents to enable us to fund our planned operations over the next twelve months, including expected cash expenditures of approximately $6.0 million. However, as described in greater detail in Note 8, </w:t>
      </w:r>
      <w:r>
        <w:rPr>
          <w:rFonts w:ascii="Arial" w:cs="Arial" w:eastAsia="Arial" w:hAnsi="Arial"/>
          <w:sz w:val="17"/>
          <w:szCs w:val="17"/>
          <w:i w:val="1"/>
          <w:iCs w:val="1"/>
          <w:color w:val="auto"/>
        </w:rPr>
        <w:t>Capital Stock</w:t>
      </w:r>
      <w:r>
        <w:rPr>
          <w:rFonts w:ascii="Arial" w:cs="Arial" w:eastAsia="Arial" w:hAnsi="Arial"/>
          <w:sz w:val="17"/>
          <w:szCs w:val="17"/>
          <w:color w:val="auto"/>
        </w:rPr>
        <w:t>, to the accompanying Condensed Consolidated Financial Statements in Part I of this Report, on August 3, 2015, we entered into an agreement with Platinum pursuant to which Platinum agreed to purchase an additional $3.0 million of our Series B Preferred and Series B Warrants between August 15, 2015 and October 15, 2015 (</w:t>
      </w:r>
      <w:r>
        <w:rPr>
          <w:rFonts w:ascii="Arial" w:cs="Arial" w:eastAsia="Arial" w:hAnsi="Arial"/>
          <w:sz w:val="17"/>
          <w:szCs w:val="17"/>
          <w:i w:val="1"/>
          <w:iCs w:val="1"/>
          <w:color w:val="auto"/>
        </w:rPr>
        <w:t>August 2015 Platinum Agreement</w:t>
      </w:r>
      <w:r>
        <w:rPr>
          <w:rFonts w:ascii="Arial" w:cs="Arial" w:eastAsia="Arial" w:hAnsi="Arial"/>
          <w:sz w:val="17"/>
          <w:szCs w:val="17"/>
          <w:color w:val="auto"/>
        </w:rPr>
        <w:t>). At September 30, 2015, Platinum had purchased an additional $500,000 of Series B Preferred and Series B Warrants under the August 2015 Platinum Agreement. We believe that the August 2015 Platinum Agreement and our participation in potential strategic collaborations, including potential transactions involving AV-101 such as our February 2015 CRADA with the NIMH providing for a Phase 2A study of AV-101 in treatment-resistant MDD patents, funded by the NIH, may provide resources to support a portion of our future cash needs and working capital requirements, however, no assurances can be provided. When and as necessary, we have and will continue to seek to raise sufficient financing through conversion, exchange, issuance, and sale of our securities, which may include both debt and equity securities. We may also seek research and development collaborations that could generate revenue, as well as government grant awards. Our future working capital requirements will depend on many factors, including, without limitation, the scope and nature of strategic opportunities related to our success and the success of certain other companies in clinical trials, including our development of AV-101 as a treatment for MDD and other CNS conditions, our stem cell technology platform, including drug rescue and exploratory research and development efforts related to regenerative medicine, and the success of such programs, the availability of, and our ability to obtain, government grant awards and our ability to enter into strategic collaborations on terms acceptable to us. To further advance the clinical development of AV-101 and potential drug rescue and regenerative medicine applications of our stem cell technology platform, as well as support our operating activities, we plan to continue to carefully manage our routine operating costs, including salaries and benefits, and costs relating to regulatory consulting, contract research and development, investor relations and corporate development, legal, accounting, public company compliance and other professional services and working capital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1"/>
              </w:rPr>
              <w:t>Six Months Ended September 30,</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1,533</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624</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694</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Off-Balance Sheet Arrangements</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560" w:type="dxa"/>
            <w:vAlign w:val="bottom"/>
            <w:gridSpan w:val="3"/>
            <w:vMerge w:val="continue"/>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60" w:type="dxa"/>
            <w:vAlign w:val="bottom"/>
          </w:tcPr>
          <w:p>
            <w:pPr>
              <w:ind w:left="60"/>
              <w:spacing w:after="0"/>
              <w:rPr>
                <w:sz w:val="20"/>
                <w:szCs w:val="20"/>
                <w:color w:val="auto"/>
              </w:rPr>
            </w:pPr>
            <w:r>
              <w:rPr>
                <w:rFonts w:ascii="Arial" w:cs="Arial" w:eastAsia="Arial" w:hAnsi="Arial"/>
                <w:sz w:val="18"/>
                <w:szCs w:val="18"/>
                <w:color w:val="auto"/>
              </w:rPr>
              <w:t>We have no off-balance sheet arrangements.</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4960" w:type="dxa"/>
            <w:vAlign w:val="bottom"/>
          </w:tcPr>
          <w:p>
            <w:pPr>
              <w:ind w:left="560"/>
              <w:spacing w:after="0"/>
              <w:rPr>
                <w:sz w:val="20"/>
                <w:szCs w:val="20"/>
                <w:color w:val="auto"/>
              </w:rPr>
            </w:pPr>
            <w:r>
              <w:rPr>
                <w:rFonts w:ascii="Arial" w:cs="Arial" w:eastAsia="Arial" w:hAnsi="Arial"/>
                <w:sz w:val="18"/>
                <w:szCs w:val="18"/>
                <w:b w:val="1"/>
                <w:bCs w:val="1"/>
                <w:color w:val="auto"/>
              </w:rPr>
              <w:t>CONTROLS AND PROCEDURES</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Disclosure Controls and Procedures</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date of this Report, we were not party to any legal matters or claims.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Investing in our securities involves a high degree of risk. You should consider carefully the risks and uncertainties described below, together with all of the other information in this Quarterly Report on Form 10-Q and in our Annual Report on Form 10-K filed with the Securities and Exchange Commission for the fiscal year ended March 31, 2015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depends heavily on the successful non-clinical and clinical development, regulatory approval and commercialization of AV-101 for depression, including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and various other diseases and disorders involving the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as well as our ability to produce, develop and commercialize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from our drug rescue programs. AV-101 will require substantial additional Phase 2 and Phase 3 clinical development, testing and regulatory approval before we are permitted to commence its commercialization. Each drug rescue NCE will require substantial non-clinical development, all phases of clinical development, and regulatory approval before we are permitted to commence its commercialization. The non-clinical studies and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studies or clinical trials.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U.S. Food and Drug Administration, or FDA, regulatory approval process and will be commercialized. Accordingly, even if we are able to obtain the requisite financing to continue to fund our non-clinical studies and clinical trials, we cannot assure you that AV-101 or any other product candidate will be successfully developed or commercialized.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not permitted to market our product candidates in the United States until we receive approval of a New Drug Application, or an NDA, from the FDA, or in any foreign countries until we receive the requisite approval from such countries. In October 2015, we began a Phase 2 clinical trial involving AV-101, to study its safety, tolerability and efficacy in patients with MDD. If our Phase 2 clinical trial of AV-101 is successful, we expect the FDA to require us to complete at least one pivotal Phase 2b clinical trial and at least one pivotal Phase 3 clinical trial in order to submit an NDA for AV-101 as a treatment for MDD. However, the FDA may require that we conduct more than one Phase 2b clinical study and more than one Phase 3 pivotal trial of AV-101 before we can submit an NDA. The FDA may also require that we conduct additional toxicity studies and additional non-clinical studies before submitting an NDA for AV-101.</w:t>
      </w:r>
    </w:p>
    <w:p>
      <w:pPr>
        <w:spacing w:after="0" w:line="18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Obtaining FDA approval of an NDA is a complex, lengthy, expensive and uncertain process, and the FDA may delay, limit or deny approval of AV-101 or any of our product candidates for many reasons, including, among others:</w:t>
      </w:r>
    </w:p>
    <w:p>
      <w:pPr>
        <w:spacing w:after="0" w:line="197" w:lineRule="exact"/>
        <w:rPr>
          <w:sz w:val="20"/>
          <w:szCs w:val="20"/>
          <w:color w:val="auto"/>
        </w:rPr>
      </w:pPr>
    </w:p>
    <w:p>
      <w:pPr>
        <w:ind w:left="1200" w:hanging="508"/>
        <w:spacing w:after="0" w:line="277" w:lineRule="auto"/>
        <w:tabs>
          <w:tab w:leader="none" w:pos="1261"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demonstrate that our product candidate is safe and effective in treating a human disease or disorder, to the satisfaction of the FDA;</w:t>
      </w:r>
    </w:p>
    <w:p>
      <w:pPr>
        <w:spacing w:after="0" w:line="197" w:lineRule="exact"/>
        <w:rPr>
          <w:rFonts w:ascii="Arial" w:cs="Arial" w:eastAsia="Arial" w:hAnsi="Arial"/>
          <w:sz w:val="18"/>
          <w:szCs w:val="18"/>
          <w:color w:val="auto"/>
        </w:rPr>
      </w:pPr>
    </w:p>
    <w:p>
      <w:pPr>
        <w:ind w:left="1200" w:hanging="508"/>
        <w:spacing w:after="0" w:line="277" w:lineRule="auto"/>
        <w:tabs>
          <w:tab w:leader="none" w:pos="128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our non-clinical studies and clinical trials may not meet the level of statistical or clinical significance required by the FDA for marketing approval;</w:t>
      </w:r>
    </w:p>
    <w:p>
      <w:pPr>
        <w:spacing w:after="0" w:line="197" w:lineRule="exact"/>
        <w:rPr>
          <w:rFonts w:ascii="Arial" w:cs="Arial" w:eastAsia="Arial" w:hAnsi="Arial"/>
          <w:sz w:val="18"/>
          <w:szCs w:val="18"/>
          <w:color w:val="auto"/>
        </w:rPr>
      </w:pPr>
    </w:p>
    <w:p>
      <w:pPr>
        <w:ind w:left="1240" w:hanging="548"/>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non-clinical studies and clinical trials;</w:t>
      </w:r>
    </w:p>
    <w:p>
      <w:pPr>
        <w:spacing w:after="0" w:line="252" w:lineRule="exact"/>
        <w:rPr>
          <w:rFonts w:ascii="Arial" w:cs="Arial" w:eastAsia="Arial" w:hAnsi="Arial"/>
          <w:sz w:val="18"/>
          <w:szCs w:val="18"/>
          <w:color w:val="auto"/>
        </w:rPr>
      </w:pPr>
    </w:p>
    <w:p>
      <w:pPr>
        <w:ind w:left="1240" w:hanging="548"/>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require that we conduct additional non-clinical studies and clinical trials;</w:t>
      </w:r>
    </w:p>
    <w:p>
      <w:pPr>
        <w:spacing w:after="0" w:line="252" w:lineRule="exact"/>
        <w:rPr>
          <w:rFonts w:ascii="Arial" w:cs="Arial" w:eastAsia="Arial" w:hAnsi="Arial"/>
          <w:sz w:val="18"/>
          <w:szCs w:val="18"/>
          <w:color w:val="auto"/>
        </w:rPr>
      </w:pPr>
    </w:p>
    <w:p>
      <w:pPr>
        <w:ind w:left="1200" w:right="20" w:hanging="481"/>
        <w:spacing w:after="0" w:line="277" w:lineRule="auto"/>
        <w:tabs>
          <w:tab w:leader="none" w:pos="1435"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FDA or the applicable foreign regulatory agency may not approve the formulation, labeling or specifications of any of our product candidates;</w:t>
      </w:r>
    </w:p>
    <w:p>
      <w:pPr>
        <w:spacing w:after="0" w:line="197" w:lineRule="exact"/>
        <w:rPr>
          <w:rFonts w:ascii="Arial" w:cs="Arial" w:eastAsia="Arial" w:hAnsi="Arial"/>
          <w:sz w:val="18"/>
          <w:szCs w:val="18"/>
          <w:color w:val="auto"/>
        </w:rPr>
      </w:pPr>
    </w:p>
    <w:p>
      <w:pPr>
        <w:ind w:left="1200" w:hanging="508"/>
        <w:spacing w:after="0" w:line="277" w:lineRule="auto"/>
        <w:tabs>
          <w:tab w:leader="none" w:pos="125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non-clinical studies and clinical trials may take actions outside of our control that materially adversely impact our non-clinical studies and clinical trials;</w:t>
      </w:r>
    </w:p>
    <w:p>
      <w:pPr>
        <w:spacing w:after="0" w:line="197" w:lineRule="exact"/>
        <w:rPr>
          <w:rFonts w:ascii="Arial" w:cs="Arial" w:eastAsia="Arial" w:hAnsi="Arial"/>
          <w:sz w:val="18"/>
          <w:szCs w:val="18"/>
          <w:color w:val="auto"/>
        </w:rPr>
      </w:pPr>
    </w:p>
    <w:p>
      <w:pPr>
        <w:ind w:left="1200" w:hanging="494"/>
        <w:spacing w:after="0" w:line="277" w:lineRule="auto"/>
        <w:tabs>
          <w:tab w:leader="none" w:pos="1321"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FDA may find the data from non-clinical studies and clinical trials insufficient to demonstrate that our product candidates’ clinical and other benefits outweigh their safety risks;</w:t>
      </w:r>
    </w:p>
    <w:p>
      <w:pPr>
        <w:spacing w:after="0" w:line="197" w:lineRule="exact"/>
        <w:rPr>
          <w:rFonts w:ascii="Arial" w:cs="Arial" w:eastAsia="Arial" w:hAnsi="Arial"/>
          <w:sz w:val="18"/>
          <w:szCs w:val="18"/>
          <w:color w:val="auto"/>
        </w:rPr>
      </w:pPr>
    </w:p>
    <w:p>
      <w:pPr>
        <w:ind w:left="1240" w:hanging="548"/>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non-clinical studies and clinical trials;</w:t>
      </w:r>
    </w:p>
    <w:p>
      <w:pPr>
        <w:spacing w:after="0" w:line="252" w:lineRule="exact"/>
        <w:rPr>
          <w:rFonts w:ascii="Arial" w:cs="Arial" w:eastAsia="Arial" w:hAnsi="Arial"/>
          <w:sz w:val="18"/>
          <w:szCs w:val="18"/>
          <w:color w:val="auto"/>
        </w:rPr>
      </w:pPr>
    </w:p>
    <w:p>
      <w:pPr>
        <w:ind w:left="1240" w:hanging="548"/>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not accept data generated at our non-clinical studies and clinical trial sites;</w:t>
      </w:r>
    </w:p>
    <w:p>
      <w:pPr>
        <w:spacing w:after="0" w:line="252" w:lineRule="exact"/>
        <w:rPr>
          <w:rFonts w:ascii="Arial" w:cs="Arial" w:eastAsia="Arial" w:hAnsi="Arial"/>
          <w:sz w:val="18"/>
          <w:szCs w:val="18"/>
          <w:color w:val="auto"/>
        </w:rPr>
      </w:pPr>
    </w:p>
    <w:p>
      <w:pPr>
        <w:jc w:val="both"/>
        <w:ind w:left="1200" w:hanging="508"/>
        <w:spacing w:after="0" w:line="259" w:lineRule="auto"/>
        <w:tabs>
          <w:tab w:leader="none" w:pos="1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213" w:lineRule="exact"/>
        <w:rPr>
          <w:rFonts w:ascii="Arial" w:cs="Arial" w:eastAsia="Arial" w:hAnsi="Arial"/>
          <w:sz w:val="18"/>
          <w:szCs w:val="18"/>
          <w:color w:val="auto"/>
        </w:rPr>
      </w:pPr>
    </w:p>
    <w:p>
      <w:pPr>
        <w:ind w:left="1240" w:hanging="548"/>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FDA may require development of a Risk Evaluation and Mitigation Strategy, or REMS, as a condition of approval or post-approval;</w:t>
      </w:r>
    </w:p>
    <w:p>
      <w:pPr>
        <w:spacing w:after="0" w:line="263" w:lineRule="exact"/>
        <w:rPr>
          <w:rFonts w:ascii="Arial" w:cs="Arial" w:eastAsia="Arial" w:hAnsi="Arial"/>
          <w:sz w:val="17"/>
          <w:szCs w:val="17"/>
          <w:color w:val="auto"/>
        </w:rPr>
      </w:pPr>
    </w:p>
    <w:p>
      <w:pPr>
        <w:jc w:val="both"/>
        <w:ind w:left="1200" w:hanging="494"/>
        <w:spacing w:after="0" w:line="264" w:lineRule="auto"/>
        <w:tabs>
          <w:tab w:leader="none" w:pos="1392"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or cGMPs; or</w:t>
      </w:r>
    </w:p>
    <w:p>
      <w:pPr>
        <w:spacing w:after="0" w:line="208" w:lineRule="exact"/>
        <w:rPr>
          <w:rFonts w:ascii="Arial" w:cs="Arial" w:eastAsia="Arial" w:hAnsi="Arial"/>
          <w:sz w:val="18"/>
          <w:szCs w:val="18"/>
          <w:color w:val="auto"/>
        </w:rPr>
      </w:pPr>
    </w:p>
    <w:p>
      <w:pPr>
        <w:ind w:left="1240" w:hanging="548"/>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would have a material adverse effect on our business and prospects.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intend to seek FDA Fast Track designation for AV-101 for treatment of MDD, and we may do so for other product candidates as well. If a product candidate is intended for the treatment of a serious or life-threatening condition and the product candidate demonstrates the potential to address unmet medical needs for this condition, the sponsor may apply for the FDA Fast Track designation. The FDA has broad discretion whether or not to grant this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2" w:name="page43"/>
    <w:bookmarkEnd w:id="4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our recently-initiated NIH-funded Phase 2 clinical study of AV-101 in MDD, thereby delaying or preventing clinical development. Further, if AV-101 is approved for treatment of MDD, and the market for this indication is smaller than we anticipate, our ability to achieve profitability could be limited.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results of preclinical studies and early clinical trials of AV-101 and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are identified during the use of AV-101 in clinical trials, it may adversely effect our development of AV-101 for MDD and other CNS indications.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AV-101 is currently being tested in an NIH investigator sponsored Phase 2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Positive results from early pre-clinical studies and clinical trials of AV-101 or other product candidates are not necessarily predictive of the results of later pre-clinical studies and clinical trials of such product candidates. If we cannot replicate the positive results from our earlier pre-clinical studies and clinical trials of AV-101 or other product candidates in our later pre-clinical studies and clinical trials, we may be unable to successfully develop, obtain regulatory approval for and commercialize our product candidates.</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Positive results from pre-clinical studies of our product candidates, and any positive results we may obtain from early clinical trials of our product candidates, may not necessarily be predictive of the results from required later pre-clinical studies and clinical trials. Similarly, even if we are able to complete our planned pre-clinical studies or clinical trials of our product candidates according to our current development timeline, the positive results from our pre-clinical studies and clinical trials of our product candidates may not be replicated in subsequent pre-clinical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 clinical trial for AV-101, and if we fail to produce positive results in our NIH-sponsored Phase 2 clinical trial of AV-101 in MDD, the development timeline and regulatory approval and commercialization prospects for AV-101 and, correspondingly, our business and financial prospects,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0"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b w:val="1"/>
          <w:bCs w:val="1"/>
          <w:i w:val="1"/>
          <w:iCs w:val="1"/>
          <w:color w:val="auto"/>
        </w:rPr>
        <w:t>Failures or delays in the commencement or completion of our planned clinical trials of our product candidates could result in increased costs to us and could delay, prevent or limit our ability to generate revenue and continue our business.</w:t>
      </w:r>
    </w:p>
    <w:p>
      <w:pPr>
        <w:spacing w:after="0" w:line="139" w:lineRule="exact"/>
        <w:rPr>
          <w:sz w:val="20"/>
          <w:szCs w:val="20"/>
          <w:color w:val="auto"/>
        </w:rPr>
      </w:pPr>
    </w:p>
    <w:p>
      <w:pPr>
        <w:jc w:val="both"/>
        <w:ind w:firstLine="657"/>
        <w:spacing w:after="0" w:line="297" w:lineRule="auto"/>
        <w:rPr>
          <w:sz w:val="20"/>
          <w:szCs w:val="20"/>
          <w:color w:val="auto"/>
        </w:rPr>
      </w:pPr>
      <w:r>
        <w:rPr>
          <w:rFonts w:ascii="Arial" w:cs="Arial" w:eastAsia="Arial" w:hAnsi="Arial"/>
          <w:sz w:val="16"/>
          <w:szCs w:val="16"/>
          <w:color w:val="auto"/>
        </w:rPr>
        <w:t>We and the NIH have commenced an NIH-funded Phase 2 clinical trial of AV-101 as a treatment for MDD. We will need to complete at least two additional large clinical trials prior to the submission of an NDA for AV-101 as a treatment for MDD. Successful completion of our clinical trials is a prerequisite to submitting an NDA to the FDA and, consequently, the ultimate approval and commercial marketing of AV-101 for MDD and any other product candidates we may develop. We do not know whether the NIH-funded Phase 2 study of AV-101 or any of our future-planned clinical trials will be completed on schedule, if at all, as the commencement and completion of clinical trials can be delayed or prevented for a number of reasons, including, among others:</w:t>
      </w:r>
    </w:p>
    <w:p>
      <w:pPr>
        <w:spacing w:after="0" w:line="158" w:lineRule="exact"/>
        <w:rPr>
          <w:sz w:val="20"/>
          <w:szCs w:val="20"/>
          <w:color w:val="auto"/>
        </w:rPr>
      </w:pPr>
    </w:p>
    <w:p>
      <w:pPr>
        <w:ind w:left="1200" w:right="160" w:hanging="508"/>
        <w:spacing w:after="0" w:line="277"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deny permission to proceed with our planned clinical trials or any other clinical trials we may initiate, or may place a clinical trial on hold;</w:t>
      </w:r>
    </w:p>
    <w:p>
      <w:pPr>
        <w:spacing w:after="0" w:line="197" w:lineRule="exact"/>
        <w:rPr>
          <w:rFonts w:ascii="Arial" w:cs="Arial" w:eastAsia="Arial" w:hAnsi="Arial"/>
          <w:sz w:val="18"/>
          <w:szCs w:val="18"/>
          <w:color w:val="auto"/>
        </w:rPr>
      </w:pPr>
    </w:p>
    <w:p>
      <w:pPr>
        <w:ind w:left="1240" w:hanging="548"/>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252" w:lineRule="exact"/>
        <w:rPr>
          <w:rFonts w:ascii="Arial" w:cs="Arial" w:eastAsia="Arial" w:hAnsi="Arial"/>
          <w:sz w:val="18"/>
          <w:szCs w:val="18"/>
          <w:color w:val="auto"/>
        </w:rPr>
      </w:pPr>
    </w:p>
    <w:p>
      <w:pPr>
        <w:ind w:left="1240" w:hanging="548"/>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results from our ongoing pre-clinical studies;</w:t>
      </w:r>
    </w:p>
    <w:p>
      <w:pPr>
        <w:spacing w:after="0" w:line="252" w:lineRule="exact"/>
        <w:rPr>
          <w:rFonts w:ascii="Arial" w:cs="Arial" w:eastAsia="Arial" w:hAnsi="Arial"/>
          <w:sz w:val="18"/>
          <w:szCs w:val="18"/>
          <w:color w:val="auto"/>
        </w:rPr>
      </w:pPr>
    </w:p>
    <w:p>
      <w:pPr>
        <w:ind w:left="1200" w:right="40" w:hanging="508"/>
        <w:spacing w:after="0" w:line="277"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97" w:lineRule="exact"/>
        <w:rPr>
          <w:rFonts w:ascii="Arial" w:cs="Arial" w:eastAsia="Arial" w:hAnsi="Arial"/>
          <w:sz w:val="18"/>
          <w:szCs w:val="18"/>
          <w:color w:val="auto"/>
        </w:rPr>
      </w:pPr>
    </w:p>
    <w:p>
      <w:pPr>
        <w:ind w:left="1200" w:right="640" w:hanging="508"/>
        <w:spacing w:after="0" w:line="277"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197" w:lineRule="exact"/>
        <w:rPr>
          <w:rFonts w:ascii="Arial" w:cs="Arial" w:eastAsia="Arial" w:hAnsi="Arial"/>
          <w:sz w:val="18"/>
          <w:szCs w:val="18"/>
          <w:color w:val="auto"/>
        </w:rPr>
      </w:pPr>
    </w:p>
    <w:p>
      <w:pPr>
        <w:ind w:left="1240" w:hanging="548"/>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 or sites;</w:t>
      </w:r>
    </w:p>
    <w:p>
      <w:pPr>
        <w:spacing w:after="0" w:line="252" w:lineRule="exact"/>
        <w:rPr>
          <w:rFonts w:ascii="Arial" w:cs="Arial" w:eastAsia="Arial" w:hAnsi="Arial"/>
          <w:sz w:val="18"/>
          <w:szCs w:val="18"/>
          <w:color w:val="auto"/>
        </w:rPr>
      </w:pPr>
    </w:p>
    <w:p>
      <w:pPr>
        <w:ind w:left="1240" w:hanging="548"/>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trial sites;</w:t>
      </w:r>
    </w:p>
    <w:p>
      <w:pPr>
        <w:spacing w:after="0" w:line="252" w:lineRule="exact"/>
        <w:rPr>
          <w:rFonts w:ascii="Arial" w:cs="Arial" w:eastAsia="Arial" w:hAnsi="Arial"/>
          <w:sz w:val="18"/>
          <w:szCs w:val="18"/>
          <w:color w:val="auto"/>
        </w:rPr>
      </w:pPr>
    </w:p>
    <w:p>
      <w:pPr>
        <w:ind w:left="1200" w:hanging="508"/>
        <w:spacing w:after="0" w:line="277"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97" w:lineRule="exact"/>
        <w:rPr>
          <w:rFonts w:ascii="Arial" w:cs="Arial" w:eastAsia="Arial" w:hAnsi="Arial"/>
          <w:sz w:val="18"/>
          <w:szCs w:val="18"/>
          <w:color w:val="auto"/>
        </w:rPr>
      </w:pPr>
    </w:p>
    <w:p>
      <w:pPr>
        <w:ind w:left="1240" w:hanging="548"/>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252" w:lineRule="exact"/>
        <w:rPr>
          <w:rFonts w:ascii="Arial" w:cs="Arial" w:eastAsia="Arial" w:hAnsi="Arial"/>
          <w:sz w:val="18"/>
          <w:szCs w:val="18"/>
          <w:color w:val="auto"/>
        </w:rPr>
      </w:pPr>
    </w:p>
    <w:p>
      <w:pPr>
        <w:ind w:left="1240" w:hanging="548"/>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52" w:lineRule="exact"/>
        <w:rPr>
          <w:rFonts w:ascii="Arial" w:cs="Arial" w:eastAsia="Arial" w:hAnsi="Arial"/>
          <w:sz w:val="18"/>
          <w:szCs w:val="18"/>
          <w:color w:val="auto"/>
        </w:rPr>
      </w:pPr>
    </w:p>
    <w:p>
      <w:pPr>
        <w:ind w:left="1200" w:right="320" w:hanging="508"/>
        <w:spacing w:after="0" w:line="277"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197" w:lineRule="exact"/>
        <w:rPr>
          <w:rFonts w:ascii="Arial" w:cs="Arial" w:eastAsia="Arial" w:hAnsi="Arial"/>
          <w:sz w:val="18"/>
          <w:szCs w:val="18"/>
          <w:color w:val="auto"/>
        </w:rPr>
      </w:pPr>
    </w:p>
    <w:p>
      <w:pPr>
        <w:ind w:left="1240" w:hanging="548"/>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from pre-clinical or clinical testing of other CNS therapies that raise safety or efficacy concerns; and</w:t>
      </w:r>
    </w:p>
    <w:p>
      <w:pPr>
        <w:spacing w:after="0" w:line="252" w:lineRule="exact"/>
        <w:rPr>
          <w:rFonts w:ascii="Arial" w:cs="Arial" w:eastAsia="Arial" w:hAnsi="Arial"/>
          <w:sz w:val="18"/>
          <w:szCs w:val="18"/>
          <w:color w:val="auto"/>
        </w:rPr>
      </w:pPr>
    </w:p>
    <w:p>
      <w:pPr>
        <w:ind w:left="1200" w:right="340" w:hanging="508"/>
        <w:spacing w:after="0" w:line="277"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trials, lack of efficacy, side effects, personal issues or loss of interest.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or DSMB, overseeing the clinical trial at issue or other regulatory authorities due to a number of factors, including, among others:</w:t>
      </w:r>
    </w:p>
    <w:p>
      <w:pPr>
        <w:spacing w:after="0" w:line="208" w:lineRule="exact"/>
        <w:rPr>
          <w:sz w:val="20"/>
          <w:szCs w:val="20"/>
          <w:color w:val="auto"/>
        </w:rPr>
      </w:pPr>
    </w:p>
    <w:p>
      <w:pPr>
        <w:ind w:left="1240" w:hanging="548"/>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52" w:lineRule="exact"/>
        <w:rPr>
          <w:rFonts w:ascii="Arial" w:cs="Arial" w:eastAsia="Arial" w:hAnsi="Arial"/>
          <w:sz w:val="18"/>
          <w:szCs w:val="18"/>
          <w:color w:val="auto"/>
        </w:rPr>
      </w:pPr>
    </w:p>
    <w:p>
      <w:pPr>
        <w:ind w:left="1200" w:right="260" w:hanging="508"/>
        <w:spacing w:after="0" w:line="277" w:lineRule="auto"/>
        <w:tabs>
          <w:tab w:leader="none" w:pos="12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97" w:lineRule="exact"/>
        <w:rPr>
          <w:rFonts w:ascii="Arial" w:cs="Arial" w:eastAsia="Arial" w:hAnsi="Arial"/>
          <w:sz w:val="18"/>
          <w:szCs w:val="18"/>
          <w:color w:val="auto"/>
        </w:rPr>
      </w:pPr>
    </w:p>
    <w:p>
      <w:pPr>
        <w:ind w:left="1200" w:right="260" w:hanging="508"/>
        <w:spacing w:after="0" w:line="277" w:lineRule="auto"/>
        <w:tabs>
          <w:tab w:leader="none" w:pos="12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ongoing non-clinical carcinogenicity studies, adverse side effects or lack of effectiveness;</w:t>
      </w:r>
    </w:p>
    <w:p>
      <w:pPr>
        <w:spacing w:after="0" w:line="197" w:lineRule="exact"/>
        <w:rPr>
          <w:rFonts w:ascii="Arial" w:cs="Arial" w:eastAsia="Arial" w:hAnsi="Arial"/>
          <w:sz w:val="18"/>
          <w:szCs w:val="18"/>
          <w:color w:val="auto"/>
        </w:rPr>
      </w:pPr>
    </w:p>
    <w:p>
      <w:pPr>
        <w:ind w:left="1240" w:hanging="548"/>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52" w:lineRule="exact"/>
        <w:rPr>
          <w:rFonts w:ascii="Arial" w:cs="Arial" w:eastAsia="Arial" w:hAnsi="Arial"/>
          <w:sz w:val="18"/>
          <w:szCs w:val="18"/>
          <w:color w:val="auto"/>
        </w:rPr>
      </w:pPr>
    </w:p>
    <w:p>
      <w:pPr>
        <w:ind w:left="1240" w:hanging="548"/>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252" w:lineRule="exact"/>
        <w:rPr>
          <w:rFonts w:ascii="Arial" w:cs="Arial" w:eastAsia="Arial" w:hAnsi="Arial"/>
          <w:sz w:val="18"/>
          <w:szCs w:val="18"/>
          <w:color w:val="auto"/>
        </w:rPr>
      </w:pPr>
    </w:p>
    <w:p>
      <w:pPr>
        <w:ind w:left="1240" w:hanging="548"/>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adequate funding to continue clinical trials.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4" w:name="page45"/>
    <w:bookmarkEnd w:id="4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FDA guidance or unanticipated events during our pre-clinical studies and clinical trials of our product candidates may occur, which may result in changes to pre-clinical studies and clinical trial protocols or additional pre-clinical studies and clinical trial requirements, which could result in increased costs to us and could delay our development timeline.</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Changes in regulatory requirements, FDA guidance or unanticipated events during our pre-clinical studies and clinical trials may force us to amend pre-clinical studies and clinical trial protocols or the FDA may impose additional pre-clinical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pre-clinical studies may adversely impact the cost, timing, or successful completion of those pre-clinical studies. If we experience delays completing, or if we terminate, any of our pre-clinical studies or clinical trials, or if we are required to conduct additional pre-clinical studies or clinical trials, the commercial prospects for our product candidates may be harmed and our ability to generate product revenue will be delayed.</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any clinical trials for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2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do not have the ability to independently conduct clinical trials. We rely on medical institutions, clinical investigators, contract laboratories and other third parties, such as contract research organizations, or CROs, to conduct clinical trials on our product candidates. We enter into agreements with third-party CROs to provide monitors for and to manage data for our clinical trials. We rely heavily on these parties for execution of clinical trials for our product candidates and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65" w:lineRule="exact"/>
        <w:rPr>
          <w:sz w:val="20"/>
          <w:szCs w:val="20"/>
          <w:color w:val="auto"/>
        </w:rPr>
      </w:pPr>
    </w:p>
    <w:p>
      <w:pPr>
        <w:ind w:left="1240" w:hanging="548"/>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52" w:lineRule="exact"/>
        <w:rPr>
          <w:rFonts w:ascii="Arial" w:cs="Arial" w:eastAsia="Arial" w:hAnsi="Arial"/>
          <w:sz w:val="18"/>
          <w:szCs w:val="18"/>
          <w:color w:val="auto"/>
        </w:rPr>
      </w:pPr>
    </w:p>
    <w:p>
      <w:pPr>
        <w:ind w:left="1240" w:hanging="548"/>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52" w:lineRule="exact"/>
        <w:rPr>
          <w:rFonts w:ascii="Arial" w:cs="Arial" w:eastAsia="Arial" w:hAnsi="Arial"/>
          <w:sz w:val="18"/>
          <w:szCs w:val="18"/>
          <w:color w:val="auto"/>
        </w:rPr>
      </w:pPr>
    </w:p>
    <w:p>
      <w:pPr>
        <w:ind w:left="1240" w:hanging="548"/>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52" w:lineRule="exact"/>
        <w:rPr>
          <w:rFonts w:ascii="Arial" w:cs="Arial" w:eastAsia="Arial" w:hAnsi="Arial"/>
          <w:sz w:val="18"/>
          <w:szCs w:val="18"/>
          <w:color w:val="auto"/>
        </w:rPr>
      </w:pPr>
    </w:p>
    <w:p>
      <w:pPr>
        <w:ind w:left="1240" w:hanging="548"/>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52" w:lineRule="exact"/>
        <w:rPr>
          <w:rFonts w:ascii="Arial" w:cs="Arial" w:eastAsia="Arial" w:hAnsi="Arial"/>
          <w:sz w:val="18"/>
          <w:szCs w:val="18"/>
          <w:color w:val="auto"/>
        </w:rPr>
      </w:pPr>
    </w:p>
    <w:p>
      <w:pPr>
        <w:ind w:left="1240" w:hanging="548"/>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regulatory and scientific requirements and standards, and our reliance on CROs or the NIH does not relieve us of our regulatory responsibilities. We and our CROs and the NIH are required to comply with regulations and guidelines, including current Good Clinical Practices, or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we intend to design our clinical trials for our product candidates, we plan to have CROs, and in the case of our initial AV-101 Phase 2 study in MDD, the NIH, conduct the AV-101 Phase 2 and Phase 3 clinical trials. As a result, many important aspects of our drug development programs are outside of our direct control. In addition, the CROs or the NIH,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NIH devote to our program or our clinical products. If we are unable to rely on clinical data collected by our CROs or the NIH, we could be required to repeat, extend the duration of, or increase the size of our clinical trials and this could significantly delay commercialization and require significantly greater expenditures.</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of our relationships with these third-party CROs or the NIH terminate, we may not be able to enter into arrangements with alternative CROs or collaborators. If CROs or the NIH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or the NIH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completely on third-party suppliers to manufacture our clinical drug supplies for our product candidates, and we intend to rely on third parties to produce non-clinical, clinical and commercial supplies of any future product candidate.</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currently have, nor do we plan to acquire, the infrastructure or capability to internally manufacture our clinical drug supply of AV-101 or any other product candidates, for use in the conduct of our non-clinical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2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have long-term supply agreements in place with our contract manufacturers and each batch of our product candidates is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commercial quantities AV-101 and other product candidates, if approved. Our current scale of manufacturing for AV-101 is adequate to support our currently planned needs for additional pre-clinical studies and clinical trial supplies.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currently have an infrastructure for the sales, marketing and distribution of pharmaceutical products. In order to market our product candidates, if approved by the FDA or any other regulatory body, we must either build our sales, marketing, managerial and other non-technical capabilities or make contractual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81" w:lineRule="exact"/>
        <w:rPr>
          <w:sz w:val="20"/>
          <w:szCs w:val="20"/>
          <w:color w:val="auto"/>
        </w:rPr>
      </w:pPr>
    </w:p>
    <w:p>
      <w:pPr>
        <w:jc w:val="both"/>
        <w:ind w:left="1200" w:hanging="553"/>
        <w:spacing w:after="0" w:line="264" w:lineRule="auto"/>
        <w:tabs>
          <w:tab w:leader="none" w:pos="12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efficacy of our product candidates as demonstrated in clinical trials, and, if required by any applicable regulatory authority in connection with the approval for the applicable indications, to provide patients with incremental health benefits, as compared with other available CNS therapies;</w:t>
      </w:r>
    </w:p>
    <w:p>
      <w:pPr>
        <w:spacing w:after="0" w:line="181" w:lineRule="exact"/>
        <w:rPr>
          <w:rFonts w:ascii="Arial" w:cs="Arial" w:eastAsia="Arial" w:hAnsi="Arial"/>
          <w:sz w:val="18"/>
          <w:szCs w:val="18"/>
          <w:color w:val="auto"/>
        </w:rPr>
      </w:pPr>
    </w:p>
    <w:p>
      <w:pPr>
        <w:ind w:left="1180" w:hanging="533"/>
        <w:spacing w:after="0"/>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limitations or warnings contained in the labeling approved for our product candidates by the FDA or other applicable regulatory authorities;</w:t>
      </w:r>
    </w:p>
    <w:p>
      <w:pPr>
        <w:spacing w:after="0" w:line="275" w:lineRule="exact"/>
        <w:rPr>
          <w:rFonts w:ascii="Arial" w:cs="Arial" w:eastAsia="Arial" w:hAnsi="Arial"/>
          <w:sz w:val="16"/>
          <w:szCs w:val="16"/>
          <w:color w:val="auto"/>
        </w:rPr>
      </w:pPr>
    </w:p>
    <w:p>
      <w:pPr>
        <w:ind w:left="1180" w:hanging="533"/>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1180" w:hanging="533"/>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rFonts w:ascii="Arial" w:cs="Arial" w:eastAsia="Arial" w:hAnsi="Arial"/>
          <w:sz w:val="18"/>
          <w:szCs w:val="18"/>
          <w:color w:val="auto"/>
        </w:rPr>
      </w:pPr>
    </w:p>
    <w:p>
      <w:pPr>
        <w:ind w:left="1200" w:hanging="553"/>
        <w:spacing w:after="0" w:line="277" w:lineRule="auto"/>
        <w:tabs>
          <w:tab w:leader="none" w:pos="13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70" w:lineRule="exact"/>
        <w:rPr>
          <w:rFonts w:ascii="Arial" w:cs="Arial" w:eastAsia="Arial" w:hAnsi="Arial"/>
          <w:sz w:val="18"/>
          <w:szCs w:val="18"/>
          <w:color w:val="auto"/>
        </w:rPr>
      </w:pPr>
    </w:p>
    <w:p>
      <w:pPr>
        <w:ind w:left="1180" w:hanging="533"/>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2" w:lineRule="exact"/>
        <w:rPr>
          <w:rFonts w:ascii="Arial" w:cs="Arial" w:eastAsia="Arial" w:hAnsi="Arial"/>
          <w:sz w:val="18"/>
          <w:szCs w:val="18"/>
          <w:color w:val="auto"/>
        </w:rPr>
      </w:pPr>
    </w:p>
    <w:p>
      <w:pPr>
        <w:ind w:left="1180" w:hanging="533"/>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1180" w:hanging="533"/>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1180" w:hanging="533"/>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1180" w:hanging="533"/>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1180" w:hanging="533"/>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1180" w:hanging="533"/>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1180" w:hanging="533"/>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7" w:name="page48"/>
    <w:bookmarkEnd w:id="4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92"/>
        <w:spacing w:after="0" w:line="257" w:lineRule="auto"/>
        <w:rPr>
          <w:sz w:val="20"/>
          <w:szCs w:val="20"/>
          <w:color w:val="auto"/>
        </w:rPr>
      </w:pPr>
      <w:r>
        <w:rPr>
          <w:rFonts w:ascii="Arial" w:cs="Arial" w:eastAsia="Arial" w:hAnsi="Arial"/>
          <w:sz w:val="18"/>
          <w:szCs w:val="18"/>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19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5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171" w:lineRule="exact"/>
        <w:rPr>
          <w:sz w:val="20"/>
          <w:szCs w:val="20"/>
          <w:color w:val="auto"/>
        </w:rPr>
      </w:pPr>
    </w:p>
    <w:p>
      <w:pPr>
        <w:ind w:left="1380" w:hanging="706"/>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52" w:lineRule="exact"/>
        <w:rPr>
          <w:rFonts w:ascii="Arial" w:cs="Arial" w:eastAsia="Arial" w:hAnsi="Arial"/>
          <w:sz w:val="18"/>
          <w:szCs w:val="18"/>
          <w:color w:val="auto"/>
        </w:rPr>
      </w:pPr>
    </w:p>
    <w:p>
      <w:pPr>
        <w:ind w:left="1420" w:hanging="732"/>
        <w:spacing w:after="0"/>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252" w:lineRule="exact"/>
        <w:rPr>
          <w:rFonts w:ascii="Arial" w:cs="Arial" w:eastAsia="Arial" w:hAnsi="Arial"/>
          <w:sz w:val="18"/>
          <w:szCs w:val="18"/>
          <w:color w:val="auto"/>
        </w:rPr>
      </w:pPr>
    </w:p>
    <w:p>
      <w:pPr>
        <w:ind w:left="1420" w:hanging="732"/>
        <w:spacing w:after="0" w:line="277"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97" w:lineRule="exact"/>
        <w:rPr>
          <w:rFonts w:ascii="Arial" w:cs="Arial" w:eastAsia="Arial" w:hAnsi="Arial"/>
          <w:sz w:val="18"/>
          <w:szCs w:val="18"/>
          <w:color w:val="auto"/>
        </w:rPr>
      </w:pPr>
    </w:p>
    <w:p>
      <w:pPr>
        <w:ind w:left="1380" w:hanging="706"/>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52" w:lineRule="exact"/>
        <w:rPr>
          <w:rFonts w:ascii="Arial" w:cs="Arial" w:eastAsia="Arial" w:hAnsi="Arial"/>
          <w:sz w:val="18"/>
          <w:szCs w:val="18"/>
          <w:color w:val="auto"/>
        </w:rPr>
      </w:pPr>
    </w:p>
    <w:p>
      <w:pPr>
        <w:ind w:left="1380" w:hanging="706"/>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52" w:lineRule="exact"/>
        <w:rPr>
          <w:rFonts w:ascii="Arial" w:cs="Arial" w:eastAsia="Arial" w:hAnsi="Arial"/>
          <w:sz w:val="18"/>
          <w:szCs w:val="18"/>
          <w:color w:val="auto"/>
        </w:rPr>
      </w:pPr>
    </w:p>
    <w:p>
      <w:pPr>
        <w:ind w:left="1420" w:hanging="732"/>
        <w:spacing w:after="0"/>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52" w:lineRule="exact"/>
        <w:rPr>
          <w:rFonts w:ascii="Arial" w:cs="Arial" w:eastAsia="Arial" w:hAnsi="Arial"/>
          <w:sz w:val="18"/>
          <w:szCs w:val="18"/>
          <w:color w:val="auto"/>
        </w:rPr>
      </w:pPr>
    </w:p>
    <w:p>
      <w:pPr>
        <w:ind w:left="1380" w:hanging="706"/>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213"/>
        <w:spacing w:after="0" w:line="264"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could substantially increase the costs of commercializing our product candidates and significantly impact our ability to successfully commercialize our product candidates and generate revenues.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FDA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3" w:lineRule="exact"/>
        <w:rPr>
          <w:sz w:val="20"/>
          <w:szCs w:val="20"/>
          <w:color w:val="auto"/>
        </w:rPr>
      </w:pPr>
    </w:p>
    <w:p>
      <w:pPr>
        <w:ind w:left="1380" w:hanging="706"/>
        <w:spacing w:after="0"/>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52" w:lineRule="exact"/>
        <w:rPr>
          <w:rFonts w:ascii="Arial" w:cs="Arial" w:eastAsia="Arial" w:hAnsi="Arial"/>
          <w:sz w:val="18"/>
          <w:szCs w:val="18"/>
          <w:color w:val="auto"/>
        </w:rPr>
      </w:pPr>
    </w:p>
    <w:p>
      <w:pPr>
        <w:ind w:left="1320" w:hanging="680"/>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52" w:lineRule="exact"/>
        <w:rPr>
          <w:rFonts w:ascii="Arial" w:cs="Arial" w:eastAsia="Arial" w:hAnsi="Arial"/>
          <w:sz w:val="18"/>
          <w:szCs w:val="18"/>
          <w:color w:val="auto"/>
        </w:rPr>
      </w:pPr>
    </w:p>
    <w:p>
      <w:pPr>
        <w:ind w:left="1320" w:hanging="680"/>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52" w:lineRule="exact"/>
        <w:rPr>
          <w:rFonts w:ascii="Arial" w:cs="Arial" w:eastAsia="Arial" w:hAnsi="Arial"/>
          <w:sz w:val="18"/>
          <w:szCs w:val="18"/>
          <w:color w:val="auto"/>
        </w:rPr>
      </w:pPr>
    </w:p>
    <w:p>
      <w:pPr>
        <w:ind w:left="1320" w:hanging="680"/>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52" w:lineRule="exact"/>
        <w:rPr>
          <w:rFonts w:ascii="Arial" w:cs="Arial" w:eastAsia="Arial" w:hAnsi="Arial"/>
          <w:sz w:val="18"/>
          <w:szCs w:val="18"/>
          <w:color w:val="auto"/>
        </w:rPr>
      </w:pPr>
    </w:p>
    <w:p>
      <w:pPr>
        <w:ind w:left="1380" w:hanging="706"/>
        <w:spacing w:after="0"/>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52" w:lineRule="exact"/>
        <w:rPr>
          <w:rFonts w:ascii="Arial" w:cs="Arial" w:eastAsia="Arial" w:hAnsi="Arial"/>
          <w:sz w:val="18"/>
          <w:szCs w:val="18"/>
          <w:color w:val="auto"/>
        </w:rPr>
      </w:pPr>
    </w:p>
    <w:p>
      <w:pPr>
        <w:ind w:left="1380" w:hanging="706"/>
        <w:spacing w:after="0"/>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52" w:lineRule="exact"/>
        <w:rPr>
          <w:rFonts w:ascii="Arial" w:cs="Arial" w:eastAsia="Arial" w:hAnsi="Arial"/>
          <w:sz w:val="18"/>
          <w:szCs w:val="18"/>
          <w:color w:val="auto"/>
        </w:rPr>
      </w:pPr>
    </w:p>
    <w:p>
      <w:pPr>
        <w:ind w:left="1380" w:hanging="706"/>
        <w:spacing w:after="0"/>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Currently, management is unaware of any FDA-approved therapy for treatment resistant MDD with the same mechanism of action as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or ECT, are sometimes used before or instead of antidepressant medications to treat patients with MDD.</w:t>
      </w:r>
    </w:p>
    <w:p>
      <w:pPr>
        <w:spacing w:after="0" w:line="19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the field of new generation antidepressants focused on modulation of the NMDA receptor at the glycine binding site, we believe our principal competitor is Allergan, which recently acquired from and is now developing both GLYX-13 and NRX-1074 for treatment-resistant MDD.</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Allergan, Alkermes, Astra Zeneca, Eli Lilly, GlaxoSmithKline, Johnson &amp; Johnson, Lundbeck, Merck, Novartis, Otsuka, Pfizer, Roche, Sumitomo Dainippon, Teva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 candidates with commercial and therapeutic potential. Although AV-101 is in Phase 2 clinical development, we may fail to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Because we have limited financial and management resources, we focus on a limited number of research programs and product candidates and are currently focused on our AV-101 and NCE drug rescue programs.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8" w:lineRule="exact"/>
        <w:rPr>
          <w:sz w:val="20"/>
          <w:szCs w:val="20"/>
          <w:color w:val="auto"/>
        </w:rPr>
      </w:pPr>
    </w:p>
    <w:p>
      <w:pPr>
        <w:jc w:val="both"/>
        <w:ind w:left="900" w:hanging="469"/>
        <w:spacing w:after="0" w:line="31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73" w:lineRule="exact"/>
        <w:rPr>
          <w:rFonts w:ascii="Arial" w:cs="Arial" w:eastAsia="Arial" w:hAnsi="Arial"/>
          <w:sz w:val="16"/>
          <w:szCs w:val="16"/>
          <w:color w:val="auto"/>
        </w:rPr>
      </w:pPr>
    </w:p>
    <w:p>
      <w:pPr>
        <w:jc w:val="both"/>
        <w:ind w:left="880" w:hanging="456"/>
        <w:spacing w:after="0" w:line="264"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08" w:lineRule="exact"/>
        <w:rPr>
          <w:rFonts w:ascii="Arial" w:cs="Arial" w:eastAsia="Arial" w:hAnsi="Arial"/>
          <w:sz w:val="18"/>
          <w:szCs w:val="18"/>
          <w:color w:val="auto"/>
        </w:rPr>
      </w:pPr>
    </w:p>
    <w:p>
      <w:pPr>
        <w:jc w:val="both"/>
        <w:ind w:left="880" w:hanging="456"/>
        <w:spacing w:after="0" w:line="259"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213" w:lineRule="exact"/>
        <w:rPr>
          <w:rFonts w:ascii="Arial" w:cs="Arial" w:eastAsia="Arial" w:hAnsi="Arial"/>
          <w:sz w:val="18"/>
          <w:szCs w:val="18"/>
          <w:color w:val="auto"/>
        </w:rPr>
      </w:pPr>
    </w:p>
    <w:p>
      <w:pPr>
        <w:ind w:left="880" w:hanging="456"/>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97" w:lineRule="exact"/>
        <w:rPr>
          <w:rFonts w:ascii="Arial" w:cs="Arial" w:eastAsia="Arial" w:hAnsi="Arial"/>
          <w:sz w:val="18"/>
          <w:szCs w:val="18"/>
          <w:color w:val="auto"/>
        </w:rPr>
      </w:pPr>
    </w:p>
    <w:p>
      <w:pPr>
        <w:jc w:val="both"/>
        <w:ind w:left="880" w:hanging="456"/>
        <w:spacing w:after="0" w:line="259"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213" w:lineRule="exact"/>
        <w:rPr>
          <w:rFonts w:ascii="Arial" w:cs="Arial" w:eastAsia="Arial" w:hAnsi="Arial"/>
          <w:sz w:val="18"/>
          <w:szCs w:val="18"/>
          <w:color w:val="auto"/>
        </w:rPr>
      </w:pPr>
    </w:p>
    <w:p>
      <w:pPr>
        <w:jc w:val="both"/>
        <w:ind w:left="880" w:hanging="456"/>
        <w:spacing w:after="0" w:line="259"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213" w:lineRule="exact"/>
        <w:rPr>
          <w:rFonts w:ascii="Arial" w:cs="Arial" w:eastAsia="Arial" w:hAnsi="Arial"/>
          <w:sz w:val="18"/>
          <w:szCs w:val="18"/>
          <w:color w:val="auto"/>
        </w:rPr>
      </w:pPr>
    </w:p>
    <w:p>
      <w:pPr>
        <w:ind w:left="880" w:hanging="456"/>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AV0-101 as a treatment for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Market acceptance and sales of our product candidates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if we have obtained orphan drug designation for one or more of our product candidates, there may be limits to the regulatory exclusivity afforded by such designation.</w:t>
      </w:r>
    </w:p>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Even if we obtain orphan drug designation from the FDA for one or more of our product candidates, there are limitations to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exclusivity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208" w:lineRule="exact"/>
        <w:rPr>
          <w:sz w:val="20"/>
          <w:szCs w:val="20"/>
          <w:color w:val="auto"/>
        </w:rPr>
      </w:pPr>
    </w:p>
    <w:p>
      <w:pPr>
        <w:ind w:left="900" w:hanging="46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900" w:hanging="46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900" w:hanging="46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900" w:hanging="46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900" w:hanging="46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900" w:hanging="46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900" w:hanging="46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900" w:hanging="46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900" w:hanging="46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5" w:lineRule="exact"/>
        <w:rPr>
          <w:rFonts w:ascii="Arial" w:cs="Arial" w:eastAsia="Arial" w:hAnsi="Arial"/>
          <w:sz w:val="18"/>
          <w:szCs w:val="18"/>
          <w:color w:val="auto"/>
        </w:rPr>
      </w:pPr>
    </w:p>
    <w:p>
      <w:pPr>
        <w:ind w:left="900" w:hanging="46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900" w:hanging="46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900" w:hanging="46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a development stage biopharmaceutical company. Although our lead drug candidate is in Phase 2 development,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54" w:lineRule="exact"/>
        <w:rPr>
          <w:sz w:val="20"/>
          <w:szCs w:val="20"/>
          <w:color w:val="auto"/>
        </w:rPr>
      </w:pPr>
    </w:p>
    <w:p>
      <w:pPr>
        <w:ind w:left="1380" w:hanging="706"/>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produce product candidates;</w:t>
      </w:r>
    </w:p>
    <w:p>
      <w:pPr>
        <w:spacing w:after="0" w:line="225" w:lineRule="exact"/>
        <w:rPr>
          <w:rFonts w:ascii="Arial" w:cs="Arial" w:eastAsia="Arial" w:hAnsi="Arial"/>
          <w:sz w:val="18"/>
          <w:szCs w:val="18"/>
          <w:color w:val="auto"/>
        </w:rPr>
      </w:pPr>
    </w:p>
    <w:p>
      <w:pPr>
        <w:ind w:left="1380" w:hanging="706"/>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products we produce;</w:t>
      </w:r>
    </w:p>
    <w:p>
      <w:pPr>
        <w:spacing w:after="0" w:line="225" w:lineRule="exact"/>
        <w:rPr>
          <w:rFonts w:ascii="Arial" w:cs="Arial" w:eastAsia="Arial" w:hAnsi="Arial"/>
          <w:sz w:val="18"/>
          <w:szCs w:val="18"/>
          <w:color w:val="auto"/>
        </w:rPr>
      </w:pPr>
    </w:p>
    <w:p>
      <w:pPr>
        <w:ind w:left="1380" w:hanging="706"/>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1380" w:hanging="706"/>
        <w:spacing w:after="0" w:line="277"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maintain sales, distribution and marketing capabilities, and/or enter into strategic partnering arrangements to access such capabilities;</w:t>
      </w:r>
    </w:p>
    <w:p>
      <w:pPr>
        <w:spacing w:after="0" w:line="170" w:lineRule="exact"/>
        <w:rPr>
          <w:rFonts w:ascii="Arial" w:cs="Arial" w:eastAsia="Arial" w:hAnsi="Arial"/>
          <w:sz w:val="18"/>
          <w:szCs w:val="18"/>
          <w:color w:val="auto"/>
        </w:rPr>
      </w:pPr>
    </w:p>
    <w:p>
      <w:pPr>
        <w:ind w:left="1380" w:hanging="706"/>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 market acceptance for our products; and</w:t>
      </w:r>
    </w:p>
    <w:p>
      <w:pPr>
        <w:spacing w:after="0" w:line="225" w:lineRule="exact"/>
        <w:rPr>
          <w:rFonts w:ascii="Arial" w:cs="Arial" w:eastAsia="Arial" w:hAnsi="Arial"/>
          <w:sz w:val="18"/>
          <w:szCs w:val="18"/>
          <w:color w:val="auto"/>
        </w:rPr>
      </w:pPr>
    </w:p>
    <w:p>
      <w:pPr>
        <w:ind w:left="1380" w:right="20" w:hanging="706"/>
        <w:spacing w:after="0" w:line="277"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53" w:name="page54"/>
    <w:bookmarkEnd w:id="5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future success is highly dependent upon our ability to successfully develop and commercialize AV-101 and discover, produce, develop and commercialize proprietary NCEs through drug rescue programs using our stem cell technology, human cells derived from stem cells, our customized human cell-based bioassay systems and medicinal chemistry, and we cannot provide any assurance that we will successfully develop and commercialize AV-101 or drug rescue NCEs, or that, if produced, AV-101 or any drug rescue NCE will be successfully commercialized.</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66" w:lineRule="exact"/>
        <w:rPr>
          <w:sz w:val="20"/>
          <w:szCs w:val="20"/>
          <w:color w:val="auto"/>
        </w:rPr>
      </w:pPr>
    </w:p>
    <w:p>
      <w:pPr>
        <w:ind w:left="760" w:hanging="39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drug rescue research methodology may not be successful in identifying potential drug rescue NCEs;</w:t>
      </w:r>
    </w:p>
    <w:p>
      <w:pPr>
        <w:spacing w:after="0" w:line="225" w:lineRule="exact"/>
        <w:rPr>
          <w:rFonts w:ascii="Arial" w:cs="Arial" w:eastAsia="Arial" w:hAnsi="Arial"/>
          <w:sz w:val="18"/>
          <w:szCs w:val="18"/>
          <w:color w:val="auto"/>
        </w:rPr>
      </w:pPr>
    </w:p>
    <w:p>
      <w:pPr>
        <w:ind w:left="840" w:hanging="436"/>
        <w:spacing w:after="0"/>
        <w:tabs>
          <w:tab w:leader="none" w:pos="8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drug rescue NCEs obsolete;</w:t>
      </w:r>
    </w:p>
    <w:p>
      <w:pPr>
        <w:spacing w:after="0" w:line="225" w:lineRule="exact"/>
        <w:rPr>
          <w:rFonts w:ascii="Arial" w:cs="Arial" w:eastAsia="Arial" w:hAnsi="Arial"/>
          <w:sz w:val="18"/>
          <w:szCs w:val="18"/>
          <w:color w:val="auto"/>
        </w:rPr>
      </w:pPr>
    </w:p>
    <w:p>
      <w:pPr>
        <w:ind w:left="760" w:right="20" w:hanging="403"/>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70" w:lineRule="exact"/>
        <w:rPr>
          <w:rFonts w:ascii="Arial" w:cs="Arial" w:eastAsia="Arial" w:hAnsi="Arial"/>
          <w:sz w:val="18"/>
          <w:szCs w:val="18"/>
          <w:color w:val="auto"/>
        </w:rPr>
      </w:pPr>
    </w:p>
    <w:p>
      <w:pPr>
        <w:ind w:left="760" w:hanging="403"/>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drug rescue NCE may not be capable of being produced in commercial quantities at an acceptable cost, or at all; or</w:t>
      </w:r>
    </w:p>
    <w:p>
      <w:pPr>
        <w:spacing w:after="0" w:line="225" w:lineRule="exact"/>
        <w:rPr>
          <w:rFonts w:ascii="Arial" w:cs="Arial" w:eastAsia="Arial" w:hAnsi="Arial"/>
          <w:sz w:val="18"/>
          <w:szCs w:val="18"/>
          <w:color w:val="auto"/>
        </w:rPr>
      </w:pPr>
    </w:p>
    <w:p>
      <w:pPr>
        <w:ind w:left="760" w:hanging="403"/>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drug rescue NCE may not be accepted as safe and effective by regulatory authorities, patients, the medical community or third-party payors.</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22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unable to develop and commercialize AV-101 or produce suitable drug rescue NCEs for internal development or out-license to pharmaceutical companies and others, we may not be able to generate sufficient revenues to execute our business plan, which likely would result in significant harm to our financial position and results of operations, which could adversely impact our stock price.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strategic partners, including:</w:t>
      </w:r>
    </w:p>
    <w:p>
      <w:pPr>
        <w:spacing w:after="0" w:line="170" w:lineRule="exact"/>
        <w:rPr>
          <w:sz w:val="20"/>
          <w:szCs w:val="20"/>
          <w:color w:val="auto"/>
        </w:rPr>
      </w:pPr>
    </w:p>
    <w:p>
      <w:pPr>
        <w:ind w:left="820" w:hanging="429"/>
        <w:spacing w:after="0" w:line="277" w:lineRule="auto"/>
        <w:tabs>
          <w:tab w:leader="none" w:pos="8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our ability to identify potential drug rescue candidates in the public domain, obtain sufficient quantities of them, and assess them using our bioassay systems;</w:t>
      </w:r>
    </w:p>
    <w:p>
      <w:pPr>
        <w:spacing w:after="0" w:line="170" w:lineRule="exact"/>
        <w:rPr>
          <w:rFonts w:ascii="Arial" w:cs="Arial" w:eastAsia="Arial" w:hAnsi="Arial"/>
          <w:sz w:val="18"/>
          <w:szCs w:val="18"/>
          <w:color w:val="auto"/>
        </w:rPr>
      </w:pPr>
    </w:p>
    <w:p>
      <w:pPr>
        <w:ind w:left="820" w:hanging="429"/>
        <w:spacing w:after="0" w:line="277" w:lineRule="auto"/>
        <w:tabs>
          <w:tab w:leader="none" w:pos="8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70" w:lineRule="exact"/>
        <w:rPr>
          <w:rFonts w:ascii="Arial" w:cs="Arial" w:eastAsia="Arial" w:hAnsi="Arial"/>
          <w:sz w:val="18"/>
          <w:szCs w:val="18"/>
          <w:color w:val="auto"/>
        </w:rPr>
      </w:pPr>
    </w:p>
    <w:p>
      <w:pPr>
        <w:ind w:left="760" w:hanging="403"/>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70" w:lineRule="exact"/>
        <w:rPr>
          <w:rFonts w:ascii="Arial" w:cs="Arial" w:eastAsia="Arial" w:hAnsi="Arial"/>
          <w:sz w:val="18"/>
          <w:szCs w:val="18"/>
          <w:color w:val="auto"/>
        </w:rPr>
      </w:pPr>
    </w:p>
    <w:p>
      <w:pPr>
        <w:ind w:left="760" w:hanging="403"/>
        <w:spacing w:after="0" w:line="342"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164"/>
        <w:spacing w:after="0" w:line="291" w:lineRule="auto"/>
        <w:rPr>
          <w:sz w:val="20"/>
          <w:szCs w:val="20"/>
          <w:color w:val="auto"/>
        </w:rPr>
      </w:pPr>
      <w:r>
        <w:rPr>
          <w:rFonts w:ascii="Arial" w:cs="Arial" w:eastAsia="Arial" w:hAnsi="Arial"/>
          <w:sz w:val="16"/>
          <w:szCs w:val="16"/>
          <w:color w:val="auto"/>
        </w:rPr>
        <w:t>Even if we do produce proprietary drug rescue NCEs, we can give no assurance that we will be able to develop and commercialize them as a marketable drug, on our own or in a strategic collaboration. Before we generate any revenues from AV-101 and/or additional drug rescue NCEs we or our potential strategic collaborator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Our success is highly dependent on our ability to use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to identify and predict, accurately and efficiently, the potential toxic and nontoxic cardiac effects of drug rescue candidates and drug rescue NCEs. If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is not capable of providing physiologically relevant and clinically predictive information regarding human cardiac biology, our drug rescue business will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We have not yet fully validated LiverSafe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for potential drug rescue applications, and we may never do so.</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We have developed proprietary protocols for controlling the differentiation of human pluripotent stem cells and producing functional, mature, adult liver cells we believe are superior to primary (cadaver) hepatocytes used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However, we have not yet fully validated our ability to use the human liver cells we produce for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to predict important biological effects, both toxic and nontoxic, of reference drugs, drug rescue candidates or drug rescue NCEs on the human liver, including drug-induced liver injury and adverse drug-drug interactions. Furthermore, we may never be able to do so, which could adversely affect our business and the potential applications of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for drug discovery, drug rescue and regenerative medicine.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CardioSafe </w:t>
      </w:r>
      <w:r>
        <w:rPr>
          <w:rFonts w:ascii="Arial" w:cs="Arial" w:eastAsia="Arial" w:hAnsi="Arial"/>
          <w:sz w:val="16"/>
          <w:szCs w:val="16"/>
          <w:b w:val="1"/>
          <w:bCs w:val="1"/>
          <w:color w:val="auto"/>
        </w:rPr>
        <w:t>3D</w:t>
      </w:r>
      <w:r>
        <w:rPr>
          <w:rFonts w:ascii="Arial" w:cs="Arial" w:eastAsia="Arial" w:hAnsi="Arial"/>
          <w:sz w:val="16"/>
          <w:szCs w:val="16"/>
          <w:b w:val="1"/>
          <w:bCs w:val="1"/>
          <w:i w:val="1"/>
          <w:iCs w:val="1"/>
          <w:color w:val="auto"/>
        </w:rPr>
        <w:t xml:space="preserve">, and, if validated, LiverSafe </w:t>
      </w:r>
      <w:r>
        <w:rPr>
          <w:rFonts w:ascii="Arial" w:cs="Arial" w:eastAsia="Arial" w:hAnsi="Arial"/>
          <w:sz w:val="16"/>
          <w:szCs w:val="16"/>
          <w:b w:val="1"/>
          <w:bCs w:val="1"/>
          <w:color w:val="auto"/>
        </w:rPr>
        <w:t>3D</w:t>
      </w:r>
      <w:r>
        <w:rPr>
          <w:rFonts w:ascii="Arial" w:cs="Arial" w:eastAsia="Arial" w:hAnsi="Arial"/>
          <w:sz w:val="16"/>
          <w:szCs w:val="16"/>
          <w:b w:val="1"/>
          <w:bCs w:val="1"/>
          <w:i w:val="1"/>
          <w:iCs w:val="1"/>
          <w:color w:val="auto"/>
        </w:rPr>
        <w:t xml:space="preserve"> may not be meaningfully more predictive of the behavior of human cells than existing methods.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success of our drug rescue business is highly dependent, in the first instance,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in the second instance, if validated, </w:t>
      </w:r>
      <w:r>
        <w:rPr>
          <w:rFonts w:ascii="Arial" w:cs="Arial" w:eastAsia="Arial" w:hAnsi="Arial"/>
          <w:sz w:val="16"/>
          <w:szCs w:val="16"/>
          <w:i w:val="1"/>
          <w:iCs w:val="1"/>
          <w:color w:val="auto"/>
        </w:rPr>
        <w:t xml:space="preserve">LiverSafe </w:t>
      </w:r>
      <w:r>
        <w:rPr>
          <w:rFonts w:ascii="Arial" w:cs="Arial" w:eastAsia="Arial" w:hAnsi="Arial"/>
          <w:sz w:val="16"/>
          <w:szCs w:val="16"/>
          <w:color w:val="auto"/>
        </w:rPr>
        <w:t>3D, being more accurate, efficient and clinically predictive than long-established surrogate safety models, including animal cells and live animals,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when validated,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will be more efficient or accurate at predicting the heart or liver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fail to provide a meaningful difference compared to existing or new models in predicting the behavior of human heart and liver cells, respectively, their utility for drug rescue will be limited and our drug rescue business will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strategic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research and development programs related to producing and using functional, mature adult liver cells to validate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as a novel bioassay system for drug rescue, as well as exploratory nonclinical regenerative medicine programs involving blood, bone, cartilage, heart, and liver. Although we and our collaborators have developed proprietary protocols for the production of multiple differentiated cell types, we could encounter difficulties in differentiating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Some of our research and development programs may involve the use of human cells derived from our controlled differentiation of human embryonic stem cells (</w:t>
      </w:r>
      <w:r>
        <w:rPr>
          <w:rFonts w:ascii="Arial" w:cs="Arial" w:eastAsia="Arial" w:hAnsi="Arial"/>
          <w:sz w:val="17"/>
          <w:szCs w:val="17"/>
          <w:i w:val="1"/>
          <w:iCs w:val="1"/>
          <w:color w:val="auto"/>
        </w:rPr>
        <w:t>hESC</w:t>
      </w:r>
      <w:r>
        <w:rPr>
          <w:rFonts w:ascii="Arial" w:cs="Arial" w:eastAsia="Arial" w:hAnsi="Arial"/>
          <w:sz w:val="17"/>
          <w:szCs w:val="17"/>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fertilization (</w:t>
      </w:r>
      <w:r>
        <w:rPr>
          <w:rFonts w:ascii="Arial" w:cs="Arial" w:eastAsia="Arial" w:hAnsi="Arial"/>
          <w:sz w:val="17"/>
          <w:szCs w:val="17"/>
          <w:i w:val="1"/>
          <w:iCs w:val="1"/>
          <w:color w:val="auto"/>
        </w:rPr>
        <w:t>IVF</w:t>
      </w:r>
      <w:r>
        <w:rPr>
          <w:rFonts w:ascii="Arial" w:cs="Arial" w:eastAsia="Arial" w:hAnsi="Arial"/>
          <w:sz w:val="17"/>
          <w:szCs w:val="17"/>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social and ethical concerns surrounding the use of iPSCs, biological materials and genetic information could impair our operations.</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cell therapy or for other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and scientific and technical personnel. We are highly dependent upon our Chief Executive Officer, President and Chief Scientific Officer and Chief Financial Officer, as well as other employees, consultants and scientific collaborators. As of the date of this Quarterly Report on Form 10-Q, we have eight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rely on a diverse range of consultants and advisors, including scientific and clinical development advisors, to assist us in designing our research and development strategies,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we seek to advance development of AV-101 for MDD and other CNS-related conditions, as well as cell production, bioassay development, drug discovery, drug rescue and development unrelated to AV-101, and stem cell technology-related regenerative medicine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we develop AV-101, drug rescue NCEs, other product candidates, or regenerative medicine product candidates, either on our own or in collaboration with others, we will face an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2" w:lineRule="exact"/>
        <w:rPr>
          <w:sz w:val="20"/>
          <w:szCs w:val="20"/>
          <w:color w:val="auto"/>
        </w:rPr>
      </w:pPr>
    </w:p>
    <w:p>
      <w:pPr>
        <w:ind w:left="920" w:hanging="475"/>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products that we may develop;</w:t>
      </w:r>
    </w:p>
    <w:p>
      <w:pPr>
        <w:spacing w:after="0" w:line="225" w:lineRule="exact"/>
        <w:rPr>
          <w:rFonts w:ascii="Arial" w:cs="Arial" w:eastAsia="Arial" w:hAnsi="Arial"/>
          <w:sz w:val="18"/>
          <w:szCs w:val="18"/>
          <w:color w:val="auto"/>
        </w:rPr>
      </w:pPr>
    </w:p>
    <w:p>
      <w:pPr>
        <w:ind w:left="920" w:hanging="475"/>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920" w:hanging="475"/>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20" w:hanging="475"/>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920" w:hanging="475"/>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920" w:hanging="475"/>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20" w:hanging="475"/>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920" w:hanging="475"/>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920" w:hanging="475"/>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225" w:lineRule="exact"/>
        <w:rPr>
          <w:rFonts w:ascii="Arial" w:cs="Arial" w:eastAsia="Arial" w:hAnsi="Arial"/>
          <w:sz w:val="18"/>
          <w:szCs w:val="18"/>
          <w:color w:val="auto"/>
        </w:rPr>
      </w:pPr>
    </w:p>
    <w:p>
      <w:pPr>
        <w:ind w:left="920" w:hanging="475"/>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we continue to grow, we will need to hire additional qualified accounting and financial personnel with appropriate public company experience.</w:t>
      </w:r>
    </w:p>
    <w:p>
      <w:pPr>
        <w:spacing w:after="0" w:line="2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we continue to grow our organization and seek to obtain listing of our common stock on a national securities market, we will need to establish and maintain more elaborate disclosure and financial controls and make changes in our corporate governance practices. We will need to hire additional accounting and financial personnel with appropriate public company experience and technical accounting knowledge, and it may be difficult to recruit and retain such personnel. Even if we are able to hire appropriate personnel, our existing operating expenses and operations will increase by the direct costs of their employment and the indirect consequences related to the diversion of management resources from product development efforts.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59" w:name="page60"/>
    <w:bookmarkEnd w:id="5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acquire businesses or products, or form strategic alliances, in the future, and we may not realize the benefits of such acquisitions.</w:t>
      </w:r>
    </w:p>
    <w:p>
      <w:pPr>
        <w:spacing w:after="0" w:line="2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25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2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incurred significant net losses in each fiscal year since our inception in 1998, including net losses of $13.9 million and $3.0 million during the fiscal years ending March 31, 2015 and 2014, respectively. As of September 30, 2015, we had an accumulated deficit (including cash and substantial noncash expenses) of approximately $121.1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non-clinical studies and clinical trials of our product candidates. In addition, if we obtain marketing approval for our product candidates, we will incur significant sales, marketing and outsourced-manufacturing expenses.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20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ability to become profitable depends upon our ability to generate revenues. To date, although we have generated approximately $16.4 million in revenues, we have not commercialized any products or generated any revenues from product sales, and we do not know when, or if, we will generate any revenue from product sales. We do not expect to generate significant revenue unless and until we obtain marketing approval of, and begin to sell, AV-101, or we enter into one or more strategic development and commercialization agreements with respect to AV-101 or another product candidate. Our ability to generate revenue depends on a number of factors, including, but not limited to,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900" w:hanging="46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252" w:lineRule="exact"/>
        <w:rPr>
          <w:rFonts w:ascii="Arial" w:cs="Arial" w:eastAsia="Arial" w:hAnsi="Arial"/>
          <w:sz w:val="18"/>
          <w:szCs w:val="18"/>
          <w:color w:val="auto"/>
        </w:rPr>
      </w:pPr>
    </w:p>
    <w:p>
      <w:pPr>
        <w:ind w:left="900" w:hanging="46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initiate and successfully complete all safety studies required to obtain U.S. and foreign marketing approval for our product candidates;</w:t>
      </w:r>
    </w:p>
    <w:p>
      <w:pPr>
        <w:spacing w:after="0" w:line="263" w:lineRule="exact"/>
        <w:rPr>
          <w:rFonts w:ascii="Arial" w:cs="Arial" w:eastAsia="Arial" w:hAnsi="Arial"/>
          <w:sz w:val="17"/>
          <w:szCs w:val="17"/>
          <w:color w:val="auto"/>
        </w:rPr>
      </w:pPr>
    </w:p>
    <w:p>
      <w:pPr>
        <w:ind w:left="900" w:hanging="46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commercialize our product candidates, if approved, by developing a sales force or entering into collaborations with third parties; and</w:t>
      </w:r>
    </w:p>
    <w:p>
      <w:pPr>
        <w:spacing w:after="0" w:line="252" w:lineRule="exact"/>
        <w:rPr>
          <w:rFonts w:ascii="Arial" w:cs="Arial" w:eastAsia="Arial" w:hAnsi="Arial"/>
          <w:sz w:val="18"/>
          <w:szCs w:val="18"/>
          <w:color w:val="auto"/>
        </w:rPr>
      </w:pPr>
    </w:p>
    <w:p>
      <w:pPr>
        <w:ind w:left="900" w:hanging="46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Unless we enter into a strategic development and commercialization collaboration or partnership agreement, we expect to incur significant sales and marketing costs as we prepare to commercialize our product candidates. Even if we initiate and successfully complete pivotal clinical trials of our product candidates, and our product candidates are approved for commercial sale, and despite expending these costs, our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independent auditors have expressed substantial doubt about our ability to continue as a going concern.</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consolidated financial statements for the year ended March 31, 2015 have been prepared assuming we will continue to operate as a going concern. However, due to our ongoing operating losses and our accumulated deficit, in their opinion on our audited financial statements for our fiscal year ended March 31, 2015, our auditors indicated that there is substantial doubt about our ability to continue as a going concern. Because we continue to experience net operating losses, our ability to continue as a going concern is subject to our ability to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of our research and development activities or we may not be able to continue as a going concern.</w:t>
      </w:r>
    </w:p>
    <w:p>
      <w:pPr>
        <w:spacing w:after="0" w:line="224" w:lineRule="exact"/>
        <w:rPr>
          <w:sz w:val="20"/>
          <w:szCs w:val="20"/>
          <w:color w:val="auto"/>
        </w:rPr>
      </w:pPr>
    </w:p>
    <w:p>
      <w:pPr>
        <w:jc w:val="both"/>
        <w:ind w:right="20" w:firstLine="48"/>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 or other operations.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Since our inception, most of our resources have been dedicated to research and development of AV-101 and the drug rescue capabilities of our human pluripotent stem cell technology platform. In particular, we have expended substantial resources advancing AV-101 through preclinical development and Phase 1 clinical safety studies, and developing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for drug rescue applications, and we will continue to expend substantial resources for the foreseeable future developing and commercializing AV-101, validating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and developing drug rescue NCEs.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21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At September 30, 2015, our existing cash and cash equivalents were not sufficient to fund our current operations for the next 12 months. However, as described in Note 8,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Condensed Consolidated Financial Statements in Part I of this Report, on August 3, 2015, we entered into an agreement with Platinum pursuant to which Platinum agreed to purchase an additional $3.0 million of our Series B Preferred and Series B Warrants between August 15, 2015 and October 15, 2015 (</w:t>
      </w:r>
      <w:r>
        <w:rPr>
          <w:rFonts w:ascii="Arial" w:cs="Arial" w:eastAsia="Arial" w:hAnsi="Arial"/>
          <w:sz w:val="16"/>
          <w:szCs w:val="16"/>
          <w:i w:val="1"/>
          <w:iCs w:val="1"/>
          <w:color w:val="auto"/>
        </w:rPr>
        <w:t>August 2015 Platinum Agreement</w:t>
      </w:r>
      <w:r>
        <w:rPr>
          <w:rFonts w:ascii="Arial" w:cs="Arial" w:eastAsia="Arial" w:hAnsi="Arial"/>
          <w:sz w:val="16"/>
          <w:szCs w:val="16"/>
          <w:color w:val="auto"/>
        </w:rPr>
        <w:t>). At September 30, 2015, Platinum had purchased an additional $500,000 of Series B Preferred and Series B Warrants under the August 2015 Platinum Agreement. In addition, in February 2015, we entered into a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with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under which CRADA the NIH is fully funding and conducting the initial Phase 2 clinical efficacy and safety of AV-101 in Major Depressive Disorder. However, we have no current source of revenue to sustain our present activities, and we do not expect to generate revenue until, and unless, we (i) out-license or sell AV-101, a drug rescue NCE,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 As the outcome of our AV-101and drug rescue development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intend to complete additional financing arrangements prior to the end of 2015.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61" w:name="page62"/>
    <w:bookmarkEnd w:id="6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52" w:lineRule="exact"/>
        <w:rPr>
          <w:sz w:val="20"/>
          <w:szCs w:val="20"/>
          <w:color w:val="auto"/>
        </w:rPr>
      </w:pPr>
    </w:p>
    <w:p>
      <w:pPr>
        <w:ind w:left="920" w:hanging="475"/>
        <w:spacing w:after="0"/>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 including AV-101 and drug rescue NCEs;</w:t>
      </w:r>
    </w:p>
    <w:p>
      <w:pPr>
        <w:spacing w:after="0" w:line="252" w:lineRule="exact"/>
        <w:rPr>
          <w:rFonts w:ascii="Arial" w:cs="Arial" w:eastAsia="Arial" w:hAnsi="Arial"/>
          <w:sz w:val="18"/>
          <w:szCs w:val="18"/>
          <w:color w:val="auto"/>
        </w:rPr>
      </w:pPr>
    </w:p>
    <w:p>
      <w:pPr>
        <w:ind w:left="920" w:hanging="475"/>
        <w:spacing w:after="0"/>
        <w:tabs>
          <w:tab w:leader="none" w:pos="9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75" w:lineRule="exact"/>
        <w:rPr>
          <w:rFonts w:ascii="Arial" w:cs="Arial" w:eastAsia="Arial" w:hAnsi="Arial"/>
          <w:sz w:val="16"/>
          <w:szCs w:val="16"/>
          <w:color w:val="auto"/>
        </w:rPr>
      </w:pPr>
    </w:p>
    <w:p>
      <w:pPr>
        <w:ind w:left="920" w:hanging="482"/>
        <w:spacing w:after="0"/>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52" w:lineRule="exact"/>
        <w:rPr>
          <w:rFonts w:ascii="Arial" w:cs="Arial" w:eastAsia="Arial" w:hAnsi="Arial"/>
          <w:sz w:val="18"/>
          <w:szCs w:val="18"/>
          <w:color w:val="auto"/>
        </w:rPr>
      </w:pPr>
    </w:p>
    <w:p>
      <w:pPr>
        <w:ind w:left="880" w:hanging="456"/>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75" w:lineRule="exact"/>
        <w:rPr>
          <w:rFonts w:ascii="Arial" w:cs="Arial" w:eastAsia="Arial" w:hAnsi="Arial"/>
          <w:sz w:val="16"/>
          <w:szCs w:val="16"/>
          <w:color w:val="auto"/>
        </w:rPr>
      </w:pPr>
    </w:p>
    <w:p>
      <w:pPr>
        <w:ind w:left="920" w:hanging="482"/>
        <w:spacing w:after="0"/>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52" w:lineRule="exact"/>
        <w:rPr>
          <w:rFonts w:ascii="Arial" w:cs="Arial" w:eastAsia="Arial" w:hAnsi="Arial"/>
          <w:sz w:val="18"/>
          <w:szCs w:val="18"/>
          <w:color w:val="auto"/>
        </w:rPr>
      </w:pPr>
    </w:p>
    <w:p>
      <w:pPr>
        <w:ind w:left="880" w:hanging="456"/>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establish and maintain strategic partnerships, licensing or other arrangements and the financial terms of such agreements;</w:t>
      </w:r>
    </w:p>
    <w:p>
      <w:pPr>
        <w:spacing w:after="0" w:line="236" w:lineRule="exact"/>
        <w:rPr>
          <w:rFonts w:ascii="Arial" w:cs="Arial" w:eastAsia="Arial" w:hAnsi="Arial"/>
          <w:sz w:val="17"/>
          <w:szCs w:val="17"/>
          <w:color w:val="auto"/>
        </w:rPr>
      </w:pPr>
    </w:p>
    <w:p>
      <w:pPr>
        <w:ind w:left="920" w:hanging="475"/>
        <w:spacing w:after="0"/>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920" w:hanging="475"/>
        <w:spacing w:after="0"/>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52" w:lineRule="exact"/>
        <w:rPr>
          <w:rFonts w:ascii="Arial" w:cs="Arial" w:eastAsia="Arial" w:hAnsi="Arial"/>
          <w:sz w:val="18"/>
          <w:szCs w:val="18"/>
          <w:color w:val="auto"/>
        </w:rPr>
      </w:pPr>
    </w:p>
    <w:p>
      <w:pPr>
        <w:ind w:left="920" w:hanging="475"/>
        <w:spacing w:after="0"/>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our ability to obtain government funding for our programs;</w:t>
      </w:r>
    </w:p>
    <w:p>
      <w:pPr>
        <w:spacing w:after="0" w:line="252" w:lineRule="exact"/>
        <w:rPr>
          <w:rFonts w:ascii="Arial" w:cs="Arial" w:eastAsia="Arial" w:hAnsi="Arial"/>
          <w:sz w:val="18"/>
          <w:szCs w:val="18"/>
          <w:color w:val="auto"/>
        </w:rPr>
      </w:pPr>
    </w:p>
    <w:p>
      <w:pPr>
        <w:jc w:val="both"/>
        <w:ind w:left="880" w:hanging="456"/>
        <w:spacing w:after="0" w:line="264"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necessary to preserve our freedom to operate in the stem cell industry, including litigation costs associated with any claims that we infringe third-party patents or violate other intellectual property rights and the outcome of such litigation;</w:t>
      </w:r>
    </w:p>
    <w:p>
      <w:pPr>
        <w:spacing w:after="0" w:line="208" w:lineRule="exact"/>
        <w:rPr>
          <w:rFonts w:ascii="Arial" w:cs="Arial" w:eastAsia="Arial" w:hAnsi="Arial"/>
          <w:sz w:val="18"/>
          <w:szCs w:val="18"/>
          <w:color w:val="auto"/>
        </w:rPr>
      </w:pPr>
    </w:p>
    <w:p>
      <w:pPr>
        <w:ind w:left="880" w:hanging="456"/>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880" w:right="20" w:hanging="456"/>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Any additional fundraising efforts will divert our management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9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we are unable to obtain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will cause dilution to our existing stockholders, and may restrict our operations or require us to relinquish rights.</w:t>
      </w:r>
    </w:p>
    <w:p>
      <w:pPr>
        <w:spacing w:after="0" w:line="2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intend to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or to the extent, for strategic purposes, we convert or exchange certain of our outstanding securities into common stock, your ownership interest in our company will be diluted. In addition, the terms of any such securities may include liquidation or other preferences that materially adversely affect your rights as a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grants, which may not be available to us in the future.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March 31, 2015, we had federal and state net operating loss carryforwards of $58.7 million and $53.1 million, respectively, which begin to expire in fiscal 2016. Under Section 382 of the Internal Revenue Code of 1986, as amended, or the Code,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7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success will depend significantly on our ability to obtain and maintain patent and other proprietary protection for commercially important technology, inventions and know-how related to our business, defend and enforce our patents, should they issue, preserve the confidentiality of our trade secrets and operate without infringing the valid and enforceable patents and proprietary rights of third parties. We also rely on know-how, continuing technological innovation and in-licensing opportunities to develop, strengthen and maintain the proprietary position of our product candidates. Our owned and licensed patents and patent applications relate to AV-101 and, in general, human pluripotent stem cell technology.</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currently have no issued patents covering AV-101. We cannot provide any assurances that any of our multiple pending U.S. and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 for certain inventories.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63" w:name="page64"/>
    <w:bookmarkEnd w:id="6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should they issue,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Furthermore, though a patent, if it were to issue,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proceedings to enforce or defend our patents, if and when issued,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if and when issued,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52" w:lineRule="exact"/>
        <w:rPr>
          <w:sz w:val="20"/>
          <w:szCs w:val="20"/>
          <w:color w:val="auto"/>
        </w:rPr>
      </w:pPr>
    </w:p>
    <w:p>
      <w:pPr>
        <w:ind w:left="900" w:right="20" w:hanging="469"/>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AV-101 or other pending patent applications, if issued, will include claims having a scope sufficient to protect AV-101 or any other products or product candidates;</w:t>
      </w:r>
    </w:p>
    <w:p>
      <w:pPr>
        <w:spacing w:after="0" w:line="170" w:lineRule="exact"/>
        <w:rPr>
          <w:rFonts w:ascii="Arial" w:cs="Arial" w:eastAsia="Arial" w:hAnsi="Arial"/>
          <w:sz w:val="18"/>
          <w:szCs w:val="18"/>
          <w:color w:val="auto"/>
        </w:rPr>
      </w:pPr>
    </w:p>
    <w:p>
      <w:pPr>
        <w:ind w:left="900" w:hanging="46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52" w:lineRule="exact"/>
        <w:rPr>
          <w:rFonts w:ascii="Arial" w:cs="Arial" w:eastAsia="Arial" w:hAnsi="Arial"/>
          <w:sz w:val="18"/>
          <w:szCs w:val="18"/>
          <w:color w:val="auto"/>
        </w:rPr>
      </w:pPr>
    </w:p>
    <w:p>
      <w:pPr>
        <w:ind w:left="900" w:hanging="46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52" w:lineRule="exact"/>
        <w:rPr>
          <w:rFonts w:ascii="Arial" w:cs="Arial" w:eastAsia="Arial" w:hAnsi="Arial"/>
          <w:sz w:val="18"/>
          <w:szCs w:val="18"/>
          <w:color w:val="auto"/>
        </w:rPr>
      </w:pPr>
    </w:p>
    <w:p>
      <w:pPr>
        <w:ind w:left="900" w:hanging="46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52" w:lineRule="exact"/>
        <w:rPr>
          <w:rFonts w:ascii="Arial" w:cs="Arial" w:eastAsia="Arial" w:hAnsi="Arial"/>
          <w:sz w:val="18"/>
          <w:szCs w:val="18"/>
          <w:color w:val="auto"/>
        </w:rPr>
      </w:pPr>
    </w:p>
    <w:p>
      <w:pPr>
        <w:ind w:left="900" w:hanging="46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52" w:lineRule="exact"/>
        <w:rPr>
          <w:rFonts w:ascii="Arial" w:cs="Arial" w:eastAsia="Arial" w:hAnsi="Arial"/>
          <w:sz w:val="18"/>
          <w:szCs w:val="18"/>
          <w:color w:val="auto"/>
        </w:rPr>
      </w:pPr>
    </w:p>
    <w:p>
      <w:pPr>
        <w:ind w:left="900" w:hanging="46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52" w:lineRule="exact"/>
        <w:rPr>
          <w:rFonts w:ascii="Arial" w:cs="Arial" w:eastAsia="Arial" w:hAnsi="Arial"/>
          <w:sz w:val="18"/>
          <w:szCs w:val="18"/>
          <w:color w:val="auto"/>
        </w:rPr>
      </w:pPr>
    </w:p>
    <w:p>
      <w:pPr>
        <w:ind w:left="900" w:hanging="46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52" w:lineRule="exact"/>
        <w:rPr>
          <w:rFonts w:ascii="Arial" w:cs="Arial" w:eastAsia="Arial" w:hAnsi="Arial"/>
          <w:sz w:val="18"/>
          <w:szCs w:val="18"/>
          <w:color w:val="auto"/>
        </w:rPr>
      </w:pPr>
    </w:p>
    <w:p>
      <w:pPr>
        <w:ind w:left="900" w:hanging="46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252" w:lineRule="exact"/>
        <w:rPr>
          <w:rFonts w:ascii="Arial" w:cs="Arial" w:eastAsia="Arial" w:hAnsi="Arial"/>
          <w:sz w:val="18"/>
          <w:szCs w:val="18"/>
          <w:color w:val="auto"/>
        </w:rPr>
      </w:pPr>
    </w:p>
    <w:p>
      <w:pPr>
        <w:ind w:left="900" w:right="20" w:hanging="469"/>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97" w:lineRule="exact"/>
        <w:rPr>
          <w:rFonts w:ascii="Arial" w:cs="Arial" w:eastAsia="Arial" w:hAnsi="Arial"/>
          <w:sz w:val="18"/>
          <w:szCs w:val="18"/>
          <w:color w:val="auto"/>
        </w:rPr>
      </w:pPr>
    </w:p>
    <w:p>
      <w:pPr>
        <w:ind w:left="900" w:hanging="46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52" w:lineRule="exact"/>
        <w:rPr>
          <w:rFonts w:ascii="Arial" w:cs="Arial" w:eastAsia="Arial" w:hAnsi="Arial"/>
          <w:sz w:val="18"/>
          <w:szCs w:val="18"/>
          <w:color w:val="auto"/>
        </w:rPr>
      </w:pPr>
    </w:p>
    <w:p>
      <w:pPr>
        <w:ind w:left="900" w:hanging="46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or proprietary rights of others.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64" w:name="page65"/>
    <w:bookmarkEnd w:id="6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which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our product candidates.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215" w:lineRule="exact"/>
        <w:rPr>
          <w:sz w:val="20"/>
          <w:szCs w:val="20"/>
          <w:color w:val="auto"/>
        </w:rPr>
      </w:pPr>
    </w:p>
    <w:p>
      <w:pPr>
        <w:ind w:left="900" w:hanging="46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52" w:lineRule="exact"/>
        <w:rPr>
          <w:rFonts w:ascii="Arial" w:cs="Arial" w:eastAsia="Arial" w:hAnsi="Arial"/>
          <w:sz w:val="18"/>
          <w:szCs w:val="18"/>
          <w:color w:val="auto"/>
        </w:rPr>
      </w:pPr>
    </w:p>
    <w:p>
      <w:pPr>
        <w:ind w:left="900" w:hanging="46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52" w:lineRule="exact"/>
        <w:rPr>
          <w:rFonts w:ascii="Arial" w:cs="Arial" w:eastAsia="Arial" w:hAnsi="Arial"/>
          <w:sz w:val="18"/>
          <w:szCs w:val="18"/>
          <w:color w:val="auto"/>
        </w:rPr>
      </w:pPr>
    </w:p>
    <w:p>
      <w:pPr>
        <w:ind w:left="900" w:hanging="46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263" w:lineRule="exact"/>
        <w:rPr>
          <w:rFonts w:ascii="Arial" w:cs="Arial" w:eastAsia="Arial" w:hAnsi="Arial"/>
          <w:sz w:val="17"/>
          <w:szCs w:val="17"/>
          <w:color w:val="auto"/>
        </w:rPr>
      </w:pPr>
    </w:p>
    <w:p>
      <w:pPr>
        <w:ind w:left="900" w:hanging="469"/>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66" w:name="page67"/>
    <w:bookmarkEnd w:id="6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“Business—Licenses” in our Annual Report on Form 10-K for our fiscal year ended March 31, 2015, filed with the SEC on June 29, 2015, for a description of our license agreements, which includes a description of the termination provisions of these agreements.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97" w:lineRule="exact"/>
        <w:rPr>
          <w:sz w:val="20"/>
          <w:szCs w:val="20"/>
          <w:color w:val="auto"/>
        </w:rPr>
      </w:pPr>
    </w:p>
    <w:p>
      <w:pPr>
        <w:ind w:left="900" w:hanging="46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52" w:lineRule="exact"/>
        <w:rPr>
          <w:rFonts w:ascii="Arial" w:cs="Arial" w:eastAsia="Arial" w:hAnsi="Arial"/>
          <w:sz w:val="18"/>
          <w:szCs w:val="18"/>
          <w:color w:val="auto"/>
        </w:rPr>
      </w:pPr>
    </w:p>
    <w:p>
      <w:pPr>
        <w:ind w:left="900" w:hanging="469"/>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97" w:lineRule="exact"/>
        <w:rPr>
          <w:rFonts w:ascii="Arial" w:cs="Arial" w:eastAsia="Arial" w:hAnsi="Arial"/>
          <w:sz w:val="18"/>
          <w:szCs w:val="18"/>
          <w:color w:val="auto"/>
        </w:rPr>
      </w:pPr>
    </w:p>
    <w:p>
      <w:pPr>
        <w:ind w:left="900" w:hanging="46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52" w:lineRule="exact"/>
        <w:rPr>
          <w:rFonts w:ascii="Arial" w:cs="Arial" w:eastAsia="Arial" w:hAnsi="Arial"/>
          <w:sz w:val="18"/>
          <w:szCs w:val="18"/>
          <w:color w:val="auto"/>
        </w:rPr>
      </w:pPr>
    </w:p>
    <w:p>
      <w:pPr>
        <w:ind w:left="900" w:hanging="469"/>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97" w:lineRule="exact"/>
        <w:rPr>
          <w:rFonts w:ascii="Arial" w:cs="Arial" w:eastAsia="Arial" w:hAnsi="Arial"/>
          <w:sz w:val="18"/>
          <w:szCs w:val="18"/>
          <w:color w:val="auto"/>
        </w:rPr>
      </w:pPr>
    </w:p>
    <w:p>
      <w:pPr>
        <w:ind w:left="900" w:right="20" w:hanging="469"/>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entered into several licenses to support our various programs. We may enter into additional license(s) to third-party intellectual property that are necessary or useful to our business. Our current licenses and any future licenses that we may enter into impose various royalty payment,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21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However, on March 4, 2014, the U.S. 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 PTO, the laws and regulations governing patents could change in unpredictable ways that would weaken our ability to obtain new patents or to enforce any patents that may issue in the future.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214" w:lineRule="exact"/>
        <w:rPr>
          <w:sz w:val="20"/>
          <w:szCs w:val="20"/>
          <w:color w:val="auto"/>
        </w:rPr>
      </w:pPr>
    </w:p>
    <w:p>
      <w:pPr>
        <w:ind w:left="920" w:hanging="482"/>
        <w:spacing w:after="0" w:line="277"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70" w:lineRule="exact"/>
        <w:rPr>
          <w:rFonts w:ascii="Arial" w:cs="Arial" w:eastAsia="Arial" w:hAnsi="Arial"/>
          <w:sz w:val="18"/>
          <w:szCs w:val="18"/>
          <w:color w:val="auto"/>
        </w:rPr>
      </w:pPr>
    </w:p>
    <w:p>
      <w:pPr>
        <w:ind w:left="920" w:hanging="482"/>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920" w:hanging="482"/>
        <w:spacing w:after="0" w:line="277"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70" w:lineRule="exact"/>
        <w:rPr>
          <w:rFonts w:ascii="Arial" w:cs="Arial" w:eastAsia="Arial" w:hAnsi="Arial"/>
          <w:sz w:val="18"/>
          <w:szCs w:val="18"/>
          <w:color w:val="auto"/>
        </w:rPr>
      </w:pPr>
    </w:p>
    <w:p>
      <w:pPr>
        <w:ind w:left="920" w:hanging="482"/>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70" w:name="page71"/>
    <w:bookmarkEnd w:id="7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NCEs we may produce or develop in connection with any such third-party licenses.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we became a publicly-traded company in May 2011, there has been a limited public market for shares of our common stock on the OTC Markets’ OTCQB Marketplace (“</w:t>
      </w:r>
      <w:r>
        <w:rPr>
          <w:rFonts w:ascii="Arial" w:cs="Arial" w:eastAsia="Arial" w:hAnsi="Arial"/>
          <w:sz w:val="17"/>
          <w:szCs w:val="17"/>
          <w:i w:val="1"/>
          <w:iCs w:val="1"/>
          <w:color w:val="auto"/>
        </w:rPr>
        <w:t>OTCQB</w:t>
      </w:r>
      <w:r>
        <w:rPr>
          <w:rFonts w:ascii="Arial" w:cs="Arial" w:eastAsia="Arial" w:hAnsi="Arial"/>
          <w:sz w:val="17"/>
          <w:szCs w:val="17"/>
          <w:color w:val="auto"/>
        </w:rPr>
        <w:t>”). We do not yet meet the initial listing standards of the New York Stock Exchange, the NASDAQ Capital Market, or other similar national securities exchanges. Until our common stock is listed on a broader exchange, we anticipate that it will remain quoted on the OTCQB. In that venue,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predict the extent to which investor interest in our company will lead to the development of a more active trading market on the OTCQB, whether we will meet the initial listing standards of the New York Stock Exchange, the NASDAQ Capital Market, or other similar national securities exchanges, or how liquid that market might become. If an active trading market does not develop, you may have difficulty selling any of the shares of our common stock that you buy.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170" w:lineRule="exact"/>
        <w:rPr>
          <w:sz w:val="20"/>
          <w:szCs w:val="20"/>
          <w:color w:val="auto"/>
        </w:rPr>
      </w:pPr>
    </w:p>
    <w:p>
      <w:pPr>
        <w:ind w:left="920" w:hanging="48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studies and clinical trials of our product candidates;</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920" w:hanging="48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ectPr>
          <w:pgSz w:w="11900" w:h="16838" w:orient="portrait"/>
          <w:cols w:equalWidth="0" w:num="1">
            <w:col w:w="11420"/>
          </w:cols>
          <w:pgMar w:left="240" w:top="130" w:right="239" w:bottom="7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757" w:gutter="0" w:footer="0" w:header="0"/>
          <w:type w:val="continuous"/>
        </w:sectPr>
      </w:pPr>
    </w:p>
    <w:bookmarkStart w:id="71" w:name="page72"/>
    <w:bookmarkEnd w:id="7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these sales or issuances might occur could significantly reduce the market price of our common stock and impair our ability to raise adequate capital through the sale of additional equity securities.</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stock market in general, and biotechnology-based companies like ours in particular, has frequently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Quarterly Report on Form 10-Q, there has been a highly limited public market for shares of our common stock on the OTCQB. Future sales and issuances of a substantial number of shares of our common stock in the public market, including shares issued upon the exchange of our Series A Preferred and Series B Preferred, and the exercise of outstanding options and warrants for common stock which are issuable upon exercise of warrants, in the public market, or the perception that these sales and issuances might occur, could significantly reduce the market price for our common stock and impair our ability to raise adequate capital through the sale of equity securities.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Certain of our current institutional stockholders and their respective affiliates own a substantial portion of our outstanding capital stock, including our common stock, Series A Preferred Stock and Series B 10% Convertible Preferred Stock, which preferred stock is convertible into a substantial number of shares of common stock, as well as warrants for our common stock. Accordingly, these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Following approval by our stockholders in October 2011, our Articles of Incorporation permit us to issue up to 10.0 million shares of preferred stock. Our Board of Directors has authorized the issuance of both 500,000 shares of Series A Preferred, all of which shares are currently issued and outstanding, and 4.0 million shares of Series B 10% Convertible Preferred stock, of which approximately 3.4 million shares are issued and outstanding as of September 30, 2015.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72" w:name="page73"/>
    <w:bookmarkEnd w:id="7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Units in Series B Preferred Unit Private Placement</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Between August 13, 2015 and November 13, 2015, we entered into self-placed private placement transactions involving securities purchase agreements with accredited investors, pursuant to which we sold Series B Preferred Units consisting of an aggregate of (i) 117,145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and (ii) five-year warrants to purchase an aggregate of 117,145 shares of our Common Stock at a fixed exercise price of $7.00 per share, subject to adjustment only for customary stock dividends, reclassifications, splits and similar transactions (</w:t>
      </w:r>
      <w:r>
        <w:rPr>
          <w:rFonts w:ascii="Arial" w:cs="Arial" w:eastAsia="Arial" w:hAnsi="Arial"/>
          <w:sz w:val="16"/>
          <w:szCs w:val="16"/>
          <w:i w:val="1"/>
          <w:iCs w:val="1"/>
          <w:color w:val="auto"/>
        </w:rPr>
        <w:t>Series B</w:t>
      </w:r>
      <w:r>
        <w:rPr>
          <w:rFonts w:ascii="Arial" w:cs="Arial" w:eastAsia="Arial" w:hAnsi="Arial"/>
          <w:sz w:val="16"/>
          <w:szCs w:val="16"/>
          <w:color w:val="auto"/>
        </w:rPr>
        <w:t xml:space="preserve"> </w:t>
      </w:r>
      <w:r>
        <w:rPr>
          <w:rFonts w:ascii="Arial" w:cs="Arial" w:eastAsia="Arial" w:hAnsi="Arial"/>
          <w:sz w:val="16"/>
          <w:szCs w:val="16"/>
          <w:i w:val="1"/>
          <w:iCs w:val="1"/>
          <w:color w:val="auto"/>
        </w:rPr>
        <w:t>Warrants</w:t>
      </w:r>
      <w:r>
        <w:rPr>
          <w:rFonts w:ascii="Arial" w:cs="Arial" w:eastAsia="Arial" w:hAnsi="Arial"/>
          <w:sz w:val="16"/>
          <w:szCs w:val="16"/>
          <w:color w:val="auto"/>
        </w:rPr>
        <w:t>). We received cash proceeds of $820,000, which we expect to use for general corporate purposes. The figures reported above include 92,859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Series B Preferred and Series B Warrants to purchase 92,859 shares of our Common Stock sold to Platinum for cash proceeds of $650,000 in accordance with the terms of the August 3, 2015 Agreement with Platinum. The Series B Preferred Units were offered and sold in a self-placed private placement transaction exempt from registration under the Securities Act, in reliance on Section 4(2) thereof and Rule 506 of Regulation D thereunder.</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our Common Stock at a fixed conversion price of $7.00 per share, subject to adjustment only for customary stock dividends, reclassifications, splits and similar transactions (</w:t>
      </w:r>
      <w:r>
        <w:rPr>
          <w:rFonts w:ascii="Arial" w:cs="Arial" w:eastAsia="Arial" w:hAnsi="Arial"/>
          <w:sz w:val="16"/>
          <w:szCs w:val="16"/>
          <w:i w:val="1"/>
          <w:iCs w:val="1"/>
          <w:color w:val="auto"/>
        </w:rPr>
        <w:t>Fixed</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 Price</w:t>
      </w:r>
      <w:r>
        <w:rPr>
          <w:rFonts w:ascii="Arial" w:cs="Arial" w:eastAsia="Arial" w:hAnsi="Arial"/>
          <w:sz w:val="16"/>
          <w:szCs w:val="16"/>
          <w:color w:val="auto"/>
        </w:rPr>
        <w:t>). All shares of Series B Preferred are also convertible automatically into Common Stock (</w:t>
      </w:r>
      <w:r>
        <w:rPr>
          <w:rFonts w:ascii="Arial" w:cs="Arial" w:eastAsia="Arial" w:hAnsi="Arial"/>
          <w:sz w:val="16"/>
          <w:szCs w:val="16"/>
          <w:i w:val="1"/>
          <w:iCs w:val="1"/>
          <w:color w:val="auto"/>
        </w:rPr>
        <w:t>Automatic Conversion</w:t>
      </w:r>
      <w:r>
        <w:rPr>
          <w:rFonts w:ascii="Arial" w:cs="Arial" w:eastAsia="Arial" w:hAnsi="Arial"/>
          <w:sz w:val="16"/>
          <w:szCs w:val="16"/>
          <w:color w:val="auto"/>
        </w:rPr>
        <w:t>) upon the closing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date of any of the following transactions or events: (i) a strategic transaction involving AV-101, our clinical-stage, orally-available new drug candidate for Major Depressive Disorder and other diseases and disorders of the central nervous system, with an initial up-front cash payment to us of at least $10.0 million; (ii) a registered public offering of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6"/>
          <w:szCs w:val="16"/>
          <w:i w:val="1"/>
          <w:iCs w:val="1"/>
          <w:color w:val="auto"/>
        </w:rPr>
        <w:t>Conversion</w:t>
      </w:r>
      <w:r>
        <w:rPr>
          <w:rFonts w:ascii="Arial" w:cs="Arial" w:eastAsia="Arial" w:hAnsi="Arial"/>
          <w:sz w:val="16"/>
          <w:szCs w:val="16"/>
          <w:color w:val="auto"/>
        </w:rPr>
        <w:t xml:space="preserve">) are subject to customary beneficial ownership blockers. Prior to Conversion, shares of Series B Preferred will accrue dividends, payable only in unregistered shares of Common Stock, at a rate of 10% per annum (the </w:t>
      </w:r>
      <w:r>
        <w:rPr>
          <w:rFonts w:ascii="Arial" w:cs="Arial" w:eastAsia="Arial" w:hAnsi="Arial"/>
          <w:sz w:val="16"/>
          <w:szCs w:val="16"/>
          <w:i w:val="1"/>
          <w:iCs w:val="1"/>
          <w:color w:val="auto"/>
        </w:rPr>
        <w:t>Accrued Dividend</w:t>
      </w:r>
      <w:r>
        <w:rPr>
          <w:rFonts w:ascii="Arial" w:cs="Arial" w:eastAsia="Arial" w:hAnsi="Arial"/>
          <w:sz w:val="16"/>
          <w:szCs w:val="16"/>
          <w:color w:val="auto"/>
        </w:rPr>
        <w:t>). The Accrued Dividend will be payable only on the date of Conversion solely in that number of shares of Common Stock equal to the Accrued Dividend.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of Warrants to Directors, Officers and Others</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September 2, 2015, we granted warrants to purchase an aggregate of 650,000 shares of our unregistered common stock at an exercise price of $9.25 per share to our officers, the independent members of our Board of Directors and certain consultants who are accredited investors. We will receive all proceeds from the exercise of these warrants; however, there can be no assurance that we will receive any proceeds therefrom. The warrants were issued in a private placement transaction exempt from registration under the Securities Act, in reliance on Section 4(2) thereof and Rule 506 of Regulation D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4"/>
        </w:trPr>
        <w:tc>
          <w:tcPr>
            <w:tcW w:w="1540" w:type="dxa"/>
            <w:vAlign w:val="bottom"/>
            <w:gridSpan w:val="3"/>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100" w:type="dxa"/>
            <w:vAlign w:val="bottom"/>
          </w:tcPr>
          <w:p>
            <w:pPr>
              <w:spacing w:after="0"/>
              <w:rPr>
                <w:sz w:val="16"/>
                <w:szCs w:val="16"/>
                <w:color w:val="auto"/>
              </w:rPr>
            </w:pPr>
          </w:p>
        </w:tc>
        <w:tc>
          <w:tcPr>
            <w:tcW w:w="9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10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9780" w:type="dxa"/>
            <w:vAlign w:val="bottom"/>
          </w:tcPr>
          <w:p>
            <w:pPr>
              <w:ind w:left="44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3.1</w:t>
            </w: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7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Certificate of Amendment to the Articles of Incorporation of VistaGen Therapeutics, Inc., dated August 24, 2015, incorporated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reference from Exhibit 3.1 to the Current Report on Form 8-K, filed August 25,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Certification of the Principal Executive Officer required by Rule 13a-14(a) under the Securities Exchange Act of 1934, as amended,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Certification of the Principal Financial Officer required by Rule 13a-14(a) under the Securities Exchange Act of 1934, as amended,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Certification of the Principal Executive and Financial Officers required by Rule 13a-14(b) and Section 1350 of Chapter 63 of Title 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of the United States Code, as adopted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0" w:type="dxa"/>
            <w:vAlign w:val="bottom"/>
            <w:shd w:val="clear" w:color="auto" w:fill="CCEEFF"/>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0" w:type="dxa"/>
            <w:vAlign w:val="bottom"/>
            <w:shd w:val="clear" w:color="auto" w:fill="CCEEFF"/>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0" w:type="dxa"/>
            <w:vAlign w:val="bottom"/>
            <w:shd w:val="clear" w:color="auto" w:fill="CCEEFF"/>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16, 2015</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52"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52" w:lineRule="exact"/>
        <w:rPr>
          <w:rFonts w:ascii="Arial" w:cs="Arial" w:eastAsia="Arial" w:hAnsi="Arial"/>
          <w:sz w:val="18"/>
          <w:szCs w:val="18"/>
          <w:color w:val="auto"/>
        </w:rPr>
      </w:pPr>
    </w:p>
    <w:p>
      <w:pPr>
        <w:ind w:firstLine="8"/>
        <w:spacing w:after="0" w:line="342" w:lineRule="auto"/>
        <w:tabs>
          <w:tab w:leader="none" w:pos="70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right="20" w:firstLine="440"/>
        <w:spacing w:after="0" w:line="264" w:lineRule="auto"/>
        <w:tabs>
          <w:tab w:leader="none" w:pos="1112"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440"/>
        <w:spacing w:after="0" w:line="264" w:lineRule="auto"/>
        <w:tabs>
          <w:tab w:leader="none" w:pos="126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440"/>
        <w:spacing w:after="0" w:line="308" w:lineRule="auto"/>
        <w:tabs>
          <w:tab w:leader="none" w:pos="1308"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firstLine="440"/>
        <w:spacing w:after="0" w:line="264" w:lineRule="auto"/>
        <w:tabs>
          <w:tab w:leader="none" w:pos="111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627"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firstLine="440"/>
        <w:spacing w:after="0" w:line="277" w:lineRule="auto"/>
        <w:tabs>
          <w:tab w:leader="none" w:pos="107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firstLine="440"/>
        <w:spacing w:after="0" w:line="277" w:lineRule="auto"/>
        <w:tabs>
          <w:tab w:leader="none" w:pos="125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20"/>
                <w:szCs w:val="20"/>
                <w:color w:val="auto"/>
              </w:rPr>
            </w:pPr>
            <w:r>
              <w:rPr>
                <w:rFonts w:ascii="Arial" w:cs="Arial" w:eastAsia="Arial" w:hAnsi="Arial"/>
                <w:sz w:val="18"/>
                <w:szCs w:val="18"/>
                <w:color w:val="auto"/>
              </w:rPr>
              <w:t>November 16, 2015</w:t>
            </w:r>
          </w:p>
        </w:tc>
        <w:tc>
          <w:tcPr>
            <w:tcW w:w="2780" w:type="dxa"/>
            <w:vAlign w:val="bottom"/>
          </w:tcPr>
          <w:p>
            <w:pPr>
              <w:spacing w:after="0"/>
              <w:rPr>
                <w:sz w:val="18"/>
                <w:szCs w:val="18"/>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Shawn K. Singh</w:t>
            </w:r>
          </w:p>
        </w:tc>
        <w:tc>
          <w:tcPr>
            <w:tcW w:w="0" w:type="dxa"/>
            <w:vAlign w:val="bottom"/>
          </w:tcPr>
          <w:p>
            <w:pPr>
              <w:spacing w:after="0"/>
              <w:rPr>
                <w:sz w:val="1"/>
                <w:szCs w:val="1"/>
                <w:color w:val="auto"/>
              </w:rPr>
            </w:pPr>
          </w:p>
        </w:tc>
      </w:tr>
      <w:tr>
        <w:trPr>
          <w:trHeight w:val="237"/>
        </w:trPr>
        <w:tc>
          <w:tcPr>
            <w:tcW w:w="3920" w:type="dxa"/>
            <w:vAlign w:val="bottom"/>
          </w:tcPr>
          <w:p>
            <w:pPr>
              <w:ind w:left="280"/>
              <w:spacing w:after="0"/>
              <w:rPr>
                <w:sz w:val="20"/>
                <w:szCs w:val="20"/>
                <w:color w:val="auto"/>
              </w:rPr>
            </w:pPr>
            <w:r>
              <w:rPr>
                <w:rFonts w:ascii="Arial" w:cs="Arial" w:eastAsia="Arial" w:hAnsi="Arial"/>
                <w:sz w:val="18"/>
                <w:szCs w:val="18"/>
                <w:color w:val="auto"/>
              </w:rPr>
              <w:t>Shawn K. Singh, JD</w:t>
            </w:r>
          </w:p>
        </w:tc>
        <w:tc>
          <w:tcPr>
            <w:tcW w:w="4180" w:type="dxa"/>
            <w:vAlign w:val="bottom"/>
            <w:gridSpan w:val="2"/>
            <w:vMerge w:val="restart"/>
          </w:tcPr>
          <w:p>
            <w:pPr>
              <w:ind w:left="218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52"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52" w:lineRule="exact"/>
        <w:rPr>
          <w:rFonts w:ascii="Arial" w:cs="Arial" w:eastAsia="Arial" w:hAnsi="Arial"/>
          <w:sz w:val="18"/>
          <w:szCs w:val="18"/>
          <w:color w:val="auto"/>
        </w:rPr>
      </w:pPr>
    </w:p>
    <w:p>
      <w:pPr>
        <w:ind w:firstLine="8"/>
        <w:spacing w:after="0" w:line="342" w:lineRule="auto"/>
        <w:tabs>
          <w:tab w:leader="none" w:pos="706"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right="20" w:firstLine="440"/>
        <w:spacing w:after="0" w:line="264" w:lineRule="auto"/>
        <w:tabs>
          <w:tab w:leader="none" w:pos="1112"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440"/>
        <w:spacing w:after="0" w:line="264" w:lineRule="auto"/>
        <w:tabs>
          <w:tab w:leader="none" w:pos="126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440"/>
        <w:spacing w:after="0" w:line="308" w:lineRule="auto"/>
        <w:tabs>
          <w:tab w:leader="none" w:pos="1308"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firstLine="440"/>
        <w:spacing w:after="0" w:line="264" w:lineRule="auto"/>
        <w:tabs>
          <w:tab w:leader="none" w:pos="111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627"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firstLine="440"/>
        <w:spacing w:after="0" w:line="277" w:lineRule="auto"/>
        <w:tabs>
          <w:tab w:leader="none" w:pos="107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firstLine="440"/>
        <w:spacing w:after="0" w:line="277" w:lineRule="auto"/>
        <w:tabs>
          <w:tab w:leader="none" w:pos="125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20"/>
                <w:szCs w:val="20"/>
                <w:color w:val="auto"/>
              </w:rPr>
            </w:pPr>
            <w:r>
              <w:rPr>
                <w:rFonts w:ascii="Arial" w:cs="Arial" w:eastAsia="Arial" w:hAnsi="Arial"/>
                <w:sz w:val="18"/>
                <w:szCs w:val="18"/>
                <w:color w:val="auto"/>
              </w:rPr>
              <w:t>November 16, 2015</w:t>
            </w: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Jerrold D. Dotson</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1260"/>
              <w:spacing w:after="0"/>
              <w:rPr>
                <w:sz w:val="20"/>
                <w:szCs w:val="20"/>
                <w:color w:val="auto"/>
              </w:rPr>
            </w:pPr>
            <w:r>
              <w:rPr>
                <w:rFonts w:ascii="Arial" w:cs="Arial" w:eastAsia="Arial" w:hAnsi="Arial"/>
                <w:sz w:val="18"/>
                <w:szCs w:val="18"/>
                <w:color w:val="auto"/>
              </w:rPr>
              <w:t>Jerrold D. Dotson</w:t>
            </w:r>
          </w:p>
        </w:tc>
        <w:tc>
          <w:tcPr>
            <w:tcW w:w="1980" w:type="dxa"/>
            <w:vAlign w:val="bottom"/>
            <w:gridSpan w:val="2"/>
            <w:vMerge w:val="restart"/>
          </w:tcPr>
          <w:p>
            <w:pPr>
              <w:ind w:left="40"/>
              <w:spacing w:after="0"/>
              <w:rPr>
                <w:sz w:val="20"/>
                <w:szCs w:val="20"/>
                <w:color w:val="auto"/>
              </w:rPr>
            </w:pPr>
            <w:r>
              <w:rPr>
                <w:rFonts w:ascii="Arial" w:cs="Arial" w:eastAsia="Arial" w:hAnsi="Arial"/>
                <w:sz w:val="18"/>
                <w:szCs w:val="18"/>
                <w:color w:val="auto"/>
                <w:w w:val="94"/>
              </w:rPr>
              <w:t>Principal Financial Officer</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September 30, 2015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214" w:lineRule="exact"/>
        <w:rPr>
          <w:sz w:val="20"/>
          <w:szCs w:val="20"/>
          <w:color w:val="auto"/>
        </w:rPr>
      </w:pPr>
    </w:p>
    <w:p>
      <w:pPr>
        <w:ind w:left="660" w:hanging="229"/>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52" w:lineRule="exact"/>
        <w:rPr>
          <w:rFonts w:ascii="Arial" w:cs="Arial" w:eastAsia="Arial" w:hAnsi="Arial"/>
          <w:sz w:val="18"/>
          <w:szCs w:val="18"/>
          <w:color w:val="auto"/>
        </w:rPr>
      </w:pPr>
    </w:p>
    <w:p>
      <w:pPr>
        <w:ind w:left="660" w:hanging="229"/>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lowerRoman"/>
      <w:start w:val="2"/>
    </w:lvl>
  </w:abstractNum>
  <w:abstractNum w:abstractNumId="7">
    <w:nsid w:val="7C83E45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lvl w:ilvl="1">
      <w:lvlJc w:val="left"/>
      <w:lvlText w:val="·"/>
      <w:numFmt w:val="bullet"/>
      <w:start w:val="1"/>
    </w:lvl>
  </w:abstractNum>
  <w:abstractNum w:abstractNumId="13">
    <w:nsid w:val="721DA317"/>
    <w:multiLevelType w:val="hybridMultilevel"/>
    <w:lvl w:ilvl="0">
      <w:lvlJc w:val="left"/>
      <w:lvlText w:val="·"/>
      <w:numFmt w:val="bullet"/>
      <w:start w:val="1"/>
    </w:lvl>
    <w:lvl w:ilvl="1">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lvl w:ilvl="1">
      <w:lvlJc w:val="left"/>
      <w:lvlText w:val="·"/>
      <w:numFmt w:val="bullet"/>
      <w:start w:val="1"/>
    </w:lvl>
  </w:abstractNum>
  <w:abstractNum w:abstractNumId="18">
    <w:nsid w:val="8EDBDAB"/>
    <w:multiLevelType w:val="hybridMultilevel"/>
    <w:lvl w:ilvl="0">
      <w:lvlJc w:val="left"/>
      <w:lvlText w:val="·"/>
      <w:numFmt w:val="bullet"/>
      <w:start w:val="1"/>
    </w:lvl>
    <w:lvl w:ilvl="1">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lvl w:ilvl="1">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2020-01-25T05:50:13Z</dcterms:created>
  <dcterms:modified xsi:type="dcterms:W3CDTF">2020-01-25T05:50:13Z</dcterms:modified>
</cp:coreProperties>
</file>