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183515</wp:posOffset>
            </wp:positionH>
            <wp:positionV relativeFrom="page">
              <wp:posOffset>311785</wp:posOffset>
            </wp:positionV>
            <wp:extent cx="277876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78760" cy="1320800"/>
                    </a:xfrm>
                    <a:prstGeom prst="rect">
                      <a:avLst/>
                    </a:prstGeom>
                    <a:noFill/>
                  </pic:spPr>
                </pic:pic>
              </a:graphicData>
            </a:graphic>
          </wp:anchor>
        </w:drawing>
        <w:t>VistaGen Therapeutics, Inc.</w:t>
      </w:r>
    </w:p>
    <w:p>
      <w:pPr>
        <w:spacing w:after="0" w:line="27"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343 Allerton Avenue</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650.577.3600 fax: 650.244.9991</w:t>
      </w:r>
    </w:p>
    <w:p>
      <w:pPr>
        <w:spacing w:after="0" w:line="9"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www.vistagen.com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July 28,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333-195901)</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hereby requests acceleration of the effectiveness of the Registration Statement on Form S-1 (File No. 333-195901)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to 10:00 AM, Washington D.C. time, on July 29, 2014, or as soon as is practicable thereafter. The undersigned confirms that it is aware of its responsibilities under the Securities Act of 1933, as amended, and the Securities Exchange Act of 1934, as amended, as they relate to the proposed public offering of the securities registered pursuant to the aforementioned Registration Statement.</w:t>
      </w:r>
    </w:p>
    <w:p>
      <w:pPr>
        <w:spacing w:after="0" w:line="19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acknowledges that the adequacy and accuracy of the disclosure in the Registration Statement is the responsibility of the Company. The Company further acknowledges that:</w:t>
      </w:r>
    </w:p>
    <w:p>
      <w:pPr>
        <w:sectPr>
          <w:pgSz w:w="11900" w:h="16838" w:orient="portrait"/>
          <w:cols w:equalWidth="0" w:num="1">
            <w:col w:w="11420"/>
          </w:cols>
          <w:pgMar w:left="240" w:top="999" w:right="23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70" w:lineRule="exact"/>
        <w:rPr>
          <w:sz w:val="24"/>
          <w:szCs w:val="24"/>
          <w:color w:val="auto"/>
        </w:rPr>
      </w:pPr>
    </w:p>
    <w:p>
      <w:pPr>
        <w:sectPr>
          <w:pgSz w:w="11900" w:h="16838" w:orient="portrait"/>
          <w:cols w:equalWidth="0" w:num="2">
            <w:col w:w="740" w:space="720"/>
            <w:col w:w="9960"/>
          </w:cols>
          <w:pgMar w:left="240" w:top="99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342" w:lineRule="auto"/>
        <w:rPr>
          <w:sz w:val="20"/>
          <w:szCs w:val="20"/>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24" w:lineRule="exact"/>
        <w:rPr>
          <w:sz w:val="24"/>
          <w:szCs w:val="24"/>
          <w:color w:val="auto"/>
        </w:rPr>
      </w:pPr>
    </w:p>
    <w:p>
      <w:pPr>
        <w:sectPr>
          <w:pgSz w:w="11900" w:h="16838" w:orient="portrait"/>
          <w:cols w:equalWidth="0" w:num="2">
            <w:col w:w="740" w:space="720"/>
            <w:col w:w="9960"/>
          </w:cols>
          <w:pgMar w:left="240" w:top="99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277" w:lineRule="auto"/>
        <w:rPr>
          <w:sz w:val="20"/>
          <w:szCs w:val="20"/>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97" w:lineRule="exact"/>
        <w:rPr>
          <w:sz w:val="24"/>
          <w:szCs w:val="24"/>
          <w:color w:val="auto"/>
        </w:rPr>
      </w:pPr>
    </w:p>
    <w:p>
      <w:pPr>
        <w:sectPr>
          <w:pgSz w:w="11900" w:h="16838" w:orient="portrait"/>
          <w:cols w:equalWidth="0" w:num="2">
            <w:col w:w="740" w:space="720"/>
            <w:col w:w="9960"/>
          </w:cols>
          <w:pgMar w:left="240" w:top="999"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Daniel W. Rumsey, via telephone at (619) 795-1134, to confirm the exact time at which the Registration Statement was declared effective.</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right="9340" w:firstLine="8"/>
        <w:spacing w:after="0" w:line="286" w:lineRule="auto"/>
        <w:tabs>
          <w:tab w:leader="none" w:pos="705" w:val="left"/>
        </w:tabs>
        <w:numPr>
          <w:ilvl w:val="0"/>
          <w:numId w:val="1"/>
        </w:numPr>
        <w:rPr>
          <w:rFonts w:ascii="Arial" w:cs="Arial" w:eastAsia="Arial" w:hAnsi="Arial"/>
          <w:sz w:val="17"/>
          <w:szCs w:val="17"/>
          <w:color w:val="auto"/>
        </w:rPr>
      </w:pPr>
      <w:r>
        <w:rPr>
          <w:rFonts w:ascii="Arial" w:cs="Arial" w:eastAsia="Arial" w:hAnsi="Arial"/>
          <w:sz w:val="17"/>
          <w:szCs w:val="17"/>
          <w:color w:val="auto"/>
        </w:rPr>
        <w:t>Daniel W. Rumsey Managing Partner Disclosure Law Group</w:t>
      </w:r>
    </w:p>
    <w:sectPr>
      <w:pgSz w:w="11900" w:h="16838" w:orient="portrait"/>
      <w:cols w:equalWidth="0" w:num="1">
        <w:col w:w="11420"/>
      </w:cols>
      <w:pgMar w:left="240" w:top="99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2020-01-28T02:39:05Z</dcterms:created>
  <dcterms:modified xsi:type="dcterms:W3CDTF">2020-01-28T02:39:05Z</dcterms:modified>
</cp:coreProperties>
</file>