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3)*</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VistaGen Therapeutics,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63" w:lineRule="exact"/>
        <w:rPr>
          <w:sz w:val="24"/>
          <w:szCs w:val="24"/>
          <w:color w:val="auto"/>
        </w:rPr>
      </w:pPr>
    </w:p>
    <w:p>
      <w:pPr>
        <w:ind w:left="4500"/>
        <w:spacing w:after="0"/>
        <w:rPr>
          <w:sz w:val="20"/>
          <w:szCs w:val="20"/>
          <w:color w:val="auto"/>
        </w:rPr>
      </w:pPr>
      <w:r>
        <w:rPr>
          <w:rFonts w:ascii="Arial" w:cs="Arial" w:eastAsia="Arial" w:hAnsi="Arial"/>
          <w:sz w:val="18"/>
          <w:szCs w:val="18"/>
          <w:u w:val="single" w:color="auto"/>
          <w:color w:val="auto"/>
        </w:rPr>
        <w:t>Common Stock, $0.001 par value</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(Title of Class of Securities)</w:t>
      </w:r>
    </w:p>
    <w:p>
      <w:pPr>
        <w:spacing w:after="0" w:line="265" w:lineRule="exact"/>
        <w:rPr>
          <w:sz w:val="24"/>
          <w:szCs w:val="24"/>
          <w:color w:val="auto"/>
        </w:rPr>
      </w:pPr>
    </w:p>
    <w:p>
      <w:pPr>
        <w:ind w:left="5280"/>
        <w:spacing w:after="0"/>
        <w:rPr>
          <w:sz w:val="20"/>
          <w:szCs w:val="20"/>
          <w:color w:val="auto"/>
        </w:rPr>
      </w:pPr>
      <w:r>
        <w:rPr>
          <w:rFonts w:ascii="Arial" w:cs="Arial" w:eastAsia="Arial" w:hAnsi="Arial"/>
          <w:sz w:val="18"/>
          <w:szCs w:val="18"/>
          <w:u w:val="single" w:color="auto"/>
          <w:color w:val="auto"/>
        </w:rPr>
        <w:t>92840H202</w:t>
      </w:r>
    </w:p>
    <w:p>
      <w:pPr>
        <w:spacing w:after="0" w:line="2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(CUSIP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720" w:hanging="20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720" w:hanging="20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720" w:hanging="202"/>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w:t>
      </w:r>
      <w:r>
        <w:rPr>
          <w:rFonts w:ascii="Arial" w:cs="Arial" w:eastAsia="Arial" w:hAnsi="Arial"/>
          <w:sz w:val="16"/>
          <w:szCs w:val="16"/>
          <w:i w:val="1"/>
          <w:iCs w:val="1"/>
          <w:color w:val="auto"/>
        </w:rPr>
        <w:t>Securities Exchange Act</w:t>
      </w:r>
      <w:r>
        <w:rPr>
          <w:rFonts w:ascii="Arial" w:cs="Arial" w:eastAsia="Arial" w:hAnsi="Arial"/>
          <w:sz w:val="16"/>
          <w:szCs w:val="16"/>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900" w:type="dxa"/>
            <w:vAlign w:val="bottom"/>
            <w:tcBorders>
              <w:top w:val="single" w:sz="8" w:color="auto"/>
              <w:left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CUSIP No. 92840H202</w:t>
            </w: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2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Moshe Arkin</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2,788,867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8.98%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Includes warrants to purchase 1,314,949 shares of Common Stock. The beneficial ownership of the securities reported herein is described in Item 4(a).</w:t>
      </w:r>
    </w:p>
    <w:p>
      <w:pPr>
        <w:spacing w:after="0" w:line="248" w:lineRule="exact"/>
        <w:rPr>
          <w:sz w:val="20"/>
          <w:szCs w:val="20"/>
          <w:color w:val="auto"/>
        </w:rPr>
      </w:pPr>
    </w:p>
    <w:p>
      <w:pPr>
        <w:ind w:right="20" w:firstLine="8"/>
        <w:spacing w:after="0" w:line="277" w:lineRule="auto"/>
        <w:tabs>
          <w:tab w:leader="none" w:pos="36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31,057,215 shares of Common Stock issued and outstanding as of October 26, 2018 (as provided in the Issuer's Form 10-Q for the period ended September 30, 2018 filed with the SEC on October 29,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3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1"/>
              </w:rPr>
              <w:t>Sphera Funds Management Ltd.</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2,788,867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8.98%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Includes warrants to purchase 1,314,949 shares of Common Stock. The beneficial ownership of the securities reported herein is described in Item 4(a).</w:t>
      </w:r>
    </w:p>
    <w:p>
      <w:pPr>
        <w:spacing w:after="0" w:line="302" w:lineRule="exact"/>
        <w:rPr>
          <w:sz w:val="20"/>
          <w:szCs w:val="20"/>
          <w:color w:val="auto"/>
        </w:rPr>
      </w:pPr>
    </w:p>
    <w:p>
      <w:pPr>
        <w:ind w:right="20" w:firstLine="8"/>
        <w:spacing w:after="0" w:line="277" w:lineRule="auto"/>
        <w:tabs>
          <w:tab w:leader="none" w:pos="36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31,057,215 shares of Common Stock issued and outstanding as of October 26, 2018 (as provided in the Issuer's Form 10-Q for the period ended September 30, 2018 filed with the SEC on October 29, 2018).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4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GP Ltd.</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60" w:type="dxa"/>
            <w:vAlign w:val="bottom"/>
            <w:tcBorders>
              <w:left w:val="single" w:sz="8" w:color="auto"/>
            </w:tcBorders>
            <w:gridSpan w:val="3"/>
            <w:vMerge w:val="continue"/>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right"/>
              <w:ind w:right="750"/>
              <w:spacing w:after="0" w:line="189" w:lineRule="exact"/>
              <w:rPr>
                <w:sz w:val="20"/>
                <w:szCs w:val="20"/>
                <w:color w:val="auto"/>
              </w:rPr>
            </w:pPr>
            <w:r>
              <w:rPr>
                <w:rFonts w:ascii="Arial" w:cs="Arial" w:eastAsia="Arial" w:hAnsi="Arial"/>
                <w:sz w:val="18"/>
                <w:szCs w:val="18"/>
                <w:b w:val="1"/>
                <w:bCs w:val="1"/>
                <w:color w:val="auto"/>
              </w:rPr>
              <w:t>6</w:t>
            </w:r>
          </w:p>
        </w:tc>
        <w:tc>
          <w:tcPr>
            <w:tcW w:w="50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tcBorders>
          </w:tcPr>
          <w:p>
            <w:pPr>
              <w:spacing w:after="0"/>
              <w:rPr>
                <w:sz w:val="17"/>
                <w:szCs w:val="17"/>
                <w:color w:val="auto"/>
              </w:rPr>
            </w:pPr>
          </w:p>
        </w:tc>
        <w:tc>
          <w:tcPr>
            <w:tcW w:w="1160" w:type="dxa"/>
            <w:vAlign w:val="bottom"/>
            <w:gridSpan w:val="2"/>
          </w:tcPr>
          <w:p>
            <w:pPr>
              <w:jc w:val="center"/>
              <w:ind w:right="350"/>
              <w:spacing w:after="0" w:line="201" w:lineRule="exact"/>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auto"/>
            </w:tcBorders>
            <w:gridSpan w:val="3"/>
            <w:vMerge w:val="restart"/>
          </w:tcPr>
          <w:p>
            <w:pPr>
              <w:jc w:val="center"/>
              <w:ind w:left="370"/>
              <w:spacing w:after="0" w:line="201" w:lineRule="exact"/>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60" w:type="dxa"/>
            <w:vAlign w:val="bottom"/>
            <w:tcBorders>
              <w:left w:val="single" w:sz="8" w:color="auto"/>
            </w:tcBorders>
            <w:gridSpan w:val="3"/>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900" w:type="dxa"/>
            <w:vAlign w:val="bottom"/>
            <w:tcBorders>
              <w:left w:val="single" w:sz="8" w:color="auto"/>
            </w:tcBorders>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gridSpan w:val="3"/>
            <w:vMerge w:val="restart"/>
          </w:tcPr>
          <w:p>
            <w:pPr>
              <w:jc w:val="center"/>
              <w:ind w:left="370"/>
              <w:spacing w:after="0" w:line="157"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6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0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2,788,867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8.98%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Includes warrants to purchase 1,314,949 shares of Common Stock. The beneficial ownership of the securities reported herein is described in Item 4(a).</w:t>
      </w:r>
    </w:p>
    <w:p>
      <w:pPr>
        <w:spacing w:after="0" w:line="302" w:lineRule="exact"/>
        <w:rPr>
          <w:sz w:val="20"/>
          <w:szCs w:val="20"/>
          <w:color w:val="auto"/>
        </w:rPr>
      </w:pPr>
    </w:p>
    <w:p>
      <w:pPr>
        <w:ind w:firstLine="8"/>
        <w:spacing w:after="0" w:line="277" w:lineRule="auto"/>
        <w:tabs>
          <w:tab w:leader="none" w:pos="35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31,057,215 shares of Common Stock issued and outstanding as of October 26, , 2018 (as provided in the Issuer's Form 10-Q for the period ended September 30, 2018 filed with the SEC on October 29, 2018).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5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Management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2,788,867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2,788,867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8.98% (see Item 4) (*) (**)</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Includes warrants to purchase 1,314,949 shares of Common Stock. The beneficial ownership of the securities reported herein is described in Item 4(a).</w:t>
      </w:r>
    </w:p>
    <w:p>
      <w:pPr>
        <w:spacing w:after="0" w:line="248" w:lineRule="exact"/>
        <w:rPr>
          <w:sz w:val="20"/>
          <w:szCs w:val="20"/>
          <w:color w:val="auto"/>
        </w:rPr>
      </w:pPr>
    </w:p>
    <w:p>
      <w:pPr>
        <w:ind w:right="20" w:firstLine="8"/>
        <w:spacing w:after="0" w:line="277" w:lineRule="auto"/>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31,057,215 shares of Common Stock issued and outstanding as of October 26, 2018 (as provided in the Issuer's Form 10-Q for the period ended September 30, 2018 filed with the SEC on October 29, 2018).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7"/>
                <w:szCs w:val="17"/>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Name of Issuer:</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gridSpan w:val="5"/>
          </w:tcPr>
          <w:p>
            <w:pPr>
              <w:ind w:left="160"/>
              <w:spacing w:after="0"/>
              <w:rPr>
                <w:sz w:val="20"/>
                <w:szCs w:val="20"/>
                <w:color w:val="auto"/>
              </w:rPr>
            </w:pPr>
            <w:r>
              <w:rPr>
                <w:rFonts w:ascii="Arial" w:cs="Arial" w:eastAsia="Arial" w:hAnsi="Arial"/>
                <w:sz w:val="18"/>
                <w:szCs w:val="18"/>
                <w:color w:val="auto"/>
              </w:rPr>
              <w:t>VistaGen Therapeutics, Inc.</w:t>
            </w:r>
          </w:p>
        </w:tc>
      </w:tr>
      <w:tr>
        <w:trPr>
          <w:trHeight w:val="446"/>
        </w:trPr>
        <w:tc>
          <w:tcPr>
            <w:tcW w:w="7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w w:val="90"/>
              </w:rPr>
              <w:t>343 Allerton Avenue, South San Francisco, CA 94080</w:t>
            </w:r>
          </w:p>
        </w:tc>
      </w:tr>
      <w:tr>
        <w:trPr>
          <w:trHeight w:val="446"/>
        </w:trPr>
        <w:tc>
          <w:tcPr>
            <w:tcW w:w="7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Name of Person Filing:</w:t>
            </w: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Moshe Arkin</w:t>
            </w:r>
          </w:p>
        </w:tc>
        <w:tc>
          <w:tcPr>
            <w:tcW w:w="2280" w:type="dxa"/>
            <w:vAlign w:val="bottom"/>
            <w:gridSpan w:val="2"/>
          </w:tcPr>
          <w:p>
            <w:pPr>
              <w:spacing w:after="0"/>
              <w:rPr>
                <w:sz w:val="24"/>
                <w:szCs w:val="24"/>
                <w:color w:val="auto"/>
              </w:rPr>
            </w:pP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Funds Management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Global Healthcare GP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Global Healthcare Management LP</w:t>
            </w:r>
          </w:p>
        </w:tc>
      </w:tr>
    </w:tbl>
    <w:p>
      <w:pPr>
        <w:spacing w:after="0" w:line="256" w:lineRule="exact"/>
        <w:rPr>
          <w:sz w:val="20"/>
          <w:szCs w:val="20"/>
          <w:color w:val="auto"/>
        </w:rPr>
      </w:pPr>
    </w:p>
    <w:p>
      <w:pPr>
        <w:ind w:left="1400" w:hanging="568"/>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Moshe Arkin – 6 Hachoshlim St., Herzelia, Israel</w:t>
      </w:r>
    </w:p>
    <w:p>
      <w:pPr>
        <w:spacing w:after="0" w:line="279" w:lineRule="exact"/>
        <w:rPr>
          <w:rFonts w:ascii="Arial" w:cs="Arial" w:eastAsia="Arial" w:hAnsi="Arial"/>
          <w:sz w:val="18"/>
          <w:szCs w:val="18"/>
          <w:color w:val="auto"/>
        </w:rPr>
      </w:pPr>
    </w:p>
    <w:p>
      <w:pPr>
        <w:ind w:left="1420" w:right="2399"/>
        <w:spacing w:after="0" w:line="634" w:lineRule="auto"/>
        <w:rPr>
          <w:rFonts w:ascii="Arial" w:cs="Arial" w:eastAsia="Arial" w:hAnsi="Arial"/>
          <w:sz w:val="18"/>
          <w:szCs w:val="18"/>
          <w:color w:val="auto"/>
        </w:rPr>
      </w:pPr>
      <w:r>
        <w:rPr>
          <w:rFonts w:ascii="Arial" w:cs="Arial" w:eastAsia="Arial" w:hAnsi="Arial"/>
          <w:sz w:val="16"/>
          <w:szCs w:val="16"/>
          <w:color w:val="auto"/>
        </w:rPr>
        <w:t>Sphera Funds Management Ltd. – 21 Ha'arba'ah Street, Tel Aviv 64739, Israel Sphera Global Healthcare GP Ltd. – 21 Ha'arba'ah Street, Tel Aviv 64739, Israel Sphera Global Healthcare Management LP – 21 Ha'arba'ah Street, Tel Aviv 64739, Israel</w:t>
      </w:r>
    </w:p>
    <w:p>
      <w:pPr>
        <w:ind w:left="1400" w:hanging="568"/>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Moshe Arkin – Israel</w:t>
      </w:r>
    </w:p>
    <w:p>
      <w:pPr>
        <w:spacing w:after="0" w:line="279" w:lineRule="exact"/>
        <w:rPr>
          <w:rFonts w:ascii="Arial" w:cs="Arial" w:eastAsia="Arial" w:hAnsi="Arial"/>
          <w:sz w:val="18"/>
          <w:szCs w:val="18"/>
          <w:color w:val="auto"/>
        </w:rPr>
      </w:pPr>
    </w:p>
    <w:p>
      <w:pPr>
        <w:ind w:left="1420" w:right="5119"/>
        <w:spacing w:after="0" w:line="596" w:lineRule="auto"/>
        <w:rPr>
          <w:rFonts w:ascii="Arial" w:cs="Arial" w:eastAsia="Arial" w:hAnsi="Arial"/>
          <w:sz w:val="18"/>
          <w:szCs w:val="18"/>
          <w:color w:val="auto"/>
        </w:rPr>
      </w:pPr>
      <w:r>
        <w:rPr>
          <w:rFonts w:ascii="Arial" w:cs="Arial" w:eastAsia="Arial" w:hAnsi="Arial"/>
          <w:sz w:val="17"/>
          <w:szCs w:val="17"/>
          <w:color w:val="auto"/>
        </w:rPr>
        <w:t>Sphera Funds Management Ltd. – Israel Sphera Global Healthcare GP Ltd. – Israel Sphera Global Healthcare Management LP – Israel</w:t>
      </w:r>
    </w:p>
    <w:p>
      <w:pPr>
        <w:spacing w:after="0" w:line="2" w:lineRule="exact"/>
        <w:rPr>
          <w:rFonts w:ascii="Arial" w:cs="Arial" w:eastAsia="Arial" w:hAnsi="Arial"/>
          <w:sz w:val="18"/>
          <w:szCs w:val="18"/>
          <w:color w:val="auto"/>
        </w:rPr>
      </w:pPr>
    </w:p>
    <w:p>
      <w:pPr>
        <w:ind w:left="1420" w:right="6379" w:hanging="588"/>
        <w:spacing w:after="0" w:line="634" w:lineRule="auto"/>
        <w:tabs>
          <w:tab w:leader="none" w:pos="140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 Common Stock, $0.001 par value</w:t>
      </w:r>
    </w:p>
    <w:p>
      <w:pPr>
        <w:ind w:left="1420" w:right="7619" w:hanging="588"/>
        <w:spacing w:after="0" w:line="631"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CUSIP Number</w:t>
      </w:r>
      <w:r>
        <w:rPr>
          <w:rFonts w:ascii="Arial" w:cs="Arial" w:eastAsia="Arial" w:hAnsi="Arial"/>
          <w:sz w:val="16"/>
          <w:szCs w:val="16"/>
          <w:color w:val="auto"/>
        </w:rPr>
        <w:t>: 92840H202</w:t>
      </w:r>
    </w:p>
    <w:p>
      <w:pPr>
        <w:spacing w:after="0" w:line="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6" w:name="page7"/>
    <w:bookmarkEnd w:id="6"/>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83" w:lineRule="exact"/>
        <w:rPr>
          <w:sz w:val="20"/>
          <w:szCs w:val="20"/>
          <w:color w:val="auto"/>
        </w:rPr>
      </w:pPr>
    </w:p>
    <w:p>
      <w:pPr>
        <w:ind w:left="1400" w:hanging="591"/>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79"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The securities reported herein are beneficially owned as follows:</w:t>
      </w:r>
    </w:p>
    <w:p>
      <w:pPr>
        <w:spacing w:after="0" w:line="279" w:lineRule="exact"/>
        <w:rPr>
          <w:rFonts w:ascii="Arial" w:cs="Arial" w:eastAsia="Arial" w:hAnsi="Arial"/>
          <w:sz w:val="18"/>
          <w:szCs w:val="18"/>
          <w:color w:val="auto"/>
        </w:rPr>
      </w:pPr>
    </w:p>
    <w:p>
      <w:pPr>
        <w:jc w:val="both"/>
        <w:ind w:left="1780" w:hanging="381"/>
        <w:spacing w:after="0" w:line="312" w:lineRule="auto"/>
        <w:tabs>
          <w:tab w:leader="none" w:pos="1780" w:val="left"/>
        </w:tabs>
        <w:numPr>
          <w:ilvl w:val="1"/>
          <w:numId w:val="9"/>
        </w:numPr>
        <w:rPr>
          <w:rFonts w:ascii="Arial" w:cs="Arial" w:eastAsia="Arial" w:hAnsi="Arial"/>
          <w:sz w:val="16"/>
          <w:szCs w:val="16"/>
          <w:color w:val="auto"/>
        </w:rPr>
      </w:pPr>
      <w:r>
        <w:rPr>
          <w:rFonts w:ascii="Arial" w:cs="Arial" w:eastAsia="Arial" w:hAnsi="Arial"/>
          <w:sz w:val="16"/>
          <w:szCs w:val="16"/>
          <w:color w:val="auto"/>
        </w:rPr>
        <w:t>1,218,065 shares of Common Stock and 1,314,949 warrants (each exercisable into one share of Common Stock) representing a total of 8.16% of the total shares of Common Stock outstanding, are held directly by Sphera Global Healthcare Master Fund, which has delegated its investment management authority to Sphera Global Healthcare Management Ltd. (the "Management Company").</w:t>
      </w:r>
    </w:p>
    <w:p>
      <w:pPr>
        <w:spacing w:after="0" w:line="200" w:lineRule="exact"/>
        <w:rPr>
          <w:rFonts w:ascii="Arial" w:cs="Arial" w:eastAsia="Arial" w:hAnsi="Arial"/>
          <w:sz w:val="16"/>
          <w:szCs w:val="16"/>
          <w:color w:val="auto"/>
        </w:rPr>
      </w:pPr>
    </w:p>
    <w:p>
      <w:pPr>
        <w:ind w:left="1800" w:right="20" w:hanging="387"/>
        <w:spacing w:after="0" w:line="342" w:lineRule="auto"/>
        <w:tabs>
          <w:tab w:leader="none" w:pos="1800" w:val="left"/>
        </w:tabs>
        <w:numPr>
          <w:ilvl w:val="2"/>
          <w:numId w:val="9"/>
        </w:numPr>
        <w:rPr>
          <w:rFonts w:ascii="Arial" w:cs="Arial" w:eastAsia="Arial" w:hAnsi="Arial"/>
          <w:sz w:val="16"/>
          <w:szCs w:val="16"/>
          <w:color w:val="auto"/>
        </w:rPr>
      </w:pPr>
      <w:r>
        <w:rPr>
          <w:rFonts w:ascii="Arial" w:cs="Arial" w:eastAsia="Arial" w:hAnsi="Arial"/>
          <w:sz w:val="16"/>
          <w:szCs w:val="16"/>
          <w:color w:val="auto"/>
        </w:rPr>
        <w:t>29,186 shares of Common Stock, representing 0.09% of the total shares of Common Stock outstanding, are held directly by HFR HE Sphera Global Healthcare Master Trust, which has delegated its investment management authority to the Management Company.</w:t>
      </w:r>
    </w:p>
    <w:p>
      <w:pPr>
        <w:spacing w:after="0" w:line="177" w:lineRule="exact"/>
        <w:rPr>
          <w:rFonts w:ascii="Arial" w:cs="Arial" w:eastAsia="Arial" w:hAnsi="Arial"/>
          <w:sz w:val="16"/>
          <w:szCs w:val="16"/>
          <w:color w:val="auto"/>
        </w:rPr>
      </w:pPr>
    </w:p>
    <w:p>
      <w:pPr>
        <w:ind w:left="1800" w:hanging="387"/>
        <w:spacing w:after="0" w:line="308" w:lineRule="auto"/>
        <w:tabs>
          <w:tab w:leader="none" w:pos="1800" w:val="left"/>
        </w:tabs>
        <w:numPr>
          <w:ilvl w:val="2"/>
          <w:numId w:val="9"/>
        </w:numPr>
        <w:rPr>
          <w:rFonts w:ascii="Arial" w:cs="Arial" w:eastAsia="Arial" w:hAnsi="Arial"/>
          <w:sz w:val="17"/>
          <w:szCs w:val="17"/>
          <w:color w:val="auto"/>
        </w:rPr>
      </w:pPr>
      <w:r>
        <w:rPr>
          <w:rFonts w:ascii="Arial" w:cs="Arial" w:eastAsia="Arial" w:hAnsi="Arial"/>
          <w:sz w:val="17"/>
          <w:szCs w:val="17"/>
          <w:color w:val="auto"/>
        </w:rPr>
        <w:t>226,667 shares of Common Stock, representing 0.73% of the total shares of Common Stock outstanding, are held directly by Sphera Biotech Master Fund, L.P., which has delegated its investment management authority to the Management Company.</w:t>
      </w:r>
    </w:p>
    <w:p>
      <w:pPr>
        <w:spacing w:after="0" w:line="201" w:lineRule="exact"/>
        <w:rPr>
          <w:sz w:val="20"/>
          <w:szCs w:val="20"/>
          <w:color w:val="auto"/>
        </w:rPr>
      </w:pPr>
    </w:p>
    <w:p>
      <w:pPr>
        <w:jc w:val="both"/>
        <w:ind w:left="1420" w:right="20"/>
        <w:spacing w:after="0" w:line="277" w:lineRule="auto"/>
        <w:rPr>
          <w:sz w:val="20"/>
          <w:szCs w:val="20"/>
          <w:color w:val="auto"/>
        </w:rPr>
      </w:pPr>
      <w:r>
        <w:rPr>
          <w:rFonts w:ascii="Arial" w:cs="Arial" w:eastAsia="Arial" w:hAnsi="Arial"/>
          <w:sz w:val="18"/>
          <w:szCs w:val="18"/>
          <w:color w:val="auto"/>
        </w:rPr>
        <w:t>The Management Company is managed, controlled, and operated by its general partner, Sphera Global Healthcare GP Ltd., which is controlled jointly by Sphera Funds Management Ltd. and Moshe Arkin.</w:t>
      </w:r>
    </w:p>
    <w:p>
      <w:pPr>
        <w:spacing w:after="0" w:line="170" w:lineRule="exact"/>
        <w:rPr>
          <w:sz w:val="20"/>
          <w:szCs w:val="20"/>
          <w:color w:val="auto"/>
        </w:rPr>
      </w:pPr>
    </w:p>
    <w:p>
      <w:pPr>
        <w:jc w:val="both"/>
        <w:ind w:left="1420"/>
        <w:spacing w:after="0" w:line="293" w:lineRule="auto"/>
        <w:rPr>
          <w:sz w:val="20"/>
          <w:szCs w:val="20"/>
          <w:color w:val="auto"/>
        </w:rPr>
      </w:pPr>
      <w:r>
        <w:rPr>
          <w:rFonts w:ascii="Arial" w:cs="Arial" w:eastAsia="Arial" w:hAnsi="Arial"/>
          <w:sz w:val="16"/>
          <w:szCs w:val="16"/>
          <w:color w:val="auto"/>
        </w:rPr>
        <w:t>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ind w:left="1400" w:hanging="636"/>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79" w:lineRule="exact"/>
        <w:rPr>
          <w:rFonts w:ascii="Arial" w:cs="Arial" w:eastAsia="Arial" w:hAnsi="Arial"/>
          <w:sz w:val="18"/>
          <w:szCs w:val="18"/>
          <w:color w:val="auto"/>
        </w:rPr>
      </w:pPr>
    </w:p>
    <w:p>
      <w:pPr>
        <w:ind w:left="1400" w:hanging="636"/>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79" w:lineRule="exact"/>
        <w:rPr>
          <w:rFonts w:ascii="Arial" w:cs="Arial" w:eastAsia="Arial" w:hAnsi="Arial"/>
          <w:sz w:val="18"/>
          <w:szCs w:val="18"/>
          <w:color w:val="auto"/>
        </w:rPr>
      </w:pPr>
    </w:p>
    <w:p>
      <w:pPr>
        <w:ind w:left="1920" w:right="5440" w:hanging="521"/>
        <w:spacing w:after="0" w:line="634" w:lineRule="auto"/>
        <w:tabs>
          <w:tab w:leader="none" w:pos="1909" w:val="left"/>
        </w:tabs>
        <w:numPr>
          <w:ilvl w:val="1"/>
          <w:numId w:val="1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ind w:left="1920" w:hanging="521"/>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See row 8 of cover page of each reporting person and note in Item 4(a) above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395" w:right="539" w:bottom="1440" w:gutter="0" w:footer="0" w:header="0"/>
        </w:sectPr>
      </w:pPr>
    </w:p>
    <w:bookmarkStart w:id="8" w:name="page9"/>
    <w:bookmarkEnd w:id="8"/>
    <w:p>
      <w:pPr>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83"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Moshe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Moshe Arkin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Ori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66040</wp:posOffset>
            </wp:positionV>
            <wp:extent cx="12693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Ori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Dron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Dron Breen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Title:Managing Partner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10" w:name="page11"/>
    <w:bookmarkEnd w:id="10"/>
    <w:p>
      <w:pPr>
        <w:spacing w:after="0"/>
        <w:tabs>
          <w:tab w:leader="none" w:pos="1340" w:val="left"/>
        </w:tabs>
        <w:rPr>
          <w:sz w:val="20"/>
          <w:szCs w:val="20"/>
          <w:color w:val="auto"/>
        </w:rPr>
      </w:pPr>
      <w:r>
        <w:rPr>
          <w:rFonts w:ascii="Arial" w:cs="Arial" w:eastAsia="Arial" w:hAnsi="Arial"/>
          <w:sz w:val="18"/>
          <w:szCs w:val="18"/>
          <w:b w:val="1"/>
          <w:bCs w:val="1"/>
          <w:color w:val="auto"/>
        </w:rPr>
        <w:t>EXHIBIT NO.</w:t>
        <w:tab/>
        <w:t>DESCRIPTION</w:t>
      </w:r>
    </w:p>
    <w:p>
      <w:pPr>
        <w:spacing w:after="0" w:line="283" w:lineRule="exact"/>
        <w:rPr>
          <w:sz w:val="20"/>
          <w:szCs w:val="20"/>
          <w:color w:val="auto"/>
        </w:rPr>
      </w:pPr>
    </w:p>
    <w:p>
      <w:pPr>
        <w:ind w:left="1020" w:hanging="1012"/>
        <w:spacing w:after="0" w:line="277" w:lineRule="auto"/>
        <w:tabs>
          <w:tab w:leader="none" w:pos="10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by and among the Reporting Persons, dated as of June 22, 2016 (incorporated herein by reference to Exhibit 1 to the Schedule 13G filed on June 22, 2016).</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1100"/>
      </w:cols>
      <w:pgMar w:left="240" w:top="33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9">
    <w:nsid w:val="4DB127F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2020-01-09T20:36:02Z</dcterms:created>
  <dcterms:modified xsi:type="dcterms:W3CDTF">2020-01-09T20:36:02Z</dcterms:modified>
</cp:coreProperties>
</file>