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July 15,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24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4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152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4960" w:type="dxa"/>
            <w:vAlign w:val="bottom"/>
            <w:gridSpan w:val="3"/>
          </w:tcPr>
          <w:p>
            <w:pPr>
              <w:jc w:val="center"/>
              <w:ind w:right="1200"/>
              <w:spacing w:after="0"/>
              <w:rPr>
                <w:sz w:val="20"/>
                <w:szCs w:val="20"/>
                <w:color w:val="auto"/>
              </w:rPr>
            </w:pPr>
            <w:r>
              <w:rPr>
                <w:rFonts w:ascii="Arial" w:cs="Arial" w:eastAsia="Arial" w:hAnsi="Arial"/>
                <w:sz w:val="18"/>
                <w:szCs w:val="18"/>
                <w:color w:val="auto"/>
                <w:w w:val="87"/>
              </w:rPr>
              <w:t>Common Stock, par value $0.001 per share</w:t>
            </w:r>
          </w:p>
        </w:tc>
        <w:tc>
          <w:tcPr>
            <w:tcW w:w="2840" w:type="dxa"/>
            <w:vAlign w:val="bottom"/>
            <w:gridSpan w:val="2"/>
          </w:tcPr>
          <w:p>
            <w:pPr>
              <w:jc w:val="center"/>
              <w:ind w:right="1520"/>
              <w:spacing w:after="0"/>
              <w:rPr>
                <w:sz w:val="20"/>
                <w:szCs w:val="20"/>
                <w:color w:val="auto"/>
              </w:rPr>
            </w:pPr>
            <w:r>
              <w:rPr>
                <w:rFonts w:ascii="Arial" w:cs="Arial" w:eastAsia="Arial" w:hAnsi="Arial"/>
                <w:sz w:val="18"/>
                <w:szCs w:val="18"/>
                <w:color w:val="auto"/>
                <w:w w:val="95"/>
              </w:rPr>
              <w:t>VTGN</w:t>
            </w: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 in Registrant's Certifying Accountant.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15, 2021, WithumSmith+Brown, PC, an independent registered public accounting firm (“</w:t>
      </w:r>
      <w:r>
        <w:rPr>
          <w:rFonts w:ascii="Arial" w:cs="Arial" w:eastAsia="Arial" w:hAnsi="Arial"/>
          <w:sz w:val="18"/>
          <w:szCs w:val="18"/>
          <w:i w:val="1"/>
          <w:iCs w:val="1"/>
          <w:color w:val="auto"/>
        </w:rPr>
        <w:t>Withum</w:t>
      </w:r>
      <w:r>
        <w:rPr>
          <w:rFonts w:ascii="Arial" w:cs="Arial" w:eastAsia="Arial" w:hAnsi="Arial"/>
          <w:sz w:val="18"/>
          <w:szCs w:val="18"/>
          <w:color w:val="auto"/>
        </w:rPr>
        <w:t>”), acquired certain assets of OUM &amp; Co. LLP (“</w:t>
      </w:r>
      <w:r>
        <w:rPr>
          <w:rFonts w:ascii="Arial" w:cs="Arial" w:eastAsia="Arial" w:hAnsi="Arial"/>
          <w:sz w:val="18"/>
          <w:szCs w:val="18"/>
          <w:i w:val="1"/>
          <w:iCs w:val="1"/>
          <w:color w:val="auto"/>
        </w:rPr>
        <w:t>OUM</w:t>
      </w:r>
      <w:r>
        <w:rPr>
          <w:rFonts w:ascii="Arial" w:cs="Arial" w:eastAsia="Arial" w:hAnsi="Arial"/>
          <w:sz w:val="18"/>
          <w:szCs w:val="18"/>
          <w:color w:val="auto"/>
        </w:rPr>
        <w:t>”), the independent registered public accounting firm for VistaGen Therapeutics, Inc., a Nevada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w:t>
      </w:r>
      <w:r>
        <w:rPr>
          <w:rFonts w:ascii="Arial" w:cs="Arial" w:eastAsia="Arial" w:hAnsi="Arial"/>
          <w:sz w:val="18"/>
          <w:szCs w:val="18"/>
          <w:i w:val="1"/>
          <w:iCs w:val="1"/>
          <w:color w:val="auto"/>
        </w:rPr>
        <w:t>Acquisition</w:t>
      </w:r>
      <w:r>
        <w:rPr>
          <w:rFonts w:ascii="Arial" w:cs="Arial" w:eastAsia="Arial" w:hAnsi="Arial"/>
          <w:sz w:val="18"/>
          <w:szCs w:val="18"/>
          <w:color w:val="auto"/>
        </w:rPr>
        <w:t>”). As a result of this transaction, on July 15, 2021, OUM resigned as the Company’s independent registered public accounting firm. Concurrent with such resignation, the Company, with the approval of its Audit Committee, consented to the engagement of Withum. Withum is the Company’s new independent registered public accounting firm, effective July 15, 2021.</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Prior to the Acquisition, the Company did not consult with Withum regarding the application of accounting principles to any specific completed or contemplated transaction or regarding the type of audit opinion that might be rendered by Withum on the Company’s financial statements, and Withum did not provide any written or oral advice that was an important factor considered by the Company in reaching a decision as to any accounting, auditing or financial reporting issue.</w:t>
      </w:r>
    </w:p>
    <w:p>
      <w:pPr>
        <w:spacing w:after="0" w:line="19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OUM’s Report of Independent Registered Public Accounting Firm (the “</w:t>
      </w:r>
      <w:r>
        <w:rPr>
          <w:rFonts w:ascii="Arial" w:cs="Arial" w:eastAsia="Arial" w:hAnsi="Arial"/>
          <w:sz w:val="15"/>
          <w:szCs w:val="15"/>
          <w:i w:val="1"/>
          <w:iCs w:val="1"/>
          <w:color w:val="auto"/>
        </w:rPr>
        <w:t>Audit Report</w:t>
      </w:r>
      <w:r>
        <w:rPr>
          <w:rFonts w:ascii="Arial" w:cs="Arial" w:eastAsia="Arial" w:hAnsi="Arial"/>
          <w:sz w:val="15"/>
          <w:szCs w:val="15"/>
          <w:color w:val="auto"/>
        </w:rPr>
        <w:t>”) on the Company’s financial statements for the fiscal years ended March 31, 2021 and 2020 did not contain any adverse opinion or disclaimer of opinion and was not qualified or modified as to uncertainty, audit scope or accounting principles, except that the Audit Report for the year ended March 31, 2020 included in the Company’s Annual Report on Form 10-K for the year ended March 31, 2020 and filed with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contained an explanatory paragraph disclosing uncertainty regarding the Company's ability to continue as a going concern. The Audit Report for the year ended March 31, 2021 contained no such explanatory paragraph.</w:t>
      </w:r>
    </w:p>
    <w:p>
      <w:pPr>
        <w:spacing w:after="0" w:line="15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years ended March 31, 2021 and 2020, and during the interim period from the end of the most recently completed fiscal year through July 15, 2021, the date of resignation, there were no “disagreements” (as such term is defined in Item 304(a)(1)(iv) of Regulation S-K and the related instructions to Item 304) with OUM on any matter of accounting principles or practices, financial statement disclosure or auditing scope or procedures, which disagreements, if not resolved to the satisfaction of OUM would have caused it to make reference to such disagreement in its reports. During the fiscal years ended March 31, 2021 and March 31, 2020, and the subsequent interim period through July 15, 2021, there have been no “reportable events” (as such term is defined in Item 304 (a)(1)(v) of Regulation S-K), except for the material weaknesses described in Item 9A of the Company's Annual Report on Form 10-K for the fiscal year ended March 31, 2021.</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provided OUM with a copy of this Current Report on Form 8-K prior to its filing with the Commission and requested that OUM furnish the Company with a letter addressed to the Commission confirming that it agrees with the above statements. A copy of the letter, dated July 21, 2021, is filed as Exhibit 16.1 (which is incorporated by reference herein) to this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 w:name="page3"/>
    <w:bookmarkEnd w:id="2"/>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380" w:val="left"/>
          <w:tab w:leader="none" w:pos="5940" w:val="left"/>
        </w:tabs>
        <w:rPr>
          <w:sz w:val="20"/>
          <w:szCs w:val="20"/>
          <w:color w:val="auto"/>
        </w:rPr>
      </w:pPr>
      <w:r>
        <w:rPr>
          <w:rFonts w:ascii="Arial" w:cs="Arial" w:eastAsia="Arial" w:hAnsi="Arial"/>
          <w:sz w:val="18"/>
          <w:szCs w:val="18"/>
          <w:color w:val="auto"/>
        </w:rPr>
        <w:t>Date: July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10795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K. Singh, J.D.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32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440" w:type="dxa"/>
            <w:vAlign w:val="bottom"/>
          </w:tcPr>
          <w:p>
            <w:pPr>
              <w:spacing w:after="0"/>
              <w:rPr>
                <w:sz w:val="24"/>
                <w:szCs w:val="2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48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9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Letter from OUM &amp; Co. LLP dated July 21, 2021</w:t>
            </w:r>
          </w:p>
        </w:tc>
      </w:tr>
      <w:tr>
        <w:trPr>
          <w:trHeight w:val="871"/>
        </w:trPr>
        <w:tc>
          <w:tcPr>
            <w:tcW w:w="320" w:type="dxa"/>
            <w:vAlign w:val="bottom"/>
            <w:tcBorders>
              <w:top w:val="single" w:sz="8" w:color="0000EE"/>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93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July 21,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read VistaGen Therapeutics, Inc.’s statements included under Item 4.01 of its Form 8-K dated July 21, 2021, and are in agreement with the statements contained therein concerning our firm in response to Item 304(a) of Regulation 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2021-07-21T15:07:10Z</dcterms:created>
  <dcterms:modified xsi:type="dcterms:W3CDTF">2021-07-21T15:07:10Z</dcterms:modified>
</cp:coreProperties>
</file>