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Vistagen Therapeutics, Inc.</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92840H400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October 4,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64"/>
        <w:spacing w:after="0"/>
        <w:rPr>
          <w:sz w:val="20"/>
          <w:szCs w:val="20"/>
          <w:color w:val="auto"/>
        </w:rPr>
      </w:pPr>
      <w:r>
        <w:rPr>
          <w:rFonts w:ascii="Arial" w:cs="Arial" w:eastAsia="Arial" w:hAnsi="Arial"/>
          <w:sz w:val="18"/>
          <w:szCs w:val="18"/>
          <w:color w:val="auto"/>
        </w:rPr>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 TCG Crossover GP II, LLC</w:t>
      </w:r>
    </w:p>
    <w:p>
      <w:pPr>
        <w:spacing w:after="0" w:line="36"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7"/>
          <w:szCs w:val="17"/>
          <w:color w:val="auto"/>
        </w:rPr>
        <w:t> CHECK THE APPROPRIATE BOX IF A MEMBER OF A GROUP (see instructions)</w:t>
      </w:r>
    </w:p>
    <w:p>
      <w:pPr>
        <w:spacing w:after="0" w:line="23" w:lineRule="exact"/>
        <w:rPr>
          <w:sz w:val="20"/>
          <w:szCs w:val="20"/>
          <w:color w:val="auto"/>
        </w:rPr>
      </w:pPr>
    </w:p>
    <w:p>
      <w:pPr>
        <w:ind w:left="56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7"/>
          <w:szCs w:val="17"/>
          <w:color w:val="auto"/>
        </w:rPr>
        <w:t> CITIZENSHIP OR PLACE OF ORGANIZATION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  </w:t>
            </w:r>
          </w:p>
        </w:tc>
        <w:tc>
          <w:tcPr>
            <w:tcW w:w="340" w:type="dxa"/>
            <w:vAlign w:val="bottom"/>
          </w:tcPr>
          <w:p>
            <w:pPr>
              <w:ind w:left="100"/>
              <w:spacing w:after="0"/>
              <w:rPr>
                <w:sz w:val="20"/>
                <w:szCs w:val="20"/>
                <w:color w:val="auto"/>
              </w:rPr>
            </w:pPr>
            <w:r>
              <w:rPr>
                <w:rFonts w:ascii="Arial" w:cs="Arial" w:eastAsia="Arial" w:hAnsi="Arial"/>
                <w:sz w:val="18"/>
                <w:szCs w:val="18"/>
                <w:color w:val="auto"/>
              </w:rPr>
              <w:t>6.</w:t>
            </w:r>
          </w:p>
        </w:tc>
        <w:tc>
          <w:tcPr>
            <w:tcW w:w="9120" w:type="dxa"/>
            <w:vAlign w:val="bottom"/>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 2,033,012 (1)(2)</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ind w:left="10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 2,033,012 (1)(2)</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 9.   AGGREGATE AMOUNT BENEFICIALLY OWNED BY EACH REPORTING PERSON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 2,033,012 (1)(2)</w:t>
      </w:r>
    </w:p>
    <w:p>
      <w:pPr>
        <w:spacing w:after="0" w:line="36" w:lineRule="exact"/>
        <w:rPr>
          <w:sz w:val="20"/>
          <w:szCs w:val="20"/>
          <w:color w:val="auto"/>
        </w:rPr>
      </w:pPr>
    </w:p>
    <w:p>
      <w:pPr>
        <w:ind w:left="564" w:right="2440" w:hanging="407"/>
        <w:spacing w:after="0" w:line="358" w:lineRule="exact"/>
        <w:tabs>
          <w:tab w:leader="none" w:pos="564" w:val="left"/>
        </w:tabs>
        <w:numPr>
          <w:ilvl w:val="1"/>
          <w:numId w:val="5"/>
        </w:numPr>
        <w:rPr>
          <w:rFonts w:ascii="Arial" w:cs="Arial" w:eastAsia="Arial" w:hAnsi="Arial"/>
          <w:sz w:val="18"/>
          <w:szCs w:val="18"/>
          <w:color w:val="auto"/>
        </w:rPr>
      </w:pPr>
      <w:r>
        <w:rPr>
          <w:rFonts w:ascii="Arial" w:cs="Arial" w:eastAsia="Arial" w:hAnsi="Arial"/>
          <w:sz w:val="18"/>
          <w:szCs w:val="18"/>
          <w:color w:val="auto"/>
        </w:rPr>
        <w:t> CHECK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64" w:right="5320" w:hanging="407"/>
        <w:spacing w:after="0" w:line="398" w:lineRule="auto"/>
        <w:tabs>
          <w:tab w:leader="none" w:pos="564" w:val="left"/>
        </w:tabs>
        <w:numPr>
          <w:ilvl w:val="1"/>
          <w:numId w:val="5"/>
        </w:numPr>
        <w:rPr>
          <w:rFonts w:ascii="Arial" w:cs="Arial" w:eastAsia="Arial" w:hAnsi="Arial"/>
          <w:sz w:val="18"/>
          <w:szCs w:val="18"/>
          <w:color w:val="auto"/>
        </w:rPr>
      </w:pPr>
      <w:r>
        <w:rPr>
          <w:rFonts w:ascii="Arial" w:cs="Arial" w:eastAsia="Arial" w:hAnsi="Arial"/>
          <w:sz w:val="18"/>
          <w:szCs w:val="18"/>
          <w:color w:val="auto"/>
        </w:rPr>
        <w:t> PERCENT OF CLASS REPRESENTED BY AMOUNT IN ROW (9)  7.5% (3)</w:t>
      </w:r>
    </w:p>
    <w:p>
      <w:pPr>
        <w:ind w:left="564" w:right="6580" w:hanging="407"/>
        <w:spacing w:after="0" w:line="547" w:lineRule="auto"/>
        <w:tabs>
          <w:tab w:leader="none" w:pos="564" w:val="left"/>
        </w:tabs>
        <w:numPr>
          <w:ilvl w:val="1"/>
          <w:numId w:val="5"/>
        </w:numPr>
        <w:rPr>
          <w:rFonts w:ascii="Arial" w:cs="Arial" w:eastAsia="Arial" w:hAnsi="Arial"/>
          <w:sz w:val="18"/>
          <w:szCs w:val="18"/>
          <w:color w:val="auto"/>
        </w:rPr>
      </w:pPr>
      <w:r>
        <w:rPr>
          <w:rFonts w:ascii="Arial" w:cs="Arial" w:eastAsia="Arial" w:hAnsi="Arial"/>
          <w:sz w:val="18"/>
          <w:szCs w:val="18"/>
          <w:color w:val="auto"/>
        </w:rPr>
        <w:t> TYPE OF REPORTING PERSON (see instructions)  OO</w:t>
      </w:r>
    </w:p>
    <w:p>
      <w:pPr>
        <w:spacing w:after="0" w:line="1" w:lineRule="exact"/>
        <w:rPr>
          <w:rFonts w:ascii="Arial" w:cs="Arial" w:eastAsia="Arial" w:hAnsi="Arial"/>
          <w:sz w:val="18"/>
          <w:szCs w:val="18"/>
          <w:color w:val="auto"/>
        </w:rPr>
      </w:pPr>
    </w:p>
    <w:p>
      <w:pPr>
        <w:ind w:left="424" w:right="160" w:hanging="424"/>
        <w:spacing w:after="0" w:line="25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140" w:hanging="424"/>
        <w:spacing w:after="0" w:line="281"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2,007,435 shares of Common Stock (as defined in Item 2(d) below) of the Issuer (as defined in Item 1(a) below) and (ii) 25,577 shares of Common Stock issuable upon exercise of certain Tranche I Warrants (as defined and described in the Prospectus (as defined in footnote</w:t>
      </w:r>
    </w:p>
    <w:p>
      <w:pPr>
        <w:spacing w:after="0" w:line="1" w:lineRule="exact"/>
        <w:rPr>
          <w:rFonts w:ascii="Arial" w:cs="Arial" w:eastAsia="Arial" w:hAnsi="Arial"/>
          <w:sz w:val="16"/>
          <w:szCs w:val="16"/>
          <w:color w:val="auto"/>
        </w:rPr>
      </w:pPr>
    </w:p>
    <w:p>
      <w:pPr>
        <w:ind w:left="424" w:right="20"/>
        <w:spacing w:after="0" w:line="265" w:lineRule="auto"/>
        <w:rPr>
          <w:rFonts w:ascii="Arial" w:cs="Arial" w:eastAsia="Arial" w:hAnsi="Arial"/>
          <w:sz w:val="16"/>
          <w:szCs w:val="16"/>
          <w:color w:val="auto"/>
        </w:rPr>
      </w:pPr>
      <w:r>
        <w:rPr>
          <w:rFonts w:ascii="Arial" w:cs="Arial" w:eastAsia="Arial" w:hAnsi="Arial"/>
          <w:sz w:val="17"/>
          <w:szCs w:val="17"/>
          <w:color w:val="auto"/>
        </w:rPr>
        <w:t>(2) below)). This total excludes (a) 978,141 shares of Common Stock issuable upon exercise of certain Tranche I Warrants because the Tranche 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and (b) 1,216,585 shares of Common Stock issuable upon exercise of certain Tranche II Warrants (as defined and described in the Prospectus)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w:t>
      </w:r>
    </w:p>
    <w:p>
      <w:pPr>
        <w:spacing w:after="0" w:line="1" w:lineRule="exact"/>
        <w:rPr>
          <w:rFonts w:ascii="Arial" w:cs="Arial" w:eastAsia="Arial" w:hAnsi="Arial"/>
          <w:sz w:val="16"/>
          <w:szCs w:val="16"/>
          <w:color w:val="auto"/>
        </w:rPr>
      </w:pPr>
    </w:p>
    <w:p>
      <w:pPr>
        <w:ind w:left="424" w:right="60" w:hanging="424"/>
        <w:spacing w:after="0" w:line="273"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total of 27,048,615 shares outstanding, which is the sum of (i) 22,885,961 common shares outstanding as reported by the Issuer in its Prospectus Supplement filed with the Securities and Exchange Commission pursuant to Rule 424(b)(5) on October 3, 2023 (the “Prospectus”), (ii) 4,137,077 shares of common stock sold under the Issuer’s ATM program since June 30, 2023 as reported in the Prospectus, and (iii) 25,577 shares of the Common Stock issuable upon exercise of Tranche I Warrants held of record by TCG Crossover II.</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64"/>
        <w:spacing w:after="0"/>
        <w:rPr>
          <w:sz w:val="20"/>
          <w:szCs w:val="20"/>
          <w:color w:val="auto"/>
        </w:rPr>
      </w:pPr>
      <w:r>
        <w:rPr>
          <w:rFonts w:ascii="Arial" w:cs="Arial" w:eastAsia="Arial" w:hAnsi="Arial"/>
          <w:sz w:val="18"/>
          <w:szCs w:val="18"/>
          <w:color w:val="auto"/>
        </w:rPr>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 TCG Crossover Fund II, L.P.</w:t>
      </w:r>
    </w:p>
    <w:p>
      <w:pPr>
        <w:spacing w:after="0" w:line="36"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7"/>
          <w:szCs w:val="17"/>
          <w:color w:val="auto"/>
        </w:rPr>
        <w:t> CHECK THE APPROPRIATE BOX IF A MEMBER OF A GROUP (see instructions)</w:t>
      </w:r>
    </w:p>
    <w:p>
      <w:pPr>
        <w:spacing w:after="0" w:line="23" w:lineRule="exact"/>
        <w:rPr>
          <w:sz w:val="20"/>
          <w:szCs w:val="20"/>
          <w:color w:val="auto"/>
        </w:rPr>
      </w:pPr>
    </w:p>
    <w:p>
      <w:pPr>
        <w:ind w:left="56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7"/>
          <w:szCs w:val="17"/>
          <w:color w:val="auto"/>
        </w:rPr>
        <w:t> CITIZENSHIP OR PLACE OF ORGANIZATION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  </w:t>
            </w:r>
          </w:p>
        </w:tc>
        <w:tc>
          <w:tcPr>
            <w:tcW w:w="340" w:type="dxa"/>
            <w:vAlign w:val="bottom"/>
          </w:tcPr>
          <w:p>
            <w:pPr>
              <w:ind w:left="100"/>
              <w:spacing w:after="0"/>
              <w:rPr>
                <w:sz w:val="20"/>
                <w:szCs w:val="20"/>
                <w:color w:val="auto"/>
              </w:rPr>
            </w:pPr>
            <w:r>
              <w:rPr>
                <w:rFonts w:ascii="Arial" w:cs="Arial" w:eastAsia="Arial" w:hAnsi="Arial"/>
                <w:sz w:val="18"/>
                <w:szCs w:val="18"/>
                <w:color w:val="auto"/>
              </w:rPr>
              <w:t>6.</w:t>
            </w:r>
          </w:p>
        </w:tc>
        <w:tc>
          <w:tcPr>
            <w:tcW w:w="9120" w:type="dxa"/>
            <w:vAlign w:val="bottom"/>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 2,033,012 (1)(2)</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ind w:left="10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 2,033,012 (1)(2)</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 9.   AGGREGATE AMOUNT BENEFICIALLY OWNED BY EACH REPORTING PERSON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 2,033,012 (1)(2)</w:t>
      </w:r>
    </w:p>
    <w:p>
      <w:pPr>
        <w:spacing w:after="0" w:line="36" w:lineRule="exact"/>
        <w:rPr>
          <w:sz w:val="20"/>
          <w:szCs w:val="20"/>
          <w:color w:val="auto"/>
        </w:rPr>
      </w:pPr>
    </w:p>
    <w:p>
      <w:pPr>
        <w:ind w:left="564" w:right="2440" w:hanging="407"/>
        <w:spacing w:after="0" w:line="358" w:lineRule="exact"/>
        <w:tabs>
          <w:tab w:leader="none" w:pos="5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64" w:right="5320" w:hanging="407"/>
        <w:spacing w:after="0" w:line="398" w:lineRule="auto"/>
        <w:tabs>
          <w:tab w:leader="none" w:pos="5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 PERCENT OF CLASS REPRESENTED BY AMOUNT IN ROW (9)  7.5% (3)</w:t>
      </w:r>
    </w:p>
    <w:p>
      <w:pPr>
        <w:ind w:left="564" w:right="6580" w:hanging="407"/>
        <w:spacing w:after="0" w:line="547" w:lineRule="auto"/>
        <w:tabs>
          <w:tab w:leader="none" w:pos="5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 TYPE OF REPORTING PERSON (see instructions)  PN</w:t>
      </w:r>
    </w:p>
    <w:p>
      <w:pPr>
        <w:spacing w:after="0" w:line="1" w:lineRule="exact"/>
        <w:rPr>
          <w:rFonts w:ascii="Arial" w:cs="Arial" w:eastAsia="Arial" w:hAnsi="Arial"/>
          <w:sz w:val="18"/>
          <w:szCs w:val="18"/>
          <w:color w:val="auto"/>
        </w:rPr>
      </w:pPr>
    </w:p>
    <w:p>
      <w:pPr>
        <w:ind w:left="424" w:right="120"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w:t>
      </w:r>
    </w:p>
    <w:p>
      <w:pPr>
        <w:ind w:left="424" w:right="20" w:hanging="424"/>
        <w:spacing w:after="0" w:line="26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(i) 2,007,435 shares of Common Stock and (ii) 25,577 shares of Common Stock issuable upon exercise of certain Tranche I Warrants. This total excludes (a) 978,141 shares of Common Stock issuable upon exercise of certain Tranche I Warrants because the Tranche 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and (b) 1,216,585 shares of Common Stock issuable upon exercise of certain Tranche II Warrants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w:t>
      </w:r>
    </w:p>
    <w:p>
      <w:pPr>
        <w:spacing w:after="0" w:line="1" w:lineRule="exact"/>
        <w:rPr>
          <w:rFonts w:ascii="Arial" w:cs="Arial" w:eastAsia="Arial" w:hAnsi="Arial"/>
          <w:sz w:val="17"/>
          <w:szCs w:val="17"/>
          <w:color w:val="auto"/>
        </w:rPr>
      </w:pPr>
    </w:p>
    <w:p>
      <w:pPr>
        <w:ind w:left="424" w:right="140" w:hanging="424"/>
        <w:spacing w:after="0" w:line="30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total of 27,048,615 shares outstanding, which is the sum of (i) 22,885,961 common shares outstanding as reported by the Issuer in the Prospectus, (ii) 4,137,077 shares of common stock sold under the Issuer’s ATM program since June 30, 2023 as reported in the Prospectus, and (iii) 25,577 shares of the Common Stock issuable upon exercise of Tranche I Warrants held of record by TCG Crossover II.</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64"/>
        <w:spacing w:after="0"/>
        <w:rPr>
          <w:sz w:val="20"/>
          <w:szCs w:val="20"/>
          <w:color w:val="auto"/>
        </w:rPr>
      </w:pPr>
      <w:r>
        <w:rPr>
          <w:rFonts w:ascii="Arial" w:cs="Arial" w:eastAsia="Arial" w:hAnsi="Arial"/>
          <w:sz w:val="18"/>
          <w:szCs w:val="18"/>
          <w:color w:val="auto"/>
        </w:rPr>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 TCG Crossover GP I, LLC</w:t>
      </w:r>
    </w:p>
    <w:p>
      <w:pPr>
        <w:spacing w:after="0" w:line="36"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7"/>
          <w:szCs w:val="17"/>
          <w:color w:val="auto"/>
        </w:rPr>
        <w:t> CHECK THE APPROPRIATE BOX IF A MEMBER OF A GROUP (see instructions)</w:t>
      </w:r>
    </w:p>
    <w:p>
      <w:pPr>
        <w:spacing w:after="0" w:line="23" w:lineRule="exact"/>
        <w:rPr>
          <w:sz w:val="20"/>
          <w:szCs w:val="20"/>
          <w:color w:val="auto"/>
        </w:rPr>
      </w:pPr>
    </w:p>
    <w:p>
      <w:pPr>
        <w:ind w:left="56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7"/>
          <w:szCs w:val="17"/>
          <w:color w:val="auto"/>
        </w:rPr>
        <w:t> CITIZENSHIP OR PLACE OF ORGANIZATION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  </w:t>
            </w:r>
          </w:p>
        </w:tc>
        <w:tc>
          <w:tcPr>
            <w:tcW w:w="340" w:type="dxa"/>
            <w:vAlign w:val="bottom"/>
          </w:tcPr>
          <w:p>
            <w:pPr>
              <w:ind w:left="100"/>
              <w:spacing w:after="0"/>
              <w:rPr>
                <w:sz w:val="20"/>
                <w:szCs w:val="20"/>
                <w:color w:val="auto"/>
              </w:rPr>
            </w:pPr>
            <w:r>
              <w:rPr>
                <w:rFonts w:ascii="Arial" w:cs="Arial" w:eastAsia="Arial" w:hAnsi="Arial"/>
                <w:sz w:val="18"/>
                <w:szCs w:val="18"/>
                <w:color w:val="auto"/>
              </w:rPr>
              <w:t>6.</w:t>
            </w:r>
          </w:p>
        </w:tc>
        <w:tc>
          <w:tcPr>
            <w:tcW w:w="9120" w:type="dxa"/>
            <w:vAlign w:val="bottom"/>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 669,145 (1)(2)</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ind w:left="10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 669,145 (1)(2)</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 9.   AGGREGATE AMOUNT BENEFICIALLY OWNED BY EACH REPORTING PERSON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 669,145 (1)(2)</w:t>
      </w:r>
    </w:p>
    <w:p>
      <w:pPr>
        <w:spacing w:after="0" w:line="36" w:lineRule="exact"/>
        <w:rPr>
          <w:sz w:val="20"/>
          <w:szCs w:val="20"/>
          <w:color w:val="auto"/>
        </w:rPr>
      </w:pPr>
    </w:p>
    <w:p>
      <w:pPr>
        <w:ind w:left="564" w:right="2440" w:hanging="407"/>
        <w:spacing w:after="0" w:line="358" w:lineRule="exact"/>
        <w:tabs>
          <w:tab w:leader="none" w:pos="564" w:val="left"/>
        </w:tabs>
        <w:numPr>
          <w:ilvl w:val="1"/>
          <w:numId w:val="9"/>
        </w:numPr>
        <w:rPr>
          <w:rFonts w:ascii="Arial" w:cs="Arial" w:eastAsia="Arial" w:hAnsi="Arial"/>
          <w:sz w:val="18"/>
          <w:szCs w:val="18"/>
          <w:color w:val="auto"/>
        </w:rPr>
      </w:pPr>
      <w:r>
        <w:rPr>
          <w:rFonts w:ascii="Arial" w:cs="Arial" w:eastAsia="Arial" w:hAnsi="Arial"/>
          <w:sz w:val="18"/>
          <w:szCs w:val="18"/>
          <w:color w:val="auto"/>
        </w:rPr>
        <w:t> CHECK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64" w:right="5320" w:hanging="407"/>
        <w:spacing w:after="0" w:line="398" w:lineRule="auto"/>
        <w:tabs>
          <w:tab w:leader="none" w:pos="564" w:val="left"/>
        </w:tabs>
        <w:numPr>
          <w:ilvl w:val="1"/>
          <w:numId w:val="9"/>
        </w:numPr>
        <w:rPr>
          <w:rFonts w:ascii="Arial" w:cs="Arial" w:eastAsia="Arial" w:hAnsi="Arial"/>
          <w:sz w:val="18"/>
          <w:szCs w:val="18"/>
          <w:color w:val="auto"/>
        </w:rPr>
      </w:pPr>
      <w:r>
        <w:rPr>
          <w:rFonts w:ascii="Arial" w:cs="Arial" w:eastAsia="Arial" w:hAnsi="Arial"/>
          <w:sz w:val="18"/>
          <w:szCs w:val="18"/>
          <w:color w:val="auto"/>
        </w:rPr>
        <w:t> PERCENT OF CLASS REPRESENTED BY AMOUNT IN ROW (9)  2.5% (3)</w:t>
      </w:r>
    </w:p>
    <w:p>
      <w:pPr>
        <w:ind w:left="564" w:right="6580" w:hanging="407"/>
        <w:spacing w:after="0" w:line="547" w:lineRule="auto"/>
        <w:tabs>
          <w:tab w:leader="none" w:pos="564" w:val="left"/>
        </w:tabs>
        <w:numPr>
          <w:ilvl w:val="1"/>
          <w:numId w:val="9"/>
        </w:numPr>
        <w:rPr>
          <w:rFonts w:ascii="Arial" w:cs="Arial" w:eastAsia="Arial" w:hAnsi="Arial"/>
          <w:sz w:val="18"/>
          <w:szCs w:val="18"/>
          <w:color w:val="auto"/>
        </w:rPr>
      </w:pPr>
      <w:r>
        <w:rPr>
          <w:rFonts w:ascii="Arial" w:cs="Arial" w:eastAsia="Arial" w:hAnsi="Arial"/>
          <w:sz w:val="18"/>
          <w:szCs w:val="18"/>
          <w:color w:val="auto"/>
        </w:rPr>
        <w:t> TYPE OF REPORTING PERSON (see instructions)  OO</w:t>
      </w:r>
    </w:p>
    <w:p>
      <w:pPr>
        <w:spacing w:after="0" w:line="1" w:lineRule="exact"/>
        <w:rPr>
          <w:rFonts w:ascii="Arial" w:cs="Arial" w:eastAsia="Arial" w:hAnsi="Arial"/>
          <w:sz w:val="18"/>
          <w:szCs w:val="18"/>
          <w:color w:val="auto"/>
        </w:rPr>
      </w:pPr>
    </w:p>
    <w:p>
      <w:pPr>
        <w:ind w:left="424" w:right="20" w:hanging="424"/>
        <w:spacing w:after="0" w:line="254"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securities are held of record by TCG Crossover I (as defined in Item 2(a) below). TCG Crossover GP I (as defined in Item 2(a) below)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20" w:hanging="424"/>
        <w:spacing w:after="0" w:line="265"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Consists of 669,145 shares of Common Stock. This total excludes (i) 334,573 shares of Common Stock issuable upon exercise of certain Tranche I Warrants because the Tranche 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and (ii) 405,528 shares of Common Stock issuable upon exercise of certain Tranche II Warrants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w:t>
      </w:r>
    </w:p>
    <w:p>
      <w:pPr>
        <w:spacing w:after="0" w:line="1" w:lineRule="exact"/>
        <w:rPr>
          <w:rFonts w:ascii="Arial" w:cs="Arial" w:eastAsia="Arial" w:hAnsi="Arial"/>
          <w:sz w:val="17"/>
          <w:szCs w:val="17"/>
          <w:color w:val="auto"/>
        </w:rPr>
      </w:pPr>
    </w:p>
    <w:p>
      <w:pPr>
        <w:ind w:left="424" w:right="140" w:hanging="424"/>
        <w:spacing w:after="0" w:line="32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total of 27,023,038 shares outstanding, which is the sum of (i) 22,885,961 common shares outstanding as reported by the Issuer in the Prospectus, and (ii) 4,137,077 shares of common stock sold under the Issuer’s ATM program since June 30, 2023 as reported in the Prospectus.</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64"/>
        <w:spacing w:after="0"/>
        <w:rPr>
          <w:sz w:val="20"/>
          <w:szCs w:val="20"/>
          <w:color w:val="auto"/>
        </w:rPr>
      </w:pPr>
      <w:r>
        <w:rPr>
          <w:rFonts w:ascii="Arial" w:cs="Arial" w:eastAsia="Arial" w:hAnsi="Arial"/>
          <w:sz w:val="18"/>
          <w:szCs w:val="18"/>
          <w:color w:val="auto"/>
        </w:rPr>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 TCG Crossover Fund I, L.P.</w:t>
      </w:r>
    </w:p>
    <w:p>
      <w:pPr>
        <w:spacing w:after="0" w:line="36"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7"/>
          <w:szCs w:val="17"/>
          <w:color w:val="auto"/>
        </w:rPr>
        <w:t> CHECK THE APPROPRIATE BOX IF A MEMBER OF A GROUP (see instructions)</w:t>
      </w:r>
    </w:p>
    <w:p>
      <w:pPr>
        <w:spacing w:after="0" w:line="23" w:lineRule="exact"/>
        <w:rPr>
          <w:sz w:val="20"/>
          <w:szCs w:val="20"/>
          <w:color w:val="auto"/>
        </w:rPr>
      </w:pPr>
    </w:p>
    <w:p>
      <w:pPr>
        <w:ind w:left="56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7"/>
          <w:szCs w:val="17"/>
          <w:color w:val="auto"/>
        </w:rPr>
        <w:t> CITIZENSHIP OR PLACE OF ORGANIZATION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  </w:t>
            </w:r>
          </w:p>
        </w:tc>
        <w:tc>
          <w:tcPr>
            <w:tcW w:w="340" w:type="dxa"/>
            <w:vAlign w:val="bottom"/>
          </w:tcPr>
          <w:p>
            <w:pPr>
              <w:ind w:left="100"/>
              <w:spacing w:after="0"/>
              <w:rPr>
                <w:sz w:val="20"/>
                <w:szCs w:val="20"/>
                <w:color w:val="auto"/>
              </w:rPr>
            </w:pPr>
            <w:r>
              <w:rPr>
                <w:rFonts w:ascii="Arial" w:cs="Arial" w:eastAsia="Arial" w:hAnsi="Arial"/>
                <w:sz w:val="18"/>
                <w:szCs w:val="18"/>
                <w:color w:val="auto"/>
              </w:rPr>
              <w:t>6.</w:t>
            </w:r>
          </w:p>
        </w:tc>
        <w:tc>
          <w:tcPr>
            <w:tcW w:w="9120" w:type="dxa"/>
            <w:vAlign w:val="bottom"/>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 669,145 (1)(2)</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ind w:left="10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 669,145 (1)(2)</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 9.   AGGREGATE AMOUNT BENEFICIALLY OWNED BY EACH REPORTING PERSON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 669,145 (1)(2)</w:t>
      </w:r>
    </w:p>
    <w:p>
      <w:pPr>
        <w:spacing w:after="0" w:line="36" w:lineRule="exact"/>
        <w:rPr>
          <w:sz w:val="20"/>
          <w:szCs w:val="20"/>
          <w:color w:val="auto"/>
        </w:rPr>
      </w:pPr>
    </w:p>
    <w:p>
      <w:pPr>
        <w:ind w:left="564" w:right="2440" w:hanging="407"/>
        <w:spacing w:after="0" w:line="358" w:lineRule="exact"/>
        <w:tabs>
          <w:tab w:leader="none" w:pos="5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64" w:right="5320" w:hanging="407"/>
        <w:spacing w:after="0" w:line="398" w:lineRule="auto"/>
        <w:tabs>
          <w:tab w:leader="none" w:pos="5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 PERCENT OF CLASS REPRESENTED BY AMOUNT IN ROW (9)  2.5% (3)</w:t>
      </w:r>
    </w:p>
    <w:p>
      <w:pPr>
        <w:ind w:left="564" w:right="6580" w:hanging="407"/>
        <w:spacing w:after="0" w:line="547" w:lineRule="auto"/>
        <w:tabs>
          <w:tab w:leader="none" w:pos="5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 TYPE OF REPORTING PERSON (see instructions)  PN</w:t>
      </w:r>
    </w:p>
    <w:p>
      <w:pPr>
        <w:spacing w:after="0" w:line="1" w:lineRule="exact"/>
        <w:rPr>
          <w:rFonts w:ascii="Arial" w:cs="Arial" w:eastAsia="Arial" w:hAnsi="Arial"/>
          <w:sz w:val="18"/>
          <w:szCs w:val="18"/>
          <w:color w:val="auto"/>
        </w:rPr>
      </w:pPr>
    </w:p>
    <w:p>
      <w:pPr>
        <w:ind w:left="424" w:right="20" w:hanging="424"/>
        <w:spacing w:after="0" w:line="255"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securities are held of record by TCG Crossover I.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20" w:hanging="424"/>
        <w:spacing w:after="0" w:line="265"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669,145 shares of Common Stock. This total excludes (i) 334,573 shares of Common Stock issuable upon exercise of certain Tranche I Warrants because the Tranche 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and (ii) 405,528 shares of Common Stock issuable upon exercise of certain Tranche II Warrants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w:t>
      </w:r>
    </w:p>
    <w:p>
      <w:pPr>
        <w:spacing w:after="0" w:line="1" w:lineRule="exact"/>
        <w:rPr>
          <w:rFonts w:ascii="Arial" w:cs="Arial" w:eastAsia="Arial" w:hAnsi="Arial"/>
          <w:sz w:val="17"/>
          <w:szCs w:val="17"/>
          <w:color w:val="auto"/>
        </w:rPr>
      </w:pPr>
    </w:p>
    <w:p>
      <w:pPr>
        <w:ind w:left="424" w:right="140" w:hanging="424"/>
        <w:spacing w:after="0" w:line="323"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total of 27,023,038 shares outstanding, which is the sum of (i) 22,885,961 common shares outstanding as reported by the Issuer in the Prospectus, and (ii) 4,137,077 shares of common stock sold under the Issuer’s ATM program since June 30, 2023 as reported in the Prospectus.</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64"/>
        <w:spacing w:after="0"/>
        <w:rPr>
          <w:sz w:val="20"/>
          <w:szCs w:val="20"/>
          <w:color w:val="auto"/>
        </w:rPr>
      </w:pPr>
      <w:r>
        <w:rPr>
          <w:rFonts w:ascii="Arial" w:cs="Arial" w:eastAsia="Arial" w:hAnsi="Arial"/>
          <w:sz w:val="18"/>
          <w:szCs w:val="18"/>
          <w:color w:val="auto"/>
        </w:rPr>
        <w:t> 1.   NAMES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 Chen Yu</w:t>
      </w:r>
    </w:p>
    <w:p>
      <w:pPr>
        <w:spacing w:after="0" w:line="36"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 2.</w:t>
      </w:r>
      <w:r>
        <w:rPr>
          <w:sz w:val="20"/>
          <w:szCs w:val="20"/>
          <w:color w:val="auto"/>
        </w:rPr>
        <w:tab/>
      </w:r>
      <w:r>
        <w:rPr>
          <w:rFonts w:ascii="Arial" w:cs="Arial" w:eastAsia="Arial" w:hAnsi="Arial"/>
          <w:sz w:val="17"/>
          <w:szCs w:val="17"/>
          <w:color w:val="auto"/>
        </w:rPr>
        <w:t> CHECK THE APPROPRIATE BOX IF A MEMBER OF A GROUP (see instructions)</w:t>
      </w:r>
    </w:p>
    <w:p>
      <w:pPr>
        <w:spacing w:after="0" w:line="23" w:lineRule="exact"/>
        <w:rPr>
          <w:sz w:val="20"/>
          <w:szCs w:val="20"/>
          <w:color w:val="auto"/>
        </w:rPr>
      </w:pPr>
    </w:p>
    <w:p>
      <w:pPr>
        <w:ind w:left="564"/>
        <w:spacing w:after="0" w:line="207" w:lineRule="exact"/>
        <w:rPr>
          <w:sz w:val="20"/>
          <w:szCs w:val="20"/>
          <w:color w:val="auto"/>
        </w:rPr>
      </w:pPr>
      <w:r>
        <w:rPr>
          <w:rFonts w:ascii="Arial" w:cs="Arial" w:eastAsia="Arial" w:hAnsi="Arial"/>
          <w:sz w:val="18"/>
          <w:szCs w:val="18"/>
          <w:color w:val="auto"/>
        </w:rPr>
        <w:t xml:space="preserve">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65"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 3.</w:t>
      </w:r>
      <w:r>
        <w:rPr>
          <w:sz w:val="20"/>
          <w:szCs w:val="20"/>
          <w:color w:val="auto"/>
        </w:rPr>
        <w:tab/>
      </w:r>
      <w:r>
        <w:rPr>
          <w:rFonts w:ascii="Arial" w:cs="Arial" w:eastAsia="Arial" w:hAnsi="Arial"/>
          <w:sz w:val="16"/>
          <w:szCs w:val="16"/>
          <w:color w:val="auto"/>
        </w:rPr>
        <w:t> SEC USE ONLY</w:t>
      </w:r>
    </w:p>
    <w:p>
      <w:pPr>
        <w:spacing w:after="0" w:line="279" w:lineRule="exact"/>
        <w:rPr>
          <w:sz w:val="20"/>
          <w:szCs w:val="20"/>
          <w:color w:val="auto"/>
        </w:rPr>
      </w:pPr>
    </w:p>
    <w:p>
      <w:pPr>
        <w:ind w:left="164"/>
        <w:spacing w:after="0"/>
        <w:tabs>
          <w:tab w:leader="none" w:pos="544" w:val="left"/>
        </w:tabs>
        <w:rPr>
          <w:sz w:val="20"/>
          <w:szCs w:val="20"/>
          <w:color w:val="auto"/>
        </w:rPr>
      </w:pPr>
      <w:r>
        <w:rPr>
          <w:rFonts w:ascii="Arial" w:cs="Arial" w:eastAsia="Arial" w:hAnsi="Arial"/>
          <w:sz w:val="18"/>
          <w:szCs w:val="18"/>
          <w:color w:val="auto"/>
        </w:rPr>
        <w:t> 4.</w:t>
      </w:r>
      <w:r>
        <w:rPr>
          <w:sz w:val="20"/>
          <w:szCs w:val="20"/>
          <w:color w:val="auto"/>
        </w:rPr>
        <w:tab/>
      </w:r>
      <w:r>
        <w:rPr>
          <w:rFonts w:ascii="Arial" w:cs="Arial" w:eastAsia="Arial" w:hAnsi="Arial"/>
          <w:sz w:val="17"/>
          <w:szCs w:val="17"/>
          <w:color w:val="auto"/>
        </w:rPr>
        <w:t> CITIZENSHIP OR PLACE OF ORGANIZATION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 United States of America</w:t>
      </w:r>
    </w:p>
    <w:p>
      <w:pPr>
        <w:spacing w:after="0" w:line="36"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128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3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SHARES  </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120" w:type="dxa"/>
            <w:vAlign w:val="bottom"/>
          </w:tcPr>
          <w:p>
            <w:pPr>
              <w:ind w:left="100"/>
              <w:spacing w:after="0"/>
              <w:rPr>
                <w:sz w:val="20"/>
                <w:szCs w:val="20"/>
                <w:color w:val="auto"/>
              </w:rPr>
            </w:pPr>
            <w:r>
              <w:rPr>
                <w:rFonts w:ascii="Arial" w:cs="Arial" w:eastAsia="Arial" w:hAnsi="Arial"/>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 2,702,157 (1)(2)</w:t>
            </w:r>
          </w:p>
        </w:tc>
        <w:tc>
          <w:tcPr>
            <w:tcW w:w="0" w:type="dxa"/>
            <w:vAlign w:val="bottom"/>
          </w:tcPr>
          <w:p>
            <w:pPr>
              <w:spacing w:after="0"/>
              <w:rPr>
                <w:sz w:val="1"/>
                <w:szCs w:val="1"/>
                <w:color w:val="auto"/>
              </w:rPr>
            </w:pP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00"/>
              <w:spacing w:after="0" w:line="182" w:lineRule="exact"/>
              <w:rPr>
                <w:sz w:val="20"/>
                <w:szCs w:val="20"/>
                <w:color w:val="auto"/>
              </w:rPr>
            </w:pPr>
            <w:r>
              <w:rPr>
                <w:rFonts w:ascii="Arial" w:cs="Arial" w:eastAsia="Arial" w:hAnsi="Arial"/>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00"/>
              <w:spacing w:after="0"/>
              <w:rPr>
                <w:sz w:val="20"/>
                <w:szCs w:val="20"/>
                <w:color w:val="auto"/>
              </w:rPr>
            </w:pPr>
            <w:r>
              <w:rPr>
                <w:rFonts w:ascii="Arial" w:cs="Arial" w:eastAsia="Arial" w:hAnsi="Arial"/>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 2,702,157 (1)(2)</w:t>
      </w:r>
    </w:p>
    <w:p>
      <w:pPr>
        <w:spacing w:after="0" w:line="36"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 9.   AGGREGATE AMOUNT BENEFICIALLY OWNED BY EACH REPORTING PERSON</w:t>
      </w:r>
    </w:p>
    <w:p>
      <w:pPr>
        <w:spacing w:after="0" w:line="252" w:lineRule="exact"/>
        <w:rPr>
          <w:sz w:val="20"/>
          <w:szCs w:val="20"/>
          <w:color w:val="auto"/>
        </w:rPr>
      </w:pPr>
    </w:p>
    <w:p>
      <w:pPr>
        <w:ind w:left="564"/>
        <w:spacing w:after="0"/>
        <w:rPr>
          <w:sz w:val="20"/>
          <w:szCs w:val="20"/>
          <w:color w:val="auto"/>
        </w:rPr>
      </w:pPr>
      <w:r>
        <w:rPr>
          <w:rFonts w:ascii="Arial" w:cs="Arial" w:eastAsia="Arial" w:hAnsi="Arial"/>
          <w:sz w:val="18"/>
          <w:szCs w:val="18"/>
          <w:color w:val="auto"/>
        </w:rPr>
        <w:t> 2,702,157 (1)(2)</w:t>
      </w:r>
    </w:p>
    <w:p>
      <w:pPr>
        <w:spacing w:after="0" w:line="36" w:lineRule="exact"/>
        <w:rPr>
          <w:sz w:val="20"/>
          <w:szCs w:val="20"/>
          <w:color w:val="auto"/>
        </w:rPr>
      </w:pPr>
    </w:p>
    <w:p>
      <w:pPr>
        <w:ind w:left="564" w:right="2440" w:hanging="407"/>
        <w:spacing w:after="0" w:line="358" w:lineRule="exact"/>
        <w:tabs>
          <w:tab w:leader="none" w:pos="5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 CHECK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8"/>
          <w:szCs w:val="18"/>
          <w:color w:val="auto"/>
        </w:rPr>
      </w:pPr>
    </w:p>
    <w:p>
      <w:pPr>
        <w:ind w:left="564" w:right="5320" w:hanging="407"/>
        <w:spacing w:after="0" w:line="398" w:lineRule="auto"/>
        <w:tabs>
          <w:tab w:leader="none" w:pos="5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 PERCENT OF CLASS REPRESENTED BY AMOUNT IN ROW (9)  9.9% (1)(3)</w:t>
      </w:r>
    </w:p>
    <w:p>
      <w:pPr>
        <w:ind w:left="564" w:right="6580" w:hanging="407"/>
        <w:spacing w:after="0" w:line="547" w:lineRule="auto"/>
        <w:tabs>
          <w:tab w:leader="none" w:pos="5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 TYPE OF REPORTING PERSON (see instructions)  IN</w:t>
      </w:r>
    </w:p>
    <w:p>
      <w:pPr>
        <w:spacing w:after="0" w:line="1" w:lineRule="exact"/>
        <w:rPr>
          <w:rFonts w:ascii="Arial" w:cs="Arial" w:eastAsia="Arial" w:hAnsi="Arial"/>
          <w:sz w:val="18"/>
          <w:szCs w:val="18"/>
          <w:color w:val="auto"/>
        </w:rPr>
      </w:pPr>
    </w:p>
    <w:p>
      <w:pPr>
        <w:ind w:left="424" w:right="60" w:hanging="424"/>
        <w:spacing w:after="0" w:line="283"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(i) 2,007,435 shares of Common Stock held of record by TCG Crossover II, (ii) 25,577 shares of Common Stock issuable upon exercise of certain Tranche I Warrants held of record by TCG Crossover II, and (iii) 669,145 shares of Common Stock held of record by TCG Crossover I. This total excludes (a) 978,141 shares of Common Stock issuable upon exercise of certain Tranche I Warrants held of record by TCG Crossover II, and 334,573 shares of Common Stock issuable upon exercise of certain Tranche I Warrants held of record by TCG Crossover I because the Tranche 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 and (b) 1,216,585 shares of Common Stock issuable upon exercise of certain Tranche II Warrants held of record by TCG Crossover II, and 405,528 shares of Common Stock issuable upon exercise of certain Tranche II Warrants held of record by TCG Crossover I because the Tranche II Warrants may not be exercised to the extent that doing so would result in the holder of the warrants (together with the holder’s affiliates and any other persons acting as a group together with the holder or any of the holder’s affiliates) beneficially owning more than 9.99% of the shares of Common Stock then outstanding.</w:t>
      </w:r>
    </w:p>
    <w:p>
      <w:pPr>
        <w:spacing w:after="0" w:line="3" w:lineRule="exact"/>
        <w:rPr>
          <w:rFonts w:ascii="Arial" w:cs="Arial" w:eastAsia="Arial" w:hAnsi="Arial"/>
          <w:sz w:val="16"/>
          <w:szCs w:val="16"/>
          <w:color w:val="auto"/>
        </w:rPr>
      </w:pPr>
    </w:p>
    <w:p>
      <w:pPr>
        <w:ind w:left="424" w:right="120" w:hanging="424"/>
        <w:spacing w:after="0" w:line="265"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TCG Crossover GP II is the general partner of TCG Crossover II and may be deemed to have voting, investment, and dispositive power with respect to the securities held of record by TCG Crossover II. TCG Crossover GP I is the general partner of TCG Crossover I and may be deemed to have voting, investment, and dispositive power with respect to the securities held of record by TCG Crossover I. Chen Yu is the sole managing member of each of TCG Crossover GP II and TCG Crossover GP I and may be deemed to share voting, investment and dispositive power with respect to the securities held of record by each of TCG Crossover II and TCG Crossover I.</w:t>
      </w:r>
    </w:p>
    <w:p>
      <w:pPr>
        <w:ind w:left="424" w:right="140" w:hanging="424"/>
        <w:spacing w:after="0" w:line="30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a total of 27,048,615 shares outstanding, which is the sum of (i) 22,885,961 common shares outstanding as reported by the Issuer in the Prospectus, (ii) 4,137,077 shares of common stock sold under the Issuer’s ATM program since June 30, 2023 as reported in the Prospectus, and (iii) 25,577 shares of the Common Stock issuable upon exercise of Tranche I Warrants held of record by TCG Crossover II.</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Vistagen Therapeutics, Inc. (the “Issuer”).</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South San Francisco, CA 94080</w:t>
      </w:r>
    </w:p>
    <w:p>
      <w:pPr>
        <w:spacing w:after="0" w:line="35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 w:right="120"/>
        <w:spacing w:after="0" w:line="254" w:lineRule="auto"/>
        <w:rPr>
          <w:sz w:val="20"/>
          <w:szCs w:val="20"/>
          <w:color w:val="auto"/>
        </w:rPr>
      </w:pPr>
      <w:r>
        <w:rPr>
          <w:rFonts w:ascii="Arial" w:cs="Arial" w:eastAsia="Arial" w:hAnsi="Arial"/>
          <w:sz w:val="18"/>
          <w:szCs w:val="18"/>
          <w:color w:val="auto"/>
        </w:rPr>
        <w:t xml:space="preserve">This joint statement on Schedule 13G is being filed by TCG Crossover Fund II, L.P. (“TCG Crossover II”), TCG Crossover GP II, LLC (“TCG Crossover GP II”) TCG Crossover Fund I, L.P. (“TCG Crossover I”), TCG Crossover GP I, LLC (“TCG Crossover GP I” and together with TCG Crossover I, TCG Crossover GP I,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w:t>
      </w:r>
      <w:r>
        <w:rPr>
          <w:rFonts w:ascii="Arial" w:cs="Arial" w:eastAsia="Arial" w:hAnsi="Arial"/>
          <w:sz w:val="18"/>
          <w:szCs w:val="18"/>
          <w:u w:val="single" w:color="auto"/>
          <w:color w:val="auto"/>
        </w:rPr>
        <w:t>Exhibit 1</w:t>
      </w:r>
      <w:r>
        <w:rPr>
          <w:rFonts w:ascii="Arial" w:cs="Arial" w:eastAsia="Arial" w:hAnsi="Arial"/>
          <w:sz w:val="18"/>
          <w:szCs w:val="18"/>
          <w:color w:val="auto"/>
        </w:rPr>
        <w:t>.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336"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8"/>
          <w:szCs w:val="18"/>
          <w:b w:val="1"/>
          <w:bCs w:val="1"/>
          <w:color w:val="auto"/>
        </w:rPr>
        <w:t>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address of the principal business office of each Reporting Person is 705 High St., Palo Alto, CA 94301.</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TCG Crossover GP II and TCG Crossover GP I are each limited liability companies organized under the laws of the State of Delaware. TCG Crossover</w:t>
      </w:r>
    </w:p>
    <w:p>
      <w:pPr>
        <w:spacing w:after="0" w:line="46" w:lineRule="exact"/>
        <w:rPr>
          <w:sz w:val="20"/>
          <w:szCs w:val="20"/>
          <w:color w:val="auto"/>
        </w:rPr>
      </w:pPr>
    </w:p>
    <w:p>
      <w:pPr>
        <w:ind w:left="4" w:right="200" w:hanging="4"/>
        <w:spacing w:after="0" w:line="260" w:lineRule="auto"/>
        <w:tabs>
          <w:tab w:leader="none" w:pos="1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TCG Crossover I are limited partnerships organized under the laws of the State of Delaware. The Reporting Individual is a citizen of the United States of America.</w:t>
      </w:r>
    </w:p>
    <w:p>
      <w:pPr>
        <w:spacing w:after="0" w:line="33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 $0.001 par value (“Common Stock”).</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92840H400</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9 of the cover page for each Reporting Person and the corresponding footnotes.*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 and the corresponding footnotes.*</w:t>
      </w:r>
    </w:p>
    <w:p>
      <w:pPr>
        <w:spacing w:after="0" w:line="225" w:lineRule="exact"/>
        <w:rPr>
          <w:sz w:val="20"/>
          <w:szCs w:val="20"/>
          <w:color w:val="auto"/>
        </w:rPr>
      </w:pPr>
    </w:p>
    <w:p>
      <w:pPr>
        <w:ind w:left="684" w:hanging="244"/>
        <w:spacing w:after="0"/>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984" w:right="4540" w:hanging="990"/>
        <w:spacing w:after="0" w:line="527" w:lineRule="auto"/>
        <w:rPr>
          <w:sz w:val="20"/>
          <w:szCs w:val="20"/>
          <w:color w:val="auto"/>
        </w:rPr>
      </w:pPr>
      <w:r>
        <w:rPr>
          <w:rFonts w:ascii="Arial" w:cs="Arial" w:eastAsia="Arial" w:hAnsi="Arial"/>
          <w:sz w:val="18"/>
          <w:szCs w:val="18"/>
          <w:color w:val="auto"/>
        </w:rPr>
        <w:t>See Row 5 of the cover page for each Reporting Person and the corresponding footnotes.* (ii) Shared power to vote or to direct the vote</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See Row 6 of the cover page for each Reporting Person and the corresponding footnotes.*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7 of the cover page for each Reporting Person and the corresponding footnotes.*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8 of the cover page for each Reporting Person and the corresponding footnotes.*</w:t>
      </w:r>
    </w:p>
    <w:p>
      <w:pPr>
        <w:spacing w:after="0" w:line="252" w:lineRule="exact"/>
        <w:rPr>
          <w:sz w:val="20"/>
          <w:szCs w:val="20"/>
          <w:color w:val="auto"/>
        </w:rPr>
      </w:pPr>
    </w:p>
    <w:p>
      <w:pPr>
        <w:ind w:left="424" w:right="46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to the extent of his or its pecuniary interest therein, each Reporting Person disclaims beneficial ownership of such shares of Common Stock, except for the shares, if any, such Reporting Person holds of record.</w:t>
      </w:r>
    </w:p>
    <w:p>
      <w:pPr>
        <w:sectPr>
          <w:pgSz w:w="11900" w:h="16838" w:orient="portrait"/>
          <w:cols w:equalWidth="0" w:num="1">
            <w:col w:w="11024"/>
          </w:cols>
          <w:pgMar w:left="436" w:top="274" w:right="439" w:bottom="1440" w:gutter="0" w:footer="0" w:header="0"/>
        </w:sectPr>
      </w:pP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24" w:space="560"/>
            <w:col w:w="994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24"/>
          </w:cols>
          <w:pgMar w:left="436" w:top="274" w:right="4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24" w:space="560"/>
            <w:col w:w="9940"/>
          </w:cols>
          <w:pgMar w:left="436" w:top="274" w:right="439" w:bottom="1440" w:gutter="0" w:footer="0" w:header="0"/>
          <w:type w:val="continuous"/>
        </w:sectPr>
      </w:pPr>
    </w:p>
    <w:p>
      <w:pPr>
        <w:ind w:left="4" w:right="80"/>
        <w:spacing w:after="0" w:line="259" w:lineRule="auto"/>
        <w:rPr>
          <w:sz w:val="20"/>
          <w:szCs w:val="20"/>
          <w:color w:val="auto"/>
        </w:rPr>
      </w:pPr>
      <w:r>
        <w:rPr>
          <w:rFonts w:ascii="Arial" w:cs="Arial" w:eastAsia="Arial" w:hAnsi="Arial"/>
          <w:sz w:val="18"/>
          <w:szCs w:val="18"/>
          <w:color w:val="auto"/>
        </w:rPr>
        <w:t>Under certain circumstances set forth in the limited partnership agreements of each of TCG Crossover II and TCG Crossover I and the limited liability company agreements of each of TCG Crossover GP II and TCG Crossover GP 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ectPr>
          <w:pgSz w:w="11900" w:h="16838" w:orient="portrait"/>
          <w:cols w:equalWidth="0" w:num="1">
            <w:col w:w="11024"/>
          </w:cols>
          <w:pgMar w:left="436" w:top="274" w:right="439" w:bottom="1440" w:gutter="0" w:footer="0" w:header="0"/>
          <w:type w:val="continuous"/>
        </w:sectPr>
      </w:pPr>
    </w:p>
    <w:p>
      <w:pPr>
        <w:spacing w:after="0" w:line="3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7.</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24" w:space="560"/>
            <w:col w:w="994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24"/>
          </w:cols>
          <w:pgMar w:left="436" w:top="274" w:right="4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24" w:space="560"/>
            <w:col w:w="994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24"/>
          </w:cols>
          <w:pgMar w:left="436" w:top="274" w:right="439" w:bottom="1440" w:gutter="0" w:footer="0" w:header="0"/>
          <w:type w:val="continuous"/>
        </w:sectPr>
      </w:pP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the Group.</w:t>
      </w:r>
    </w:p>
    <w:p>
      <w:pPr>
        <w:spacing w:after="0" w:line="144" w:lineRule="exact"/>
        <w:rPr>
          <w:sz w:val="20"/>
          <w:szCs w:val="20"/>
          <w:color w:val="auto"/>
        </w:rPr>
      </w:pPr>
    </w:p>
    <w:p>
      <w:pPr>
        <w:sectPr>
          <w:pgSz w:w="11900" w:h="16838" w:orient="portrait"/>
          <w:cols w:equalWidth="0" w:num="2">
            <w:col w:w="524" w:space="560"/>
            <w:col w:w="994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Material to be Filed as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Exhibit 1 – </w:t>
      </w:r>
      <w:r>
        <w:rPr>
          <w:rFonts w:ascii="Arial" w:cs="Arial" w:eastAsia="Arial" w:hAnsi="Arial"/>
          <w:sz w:val="16"/>
          <w:szCs w:val="16"/>
          <w:u w:val="single" w:color="auto"/>
          <w:color w:val="0000EE"/>
        </w:rPr>
        <w:t>Joint Filing Agreement</w:t>
      </w:r>
      <w:r>
        <w:rPr>
          <w:rFonts w:ascii="Arial" w:cs="Arial" w:eastAsia="Arial" w:hAnsi="Arial"/>
          <w:sz w:val="16"/>
          <w:szCs w:val="16"/>
          <w:color w:val="auto"/>
        </w:rPr>
        <w:t>.</w:t>
      </w:r>
    </w:p>
    <w:p>
      <w:pPr>
        <w:sectPr>
          <w:pgSz w:w="11900" w:h="16838" w:orient="portrait"/>
          <w:cols w:equalWidth="0" w:num="1">
            <w:col w:w="11024"/>
          </w:cols>
          <w:pgMar w:left="436" w:top="274"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92840H400</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TCG Crossover GP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Fund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TCG Crossover GP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GP 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Chen Yu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TCG Crossover GP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GP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Fund 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TCG Crossover GP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TCG Crossover GP 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Chen Yu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Chen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lvl w:ilvl="1">
      <w:lvlJc w:val="left"/>
      <w:lvlText w:val="%2."/>
      <w:numFmt w:val="decimal"/>
      <w:start w:val="10"/>
    </w:lvl>
  </w:abstractNum>
  <w:abstractNum w:abstractNumId="5">
    <w:nsid w:val="1190CDE7"/>
    <w:multiLevelType w:val="hybridMultilevel"/>
    <w:lvl w:ilvl="0">
      <w:lvlJc w:val="left"/>
      <w:lvlText w:val="(%1)"/>
      <w:numFmt w:val="decimal"/>
      <w:start w:val="1"/>
    </w:lvl>
    <w:lvl w:ilvl="1">
      <w:lvlJc w:val="left"/>
      <w:lvlText w:val="%2"/>
      <w:numFmt w:val="decimal"/>
      <w:start w:val="1"/>
    </w:lvl>
  </w:abstractNum>
  <w:abstractNum w:abstractNumId="6">
    <w:nsid w:val="66EF438D"/>
    <w:multiLevelType w:val="hybridMultilevel"/>
    <w:lvl w:ilvl="0">
      <w:lvlJc w:val="left"/>
      <w:lvlText w:val="%1"/>
      <w:numFmt w:val="decimal"/>
      <w:start w:val="1"/>
    </w:lvl>
    <w:lvl w:ilvl="1">
      <w:lvlJc w:val="left"/>
      <w:lvlText w:val="%2."/>
      <w:numFmt w:val="decimal"/>
      <w:start w:val="10"/>
    </w:lvl>
  </w:abstractNum>
  <w:abstractNum w:abstractNumId="7">
    <w:nsid w:val="140E0F76"/>
    <w:multiLevelType w:val="hybridMultilevel"/>
    <w:lvl w:ilvl="0">
      <w:lvlJc w:val="left"/>
      <w:lvlText w:val="(%1)"/>
      <w:numFmt w:val="decimal"/>
      <w:start w:val="1"/>
    </w:lvl>
    <w:lvl w:ilvl="1">
      <w:lvlJc w:val="left"/>
      <w:lvlText w:val="%2"/>
      <w:numFmt w:val="decimal"/>
      <w:start w:val="1"/>
    </w:lvl>
  </w:abstractNum>
  <w:abstractNum w:abstractNumId="8">
    <w:nsid w:val="3352255A"/>
    <w:multiLevelType w:val="hybridMultilevel"/>
    <w:lvl w:ilvl="0">
      <w:lvlJc w:val="left"/>
      <w:lvlText w:val="%1"/>
      <w:numFmt w:val="decimal"/>
      <w:start w:val="1"/>
    </w:lvl>
    <w:lvl w:ilvl="1">
      <w:lvlJc w:val="left"/>
      <w:lvlText w:val="%2."/>
      <w:numFmt w:val="decimal"/>
      <w:start w:val="10"/>
    </w:lvl>
  </w:abstractNum>
  <w:abstractNum w:abstractNumId="9">
    <w:nsid w:val="109CF92E"/>
    <w:multiLevelType w:val="hybridMultilevel"/>
    <w:lvl w:ilvl="0">
      <w:lvlJc w:val="left"/>
      <w:lvlText w:val="(%1)"/>
      <w:numFmt w:val="decimal"/>
      <w:start w:val="1"/>
    </w:lvl>
    <w:lvl w:ilvl="1">
      <w:lvlJc w:val="left"/>
      <w:lvlText w:val="%2"/>
      <w:numFmt w:val="decimal"/>
      <w:start w:val="1"/>
    </w:lvl>
  </w:abstractNum>
  <w:abstractNum w:abstractNumId="10">
    <w:nsid w:val="DED7263"/>
    <w:multiLevelType w:val="hybridMultilevel"/>
    <w:lvl w:ilvl="0">
      <w:lvlJc w:val="left"/>
      <w:lvlText w:val="%1"/>
      <w:numFmt w:val="decimal"/>
      <w:start w:val="1"/>
    </w:lvl>
    <w:lvl w:ilvl="1">
      <w:lvlJc w:val="left"/>
      <w:lvlText w:val="%2."/>
      <w:numFmt w:val="decimal"/>
      <w:start w:val="10"/>
    </w:lvl>
  </w:abstractNum>
  <w:abstractNum w:abstractNumId="11">
    <w:nsid w:val="7FDCC233"/>
    <w:multiLevelType w:val="hybridMultilevel"/>
    <w:lvl w:ilvl="0">
      <w:lvlJc w:val="left"/>
      <w:lvlText w:val="(%1)"/>
      <w:numFmt w:val="decimal"/>
      <w:start w:val="1"/>
    </w:lvl>
    <w:lvl w:ilvl="1">
      <w:lvlJc w:val="left"/>
      <w:lvlText w:val="%2"/>
      <w:numFmt w:val="decimal"/>
      <w:start w:val="1"/>
    </w:lvl>
  </w:abstractNum>
  <w:abstractNum w:abstractNumId="12">
    <w:nsid w:val="1BEFD79F"/>
    <w:multiLevelType w:val="hybridMultilevel"/>
    <w:lvl w:ilvl="0">
      <w:lvlJc w:val="left"/>
      <w:lvlText w:val="%1"/>
      <w:numFmt w:val="decimal"/>
      <w:start w:val="1"/>
    </w:lvl>
    <w:lvl w:ilvl="1">
      <w:lvlJc w:val="left"/>
      <w:lvlText w:val="%2."/>
      <w:numFmt w:val="decimal"/>
      <w:start w:val="10"/>
    </w:lvl>
  </w:abstractNum>
  <w:abstractNum w:abstractNumId="13">
    <w:nsid w:val="41A7C4C9"/>
    <w:multiLevelType w:val="hybridMultilevel"/>
    <w:lvl w:ilvl="0">
      <w:lvlJc w:val="left"/>
      <w:lvlText w:val="(%1)"/>
      <w:numFmt w:val="decimal"/>
      <w:start w:val="1"/>
    </w:lvl>
    <w:lvl w:ilvl="1">
      <w:lvlJc w:val="left"/>
      <w:lvlText w:val="%2"/>
      <w:numFmt w:val="decimal"/>
      <w:start w:val="1"/>
    </w:lvl>
  </w:abstractNum>
  <w:abstractNum w:abstractNumId="14">
    <w:nsid w:val="6B68079A"/>
    <w:multiLevelType w:val="hybridMultilevel"/>
    <w:lvl w:ilvl="0">
      <w:lvlJc w:val="left"/>
      <w:lvlText w:val="%1"/>
      <w:numFmt w:val="upperLetter"/>
      <w:start w:val="35"/>
    </w:lvl>
  </w:abstractNum>
  <w:abstractNum w:abstractNumId="15">
    <w:nsid w:val="4E6AFB66"/>
    <w:multiLevelType w:val="hybridMultilevel"/>
    <w:lvl w:ilvl="0">
      <w:lvlJc w:val="left"/>
      <w:lvlText w:val="(%1)"/>
      <w:numFmt w:val="lowerLetter"/>
      <w:start w:val="3"/>
    </w:lvl>
    <w:lvl w:ilvl="1">
      <w:lvlJc w:val="left"/>
      <w:lvlText w:val="(%2)"/>
      <w:numFmt w:val="lowerLetter"/>
      <w:start w:val="9"/>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2023-10-16T15:43:59Z</dcterms:created>
  <dcterms:modified xsi:type="dcterms:W3CDTF">2023-10-16T15:43:59Z</dcterms:modified>
</cp:coreProperties>
</file>