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333-221009</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10,000,000 Shares of Common Stock</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Warrants to Purchase up to 10,000,000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217170</wp:posOffset>
            </wp:positionV>
            <wp:extent cx="1191895" cy="926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1895" cy="926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right="160"/>
        <w:spacing w:after="0" w:line="254" w:lineRule="auto"/>
        <w:rPr>
          <w:sz w:val="20"/>
          <w:szCs w:val="20"/>
          <w:color w:val="auto"/>
        </w:rPr>
      </w:pPr>
      <w:r>
        <w:rPr>
          <w:rFonts w:ascii="Arial" w:cs="Arial" w:eastAsia="Arial" w:hAnsi="Arial"/>
          <w:sz w:val="18"/>
          <w:szCs w:val="18"/>
          <w:color w:val="auto"/>
        </w:rPr>
        <w:t>We are offering 10,000,000 shares of our common stock and warrants to purchase up to 10,000,000 shares of our common stock. Each share of common stock will be accompanied by a warrant to purchase one share of common stock for a combined public offering price of $1.50 per share and related warrant. The common stock and warrants are immediately separable but can only be purchased together in this offering. The warrants are exercisable immediately and expire five years from the date of issuance, at an exercise price per share equal to 100% of the combined public offering price per share of common stock and related warrant in this offering. The shares of our common stock issuable from time to time upon exercise of the warrants are also being offered pursuant to this prospectus.</w:t>
      </w:r>
    </w:p>
    <w:p>
      <w:pPr>
        <w:spacing w:after="0" w:line="198" w:lineRule="exact"/>
        <w:rPr>
          <w:sz w:val="24"/>
          <w:szCs w:val="24"/>
          <w:color w:val="auto"/>
        </w:rPr>
      </w:pPr>
    </w:p>
    <w:p>
      <w:pPr>
        <w:ind w:right="140"/>
        <w:spacing w:after="0" w:line="257" w:lineRule="auto"/>
        <w:rPr>
          <w:sz w:val="20"/>
          <w:szCs w:val="20"/>
          <w:color w:val="auto"/>
        </w:rPr>
      </w:pPr>
      <w:r>
        <w:rPr>
          <w:rFonts w:ascii="Arial" w:cs="Arial" w:eastAsia="Arial" w:hAnsi="Arial"/>
          <w:sz w:val="18"/>
          <w:szCs w:val="18"/>
          <w:color w:val="auto"/>
        </w:rPr>
        <w:t>Our common stock is presently traded on the NASDAQ Capital Market under the symbol “VTGN.” On December 12, 2017, the last reported sale price of our common stock was $1.18 per share. There is no established public trading market for the warrants being offered by this prospectus and we do not intend to have the warrants listed on a national securities exchange or any other recognized trading system in the future. Without an active market, the liquidity of any warrants sold by means of this prospectus will be limited</w:t>
      </w:r>
      <w:r>
        <w:rPr>
          <w:rFonts w:ascii="Arial" w:cs="Arial" w:eastAsia="Arial" w:hAnsi="Arial"/>
          <w:sz w:val="21"/>
          <w:szCs w:val="21"/>
          <w:color w:val="auto"/>
        </w:rPr>
        <w:t>.</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7 of this prospectus.</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4"/>
              </w:rPr>
              <w:t>Per Share and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2"/>
              <w:spacing w:after="0"/>
              <w:rPr>
                <w:sz w:val="20"/>
                <w:szCs w:val="20"/>
                <w:color w:val="auto"/>
              </w:rPr>
            </w:pPr>
            <w:r>
              <w:rPr>
                <w:rFonts w:ascii="Arial" w:cs="Arial" w:eastAsia="Arial" w:hAnsi="Arial"/>
                <w:sz w:val="18"/>
                <w:szCs w:val="18"/>
                <w:color w:val="auto"/>
                <w:w w:val="86"/>
              </w:rPr>
              <w:t>Related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7"/>
              </w:rPr>
              <w:t>Warrant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Combined public offering price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Underwriting discount </w:t>
            </w:r>
            <w:r>
              <w:rPr>
                <w:rFonts w:ascii="Arial" w:cs="Arial" w:eastAsia="Arial" w:hAnsi="Arial"/>
                <w:sz w:val="24"/>
                <w:szCs w:val="24"/>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0.1050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1,050,000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13,950,000</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_______________</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39" w:lineRule="exact"/>
        <w:rPr>
          <w:sz w:val="24"/>
          <w:szCs w:val="24"/>
          <w:color w:val="auto"/>
        </w:rPr>
      </w:pPr>
    </w:p>
    <w:p>
      <w:pPr>
        <w:ind w:left="360" w:right="440" w:hanging="352"/>
        <w:spacing w:after="0" w:line="268"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Please see the section titled “</w:t>
      </w:r>
      <w:r>
        <w:rPr>
          <w:rFonts w:ascii="Arial" w:cs="Arial" w:eastAsia="Arial" w:hAnsi="Arial"/>
          <w:sz w:val="18"/>
          <w:szCs w:val="18"/>
          <w:i w:val="1"/>
          <w:iCs w:val="1"/>
          <w:color w:val="auto"/>
        </w:rPr>
        <w:t>Underwriting</w:t>
      </w:r>
      <w:r>
        <w:rPr>
          <w:rFonts w:ascii="Arial" w:cs="Arial" w:eastAsia="Arial" w:hAnsi="Arial"/>
          <w:sz w:val="18"/>
          <w:szCs w:val="18"/>
          <w:color w:val="auto"/>
        </w:rPr>
        <w:t>” beginning on page 109 of this prospectus for additional information regarding the total compensation to be received by the underwriters.</w:t>
      </w:r>
    </w:p>
    <w:p>
      <w:pPr>
        <w:spacing w:after="0" w:line="118" w:lineRule="exact"/>
        <w:rPr>
          <w:sz w:val="24"/>
          <w:szCs w:val="24"/>
          <w:color w:val="auto"/>
        </w:rPr>
      </w:pPr>
    </w:p>
    <w:p>
      <w:pPr>
        <w:ind w:right="540"/>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The underwriters expect to deliver the shares of common stock and related warrants against payment on or about December 13, 2017.</w:t>
      </w:r>
    </w:p>
    <w:p>
      <w:pPr>
        <w:spacing w:after="0" w:line="219"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___________________________</w:t>
      </w:r>
    </w:p>
    <w:p>
      <w:pPr>
        <w:spacing w:after="0" w:line="164"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Sole Book-Running Manager</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Oppenheimer &amp; Co.</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Lead Manager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Chardan</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December 11,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0" w:type="dxa"/>
            <w:vAlign w:val="bottom"/>
            <w:tcBorders>
              <w:bottom w:val="single" w:sz="8" w:color="0000FF"/>
            </w:tcBorders>
            <w:gridSpan w:val="12"/>
            <w:shd w:val="clear" w:color="auto" w:fill="CCEEFF"/>
          </w:tcPr>
          <w:p>
            <w:pPr>
              <w:spacing w:after="0" w:line="176"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Forward-looking Statements</w:t>
              </w:r>
            </w:hyperlink>
          </w:p>
        </w:tc>
        <w:tc>
          <w:tcPr>
            <w:tcW w:w="8840" w:type="dxa"/>
            <w:vAlign w:val="bottom"/>
            <w:tcBorders>
              <w:bottom w:val="single" w:sz="8" w:color="CCEEFF"/>
            </w:tcBorders>
            <w:gridSpan w:val="9"/>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21"/>
          </w:tcPr>
          <w:p>
            <w:pPr>
              <w:spacing w:after="0" w:line="176" w:lineRule="exact"/>
              <w:rPr>
                <w:rFonts w:ascii="Arial" w:cs="Arial" w:eastAsia="Arial" w:hAnsi="Arial"/>
                <w:sz w:val="18"/>
                <w:szCs w:val="18"/>
                <w:color w:val="0000FF"/>
              </w:rPr>
            </w:pPr>
            <w:hyperlink w:anchor="page4">
              <w:r>
                <w:rPr>
                  <w:rFonts w:ascii="Arial" w:cs="Arial" w:eastAsia="Arial" w:hAnsi="Arial"/>
                  <w:sz w:val="18"/>
                  <w:szCs w:val="18"/>
                  <w:color w:val="0000FF"/>
                </w:rPr>
                <w:t>Prospectus Summary</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0000FF"/>
            </w:tcBorders>
            <w:gridSpan w:val="4"/>
            <w:shd w:val="clear" w:color="auto" w:fill="CCEEFF"/>
          </w:tcPr>
          <w:p>
            <w:pPr>
              <w:spacing w:after="0" w:line="176" w:lineRule="exact"/>
              <w:rPr>
                <w:rFonts w:ascii="Arial" w:cs="Arial" w:eastAsia="Arial" w:hAnsi="Arial"/>
                <w:sz w:val="18"/>
                <w:szCs w:val="18"/>
                <w:color w:val="0000FF"/>
                <w:w w:val="85"/>
              </w:rPr>
            </w:pPr>
            <w:hyperlink w:anchor="page10">
              <w:r>
                <w:rPr>
                  <w:rFonts w:ascii="Arial" w:cs="Arial" w:eastAsia="Arial" w:hAnsi="Arial"/>
                  <w:sz w:val="18"/>
                  <w:szCs w:val="18"/>
                  <w:color w:val="0000FF"/>
                  <w:w w:val="85"/>
                </w:rPr>
                <w:t>Risk Factors</w:t>
              </w:r>
            </w:hyperlink>
          </w:p>
        </w:tc>
        <w:tc>
          <w:tcPr>
            <w:tcW w:w="9960" w:type="dxa"/>
            <w:vAlign w:val="bottom"/>
            <w:tcBorders>
              <w:bottom w:val="single" w:sz="8" w:color="CCEEFF"/>
            </w:tcBorders>
            <w:gridSpan w:val="1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21"/>
          </w:tcPr>
          <w:p>
            <w:pPr>
              <w:spacing w:after="0" w:line="176" w:lineRule="exact"/>
              <w:rPr>
                <w:rFonts w:ascii="Arial" w:cs="Arial" w:eastAsia="Arial" w:hAnsi="Arial"/>
                <w:sz w:val="18"/>
                <w:szCs w:val="18"/>
                <w:color w:val="0000FF"/>
              </w:rPr>
            </w:pPr>
            <w:hyperlink w:anchor="page44">
              <w:r>
                <w:rPr>
                  <w:rFonts w:ascii="Arial" w:cs="Arial" w:eastAsia="Arial" w:hAnsi="Arial"/>
                  <w:sz w:val="18"/>
                  <w:szCs w:val="18"/>
                  <w:color w:val="0000FF"/>
                </w:rPr>
                <w:t>Use of Proceeds</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1"/>
            <w:shd w:val="clear" w:color="auto" w:fill="CCEEFF"/>
          </w:tcPr>
          <w:p>
            <w:pPr>
              <w:spacing w:after="0" w:line="176" w:lineRule="exact"/>
              <w:rPr>
                <w:rFonts w:ascii="Arial" w:cs="Arial" w:eastAsia="Arial" w:hAnsi="Arial"/>
                <w:sz w:val="18"/>
                <w:szCs w:val="18"/>
                <w:color w:val="0000FF"/>
              </w:rPr>
            </w:pPr>
            <w:hyperlink w:anchor="page45">
              <w:r>
                <w:rPr>
                  <w:rFonts w:ascii="Arial" w:cs="Arial" w:eastAsia="Arial" w:hAnsi="Arial"/>
                  <w:sz w:val="18"/>
                  <w:szCs w:val="18"/>
                  <w:color w:val="0000FF"/>
                </w:rPr>
                <w:t>Market for Our Common Stock</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Borders>
              <w:top w:val="single" w:sz="8" w:color="0000FF"/>
            </w:tcBorders>
            <w:gridSpan w:val="14"/>
          </w:tcPr>
          <w:p>
            <w:pPr>
              <w:spacing w:after="0" w:line="176" w:lineRule="exact"/>
              <w:rPr>
                <w:rFonts w:ascii="Arial" w:cs="Arial" w:eastAsia="Arial" w:hAnsi="Arial"/>
                <w:sz w:val="18"/>
                <w:szCs w:val="18"/>
                <w:color w:val="0000FF"/>
              </w:rPr>
            </w:pPr>
            <w:hyperlink w:anchor="page46">
              <w:r>
                <w:rPr>
                  <w:rFonts w:ascii="Arial" w:cs="Arial" w:eastAsia="Arial" w:hAnsi="Arial"/>
                  <w:sz w:val="18"/>
                  <w:szCs w:val="18"/>
                  <w:color w:val="0000FF"/>
                </w:rPr>
                <w:t>Dividend Policy</w:t>
              </w:r>
            </w:hyperlink>
          </w:p>
        </w:tc>
        <w:tc>
          <w:tcPr>
            <w:tcW w:w="8640" w:type="dxa"/>
            <w:vAlign w:val="bottom"/>
            <w:tcBorders>
              <w:top w:val="single" w:sz="8" w:color="CCEEFF"/>
            </w:tcBorders>
            <w:gridSpan w:val="7"/>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42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0000FF"/>
            </w:tcBorders>
            <w:gridSpan w:val="2"/>
            <w:shd w:val="clear" w:color="auto" w:fill="CCEEFF"/>
          </w:tcPr>
          <w:p>
            <w:pPr>
              <w:spacing w:after="0" w:line="176" w:lineRule="exact"/>
              <w:rPr>
                <w:rFonts w:ascii="Arial" w:cs="Arial" w:eastAsia="Arial" w:hAnsi="Arial"/>
                <w:sz w:val="18"/>
                <w:szCs w:val="18"/>
                <w:color w:val="0000FF"/>
                <w:w w:val="93"/>
              </w:rPr>
            </w:pPr>
            <w:hyperlink w:anchor="page47">
              <w:r>
                <w:rPr>
                  <w:rFonts w:ascii="Arial" w:cs="Arial" w:eastAsia="Arial" w:hAnsi="Arial"/>
                  <w:sz w:val="18"/>
                  <w:szCs w:val="18"/>
                  <w:color w:val="0000FF"/>
                  <w:w w:val="93"/>
                </w:rPr>
                <w:t>Dilution</w:t>
              </w:r>
            </w:hyperlink>
          </w:p>
        </w:tc>
        <w:tc>
          <w:tcPr>
            <w:tcW w:w="10260" w:type="dxa"/>
            <w:vAlign w:val="bottom"/>
            <w:tcBorders>
              <w:bottom w:val="single" w:sz="8" w:color="CCEEFF"/>
            </w:tcBorders>
            <w:gridSpan w:val="19"/>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21"/>
          </w:tcPr>
          <w:p>
            <w:pPr>
              <w:spacing w:after="0" w:line="176" w:lineRule="exact"/>
              <w:rPr>
                <w:rFonts w:ascii="Arial" w:cs="Arial" w:eastAsia="Arial" w:hAnsi="Arial"/>
                <w:sz w:val="18"/>
                <w:szCs w:val="18"/>
                <w:color w:val="0000FF"/>
              </w:rPr>
            </w:pPr>
            <w:hyperlink w:anchor="page48">
              <w:r>
                <w:rPr>
                  <w:rFonts w:ascii="Arial" w:cs="Arial" w:eastAsia="Arial" w:hAnsi="Arial"/>
                  <w:sz w:val="18"/>
                  <w:szCs w:val="18"/>
                  <w:color w:val="0000FF"/>
                </w:rPr>
                <w:t>Capitalization</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21"/>
            <w:shd w:val="clear" w:color="auto" w:fill="CCEEFF"/>
          </w:tcPr>
          <w:p>
            <w:pPr>
              <w:spacing w:after="0" w:line="176" w:lineRule="exact"/>
              <w:rPr>
                <w:rFonts w:ascii="Arial" w:cs="Arial" w:eastAsia="Arial" w:hAnsi="Arial"/>
                <w:sz w:val="18"/>
                <w:szCs w:val="18"/>
                <w:color w:val="0000FF"/>
              </w:rPr>
            </w:pPr>
            <w:hyperlink w:anchor="page49">
              <w:r>
                <w:rPr>
                  <w:rFonts w:ascii="Arial" w:cs="Arial" w:eastAsia="Arial" w:hAnsi="Arial"/>
                  <w:sz w:val="18"/>
                  <w:szCs w:val="18"/>
                  <w:color w:val="0000FF"/>
                </w:rPr>
                <w:t>Selected Consolidated Financial Data</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21"/>
          </w:tcPr>
          <w:p>
            <w:pPr>
              <w:spacing w:after="0" w:line="176" w:lineRule="exact"/>
              <w:rPr>
                <w:rFonts w:ascii="Arial" w:cs="Arial" w:eastAsia="Arial" w:hAnsi="Arial"/>
                <w:sz w:val="18"/>
                <w:szCs w:val="18"/>
                <w:color w:val="0000FF"/>
              </w:rPr>
            </w:pPr>
            <w:hyperlink w:anchor="page50">
              <w:r>
                <w:rPr>
                  <w:rFonts w:ascii="Arial" w:cs="Arial" w:eastAsia="Arial" w:hAnsi="Arial"/>
                  <w:sz w:val="18"/>
                  <w:szCs w:val="18"/>
                  <w:color w:val="0000FF"/>
                </w:rPr>
                <w:t>Management’s Discussion and Analysis of Financial Condition and Results of Operations</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tcBorders>
              <w:bottom w:val="single" w:sz="8" w:color="0000FF"/>
            </w:tcBorders>
            <w:gridSpan w:val="3"/>
            <w:shd w:val="clear" w:color="auto" w:fill="CCEEFF"/>
          </w:tcPr>
          <w:p>
            <w:pPr>
              <w:spacing w:after="0" w:line="176" w:lineRule="exact"/>
              <w:rPr>
                <w:rFonts w:ascii="Arial" w:cs="Arial" w:eastAsia="Arial" w:hAnsi="Arial"/>
                <w:sz w:val="18"/>
                <w:szCs w:val="18"/>
                <w:color w:val="0000FF"/>
                <w:w w:val="82"/>
              </w:rPr>
            </w:pPr>
            <w:hyperlink w:anchor="page69">
              <w:r>
                <w:rPr>
                  <w:rFonts w:ascii="Arial" w:cs="Arial" w:eastAsia="Arial" w:hAnsi="Arial"/>
                  <w:sz w:val="18"/>
                  <w:szCs w:val="18"/>
                  <w:color w:val="0000FF"/>
                  <w:w w:val="82"/>
                </w:rPr>
                <w:t>Business</w:t>
              </w:r>
            </w:hyperlink>
          </w:p>
        </w:tc>
        <w:tc>
          <w:tcPr>
            <w:tcW w:w="10220" w:type="dxa"/>
            <w:vAlign w:val="bottom"/>
            <w:tcBorders>
              <w:bottom w:val="single" w:sz="8" w:color="CCEEFF"/>
            </w:tcBorders>
            <w:gridSpan w:val="18"/>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21"/>
          </w:tcPr>
          <w:p>
            <w:pPr>
              <w:spacing w:after="0" w:line="176" w:lineRule="exact"/>
              <w:rPr>
                <w:rFonts w:ascii="Arial" w:cs="Arial" w:eastAsia="Arial" w:hAnsi="Arial"/>
                <w:sz w:val="18"/>
                <w:szCs w:val="18"/>
                <w:color w:val="0000FF"/>
              </w:rPr>
            </w:pPr>
            <w:hyperlink w:anchor="page88">
              <w:r>
                <w:rPr>
                  <w:rFonts w:ascii="Arial" w:cs="Arial" w:eastAsia="Arial" w:hAnsi="Arial"/>
                  <w:sz w:val="18"/>
                  <w:szCs w:val="18"/>
                  <w:color w:val="0000FF"/>
                </w:rPr>
                <w:t>Directors and Executive Officers</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83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60" w:type="dxa"/>
            <w:vAlign w:val="bottom"/>
            <w:tcBorders>
              <w:bottom w:val="single" w:sz="8" w:color="0000FF"/>
            </w:tcBorders>
            <w:gridSpan w:val="19"/>
            <w:shd w:val="clear" w:color="auto" w:fill="CCEEFF"/>
          </w:tcPr>
          <w:p>
            <w:pPr>
              <w:spacing w:after="0" w:line="176" w:lineRule="exact"/>
              <w:rPr>
                <w:rFonts w:ascii="Arial" w:cs="Arial" w:eastAsia="Arial" w:hAnsi="Arial"/>
                <w:sz w:val="18"/>
                <w:szCs w:val="18"/>
                <w:color w:val="0000FF"/>
                <w:w w:val="88"/>
              </w:rPr>
            </w:pPr>
            <w:hyperlink w:anchor="page102">
              <w:r>
                <w:rPr>
                  <w:rFonts w:ascii="Arial" w:cs="Arial" w:eastAsia="Arial" w:hAnsi="Arial"/>
                  <w:sz w:val="18"/>
                  <w:szCs w:val="18"/>
                  <w:color w:val="0000FF"/>
                  <w:w w:val="88"/>
                </w:rPr>
                <w:t>Security Ownership of Certain Beneficial Owners and Management</w:t>
              </w:r>
            </w:hyperlink>
          </w:p>
        </w:tc>
        <w:tc>
          <w:tcPr>
            <w:tcW w:w="6080" w:type="dxa"/>
            <w:vAlign w:val="bottom"/>
            <w:tcBorders>
              <w:bottom w:val="single" w:sz="8" w:color="CCEEFF"/>
            </w:tcBorders>
            <w:gridSpan w:val="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21"/>
          </w:tcPr>
          <w:p>
            <w:pPr>
              <w:spacing w:after="0" w:line="176" w:lineRule="exact"/>
              <w:rPr>
                <w:rFonts w:ascii="Arial" w:cs="Arial" w:eastAsia="Arial" w:hAnsi="Arial"/>
                <w:sz w:val="18"/>
                <w:szCs w:val="18"/>
                <w:color w:val="0000FF"/>
              </w:rPr>
            </w:pPr>
            <w:hyperlink w:anchor="page108">
              <w:r>
                <w:rPr>
                  <w:rFonts w:ascii="Arial" w:cs="Arial" w:eastAsia="Arial" w:hAnsi="Arial"/>
                  <w:sz w:val="18"/>
                  <w:szCs w:val="18"/>
                  <w:color w:val="0000FF"/>
                </w:rPr>
                <w:t>Certain Relationships and Related Transactions</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93"/>
              </w:rPr>
              <w:t>103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40" w:type="dxa"/>
            <w:vAlign w:val="bottom"/>
            <w:tcBorders>
              <w:bottom w:val="single" w:sz="8" w:color="0000FF"/>
            </w:tcBorders>
            <w:gridSpan w:val="11"/>
            <w:shd w:val="clear" w:color="auto" w:fill="CCEEFF"/>
          </w:tcPr>
          <w:p>
            <w:pPr>
              <w:spacing w:after="0" w:line="176" w:lineRule="exact"/>
              <w:rPr>
                <w:rFonts w:ascii="Arial" w:cs="Arial" w:eastAsia="Arial" w:hAnsi="Arial"/>
                <w:sz w:val="18"/>
                <w:szCs w:val="18"/>
                <w:color w:val="0000FF"/>
                <w:w w:val="88"/>
              </w:rPr>
            </w:pPr>
            <w:hyperlink w:anchor="page109">
              <w:r>
                <w:rPr>
                  <w:rFonts w:ascii="Arial" w:cs="Arial" w:eastAsia="Arial" w:hAnsi="Arial"/>
                  <w:sz w:val="18"/>
                  <w:szCs w:val="18"/>
                  <w:color w:val="0000FF"/>
                  <w:w w:val="88"/>
                </w:rPr>
                <w:t>Description of Securities</w:t>
              </w:r>
            </w:hyperlink>
          </w:p>
        </w:tc>
        <w:tc>
          <w:tcPr>
            <w:tcW w:w="9100" w:type="dxa"/>
            <w:vAlign w:val="bottom"/>
            <w:tcBorders>
              <w:bottom w:val="single" w:sz="8" w:color="CCEEFF"/>
            </w:tcBorders>
            <w:gridSpan w:val="10"/>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21"/>
          </w:tcPr>
          <w:p>
            <w:pPr>
              <w:spacing w:after="0" w:line="176" w:lineRule="exact"/>
              <w:rPr>
                <w:sz w:val="20"/>
                <w:szCs w:val="20"/>
                <w:color w:val="auto"/>
              </w:rPr>
            </w:pPr>
            <w:r>
              <w:rPr>
                <w:rFonts w:ascii="Arial" w:cs="Arial" w:eastAsia="Arial" w:hAnsi="Arial"/>
                <w:sz w:val="18"/>
                <w:szCs w:val="18"/>
                <w:color w:val="0000FF"/>
              </w:rPr>
              <w:t>Underwriting</w:t>
            </w:r>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93"/>
              </w:rPr>
              <w:t>109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1"/>
            <w:shd w:val="clear" w:color="auto" w:fill="CCEEFF"/>
          </w:tcPr>
          <w:p>
            <w:pPr>
              <w:spacing w:after="0" w:line="176" w:lineRule="exact"/>
              <w:rPr>
                <w:rFonts w:ascii="Arial" w:cs="Arial" w:eastAsia="Arial" w:hAnsi="Arial"/>
                <w:sz w:val="18"/>
                <w:szCs w:val="18"/>
                <w:color w:val="0000FF"/>
              </w:rPr>
            </w:pPr>
            <w:hyperlink w:anchor="page118">
              <w:r>
                <w:rPr>
                  <w:rFonts w:ascii="Arial" w:cs="Arial" w:eastAsia="Arial" w:hAnsi="Arial"/>
                  <w:sz w:val="18"/>
                  <w:szCs w:val="18"/>
                  <w:color w:val="0000FF"/>
                </w:rPr>
                <w:t>Legal Matters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tcBorders>
              <w:top w:val="single" w:sz="8" w:color="0000FF"/>
            </w:tcBorders>
            <w:gridSpan w:val="6"/>
          </w:tcPr>
          <w:p>
            <w:pPr>
              <w:spacing w:after="0" w:line="176" w:lineRule="exact"/>
              <w:rPr>
                <w:rFonts w:ascii="Arial" w:cs="Arial" w:eastAsia="Arial" w:hAnsi="Arial"/>
                <w:sz w:val="18"/>
                <w:szCs w:val="18"/>
                <w:color w:val="0000FF"/>
              </w:rPr>
            </w:pPr>
            <w:hyperlink w:anchor="page118">
              <w:r>
                <w:rPr>
                  <w:rFonts w:ascii="Arial" w:cs="Arial" w:eastAsia="Arial" w:hAnsi="Arial"/>
                  <w:sz w:val="18"/>
                  <w:szCs w:val="18"/>
                  <w:color w:val="0000FF"/>
                </w:rPr>
                <w:t>Experts</w:t>
              </w:r>
            </w:hyperlink>
          </w:p>
        </w:tc>
        <w:tc>
          <w:tcPr>
            <w:tcW w:w="9880" w:type="dxa"/>
            <w:vAlign w:val="bottom"/>
            <w:tcBorders>
              <w:top w:val="single" w:sz="8" w:color="CCEEFF"/>
            </w:tcBorders>
            <w:gridSpan w:val="15"/>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1"/>
            <w:shd w:val="clear" w:color="auto" w:fill="CCEEFF"/>
          </w:tcPr>
          <w:p>
            <w:pPr>
              <w:spacing w:after="0" w:line="176" w:lineRule="exact"/>
              <w:rPr>
                <w:rFonts w:ascii="Arial" w:cs="Arial" w:eastAsia="Arial" w:hAnsi="Arial"/>
                <w:sz w:val="18"/>
                <w:szCs w:val="18"/>
                <w:color w:val="0000FF"/>
              </w:rPr>
            </w:pPr>
            <w:hyperlink w:anchor="page118">
              <w:r>
                <w:rPr>
                  <w:rFonts w:ascii="Arial" w:cs="Arial" w:eastAsia="Arial" w:hAnsi="Arial"/>
                  <w:sz w:val="18"/>
                  <w:szCs w:val="18"/>
                  <w:color w:val="0000FF"/>
                </w:rPr>
                <w:t>Where You Can Find More Information</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tcBorders>
              <w:top w:val="single" w:sz="8" w:color="0000FF"/>
            </w:tcBorders>
            <w:gridSpan w:val="17"/>
          </w:tcPr>
          <w:p>
            <w:pPr>
              <w:spacing w:after="0" w:line="176" w:lineRule="exact"/>
              <w:rPr>
                <w:rFonts w:ascii="Arial" w:cs="Arial" w:eastAsia="Arial" w:hAnsi="Arial"/>
                <w:sz w:val="18"/>
                <w:szCs w:val="18"/>
                <w:color w:val="0000FF"/>
              </w:rPr>
            </w:pPr>
            <w:hyperlink w:anchor="page119">
              <w:r>
                <w:rPr>
                  <w:rFonts w:ascii="Arial" w:cs="Arial" w:eastAsia="Arial" w:hAnsi="Arial"/>
                  <w:sz w:val="18"/>
                  <w:szCs w:val="18"/>
                  <w:color w:val="0000FF"/>
                </w:rPr>
                <w:t>Index to Financial Statements</w:t>
              </w:r>
            </w:hyperlink>
          </w:p>
        </w:tc>
        <w:tc>
          <w:tcPr>
            <w:tcW w:w="8060" w:type="dxa"/>
            <w:vAlign w:val="bottom"/>
            <w:tcBorders>
              <w:top w:val="single" w:sz="8" w:color="CCEEFF"/>
            </w:tcBorders>
            <w:gridSpan w:val="4"/>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6"/>
              </w:rPr>
              <w:t>114</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ABOUT THIS PROSPECTUS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Neither we nor the underwriters have authorized anyone to provide you with information that is different from that contained in this prospectus or in any free writing prospectus we may authorize to be delivered or made available to you. We take no responsibility for, and can provide no assurance as to the reliability of, any other information that others may give you. We and the underwriters are offering to sell shares of common stock and related warrants and seeking offers to buy shares of common stock and related warrants only in jurisdictions where offers and sales are permitted. The information contained in this prospectus is accurate only as of the date on the front of this prospectus, regardless of the time of delivery of this prospectus or any sale of shares of our common stock and related warrants.</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in any jurisdiction where action for that purpose is required, other than the U.S. You are required to inform yourself about, and to observe any restrictions relating to, this offering and the distribution of this prospectus.</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prospectus includes industry and market data that we obtained from industry publications, internal estimates and other third-party sources. These sources may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17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the registration statement of which this prospectus forms a part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285750</wp:posOffset>
            </wp:positionV>
            <wp:extent cx="7031990" cy="764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PROSPECTUS SUMMARY</w:t>
      </w:r>
    </w:p>
    <w:p>
      <w:pPr>
        <w:spacing w:after="0" w:line="252" w:lineRule="exact"/>
        <w:rPr>
          <w:sz w:val="20"/>
          <w:szCs w:val="20"/>
          <w:color w:val="auto"/>
        </w:rPr>
      </w:pPr>
    </w:p>
    <w:p>
      <w:pPr>
        <w:ind w:left="340" w:right="160"/>
        <w:spacing w:after="0" w:line="343"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of the information you should consider in making your investment decision. Before deciding to invest in our common stock, you should read this entire prospectus carefully, including the sections of this prospectus entitled “Risk Factors” and “Management’s Discussion and Analysis of Financial Condition and Results of Operations” and our consolidated financial statements and related notes contained elsewhere in this prospectus. Unless the context otherwise requires, the words “VistaGen Therapeutics, Inc.” “VistaGen,” “we,” “the Company,” “us” and “our” refer to VistaGen Therapeutics, Inc., a Nevada corporation. “VistaStem Therapeutics, Inc.” and “VistaGen California” refers to our wholly owned subsidiary, VistaGen Therapeutics, Inc., a California corporation doing business as VistaStem Therapeutics, Inc.</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ind w:left="340" w:right="80"/>
        <w:spacing w:after="0" w:line="256"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 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VistaGen Therapeutics, Inc., a Nevada corporation. All references to future quarters and years in this prospectus refer to calendar quarters and calendar years, unless reference is made otherwise.</w:t>
      </w:r>
    </w:p>
    <w:p>
      <w:pPr>
        <w:spacing w:after="0" w:line="197" w:lineRule="exact"/>
        <w:rPr>
          <w:sz w:val="20"/>
          <w:szCs w:val="20"/>
          <w:color w:val="auto"/>
        </w:rPr>
      </w:pPr>
    </w:p>
    <w:p>
      <w:pPr>
        <w:ind w:left="340" w:right="140"/>
        <w:spacing w:after="0" w:line="289" w:lineRule="auto"/>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xml:space="preserve">)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such as aripiprazole, often used adjunctively to augment them. We believe AV-101 also has potential as a non-opioid treatment alternative for neuropathic pain, as well as several additional CNS indications </w:t>
      </w:r>
      <w:r>
        <w:rPr>
          <w:rFonts w:ascii="Arial" w:cs="Arial" w:eastAsia="Arial" w:hAnsi="Arial"/>
          <w:sz w:val="16"/>
          <w:szCs w:val="16"/>
          <w:color w:val="333333"/>
        </w:rPr>
        <w:t>where modulation of the NMDA receptors, activation of AMPA pathways and/or key active metabolites of AV-101 may</w:t>
      </w:r>
      <w:r>
        <w:rPr>
          <w:rFonts w:ascii="Arial" w:cs="Arial" w:eastAsia="Arial" w:hAnsi="Arial"/>
          <w:sz w:val="16"/>
          <w:szCs w:val="16"/>
          <w:color w:val="auto"/>
        </w:rPr>
        <w:t xml:space="preserve"> </w:t>
      </w:r>
      <w:r>
        <w:rPr>
          <w:rFonts w:ascii="Arial" w:cs="Arial" w:eastAsia="Arial" w:hAnsi="Arial"/>
          <w:sz w:val="16"/>
          <w:szCs w:val="16"/>
          <w:color w:val="333333"/>
        </w:rPr>
        <w:t>achieve therapeutic benefit</w:t>
      </w:r>
      <w:r>
        <w:rPr>
          <w:rFonts w:ascii="Arial" w:cs="Arial" w:eastAsia="Arial" w:hAnsi="Arial"/>
          <w:sz w:val="16"/>
          <w:szCs w:val="16"/>
          <w:color w:val="000000"/>
        </w:rPr>
        <w:t>, including Parkinson’s disease levodopa -induced dyskinesia (</w:t>
      </w:r>
      <w:r>
        <w:rPr>
          <w:rFonts w:ascii="Arial" w:cs="Arial" w:eastAsia="Arial" w:hAnsi="Arial"/>
          <w:sz w:val="16"/>
          <w:szCs w:val="16"/>
          <w:i w:val="1"/>
          <w:iCs w:val="1"/>
          <w:color w:val="000000"/>
        </w:rPr>
        <w:t>PD LID</w:t>
      </w:r>
      <w:r>
        <w:rPr>
          <w:rFonts w:ascii="Arial" w:cs="Arial" w:eastAsia="Arial" w:hAnsi="Arial"/>
          <w:sz w:val="16"/>
          <w:szCs w:val="16"/>
          <w:color w:val="000000"/>
        </w:rPr>
        <w:t>), epilepsy and Huntington’s disease.</w:t>
      </w:r>
    </w:p>
    <w:p>
      <w:pPr>
        <w:spacing w:after="0" w:line="172" w:lineRule="exact"/>
        <w:rPr>
          <w:sz w:val="20"/>
          <w:szCs w:val="20"/>
          <w:color w:val="auto"/>
        </w:rPr>
      </w:pPr>
    </w:p>
    <w:p>
      <w:pPr>
        <w:ind w:left="340" w:right="140"/>
        <w:spacing w:after="0" w:line="291"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ketamine hydrochloride injection (</w:t>
      </w:r>
      <w:r>
        <w:rPr>
          <w:rFonts w:ascii="Arial" w:cs="Arial" w:eastAsia="Arial" w:hAnsi="Arial"/>
          <w:sz w:val="16"/>
          <w:szCs w:val="16"/>
          <w:i w:val="1"/>
          <w:iCs w:val="1"/>
          <w:color w:val="auto"/>
        </w:rPr>
        <w:t>ketamine</w:t>
      </w:r>
      <w:r>
        <w:rPr>
          <w:rFonts w:ascii="Arial" w:cs="Arial" w:eastAsia="Arial" w:hAnsi="Arial"/>
          <w:sz w:val="16"/>
          <w:szCs w:val="16"/>
          <w:color w:val="auto"/>
        </w:rPr>
        <w:t>), an ion-channel blocking NMDA receptor antagonist approved by the FDA as an anesthetic, in MDD patients with inadequate responses to multiple standard antidepressants. These NIMH studies, as well as clinical research at Yale University and other academic institutions, have demonstrated ketamine’s robust antidepressant effects in treatment-resistant MDD patients within twenty-four hours of a single sub-anesthetic dose administered by intravenous (</w:t>
      </w:r>
      <w:r>
        <w:rPr>
          <w:rFonts w:ascii="Arial" w:cs="Arial" w:eastAsia="Arial" w:hAnsi="Arial"/>
          <w:sz w:val="16"/>
          <w:szCs w:val="16"/>
          <w:i w:val="1"/>
          <w:iCs w:val="1"/>
          <w:color w:val="auto"/>
        </w:rPr>
        <w:t>IV</w:t>
      </w:r>
      <w:r>
        <w:rPr>
          <w:rFonts w:ascii="Arial" w:cs="Arial" w:eastAsia="Arial" w:hAnsi="Arial"/>
          <w:sz w:val="16"/>
          <w:szCs w:val="16"/>
          <w:color w:val="auto"/>
        </w:rPr>
        <w:t>) injection.</w:t>
      </w:r>
    </w:p>
    <w:p>
      <w:pPr>
        <w:spacing w:after="0" w:line="174"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 xml:space="preserve">We believe AV-101 may have potential to deliver ketamine-like antidepressant effects, without the need for IV administration and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Experimental Therapeutics, </w:t>
      </w:r>
      <w:r>
        <w:rPr>
          <w:rFonts w:ascii="Arial" w:cs="Arial" w:eastAsia="Arial" w:hAnsi="Arial"/>
          <w:sz w:val="16"/>
          <w:szCs w:val="16"/>
          <w:color w:val="auto"/>
        </w:rPr>
        <w:t>in an article titled,</w:t>
      </w:r>
      <w:r>
        <w:rPr>
          <w:rFonts w:ascii="Arial" w:cs="Arial" w:eastAsia="Arial" w:hAnsi="Arial"/>
          <w:sz w:val="16"/>
          <w:szCs w:val="16"/>
          <w:i w:val="1"/>
          <w:iCs w:val="1"/>
          <w:color w:val="auto"/>
        </w:rPr>
        <w:t xml:space="preserve"> 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 depression, AV-101 was shown to induce fast-acting, dose-dependent,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72"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currently funding, and Dr. Zarate, as Principal Investigator, and his team are currently conducting, a small Phase 2 clinical study of AV-101 as a monotherapy in subjects with treatment-resistant MDD (the </w:t>
      </w:r>
      <w:r>
        <w:rPr>
          <w:rFonts w:ascii="Arial" w:cs="Arial" w:eastAsia="Arial" w:hAnsi="Arial"/>
          <w:sz w:val="16"/>
          <w:szCs w:val="16"/>
          <w:i w:val="1"/>
          <w:iCs w:val="1"/>
          <w:color w:val="auto"/>
        </w:rPr>
        <w:t>NIMH AV-101 MDD Phase 2 Monotherapy Study</w:t>
      </w:r>
      <w:r>
        <w:rPr>
          <w:rFonts w:ascii="Arial" w:cs="Arial" w:eastAsia="Arial" w:hAnsi="Arial"/>
          <w:sz w:val="16"/>
          <w:szCs w:val="16"/>
          <w:color w:val="auto"/>
        </w:rPr>
        <w:t xml:space="preserve">). In October 2017, we received FDA authorization to launch our 180-patient Phase 2 multi-center, multi-dose, double blind, placebo-controlled efficacy and safety study of AV-101 as a new generation adjunctive treatment of MDD in adult patients with an inadequate therapeutic response to standard, FDA-approved antidepressants (the </w:t>
      </w:r>
      <w:r>
        <w:rPr>
          <w:rFonts w:ascii="Arial" w:cs="Arial" w:eastAsia="Arial" w:hAnsi="Arial"/>
          <w:sz w:val="16"/>
          <w:szCs w:val="16"/>
          <w:i w:val="1"/>
          <w:iCs w:val="1"/>
          <w:color w:val="auto"/>
        </w:rPr>
        <w:t>AV-101 MDD Phase 2 Adjunctive</w:t>
      </w:r>
      <w:r>
        <w:rPr>
          <w:rFonts w:ascii="Arial" w:cs="Arial" w:eastAsia="Arial" w:hAnsi="Arial"/>
          <w:sz w:val="16"/>
          <w:szCs w:val="16"/>
          <w:color w:val="auto"/>
        </w:rPr>
        <w:t xml:space="preserve"> </w:t>
      </w:r>
      <w:r>
        <w:rPr>
          <w:rFonts w:ascii="Arial" w:cs="Arial" w:eastAsia="Arial" w:hAnsi="Arial"/>
          <w:sz w:val="16"/>
          <w:szCs w:val="16"/>
          <w:i w:val="1"/>
          <w:iCs w:val="1"/>
          <w:color w:val="auto"/>
        </w:rPr>
        <w:t>Treatment Study</w:t>
      </w:r>
      <w:r>
        <w:rPr>
          <w:rFonts w:ascii="Arial" w:cs="Arial" w:eastAsia="Arial" w:hAnsi="Arial"/>
          <w:sz w:val="16"/>
          <w:szCs w:val="16"/>
          <w:color w:val="auto"/>
        </w:rPr>
        <w:t>). Subject to completion of this offering, we intend to launch the AV-101 MDD Phase 2 Adjunctive Treatment Study in the first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2018 with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as the Principal Investigator. Dr. Fava was the co-Principal Investigator with Dr. A. John Rush of the STAR*D study, the largest clinical trial conducted in depression to date, whose findings were published in journals such as the </w:t>
      </w:r>
      <w:r>
        <w:rPr>
          <w:rFonts w:ascii="Arial" w:cs="Arial" w:eastAsia="Arial" w:hAnsi="Arial"/>
          <w:sz w:val="16"/>
          <w:szCs w:val="16"/>
          <w:i w:val="1"/>
          <w:iCs w:val="1"/>
          <w:color w:val="auto"/>
        </w:rPr>
        <w:t>New England Journal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Medicine </w:t>
      </w:r>
      <w:r>
        <w:rPr>
          <w:rFonts w:ascii="Arial" w:cs="Arial" w:eastAsia="Arial" w:hAnsi="Arial"/>
          <w:sz w:val="16"/>
          <w:szCs w:val="16"/>
          <w:color w:val="auto"/>
        </w:rPr>
        <w:t>(</w:t>
      </w:r>
      <w:r>
        <w:rPr>
          <w:rFonts w:ascii="Arial" w:cs="Arial" w:eastAsia="Arial" w:hAnsi="Arial"/>
          <w:sz w:val="16"/>
          <w:szCs w:val="16"/>
          <w:i w:val="1"/>
          <w:iCs w:val="1"/>
          <w:color w:val="auto"/>
        </w:rPr>
        <w:t>NEJM</w:t>
      </w:r>
      <w:r>
        <w:rPr>
          <w:rFonts w:ascii="Arial" w:cs="Arial" w:eastAsia="Arial" w:hAnsi="Arial"/>
          <w:sz w:val="16"/>
          <w:szCs w:val="16"/>
          <w:color w:val="auto"/>
        </w:rPr>
        <w:t>) and the</w:t>
      </w:r>
      <w:r>
        <w:rPr>
          <w:rFonts w:ascii="Arial" w:cs="Arial" w:eastAsia="Arial" w:hAnsi="Arial"/>
          <w:sz w:val="16"/>
          <w:szCs w:val="16"/>
          <w:i w:val="1"/>
          <w:iCs w:val="1"/>
          <w:color w:val="auto"/>
        </w:rPr>
        <w:t xml:space="preserve"> Journal of the American Medical Association </w:t>
      </w:r>
      <w:r>
        <w:rPr>
          <w:rFonts w:ascii="Arial" w:cs="Arial" w:eastAsia="Arial" w:hAnsi="Arial"/>
          <w:sz w:val="16"/>
          <w:szCs w:val="16"/>
          <w:color w:val="auto"/>
        </w:rPr>
        <w:t>(</w:t>
      </w:r>
      <w:r>
        <w:rPr>
          <w:rFonts w:ascii="Arial" w:cs="Arial" w:eastAsia="Arial" w:hAnsi="Arial"/>
          <w:sz w:val="16"/>
          <w:szCs w:val="16"/>
          <w:i w:val="1"/>
          <w:iCs w:val="1"/>
          <w:color w:val="auto"/>
        </w:rPr>
        <w:t>JAMA</w:t>
      </w:r>
      <w:r>
        <w:rPr>
          <w:rFonts w:ascii="Arial" w:cs="Arial" w:eastAsia="Arial" w:hAnsi="Arial"/>
          <w:sz w:val="16"/>
          <w:szCs w:val="16"/>
          <w:color w:val="auto"/>
        </w:rPr>
        <w:t>). We expect to complete this study by the end of 2018, with top line</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available in the first quarter of 2019.</w:t>
      </w:r>
    </w:p>
    <w:p>
      <w:pPr>
        <w:sectPr>
          <w:pgSz w:w="11900" w:h="16838" w:orient="portrait"/>
          <w:cols w:equalWidth="0" w:num="1">
            <w:col w:w="10940"/>
          </w:cols>
          <w:pgMar w:left="240" w:top="131"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type w:val="continuous"/>
        </w:sectPr>
      </w:pPr>
    </w:p>
    <w:bookmarkStart w:id="4" w:name="page5"/>
    <w:bookmarkEnd w:id="4"/>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226060</wp:posOffset>
            </wp:positionH>
            <wp:positionV relativeFrom="page">
              <wp:posOffset>568960</wp:posOffset>
            </wp:positionV>
            <wp:extent cx="7031990" cy="7031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7031990"/>
                    </a:xfrm>
                    <a:prstGeom prst="rect">
                      <a:avLst/>
                    </a:prstGeom>
                    <a:noFill/>
                  </pic:spPr>
                </pic:pic>
              </a:graphicData>
            </a:graphic>
          </wp:anchor>
        </w:drawing>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pipeline. To advance potential RM applications of our cardiac stem cell technology, in December 2016, we exclusively sublicensed to BlueRock Therapeutics LP, a next generation RM company established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our exclusive sublicense agreement with BlueRock Therapeutics, we may pursue additional RM collaborations or licensing transactions involving blood, cartilage, and/or liver cells derived from hPSCs for (A) cell-based therapy, (B) cell repair therapy, and/or (C) tissue engineering.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World Health Organization (</w:t>
      </w:r>
      <w:r>
        <w:rPr>
          <w:rFonts w:ascii="Arial" w:cs="Arial" w:eastAsia="Arial" w:hAnsi="Arial"/>
          <w:sz w:val="18"/>
          <w:szCs w:val="18"/>
          <w:i w:val="1"/>
          <w:iCs w:val="1"/>
          <w:color w:val="auto"/>
        </w:rPr>
        <w:t>WHO</w:t>
      </w:r>
      <w:r>
        <w:rPr>
          <w:rFonts w:ascii="Arial" w:cs="Arial" w:eastAsia="Arial" w:hAnsi="Arial"/>
          <w:sz w:val="18"/>
          <w:szCs w:val="18"/>
          <w:color w:val="auto"/>
        </w:rPr>
        <w:t>) estimates that 300 million people worldwide are affected by depression. According to the NIH, major depression is one of the most common mental disorders in the U.S. The NIMH reports that, in 2014, approximately 16 million adults in the U.S. had at least one major depressive episode in the past year. According to the U.S. Centers for Disease Control and Prevention (</w:t>
      </w:r>
      <w:r>
        <w:rPr>
          <w:rFonts w:ascii="Arial" w:cs="Arial" w:eastAsia="Arial" w:hAnsi="Arial"/>
          <w:sz w:val="18"/>
          <w:szCs w:val="18"/>
          <w:i w:val="1"/>
          <w:iCs w:val="1"/>
          <w:color w:val="auto"/>
        </w:rPr>
        <w:t>CDC</w:t>
      </w:r>
      <w:r>
        <w:rPr>
          <w:rFonts w:ascii="Arial" w:cs="Arial" w:eastAsia="Arial" w:hAnsi="Arial"/>
          <w:sz w:val="18"/>
          <w:szCs w:val="18"/>
          <w:color w:val="auto"/>
        </w:rPr>
        <w:t>) one in 10 Americans over the age of 12 takes a standard, FDA-approved antidepressant.</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Most standard antidepressants target neurotransmitter reuptake inhibition – either serotonin (antidepressants known as </w:t>
      </w:r>
      <w:r>
        <w:rPr>
          <w:rFonts w:ascii="Arial" w:cs="Arial" w:eastAsia="Arial" w:hAnsi="Arial"/>
          <w:sz w:val="16"/>
          <w:szCs w:val="16"/>
          <w:i w:val="1"/>
          <w:iCs w:val="1"/>
          <w:color w:val="auto"/>
        </w:rPr>
        <w:t>SSRIs</w:t>
      </w:r>
      <w:r>
        <w:rPr>
          <w:rFonts w:ascii="Arial" w:cs="Arial" w:eastAsia="Arial" w:hAnsi="Arial"/>
          <w:sz w:val="16"/>
          <w:szCs w:val="16"/>
          <w:color w:val="auto"/>
        </w:rPr>
        <w:t xml:space="preserve">) or serotonin/norepinephrine (antidepressants known as </w:t>
      </w:r>
      <w:r>
        <w:rPr>
          <w:rFonts w:ascii="Arial" w:cs="Arial" w:eastAsia="Arial" w:hAnsi="Arial"/>
          <w:sz w:val="16"/>
          <w:szCs w:val="16"/>
          <w:i w:val="1"/>
          <w:iCs w:val="1"/>
          <w:color w:val="auto"/>
        </w:rPr>
        <w:t>SNRIs</w:t>
      </w:r>
      <w:r>
        <w:rPr>
          <w:rFonts w:ascii="Arial" w:cs="Arial" w:eastAsia="Arial" w:hAnsi="Arial"/>
          <w:sz w:val="16"/>
          <w:szCs w:val="16"/>
          <w:color w:val="auto"/>
        </w:rPr>
        <w:t>). Even when effective, these standard antidepressants take many weeks to achieve adequate therapeutic effects. Nearly two out of every three drug-treated depression patients do not obtain adequate therapeutic benefit from initial treatment with a standard antidepressant. Even after treatment with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(drugs such as aripiprazole), despite only modest potential therapeutic benefit and the significant risk of additional side effects.</w:t>
      </w:r>
    </w:p>
    <w:p>
      <w:pPr>
        <w:spacing w:after="0" w:line="172"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All standard antidepressants have risks of side effects, including, among others, anxiety, metabolic syndrome, sleep disturbance and sexual dysfunction. Adjunctive use of atypical antipsychotics to augment inadequately performing standard antidepressants may increase the risk of significant side effects, including, tardive dyskinesia, substantial weight gain, diabetes and heart disease, while offering only a modest potential increase in therapeutic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 xml:space="preserve">AV-101 is our oral CNS product candidate in Phase 2 development in the United States, initially focused as a new generation antidepressant for the adjunctive treatment of MDD patients with an inadequate therapeutic response to standard, FDA-approved antidepressants.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“The prodrug 4-chlorokynurenine causes ketamine-like antidepressant effects, but not side effects, by NMDA/glycineB-site inhibition,” using well-established preclinical models of depression, AV-101 was shown to induce fast-acting, dose-dependent, persistent and statistically significant ketamine-like antidepressant effects following a single treatment, responses equivalent to those seen with a single sub-anesthetic control dose of ketamine, but without the negative side effects seen with ketamine. In addition, these studies confirmed that the antidepressant effects of AV-101 were mediated through both inhibition of the GlyB site of NMDA receptors and activation of the AMPA receptor pathway in the brain, a key final common pathway feature of certain new generation antidepressants such as ketamine and AV-101, each with a MOA that is fundamentally different from all standard antidepressants and atypical antipsychotics used adjunctively to augment them.</w:t>
      </w:r>
    </w:p>
    <w:p>
      <w:pPr>
        <w:spacing w:after="0" w:line="1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completed two NIH-funded, randomized, double blind, placebo-controlled AV-101 Phase 1 safety studies. Currently, pursuant to our CRADA with the NIMH and Dr. Carlos Zarate, Jr., the NIMH is currently funding, and Dr. Zarate, as Principal Investigator, and his team are currently conducting, the NIMH AV-101 MDD Phase 2 Monotherapy Study. Although we are not involved in conducting this study, we currently anticipate that the NIMH will complete the NIMH AV-101 MDD Phase 2 Monotherapy Study during the first half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580" w:top="1131" w:right="69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7031990" cy="7306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730631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40"/>
        <w:spacing w:after="0" w:line="285" w:lineRule="auto"/>
        <w:rPr>
          <w:sz w:val="20"/>
          <w:szCs w:val="20"/>
          <w:color w:val="auto"/>
        </w:rPr>
      </w:pPr>
      <w:r>
        <w:rPr>
          <w:rFonts w:ascii="Arial" w:cs="Arial" w:eastAsia="Arial" w:hAnsi="Arial"/>
          <w:sz w:val="16"/>
          <w:szCs w:val="16"/>
          <w:color w:val="auto"/>
        </w:rPr>
        <w:t>We are preparing to begin the AV-101 MDD Phase 2 Adjunctive Treatment Study, which will test the safety, efficacy and tolerability of AV-101 as an adjunctive treatment of MDD in adult patients with an inadequate therapeutic response to standard, FDA-approved antidepressants. Subject to completion of this offering, we intend to launch the AV-101 MDD Phase 2 Adjunctive Treatment Study in the first quarter of 2018. In connection with our preparation for this study, as well as potential Phase 3 development and commercialization of AV-101, we, together with our contract manufacturing organization (</w:t>
      </w:r>
      <w:r>
        <w:rPr>
          <w:rFonts w:ascii="Arial" w:cs="Arial" w:eastAsia="Arial" w:hAnsi="Arial"/>
          <w:sz w:val="16"/>
          <w:szCs w:val="16"/>
          <w:i w:val="1"/>
          <w:iCs w:val="1"/>
          <w:color w:val="auto"/>
        </w:rPr>
        <w:t>CMO</w:t>
      </w:r>
      <w:r>
        <w:rPr>
          <w:rFonts w:ascii="Arial" w:cs="Arial" w:eastAsia="Arial" w:hAnsi="Arial"/>
          <w:sz w:val="16"/>
          <w:szCs w:val="16"/>
          <w:color w:val="auto"/>
        </w:rPr>
        <w:t>), developed a novel process for the production of AV-101 drug substance. We believe our new proprietary production process will significantly improve AV-101 manufacturing efficiency, thereby reducing the current and future cost of manufacturing AV-101 drug substance and improving the yield of AV-101 drug substance manufactured. While developing our new manufacturing process, our CMO produced a batch of AV-101 drug substance that contained certain impurities not within the limits set out by the International Conference on Harmonisation of Technical Requirements for Registration of Pharmaceuticals for Human Use (</w:t>
      </w:r>
      <w:r>
        <w:rPr>
          <w:rFonts w:ascii="Arial" w:cs="Arial" w:eastAsia="Arial" w:hAnsi="Arial"/>
          <w:sz w:val="16"/>
          <w:szCs w:val="16"/>
          <w:i w:val="1"/>
          <w:iCs w:val="1"/>
          <w:color w:val="auto"/>
        </w:rPr>
        <w:t>the ICH Guidelines</w:t>
      </w:r>
      <w:r>
        <w:rPr>
          <w:rFonts w:ascii="Arial" w:cs="Arial" w:eastAsia="Arial" w:hAnsi="Arial"/>
          <w:sz w:val="16"/>
          <w:szCs w:val="16"/>
          <w:color w:val="auto"/>
        </w:rPr>
        <w:t>). The FDA routinely utilizes the ICH Guidelines as an industry standard for development stage programs such as our AV-101 Phase 2 program. Consequently, the FDA placed a clinical hold on the launch of the AV-101 MDD Phase 2 Adjunctive Treatment Study until we either (a) further improved our AV-101 manufacturing process to remove the impurities or reduce the impurities below applicable limits in the ICH Guidelines, or (b) conducted a bridging toxicology study to qualify the impurities as safe for clinical use. In response to the FDA’s requests, we did both. We further improved our AV-101 manufacturing process, produced a new batch of AV-101 drug substance using the improved process, and now have analytical results from that batch showing that the impurities were reduced to a level below the limits of the ICH Guidelines. In addition, we conducted a bridging toxicology study, the results of which confirmed that the impurities were safe for clinical use.</w:t>
      </w:r>
    </w:p>
    <w:p>
      <w:pPr>
        <w:spacing w:after="0" w:line="178" w:lineRule="exact"/>
        <w:rPr>
          <w:sz w:val="20"/>
          <w:szCs w:val="20"/>
          <w:color w:val="auto"/>
        </w:rPr>
      </w:pPr>
    </w:p>
    <w:p>
      <w:pPr>
        <w:ind w:left="340" w:right="280"/>
        <w:spacing w:after="0" w:line="291" w:lineRule="auto"/>
        <w:rPr>
          <w:sz w:val="20"/>
          <w:szCs w:val="20"/>
          <w:color w:val="auto"/>
        </w:rPr>
      </w:pPr>
      <w:r>
        <w:rPr>
          <w:rFonts w:ascii="Arial" w:cs="Arial" w:eastAsia="Arial" w:hAnsi="Arial"/>
          <w:sz w:val="16"/>
          <w:szCs w:val="16"/>
          <w:color w:val="auto"/>
        </w:rPr>
        <w:t>The FDA also requested additional contraceptive protection in the upcoming clinical study until we complete preclinical reproductive toxicology studies that are routinely conducted later in stages of clinical development. Although previous toxicology studies for AV-101 do not suggest any reproductive organ involvement, and we have confirmed with the FDA that our proposed study is a Phase 2 study, we have implemented additional contraceptive measures in the revised protocol for the AV-101 MDD Phase 2 Adjunctive Treatment Study that will remain in effect until standard reproductive toxicology studies are completed in the ordinary course prior to commencement of Phase 3 development. We have confirmed with the FDA that our recently implemented contraceptive measures are appropriate for the current stage of development of AV-101.</w:t>
      </w:r>
    </w:p>
    <w:p>
      <w:pPr>
        <w:spacing w:after="0" w:line="174" w:lineRule="exact"/>
        <w:rPr>
          <w:sz w:val="20"/>
          <w:szCs w:val="20"/>
          <w:color w:val="auto"/>
        </w:rPr>
      </w:pPr>
    </w:p>
    <w:p>
      <w:pPr>
        <w:ind w:left="340" w:right="120"/>
        <w:spacing w:after="0" w:line="318" w:lineRule="auto"/>
        <w:rPr>
          <w:sz w:val="20"/>
          <w:szCs w:val="20"/>
          <w:color w:val="auto"/>
        </w:rPr>
      </w:pPr>
      <w:r>
        <w:rPr>
          <w:rFonts w:ascii="Arial" w:cs="Arial" w:eastAsia="Arial" w:hAnsi="Arial"/>
          <w:sz w:val="15"/>
          <w:szCs w:val="15"/>
          <w:color w:val="auto"/>
        </w:rPr>
        <w:t>In September 2017, we requested, and were granted, a pre-IND Type A meeting with the FDA’s Division of Psychiatry to discuss certain matters pertaining to our AV-101 development program and the AV-101 MDD Phase 2 Adjunctive Treatment Study. Subsequent to our Type A Meeting with the FDA, we submitted the supplemental data from our new manufacturing process, the bridging toxicology report and our study protocol, revised to address the FDA’s comments. These documents adequately addressed all concerns raised by the FDA to date. Consequently, on October 26, 2017, the FDA authorized us to proceed, under our Investigational New Drug (</w:t>
      </w:r>
      <w:r>
        <w:rPr>
          <w:rFonts w:ascii="Arial" w:cs="Arial" w:eastAsia="Arial" w:hAnsi="Arial"/>
          <w:sz w:val="15"/>
          <w:szCs w:val="15"/>
          <w:i w:val="1"/>
          <w:iCs w:val="1"/>
          <w:color w:val="auto"/>
        </w:rPr>
        <w:t>IND</w:t>
      </w:r>
      <w:r>
        <w:rPr>
          <w:rFonts w:ascii="Arial" w:cs="Arial" w:eastAsia="Arial" w:hAnsi="Arial"/>
          <w:sz w:val="15"/>
          <w:szCs w:val="15"/>
          <w:color w:val="auto"/>
        </w:rPr>
        <w:t>) application, with the AV-101 MDD Phase 2 Adjunctive Treatment Study.</w:t>
      </w:r>
    </w:p>
    <w:p>
      <w:pPr>
        <w:spacing w:after="0" w:line="154" w:lineRule="exact"/>
        <w:rPr>
          <w:sz w:val="20"/>
          <w:szCs w:val="20"/>
          <w:color w:val="auto"/>
        </w:rPr>
      </w:pPr>
    </w:p>
    <w:p>
      <w:pPr>
        <w:ind w:left="340"/>
        <w:spacing w:after="0" w:line="298" w:lineRule="auto"/>
        <w:rPr>
          <w:sz w:val="20"/>
          <w:szCs w:val="20"/>
          <w:color w:val="auto"/>
        </w:rPr>
      </w:pPr>
      <w:r>
        <w:rPr>
          <w:rFonts w:ascii="Arial" w:cs="Arial" w:eastAsia="Arial" w:hAnsi="Arial"/>
          <w:sz w:val="16"/>
          <w:szCs w:val="16"/>
          <w:color w:val="auto"/>
        </w:rPr>
        <w:t xml:space="preserve">We believe preclinical studies and Phase 1 safety studies support our hypothesis that AV-101 also has potential as a non-opioid treatment alternative for neuropathic pain, as well as several additional CNS indications </w:t>
      </w:r>
      <w:r>
        <w:rPr>
          <w:rFonts w:ascii="Arial" w:cs="Arial" w:eastAsia="Arial" w:hAnsi="Arial"/>
          <w:sz w:val="16"/>
          <w:szCs w:val="16"/>
          <w:color w:val="333333"/>
        </w:rPr>
        <w:t>where modulation of the NMDA receptors, activation of AMPA pathways and/or key</w:t>
      </w:r>
      <w:r>
        <w:rPr>
          <w:rFonts w:ascii="Arial" w:cs="Arial" w:eastAsia="Arial" w:hAnsi="Arial"/>
          <w:sz w:val="16"/>
          <w:szCs w:val="16"/>
          <w:color w:val="auto"/>
        </w:rPr>
        <w:t xml:space="preserve"> </w:t>
      </w:r>
      <w:r>
        <w:rPr>
          <w:rFonts w:ascii="Arial" w:cs="Arial" w:eastAsia="Arial" w:hAnsi="Arial"/>
          <w:sz w:val="16"/>
          <w:szCs w:val="16"/>
          <w:color w:val="333333"/>
        </w:rPr>
        <w:t>active metabolites of AV-101 may achieve therapeutic benefit</w:t>
      </w:r>
      <w:r>
        <w:rPr>
          <w:rFonts w:ascii="Arial" w:cs="Arial" w:eastAsia="Arial" w:hAnsi="Arial"/>
          <w:sz w:val="16"/>
          <w:szCs w:val="16"/>
          <w:color w:val="000000"/>
        </w:rPr>
        <w:t>, including PD LID, epilepsy, and Huntington’s disease. We are beginning to plan</w:t>
      </w:r>
      <w:r>
        <w:rPr>
          <w:rFonts w:ascii="Arial" w:cs="Arial" w:eastAsia="Arial" w:hAnsi="Arial"/>
          <w:sz w:val="16"/>
          <w:szCs w:val="16"/>
          <w:color w:val="333333"/>
        </w:rPr>
        <w:t xml:space="preserve"> </w:t>
      </w:r>
      <w:r>
        <w:rPr>
          <w:rFonts w:ascii="Arial" w:cs="Arial" w:eastAsia="Arial" w:hAnsi="Arial"/>
          <w:sz w:val="16"/>
          <w:szCs w:val="16"/>
          <w:color w:val="000000"/>
        </w:rPr>
        <w:t>additional Phase 2 clinical studies to further evaluate the therapeutic potential of AV-101 beyond MDD.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ind w:left="340" w:right="20"/>
        <w:spacing w:after="0" w:line="285" w:lineRule="auto"/>
        <w:rPr>
          <w:sz w:val="20"/>
          <w:szCs w:val="20"/>
          <w:color w:val="auto"/>
        </w:rPr>
      </w:pPr>
      <w:r>
        <w:rPr>
          <w:rFonts w:ascii="Arial" w:cs="Arial" w:eastAsia="Arial" w:hAnsi="Arial"/>
          <w:sz w:val="16"/>
          <w:szCs w:val="16"/>
          <w:color w:val="auto"/>
        </w:rPr>
        <w:t xml:space="preserve">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bioassay system capable of predicting potential human heart toxicity of small molecule NCEs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long before they are ever tested in animal and human studies. Potential commercial applications of our stem cell technology platform involve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internally for NCE drug discovery and drug rescue to expand our proprietary drug candidate pipeline. Drug rescue involves leveraging substantial prior research and development investments by pharmaceutical companies and others related to public domain NCE programs terminated before FDA approval due to heart toxicity risks and RM and cellular therapies. To advance potential RM applications of our cardiac stem cell technology,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In a manner similar to the BlueRock Agreement,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0"/>
          </w:cols>
          <w:pgMar w:left="240" w:top="131" w:right="69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7023735" cy="4459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373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left="340" w:right="200"/>
        <w:spacing w:after="0" w:line="370" w:lineRule="auto"/>
        <w:rPr>
          <w:sz w:val="20"/>
          <w:szCs w:val="20"/>
          <w:color w:val="auto"/>
        </w:rPr>
      </w:pPr>
      <w:r>
        <w:rPr>
          <w:rFonts w:ascii="Arial" w:cs="Arial" w:eastAsia="Arial" w:hAnsi="Arial"/>
          <w:sz w:val="15"/>
          <w:szCs w:val="15"/>
          <w:color w:val="auto"/>
        </w:rPr>
        <w:t>Our business is subject to substantial risk. Please carefully consider the section titled “</w:t>
      </w:r>
      <w:r>
        <w:rPr>
          <w:rFonts w:ascii="Arial" w:cs="Arial" w:eastAsia="Arial" w:hAnsi="Arial"/>
          <w:sz w:val="15"/>
          <w:szCs w:val="15"/>
          <w:i w:val="1"/>
          <w:iCs w:val="1"/>
          <w:color w:val="auto"/>
        </w:rPr>
        <w:t>Risk Factors</w:t>
      </w:r>
      <w:r>
        <w:rPr>
          <w:rFonts w:ascii="Arial" w:cs="Arial" w:eastAsia="Arial" w:hAnsi="Arial"/>
          <w:sz w:val="15"/>
          <w:szCs w:val="15"/>
          <w:color w:val="auto"/>
        </w:rPr>
        <w:t>” on page 7 of this prospectus for a discussion of the factors you should carefully consider before deciding to purchase the securities offered by this prospectus. These risks include, among others:</w:t>
      </w:r>
    </w:p>
    <w:p>
      <w:pPr>
        <w:spacing w:after="0" w:line="116" w:lineRule="exact"/>
        <w:rPr>
          <w:sz w:val="20"/>
          <w:szCs w:val="20"/>
          <w:color w:val="auto"/>
        </w:rPr>
      </w:pPr>
    </w:p>
    <w:p>
      <w:pPr>
        <w:ind w:left="840" w:right="280" w:hanging="332"/>
        <w:spacing w:after="0" w:line="332" w:lineRule="auto"/>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are a development stage biopharmaceutical company with no current revenues or approved products, and limited experience developing new drug, biological and/or regenerative medicine candidates, which makes it difficult to assess our future viability;</w:t>
      </w:r>
    </w:p>
    <w:p>
      <w:pPr>
        <w:spacing w:after="0" w:line="4" w:lineRule="exact"/>
        <w:rPr>
          <w:rFonts w:ascii="Arial" w:cs="Arial" w:eastAsia="Arial" w:hAnsi="Arial"/>
          <w:sz w:val="16"/>
          <w:szCs w:val="16"/>
          <w:color w:val="auto"/>
        </w:rPr>
      </w:pPr>
    </w:p>
    <w:p>
      <w:pPr>
        <w:ind w:left="840" w:right="240" w:hanging="332"/>
        <w:spacing w:after="0" w:line="268"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depend heavily on the success of AV-101, and we cannot be certain that we will be able to obtain regulatory approval for, or successfully commercialize, AV-101, or any product candidate;</w:t>
      </w:r>
    </w:p>
    <w:p>
      <w:pPr>
        <w:spacing w:after="0" w:line="50" w:lineRule="exact"/>
        <w:rPr>
          <w:rFonts w:ascii="Arial" w:cs="Arial" w:eastAsia="Arial" w:hAnsi="Arial"/>
          <w:sz w:val="18"/>
          <w:szCs w:val="18"/>
          <w:color w:val="auto"/>
        </w:rPr>
      </w:pPr>
    </w:p>
    <w:p>
      <w:pPr>
        <w:ind w:left="840" w:right="20" w:hanging="332"/>
        <w:spacing w:after="0" w:line="268"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failures or delays in the commencement or completion of our planned clinical trials could delay, prevent or limit our ability to generate revenue and continue our business;</w:t>
      </w:r>
    </w:p>
    <w:p>
      <w:pPr>
        <w:spacing w:after="0" w:line="50" w:lineRule="exact"/>
        <w:rPr>
          <w:rFonts w:ascii="Arial" w:cs="Arial" w:eastAsia="Arial" w:hAnsi="Arial"/>
          <w:sz w:val="18"/>
          <w:szCs w:val="18"/>
          <w:color w:val="auto"/>
        </w:rPr>
      </w:pPr>
    </w:p>
    <w:p>
      <w:pPr>
        <w:ind w:left="840" w:right="400" w:hanging="332"/>
        <w:spacing w:after="0" w:line="268"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50" w:lineRule="exact"/>
        <w:rPr>
          <w:rFonts w:ascii="Arial" w:cs="Arial" w:eastAsia="Arial" w:hAnsi="Arial"/>
          <w:sz w:val="18"/>
          <w:szCs w:val="18"/>
          <w:color w:val="auto"/>
        </w:rPr>
      </w:pPr>
    </w:p>
    <w:p>
      <w:pPr>
        <w:ind w:left="840" w:hanging="3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some of our programs have been partially supported by government grants, which may not be available to us in the future;</w:t>
      </w:r>
    </w:p>
    <w:p>
      <w:pPr>
        <w:spacing w:after="0" w:line="90" w:lineRule="exact"/>
        <w:rPr>
          <w:rFonts w:ascii="Arial" w:cs="Arial" w:eastAsia="Arial" w:hAnsi="Arial"/>
          <w:sz w:val="18"/>
          <w:szCs w:val="18"/>
          <w:color w:val="auto"/>
        </w:rPr>
      </w:pPr>
    </w:p>
    <w:p>
      <w:pPr>
        <w:ind w:left="840" w:hanging="332"/>
        <w:spacing w:after="0" w:line="259"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59" w:lineRule="exact"/>
        <w:rPr>
          <w:rFonts w:ascii="Arial" w:cs="Arial" w:eastAsia="Arial" w:hAnsi="Arial"/>
          <w:sz w:val="18"/>
          <w:szCs w:val="18"/>
          <w:color w:val="auto"/>
        </w:rPr>
      </w:pPr>
    </w:p>
    <w:p>
      <w:pPr>
        <w:ind w:left="840" w:hanging="332"/>
        <w:spacing w:after="0"/>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will continue to incur substantial operating losses for the foreseeable future.</w:t>
      </w:r>
    </w:p>
    <w:p>
      <w:pPr>
        <w:spacing w:after="0" w:line="248" w:lineRule="exact"/>
        <w:rPr>
          <w:sz w:val="20"/>
          <w:szCs w:val="20"/>
          <w:color w:val="auto"/>
        </w:rPr>
      </w:pPr>
    </w:p>
    <w:p>
      <w:pPr>
        <w:ind w:left="340" w:right="460"/>
        <w:spacing w:after="0" w:line="268" w:lineRule="auto"/>
        <w:rPr>
          <w:sz w:val="20"/>
          <w:szCs w:val="20"/>
          <w:color w:val="auto"/>
        </w:rPr>
      </w:pPr>
      <w:r>
        <w:rPr>
          <w:rFonts w:ascii="Arial" w:cs="Arial" w:eastAsia="Arial" w:hAnsi="Arial"/>
          <w:sz w:val="18"/>
          <w:szCs w:val="18"/>
          <w:color w:val="auto"/>
        </w:rPr>
        <w:t>Additional risks and uncertainties not presently known to us or that we currently deem immaterial may also impair our business operations. You should be able to bear a complete loss of your investment.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340" w:right="140"/>
        <w:spacing w:after="0" w:line="298" w:lineRule="auto"/>
        <w:rPr>
          <w:sz w:val="20"/>
          <w:szCs w:val="20"/>
          <w:color w:val="auto"/>
        </w:rPr>
      </w:pPr>
      <w:r>
        <w:rPr>
          <w:rFonts w:ascii="Arial" w:cs="Arial" w:eastAsia="Arial" w:hAnsi="Arial"/>
          <w:sz w:val="16"/>
          <w:szCs w:val="16"/>
          <w:color w:val="auto"/>
        </w:rPr>
        <w:t xml:space="preserve">VistaGen Therapeutics, Inc., a Nevada corporation, is the parent of VistaGen Therapeutics, Inc. (dba VistaStem Therapeutics, Inc.), a wholly-owned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131" w:right="7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285750</wp:posOffset>
            </wp:positionV>
            <wp:extent cx="7031990" cy="706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1990" cy="706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340"/>
        <w:spacing w:after="0"/>
        <w:tabs>
          <w:tab w:leader="none" w:pos="340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VistaGen Therapeutics, Inc.</w:t>
      </w:r>
    </w:p>
    <w:p>
      <w:pPr>
        <w:spacing w:after="0" w:line="225" w:lineRule="exact"/>
        <w:rPr>
          <w:sz w:val="20"/>
          <w:szCs w:val="20"/>
          <w:color w:val="auto"/>
        </w:rPr>
      </w:pPr>
    </w:p>
    <w:p>
      <w:pPr>
        <w:ind w:left="340"/>
        <w:spacing w:after="0"/>
        <w:tabs>
          <w:tab w:leader="none" w:pos="340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5"/>
          <w:szCs w:val="15"/>
          <w:color w:val="auto"/>
        </w:rPr>
        <w:t>10,000,000 shares.</w:t>
      </w:r>
    </w:p>
    <w:p>
      <w:pPr>
        <w:spacing w:after="0" w:line="225" w:lineRule="exact"/>
        <w:rPr>
          <w:sz w:val="20"/>
          <w:szCs w:val="20"/>
          <w:color w:val="auto"/>
        </w:rPr>
      </w:pPr>
    </w:p>
    <w:p>
      <w:pPr>
        <w:ind w:left="340"/>
        <w:spacing w:after="0"/>
        <w:tabs>
          <w:tab w:leader="none" w:pos="3400" w:val="left"/>
        </w:tabs>
        <w:rPr>
          <w:sz w:val="20"/>
          <w:szCs w:val="20"/>
          <w:color w:val="auto"/>
        </w:rPr>
      </w:pPr>
      <w:r>
        <w:rPr>
          <w:rFonts w:ascii="Arial" w:cs="Arial" w:eastAsia="Arial" w:hAnsi="Arial"/>
          <w:sz w:val="18"/>
          <w:szCs w:val="18"/>
          <w:color w:val="auto"/>
        </w:rPr>
        <w:t>Common stock outstanding immediately</w:t>
      </w:r>
      <w:r>
        <w:rPr>
          <w:sz w:val="20"/>
          <w:szCs w:val="20"/>
          <w:color w:val="auto"/>
        </w:rPr>
        <w:tab/>
      </w:r>
      <w:r>
        <w:rPr>
          <w:rFonts w:ascii="Arial" w:cs="Arial" w:eastAsia="Arial" w:hAnsi="Arial"/>
          <w:sz w:val="15"/>
          <w:szCs w:val="15"/>
          <w:color w:val="auto"/>
        </w:rPr>
        <w:t>21,848,974 shares (assuming no exercise of the warrants offered hereby).</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this offering</w:t>
      </w:r>
    </w:p>
    <w:p>
      <w:pPr>
        <w:spacing w:after="0" w:line="219" w:lineRule="exact"/>
        <w:rPr>
          <w:sz w:val="20"/>
          <w:szCs w:val="20"/>
          <w:color w:val="auto"/>
        </w:rPr>
      </w:pPr>
    </w:p>
    <w:p>
      <w:pPr>
        <w:ind w:left="340"/>
        <w:spacing w:after="0"/>
        <w:tabs>
          <w:tab w:leader="none" w:pos="3400" w:val="left"/>
        </w:tabs>
        <w:rPr>
          <w:sz w:val="20"/>
          <w:szCs w:val="20"/>
          <w:color w:val="auto"/>
        </w:rPr>
      </w:pPr>
      <w:r>
        <w:rPr>
          <w:rFonts w:ascii="Arial" w:cs="Arial" w:eastAsia="Arial" w:hAnsi="Arial"/>
          <w:sz w:val="18"/>
          <w:szCs w:val="18"/>
          <w:color w:val="auto"/>
        </w:rPr>
        <w:t>Warrants offered by us</w:t>
      </w:r>
      <w:r>
        <w:rPr>
          <w:sz w:val="20"/>
          <w:szCs w:val="20"/>
          <w:color w:val="auto"/>
        </w:rPr>
        <w:tab/>
      </w:r>
      <w:r>
        <w:rPr>
          <w:rFonts w:ascii="Arial" w:cs="Arial" w:eastAsia="Arial" w:hAnsi="Arial"/>
          <w:sz w:val="15"/>
          <w:szCs w:val="15"/>
          <w:color w:val="auto"/>
        </w:rPr>
        <w:t>Warrants to purchase up to 10,000,000 shares of common stock. Each share of common stock sold in this</w:t>
      </w:r>
    </w:p>
    <w:p>
      <w:pPr>
        <w:spacing w:after="0" w:line="15" w:lineRule="exact"/>
        <w:rPr>
          <w:sz w:val="20"/>
          <w:szCs w:val="20"/>
          <w:color w:val="auto"/>
        </w:rPr>
      </w:pPr>
    </w:p>
    <w:p>
      <w:pPr>
        <w:ind w:left="3420" w:right="20"/>
        <w:spacing w:after="0" w:line="302" w:lineRule="auto"/>
        <w:rPr>
          <w:sz w:val="20"/>
          <w:szCs w:val="20"/>
          <w:color w:val="auto"/>
        </w:rPr>
      </w:pPr>
      <w:r>
        <w:rPr>
          <w:rFonts w:ascii="Arial" w:cs="Arial" w:eastAsia="Arial" w:hAnsi="Arial"/>
          <w:sz w:val="16"/>
          <w:szCs w:val="16"/>
          <w:color w:val="auto"/>
        </w:rPr>
        <w:t>offering will be accompanied by a warrant to purchase one share of our common stock, at an exercise price per share equal to 100% of the combined public offering price in this offering. The warrants will be immediately exercisable, and may be exercised for a period of five years following the date of issuance.</w:t>
      </w:r>
    </w:p>
    <w:p>
      <w:pPr>
        <w:spacing w:after="0" w:line="163" w:lineRule="exact"/>
        <w:rPr>
          <w:sz w:val="20"/>
          <w:szCs w:val="20"/>
          <w:color w:val="auto"/>
        </w:rPr>
      </w:pPr>
    </w:p>
    <w:p>
      <w:pPr>
        <w:ind w:left="340"/>
        <w:spacing w:after="0"/>
        <w:tabs>
          <w:tab w:leader="none" w:pos="340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5"/>
          <w:szCs w:val="15"/>
          <w:color w:val="auto"/>
        </w:rPr>
        <w:t>We intend to use the net proceeds from this offering for research and development, primarily related to the</w:t>
      </w:r>
    </w:p>
    <w:p>
      <w:pPr>
        <w:spacing w:after="0" w:line="15" w:lineRule="exact"/>
        <w:rPr>
          <w:sz w:val="20"/>
          <w:szCs w:val="20"/>
          <w:color w:val="auto"/>
        </w:rPr>
      </w:pPr>
    </w:p>
    <w:p>
      <w:pPr>
        <w:ind w:left="3420"/>
        <w:spacing w:after="0" w:line="255" w:lineRule="auto"/>
        <w:rPr>
          <w:sz w:val="20"/>
          <w:szCs w:val="20"/>
          <w:color w:val="auto"/>
        </w:rPr>
      </w:pPr>
      <w:r>
        <w:rPr>
          <w:rFonts w:ascii="Arial" w:cs="Arial" w:eastAsia="Arial" w:hAnsi="Arial"/>
          <w:sz w:val="18"/>
          <w:szCs w:val="18"/>
          <w:color w:val="auto"/>
        </w:rPr>
        <w:t>AV-101 MDD Phase 2 Adjunctive Treatment Study, ordinary course working capital needs and other general corporate purposes. See “</w:t>
      </w:r>
      <w:r>
        <w:rPr>
          <w:rFonts w:ascii="Arial" w:cs="Arial" w:eastAsia="Arial" w:hAnsi="Arial"/>
          <w:sz w:val="18"/>
          <w:szCs w:val="18"/>
          <w:i w:val="1"/>
          <w:iCs w:val="1"/>
          <w:color w:val="auto"/>
        </w:rPr>
        <w:t>Use of Proceeds</w:t>
      </w:r>
      <w:r>
        <w:rPr>
          <w:rFonts w:ascii="Arial" w:cs="Arial" w:eastAsia="Arial" w:hAnsi="Arial"/>
          <w:sz w:val="18"/>
          <w:szCs w:val="18"/>
          <w:color w:val="auto"/>
        </w:rPr>
        <w:t>” for additional information regarding the intended use of proceeds from this offering.</w:t>
      </w:r>
    </w:p>
    <w:p>
      <w:pPr>
        <w:sectPr>
          <w:pgSz w:w="11900" w:h="16838" w:orient="portrait"/>
          <w:cols w:equalWidth="0" w:num="1">
            <w:col w:w="10960"/>
          </w:cols>
          <w:pgMar w:left="240" w:top="131" w:right="699" w:bottom="1440" w:gutter="0" w:footer="0" w:header="0"/>
        </w:sectPr>
      </w:pPr>
    </w:p>
    <w:p>
      <w:pPr>
        <w:spacing w:after="0" w:line="30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Risk Factors</w:t>
      </w:r>
    </w:p>
    <w:p>
      <w:pPr>
        <w:spacing w:after="0" w:line="3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Listing</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ind w:right="120"/>
        <w:spacing w:after="0" w:line="370" w:lineRule="auto"/>
        <w:rPr>
          <w:sz w:val="20"/>
          <w:szCs w:val="20"/>
          <w:color w:val="auto"/>
        </w:rPr>
      </w:pPr>
      <w:r>
        <w:rPr>
          <w:rFonts w:ascii="Arial" w:cs="Arial" w:eastAsia="Arial" w:hAnsi="Arial"/>
          <w:sz w:val="15"/>
          <w:szCs w:val="15"/>
          <w:color w:val="auto"/>
        </w:rPr>
        <w:t>An investment in our securities involves a high degree of risk. See “</w:t>
      </w:r>
      <w:r>
        <w:rPr>
          <w:rFonts w:ascii="Arial" w:cs="Arial" w:eastAsia="Arial" w:hAnsi="Arial"/>
          <w:sz w:val="15"/>
          <w:szCs w:val="15"/>
          <w:i w:val="1"/>
          <w:iCs w:val="1"/>
          <w:color w:val="auto"/>
        </w:rPr>
        <w:t>Risk Factors</w:t>
      </w:r>
      <w:r>
        <w:rPr>
          <w:rFonts w:ascii="Arial" w:cs="Arial" w:eastAsia="Arial" w:hAnsi="Arial"/>
          <w:sz w:val="15"/>
          <w:szCs w:val="15"/>
          <w:color w:val="auto"/>
        </w:rPr>
        <w:t>” beginning on page 7 of this prospectus for a discussion of factors you should carefully consider before investing in our securities.</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common stock is listed on the NASDAQ Capital Market under the symbol “VTGN.” There is no established public trading market for the warrants being offered by this prospectus and we do not intend to have the warrants listed on a national securities exchange or any other recognized trading system in the future. Without an active market, the liquidity of any warrants sold by means of this prospectus will be limited.</w:t>
      </w:r>
    </w:p>
    <w:p>
      <w:pPr>
        <w:spacing w:after="0" w:line="200" w:lineRule="exact"/>
        <w:rPr>
          <w:sz w:val="20"/>
          <w:szCs w:val="20"/>
          <w:color w:val="auto"/>
        </w:rPr>
      </w:pPr>
    </w:p>
    <w:p>
      <w:pPr>
        <w:sectPr>
          <w:pgSz w:w="11900" w:h="16838" w:orient="portrait"/>
          <w:cols w:equalWidth="0" w:num="2">
            <w:col w:w="2700" w:space="720"/>
            <w:col w:w="7540"/>
          </w:cols>
          <w:pgMar w:left="240" w:top="131" w:right="699" w:bottom="1440" w:gutter="0" w:footer="0" w:header="0"/>
          <w:type w:val="continuous"/>
        </w:sectPr>
      </w:pPr>
    </w:p>
    <w:p>
      <w:pPr>
        <w:spacing w:after="0" w:line="213" w:lineRule="exact"/>
        <w:rPr>
          <w:sz w:val="20"/>
          <w:szCs w:val="20"/>
          <w:color w:val="auto"/>
        </w:rPr>
      </w:pPr>
    </w:p>
    <w:p>
      <w:pPr>
        <w:ind w:left="340" w:right="160"/>
        <w:spacing w:after="0" w:line="268" w:lineRule="auto"/>
        <w:rPr>
          <w:sz w:val="20"/>
          <w:szCs w:val="20"/>
          <w:color w:val="auto"/>
        </w:rPr>
      </w:pPr>
      <w:r>
        <w:rPr>
          <w:rFonts w:ascii="Arial" w:cs="Arial" w:eastAsia="Arial" w:hAnsi="Arial"/>
          <w:sz w:val="18"/>
          <w:szCs w:val="18"/>
          <w:color w:val="auto"/>
        </w:rPr>
        <w:t>The number of shares of common stock that will be outstanding after this offering is based on 11,848,974 shares outstanding as of December 6, 2017 and excludes, as of that date, the following:</w:t>
      </w:r>
    </w:p>
    <w:p>
      <w:pPr>
        <w:spacing w:after="0" w:line="186" w:lineRule="exact"/>
        <w:rPr>
          <w:sz w:val="20"/>
          <w:szCs w:val="20"/>
          <w:color w:val="auto"/>
        </w:rPr>
      </w:pPr>
    </w:p>
    <w:p>
      <w:pPr>
        <w:ind w:left="780" w:right="220" w:hanging="28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3,279,871 shares of common stock issuable upon the exercise of outstanding stock options, having a weighted average exercise price of $3.23 per share;</w:t>
      </w:r>
    </w:p>
    <w:p>
      <w:pPr>
        <w:spacing w:after="0" w:line="50" w:lineRule="exact"/>
        <w:rPr>
          <w:rFonts w:ascii="Arial" w:cs="Arial" w:eastAsia="Arial" w:hAnsi="Arial"/>
          <w:sz w:val="18"/>
          <w:szCs w:val="18"/>
          <w:color w:val="auto"/>
        </w:rPr>
      </w:pPr>
    </w:p>
    <w:p>
      <w:pPr>
        <w:ind w:left="780" w:right="280" w:hanging="28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7,107,157 shares of common stock issuable upon the exercise of outstanding warrants, having a weighted average exercise price of $4.70 per share;</w:t>
      </w:r>
    </w:p>
    <w:p>
      <w:pPr>
        <w:spacing w:after="0" w:line="50" w:lineRule="exact"/>
        <w:rPr>
          <w:rFonts w:ascii="Arial" w:cs="Arial" w:eastAsia="Arial" w:hAnsi="Arial"/>
          <w:sz w:val="18"/>
          <w:szCs w:val="18"/>
          <w:color w:val="auto"/>
        </w:rPr>
      </w:pPr>
    </w:p>
    <w:p>
      <w:pPr>
        <w:ind w:left="780" w:hanging="28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750,000 shares of common stock issuable upon conversion of all outstanding shares of our Series A Preferred;</w:t>
      </w:r>
    </w:p>
    <w:p>
      <w:pPr>
        <w:spacing w:after="0" w:line="90" w:lineRule="exact"/>
        <w:rPr>
          <w:rFonts w:ascii="Arial" w:cs="Arial" w:eastAsia="Arial" w:hAnsi="Arial"/>
          <w:sz w:val="18"/>
          <w:szCs w:val="18"/>
          <w:color w:val="auto"/>
        </w:rPr>
      </w:pPr>
    </w:p>
    <w:p>
      <w:pPr>
        <w:ind w:left="780" w:right="120" w:hanging="28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1,160,240 shares of common stock issuable upon conversion of all outstanding shares of our Series B Preferred and 663,460 shares of common stock reserved for issuance as payment of accrued dividends on outstanding shares of Series B Preferred;</w:t>
      </w:r>
    </w:p>
    <w:p>
      <w:pPr>
        <w:spacing w:after="0" w:line="50" w:lineRule="exact"/>
        <w:rPr>
          <w:rFonts w:ascii="Arial" w:cs="Arial" w:eastAsia="Arial" w:hAnsi="Arial"/>
          <w:sz w:val="18"/>
          <w:szCs w:val="18"/>
          <w:color w:val="auto"/>
        </w:rPr>
      </w:pPr>
    </w:p>
    <w:p>
      <w:pPr>
        <w:ind w:left="780" w:hanging="28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2,318,012 shares of common stock issuable upon conversion of all outstanding shares of our Series C Preferred;</w:t>
      </w:r>
    </w:p>
    <w:p>
      <w:pPr>
        <w:spacing w:after="0" w:line="90" w:lineRule="exact"/>
        <w:rPr>
          <w:rFonts w:ascii="Arial" w:cs="Arial" w:eastAsia="Arial" w:hAnsi="Arial"/>
          <w:sz w:val="18"/>
          <w:szCs w:val="18"/>
          <w:color w:val="auto"/>
        </w:rPr>
      </w:pPr>
    </w:p>
    <w:p>
      <w:pPr>
        <w:ind w:left="780" w:right="220" w:hanging="286"/>
        <w:spacing w:after="0" w:line="254"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6,012,162 shares of common stock reserved for future issuance in connection with future grants under our Amended and Restated 2016 Stock Incentive Plan; and</w:t>
      </w:r>
    </w:p>
    <w:p>
      <w:pPr>
        <w:ind w:left="780" w:hanging="28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10,000,000 shares of common stock issuable upon the exercise of the warrants offered hereby</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225" w:lineRule="exact"/>
        <w:rPr>
          <w:sz w:val="20"/>
          <w:szCs w:val="20"/>
          <w:color w:val="auto"/>
        </w:rPr>
      </w:pPr>
    </w:p>
    <w:p>
      <w:pPr>
        <w:ind w:left="780" w:hanging="28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exercise of options or warrants outstanding as of December 6, 2017.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0"/>
          </w:cols>
          <w:pgMar w:left="240" w:top="131" w:right="699" w:bottom="1440" w:gutter="0" w:footer="0" w:header="0"/>
          <w:type w:val="continuous"/>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541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54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ind w:left="360" w:right="1420"/>
        <w:spacing w:after="0" w:line="287" w:lineRule="auto"/>
        <w:rPr>
          <w:sz w:val="20"/>
          <w:szCs w:val="20"/>
          <w:color w:val="auto"/>
        </w:rPr>
      </w:pPr>
      <w:r>
        <w:rPr>
          <w:rFonts w:ascii="Arial" w:cs="Arial" w:eastAsia="Arial" w:hAnsi="Arial"/>
          <w:sz w:val="16"/>
          <w:szCs w:val="16"/>
          <w:color w:val="auto"/>
        </w:rPr>
        <w:t>The following tables summarize our consolidated financial data. We have derived the summary consolidated statement of operations data for the years ended March 31, 2017 and 2016 from our audited consolidated financial statements included elsewhere in this prospectus. We have derived the summary consolidated statement of operations data for the six-months ended September 30, 2017 and 2016 and our balance sheet data as of September 30, 2017 from our unaudited interim consolidated financial statements included elsewhere in this prospectus. The unaudited interim consolidated financial statements have been prepared on the same basis as the audited consolidated financial statements and reflect, in our opinion, only adjustments of a normal, recurring nature that are necessary for a fair statement of the unaudited interim consolidated financial statements. Our results for the six-months ended September 30, 2017 are not necessarily indicative of results to be expected for the full year or any other period. The following summary consolidated financial data should be read in conjunction with the section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our consolidated financial statements and related notes included elsewhere in this 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Fiscal Year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Six-Months Ended</w:t>
            </w:r>
          </w:p>
        </w:tc>
      </w:tr>
      <w:tr>
        <w:trPr>
          <w:trHeight w:val="237"/>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4"/>
          </w:tcPr>
          <w:p>
            <w:pPr>
              <w:jc w:val="center"/>
              <w:ind w:left="332"/>
              <w:spacing w:after="0"/>
              <w:rPr>
                <w:sz w:val="20"/>
                <w:szCs w:val="20"/>
                <w:color w:val="auto"/>
              </w:rPr>
            </w:pPr>
            <w:r>
              <w:rPr>
                <w:rFonts w:ascii="Arial" w:cs="Arial" w:eastAsia="Arial" w:hAnsi="Arial"/>
                <w:sz w:val="18"/>
                <w:szCs w:val="18"/>
                <w:b w:val="1"/>
                <w:bCs w:val="1"/>
                <w:color w:val="auto"/>
                <w:w w:val="87"/>
              </w:rPr>
              <w:t>September 30,</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r>
      <w:tr>
        <w:trPr>
          <w:trHeight w:val="216"/>
        </w:trPr>
        <w:tc>
          <w:tcPr>
            <w:tcW w:w="6080" w:type="dxa"/>
            <w:vAlign w:val="bottom"/>
          </w:tcPr>
          <w:p>
            <w:pPr>
              <w:ind w:left="200"/>
              <w:spacing w:after="0"/>
              <w:rPr>
                <w:sz w:val="20"/>
                <w:szCs w:val="20"/>
                <w:color w:val="auto"/>
              </w:rPr>
            </w:pPr>
            <w:r>
              <w:rPr>
                <w:rFonts w:ascii="Arial" w:cs="Arial" w:eastAsia="Arial" w:hAnsi="Arial"/>
                <w:sz w:val="18"/>
                <w:szCs w:val="18"/>
                <w:b w:val="1"/>
                <w:bCs w:val="1"/>
                <w:color w:val="auto"/>
              </w:rPr>
              <w:t>Consolidated Statement of Operations Data:</w:t>
            </w:r>
          </w:p>
        </w:tc>
        <w:tc>
          <w:tcPr>
            <w:tcW w:w="24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b w:val="1"/>
                <w:bCs w:val="1"/>
                <w:color w:val="auto"/>
              </w:rPr>
              <w:t>(in</w:t>
            </w:r>
          </w:p>
        </w:tc>
        <w:tc>
          <w:tcPr>
            <w:tcW w:w="3440" w:type="dxa"/>
            <w:vAlign w:val="bottom"/>
            <w:gridSpan w:val="11"/>
          </w:tcPr>
          <w:p>
            <w:pPr>
              <w:spacing w:after="0"/>
              <w:rPr>
                <w:sz w:val="20"/>
                <w:szCs w:val="20"/>
                <w:color w:val="auto"/>
              </w:rPr>
            </w:pPr>
            <w:r>
              <w:rPr>
                <w:rFonts w:ascii="Arial" w:cs="Arial" w:eastAsia="Arial" w:hAnsi="Arial"/>
                <w:sz w:val="18"/>
                <w:szCs w:val="18"/>
                <w:b w:val="1"/>
                <w:bCs w:val="1"/>
                <w:color w:val="auto"/>
                <w:w w:val="81"/>
              </w:rPr>
              <w:t>thousands, except share and per share amounts)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Sublicense 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2,432</w:t>
            </w: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160" w:type="dxa"/>
            <w:vAlign w:val="bottom"/>
          </w:tcPr>
          <w:p>
            <w:pPr>
              <w:spacing w:after="0"/>
              <w:rPr>
                <w:sz w:val="19"/>
                <w:szCs w:val="19"/>
                <w:color w:val="auto"/>
              </w:rPr>
            </w:pPr>
          </w:p>
        </w:tc>
      </w:tr>
      <w:tr>
        <w:trPr>
          <w:trHeight w:val="223"/>
        </w:trPr>
        <w:tc>
          <w:tcPr>
            <w:tcW w:w="6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(17,851)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(5,063)</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warrant liabilities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tcPr>
          <w:p>
            <w:pPr>
              <w:spacing w:after="0"/>
              <w:rPr>
                <w:sz w:val="18"/>
                <w:szCs w:val="18"/>
                <w:color w:val="auto"/>
              </w:rPr>
            </w:pPr>
          </w:p>
        </w:tc>
        <w:tc>
          <w:tcPr>
            <w:tcW w:w="10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(26,700)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(47,219)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(5,066)</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(47,221)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(5,068)</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Deemed dividend on Series B Preferred Units</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(7,766)</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(5,960)</w:t>
            </w:r>
          </w:p>
        </w:tc>
      </w:tr>
      <w:tr>
        <w:trPr>
          <w:trHeight w:val="210"/>
        </w:trPr>
        <w:tc>
          <w:tcPr>
            <w:tcW w:w="60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08"/>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Basic and diluted net loss attributable to common stockholders per common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5"/>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r>
      <w:tr>
        <w:trPr>
          <w:trHeight w:val="210"/>
        </w:trPr>
        <w:tc>
          <w:tcPr>
            <w:tcW w:w="60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used in computing: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6080" w:type="dxa"/>
            <w:vAlign w:val="bottom"/>
          </w:tcPr>
          <w:p>
            <w:pPr>
              <w:ind w:left="360"/>
              <w:spacing w:after="0"/>
              <w:rPr>
                <w:sz w:val="20"/>
                <w:szCs w:val="20"/>
                <w:color w:val="auto"/>
              </w:rPr>
            </w:pPr>
            <w:r>
              <w:rPr>
                <w:rFonts w:ascii="Arial" w:cs="Arial" w:eastAsia="Arial" w:hAnsi="Arial"/>
                <w:sz w:val="18"/>
                <w:szCs w:val="18"/>
                <w:color w:val="auto"/>
                <w:w w:val="94"/>
              </w:rPr>
              <w:t>Basic and diluted net loss attributable to common stockholders per common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share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7,531,642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1,767,957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9,465,459</w:t>
            </w:r>
          </w:p>
        </w:tc>
        <w:tc>
          <w:tcPr>
            <w:tcW w:w="160" w:type="dxa"/>
            <w:vAlign w:val="bottom"/>
          </w:tcPr>
          <w:p>
            <w:pPr>
              <w:spacing w:after="0"/>
              <w:rPr>
                <w:sz w:val="19"/>
                <w:szCs w:val="19"/>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6,577,769</w:t>
            </w:r>
          </w:p>
        </w:tc>
      </w:tr>
      <w:tr>
        <w:trPr>
          <w:trHeight w:val="22"/>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5"/>
            <w:shd w:val="clear" w:color="auto" w:fill="CCEEFF"/>
          </w:tcPr>
          <w:p>
            <w:pPr>
              <w:jc w:val="center"/>
              <w:ind w:right="112"/>
              <w:spacing w:after="0"/>
              <w:rPr>
                <w:sz w:val="20"/>
                <w:szCs w:val="20"/>
                <w:color w:val="auto"/>
              </w:rPr>
            </w:pPr>
            <w:r>
              <w:rPr>
                <w:rFonts w:ascii="Arial" w:cs="Arial" w:eastAsia="Arial" w:hAnsi="Arial"/>
                <w:sz w:val="18"/>
                <w:szCs w:val="18"/>
                <w:b w:val="1"/>
                <w:bCs w:val="1"/>
                <w:color w:val="auto"/>
                <w:w w:val="88"/>
              </w:rPr>
              <w:t>September 30, 2017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6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Actual</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Pro Forma(1)</w:t>
            </w:r>
          </w:p>
        </w:tc>
        <w:tc>
          <w:tcPr>
            <w:tcW w:w="16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center"/>
              <w:ind w:left="332"/>
              <w:spacing w:after="0"/>
              <w:rPr>
                <w:sz w:val="20"/>
                <w:szCs w:val="20"/>
                <w:color w:val="auto"/>
              </w:rPr>
            </w:pPr>
            <w:r>
              <w:rPr>
                <w:rFonts w:ascii="Arial" w:cs="Arial" w:eastAsia="Arial" w:hAnsi="Arial"/>
                <w:sz w:val="18"/>
                <w:szCs w:val="18"/>
                <w:b w:val="1"/>
                <w:bCs w:val="1"/>
                <w:color w:val="auto"/>
                <w:w w:val="87"/>
              </w:rPr>
              <w:t>(in thousands)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15,374</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3,712</w:t>
            </w:r>
          </w:p>
        </w:tc>
        <w:tc>
          <w:tcPr>
            <w:tcW w:w="1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2,618</w:t>
            </w:r>
          </w:p>
        </w:tc>
        <w:tc>
          <w:tcPr>
            <w:tcW w:w="16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16,228</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notes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14,053</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Common stock, preferred stock, treasury stock and 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147,589</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161,199</w:t>
            </w:r>
          </w:p>
        </w:tc>
      </w:tr>
      <w:tr>
        <w:trPr>
          <w:trHeight w:val="222"/>
        </w:trPr>
        <w:tc>
          <w:tcPr>
            <w:tcW w:w="6080" w:type="dxa"/>
            <w:vAlign w:val="bottom"/>
          </w:tcPr>
          <w:p>
            <w:pPr>
              <w:ind w:left="36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(1,672)</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11,938</w:t>
            </w:r>
          </w:p>
        </w:tc>
      </w:tr>
    </w:tbl>
    <w:p>
      <w:pPr>
        <w:ind w:left="100"/>
        <w:spacing w:after="0"/>
        <w:rPr>
          <w:sz w:val="20"/>
          <w:szCs w:val="20"/>
          <w:color w:val="auto"/>
        </w:rPr>
      </w:pPr>
      <w:r>
        <w:rPr>
          <w:rFonts w:ascii="Arial" w:cs="Arial" w:eastAsia="Arial" w:hAnsi="Arial"/>
          <w:sz w:val="18"/>
          <w:szCs w:val="18"/>
          <w:color w:val="auto"/>
        </w:rPr>
        <w:t>_______________</w:t>
      </w:r>
    </w:p>
    <w:p>
      <w:pPr>
        <w:spacing w:after="0" w:line="1" w:lineRule="exact"/>
        <w:rPr>
          <w:sz w:val="20"/>
          <w:szCs w:val="20"/>
          <w:color w:val="auto"/>
        </w:rPr>
      </w:pPr>
    </w:p>
    <w:p>
      <w:pPr>
        <w:ind w:left="1240" w:right="120" w:hanging="1094"/>
        <w:spacing w:after="0" w:line="254"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 forma column gives effect to the sale and issuance by us of 10,000,000 shares of our common stock and related warrants to purchase up to 10,000,000 shares of common stock in this offering, at a combined public offering price of $1.50 per share and related warrant, after deducting the underwriting discount and estimated offering expenses payable by us and assuming no value is attributed to the warrants, and the warrants are accounted for and classified as equity.</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2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Investing in our securities involves a high degree of risk. You should consider carefully the risks and uncertainties described below, together with all of the other information in this prospectus, including our financial statements and related notes, before deciding whether to purchase securities in the offering. If any of the following risks are realized, our business, financial condition and results of operations could be materially and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8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potentially, various other diseases and disorders involving the CNS, as well as, but to a more limited extent, our ability to produce, develop and commercialize NCEs from our drug rescue programs. AV-101 will require substantial additional nonclinical and clinical testing and regulatory approval before it may be commercialized. It is unlikely to achieve regulatory approval, if at all, until at least 2021. Each drug rescue NCE will require substantial nonclinical development, all phases of clinical development,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Drug development is a long, expensive and uncertain process, and delay or failure can occur at any stage of any of our nonclinical or clinical studies. This process takes many years and may also include post-marketing studies and surveillance obligations, which would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we cannot assure you that AV-101, any drug rescue NCE, or any other future product candidate will be successfully developed or commercialized.</w:t>
      </w:r>
    </w:p>
    <w:p>
      <w:pPr>
        <w:spacing w:after="0" w:line="18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not permitted to market our product candidates in the United States until we receive approval of a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from the FDA, or in any foreign countries until we receive the requisite approval from such countries. We expect the FDA to require us to complete the planned AV-101 MDD Phase 2 Adjunctive Treatment Study and at least two pivotal Phase 3 clinical trials in order to submit an NDA for AV-101 as an adjunctive treatment for MDD patients with an inadequate response to standard, FDA-approved antidepressants. Also, we anticipate that the FDA will require that we conduct additional toxicology studies, additional nonclinical and certain small clinical studies before submitting an NDA for AV-101. The results of all of these studies are not known until after the studies are concluded.</w:t>
      </w:r>
    </w:p>
    <w:p>
      <w:pPr>
        <w:spacing w:after="0" w:line="19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Obtaining FDA approval of an NDA is a complex, lengthy, expensive and uncertain process, and the FDA may delay, limit or deny approval of AV-101 or any other product candidate we may seek to develop for many reasons, including, among others:</w:t>
      </w:r>
    </w:p>
    <w:p>
      <w:pPr>
        <w:spacing w:after="0" w:line="186" w:lineRule="exact"/>
        <w:rPr>
          <w:sz w:val="20"/>
          <w:szCs w:val="20"/>
          <w:color w:val="auto"/>
        </w:rPr>
      </w:pPr>
    </w:p>
    <w:p>
      <w:pPr>
        <w:jc w:val="both"/>
        <w:ind w:left="660" w:hanging="328"/>
        <w:spacing w:after="0" w:line="30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submit an NDA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60"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w:t>
      </w:r>
      <w:r>
        <w:rPr>
          <w:rFonts w:ascii="Arial" w:cs="Arial" w:eastAsia="Arial" w:hAnsi="Arial"/>
          <w:sz w:val="18"/>
          <w:szCs w:val="18"/>
          <w:i w:val="1"/>
          <w:iCs w:val="1"/>
          <w:color w:val="auto"/>
        </w:rPr>
        <w:t>REMS</w:t>
      </w:r>
      <w:r>
        <w:rPr>
          <w:rFonts w:ascii="Arial" w:cs="Arial" w:eastAsia="Arial" w:hAnsi="Arial"/>
          <w:sz w:val="18"/>
          <w:szCs w:val="18"/>
          <w:color w:val="auto"/>
        </w:rPr>
        <w:t>) as a condition of approval or post-approval;</w:t>
      </w:r>
    </w:p>
    <w:p>
      <w:pPr>
        <w:spacing w:after="0" w:line="130" w:lineRule="exact"/>
        <w:rPr>
          <w:rFonts w:ascii="Arial" w:cs="Arial" w:eastAsia="Arial" w:hAnsi="Arial"/>
          <w:sz w:val="18"/>
          <w:szCs w:val="18"/>
          <w:color w:val="auto"/>
        </w:rPr>
      </w:pPr>
    </w:p>
    <w:p>
      <w:pPr>
        <w:ind w:left="660" w:right="20" w:hanging="328"/>
        <w:spacing w:after="0" w:line="33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44"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for any product candidate would have a material adverse effect on our business and prospects.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have applied for a Fast Track designation from the FDA for AV-101, initially for adjunctive treatment of MDD patients with an inadequate response to standard antidepressants. Even if the FDA approves Fast Track designation for AV-101 for this indication, it may not actually lead to a faster development or regulatory review or approval process.</w:t>
      </w:r>
    </w:p>
    <w:p>
      <w:pPr>
        <w:spacing w:after="0" w:line="19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October 2017 we applied for FDA Fast Track designation for AV-101, initially for adjunctive treatment of MDD patients with an inadequate response to standard antidepressants, and we may do so for other CNS indications, as well as for other product candidates. The FDA has broad discretion whether or not to grant a Fast Track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the NIMH AV-101 MDD Phase 2 Monotherapy Study and our planned AV-101 MDD Phase 2 Adjunctive Treatment Study, thereby delaying completion such studies or preventing additional clinical development. Further, if AV-101 is approved for adjunctive treatment of MDD patients with an inadequate response to standard antidepressants, and the market for this indication is smaller than we anticipate, our ability to achieve profitability could be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results of preclinical studies and early clinical trials of AV-101 and/or other product candidates, including positive results,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 clinical trial for AV-101, and if the NIMH AV-101 MDD Phase 2 Monotherapy Study and/or our AV-101 MDD Phase 2 Adjunctive Treatment Study fail(s) to produce positive results, the development timeline and regulatory approval and commercialization prospects for AV-101 and, correspondingly, our business and financial prospects, could be materially adversely affected.</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AV-101 in clinical trials, it may adversely affect our development of AV-101 for MDD and other CNS indications.</w:t>
      </w:r>
    </w:p>
    <w:p>
      <w:pPr>
        <w:spacing w:after="0" w:line="18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AV-101 as a monotherapy is currently being tested by the NIMH in the NIMH AV-101 MDD Phase 2 Monotherapy Study and may be subjected to testing in the future for other CNS indications in additional investigator sponsored clinical trials. If serious adverse events or other undesirable side effects, or unexpected characteristics of AV-101 are observed in investigator-sponsored clinical trials of AV-101 or our clinical trials of AV-101, it may adversely affect or delay our clinical development of AV-101, and the occurrence of these events would have a material adverse effect on our business and financial prospects.</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our product candidates could result in increased costs to us and could delay, prevent or limit our ability to generate revenue and continue our business.</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our CRADA with the NIMH, the NIMH is conducting and funding the NIMH AV-101 MDD Phase 2 Monotherapy Study. We will need to complete the planned AV-101 MDD Phase 2 Adjunctive Treatment Study, at least two additional large Phase 3 pivotal clinical trials, additional toxicology and other nonclinical studies and certain smaller clinical studies prior to the submission of an NDA for AV-101 as a new generation adjunctive treatment for MDD. Successful completion of our nonclinical and clinical trials is a prerequisite to submitting an NDA to the FDA and, consequently, the ultimate approval required before commercial marketing of AV-101 for MDD and any other product candidates we may develop. Except as disclosed herein, we do not know whether the NIMH AV-101 MDD Phase 2 Monotherapy Study, our AV-101 MDD Phase 2 Adjunctive Treatment Study or any of our future-planned nonclinical and clinical trials will be completed on schedule, if at all, as the commencement and completion of nonclinical and clinical trials can be delayed or prevented for a number of reasons, including, among others:</w:t>
      </w:r>
    </w:p>
    <w:p>
      <w:pPr>
        <w:spacing w:after="0" w:line="199" w:lineRule="exact"/>
        <w:rPr>
          <w:sz w:val="20"/>
          <w:szCs w:val="20"/>
          <w:color w:val="auto"/>
        </w:rPr>
      </w:pPr>
    </w:p>
    <w:p>
      <w:pPr>
        <w:ind w:left="660" w:hanging="328"/>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may deny permission to proceed with our planned clinical trials or any other clinical trials we may initiate, or may place a planned or ongoing clinical trial on hold;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negative results from our ongoing nonclinical studies;</w:t>
      </w:r>
    </w:p>
    <w:p>
      <w:pPr>
        <w:spacing w:after="0" w:line="225"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39" w:lineRule="exact"/>
        <w:rPr>
          <w:rFonts w:ascii="Arial" w:cs="Arial" w:eastAsia="Arial" w:hAnsi="Arial"/>
          <w:sz w:val="16"/>
          <w:szCs w:val="16"/>
          <w:color w:val="auto"/>
        </w:rPr>
      </w:pPr>
    </w:p>
    <w:p>
      <w:pPr>
        <w:ind w:left="660" w:hanging="328"/>
        <w:spacing w:after="0" w:line="33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delays in the manufacturing of, or insufficient supply of, AV-101 or other product candidates necessary to conduct nonclinical or clinical trials, including delays in the manufacturing of sufficient supply or finished drug product resulting from our new manufacturing process for AV-101;</w:t>
      </w:r>
    </w:p>
    <w:p>
      <w:pPr>
        <w:spacing w:after="0" w:line="139"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86"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nonclinical carcinogenicity studies, adverse side effects or lack of effectiveness;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ectPr>
          <w:pgSz w:w="11900" w:h="16838" w:orient="portrait"/>
          <w:cols w:equalWidth="0" w:num="1">
            <w:col w:w="11420"/>
          </w:cols>
          <w:pgMar w:left="240" w:top="131" w:right="239" w:bottom="10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049"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b w:val="1"/>
          <w:bCs w:val="1"/>
          <w:i w:val="1"/>
          <w:iCs w:val="1"/>
          <w:color w:val="auto"/>
        </w:rPr>
        <w:t>Changes in regulatory requirements, FDA guidance or unanticipated events during our nonclinical studies and clinical trials of AV-101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6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Changes in regulatory requirements, FDA guidance or unanticipated events during our nonclinical studies and clinical trials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AV-101 or other product candidates may be harmed and our ability to generate product revenue will be delayed.</w:t>
      </w:r>
    </w:p>
    <w:p>
      <w:pPr>
        <w:spacing w:after="0" w:line="174"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b w:val="1"/>
          <w:bCs w:val="1"/>
          <w:i w:val="1"/>
          <w:iCs w:val="1"/>
          <w:color w:val="auto"/>
        </w:rPr>
        <w:t>We rely, and expect that we will continue to rely, on third parties to conduct non-clinical and clinical trials of AV-101 and any other product candidates. If these third parties do not successfully carry out their contractual duties or meet expected deadlines, completion of non-clinical and clinical trials and development of AV-101 and other product candidates may be delayed and we may not be able to obtain regulatory approval for or commercialize AV-101 or other product candidates and our business could be substantially harmed.</w:t>
      </w:r>
    </w:p>
    <w:p>
      <w:pPr>
        <w:spacing w:after="0" w:line="16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do not have the internal staff resources to independently conduct nonclinical and clinical trials completely on our own. We rely on our network of strategic relationships with various medical institutions, nonclinical and clinical investigators, contract laboratories and other third parties, such as contract research and development organizations (</w:t>
      </w:r>
      <w:r>
        <w:rPr>
          <w:rFonts w:ascii="Arial" w:cs="Arial" w:eastAsia="Arial" w:hAnsi="Arial"/>
          <w:sz w:val="16"/>
          <w:szCs w:val="16"/>
          <w:i w:val="1"/>
          <w:iCs w:val="1"/>
          <w:color w:val="auto"/>
        </w:rPr>
        <w:t>CROs</w:t>
      </w:r>
      <w:r>
        <w:rPr>
          <w:rFonts w:ascii="Arial" w:cs="Arial" w:eastAsia="Arial" w:hAnsi="Arial"/>
          <w:sz w:val="16"/>
          <w:szCs w:val="16"/>
          <w:color w:val="auto"/>
        </w:rPr>
        <w:t>), to conduct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in accordance with the applicable protocol, legal, regulatory and scientific requirements and standards, and our reliance on CROs or the NIH does not relieve us of our regulatory responsibilities. We and our CROs and the NIMH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any of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Although we design our clinical trials for our product candidates, we plan to have CROs, and in the case of the NIMH AV-101 MDD Phase 2 Monotherapy Study, the NIMH, conduct the AV-101 Phase 2 and Phase 3 clinical trials. As a result, many important aspects of our drug development programs are outside of our direct control. In addition, the CROs or the NIMH,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NIMH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NIMH devote to our program or our clinical products. If we are unable to rely on non-clinical and clinical data collected by our CROs or the NIMH, we could be required to repeat, extend the duration of, or increase the size of our clinical trials and this could significantly delay commercialization and require significantly greater expenditures.</w:t>
      </w:r>
    </w:p>
    <w:p>
      <w:pPr>
        <w:spacing w:after="0" w:line="177"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If any of our relationships with these third-party CROs or the NIMH terminate, we may not be able to enter into arrangements with alternative CROs or collaborators. If CROs or the NIMH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NIMH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59"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b w:val="1"/>
          <w:bCs w:val="1"/>
          <w:i w:val="1"/>
          <w:iCs w:val="1"/>
          <w:color w:val="auto"/>
        </w:rPr>
        <w:t>We rely completely on third-parties to manufacture and prepare supplies of AV-101 for all nonclinical and clinical studies of AV-101, and we intend to continue to rely on third parties to produce all nonclinical, clinical and commercial supplies of AV-101 in the future.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We do not currently have, nor do we plan to acquire or develop, the necessary infrastructure internal resources or technical capabilities to manufacture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prepare supplies of AV-101, or any future product candidates, for use in nonclinical and clinical studies, and we lack the internal resources and the capability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manufacture any product candidate on a clinical or commercial scale. As a result, we rely completely on third party contract manufacturing organizations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CMO</w:t>
      </w:r>
      <w:r>
        <w:rPr>
          <w:rFonts w:ascii="Arial" w:cs="Arial" w:eastAsia="Arial" w:hAnsi="Arial"/>
          <w:sz w:val="16"/>
          <w:szCs w:val="16"/>
          <w:color w:val="auto"/>
        </w:rPr>
        <w:t>s) to manufacture AV-101 active pharmaceutical ingredient (</w:t>
      </w:r>
      <w:r>
        <w:rPr>
          <w:rFonts w:ascii="Arial" w:cs="Arial" w:eastAsia="Arial" w:hAnsi="Arial"/>
          <w:sz w:val="16"/>
          <w:szCs w:val="16"/>
          <w:i w:val="1"/>
          <w:iCs w:val="1"/>
          <w:color w:val="auto"/>
        </w:rPr>
        <w:t>API</w:t>
      </w:r>
      <w:r>
        <w:rPr>
          <w:rFonts w:ascii="Arial" w:cs="Arial" w:eastAsia="Arial" w:hAnsi="Arial"/>
          <w:sz w:val="16"/>
          <w:szCs w:val="16"/>
          <w:color w:val="auto"/>
        </w:rPr>
        <w:t>) and prepare AV-101 final drug product. The facilities used by our CMOs to manufacture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AV-101 API and final drug product must complete a pre-approval inspection by the FDA and other comparable foreign regulatory agencies to assess compliance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applicable requirements, including cGMPs, after we submit our AV-101 INDs, NDAs or relevant foreign regulatory submission equivalent to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regulatory agency.</w:t>
      </w:r>
    </w:p>
    <w:p>
      <w:pPr>
        <w:spacing w:after="0" w:line="21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do not directly control either the supply or quality of materials used in the manufacturing and preparation of AV-101 or the AV-101 manufacturing process, and we are completely dependent on our CMOs to comply with all cGMPs for manufacture of both AV-101 API and AV-101 finished drug product. If our CMOs cannot secure adequate supplies of suitable raw materials or successfully manufacture AV-101 API that conforms to our specifications and the strict regulatory requirements of the FDA or applicable foreign regulatory agencies, production of sufficient supplies of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AV-101 for required or planned nonclinical and/or clinical studies of AV-101. If the FDA or an applicable foreign regulatory agency determines now or in the future that our CMOs’ facilities are noncompliant, we may need to find alternative manufacturing facilities, which would adversely impact our ability to develop, obtain regulatory approval for or market AV-101. Our reliance on CMOs also exposes us to the possibility that they, or third parties with access to their facilities, will have access to and may appropriate our trade secrets or other proprietary information.</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do not yet have long-term AV-101 supply agreements in place with our CMOs and each batch of AV-101 is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development and, if approved, commercial quantities of AV-101 and any other product candidates we may seek to develop in the future. Although we believe our current scale of manufacturing for AV-101 and current and projected supply of AV-101 API and finished drug product will be adequate to support our planned nonclinical and clinical studies of AV-101, no assurance can be given that unanticipated AV-101 supply shortages, CMO-related delays in manufacture and production of AV-101 API and finished drug product will not occur in the future.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AV-101 or any other product candidate in the United States, we may never receive regulatory approval to market AV-101 or any other product candidate outside of the United States.</w:t>
      </w:r>
    </w:p>
    <w:p>
      <w:pPr>
        <w:spacing w:after="0" w:line="18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b w:val="1"/>
          <w:bCs w:val="1"/>
          <w:i w:val="1"/>
          <w:iCs w:val="1"/>
          <w:color w:val="auto"/>
        </w:rPr>
        <w:t>If any of our product candidates are ultimately regulated as controlled substances, we, our contract manufacturers,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Before we can commercialize our product candidates, the United States Drug Enforcement Administration (</w:t>
      </w:r>
      <w:r>
        <w:rPr>
          <w:rFonts w:ascii="Arial" w:cs="Arial" w:eastAsia="Arial" w:hAnsi="Arial"/>
          <w:sz w:val="16"/>
          <w:szCs w:val="16"/>
          <w:i w:val="1"/>
          <w:iCs w:val="1"/>
          <w:color w:val="auto"/>
        </w:rPr>
        <w:t>DEA</w:t>
      </w:r>
      <w:r>
        <w:rPr>
          <w:rFonts w:ascii="Arial" w:cs="Arial" w:eastAsia="Arial" w:hAnsi="Arial"/>
          <w:sz w:val="16"/>
          <w:szCs w:val="16"/>
          <w:color w:val="auto"/>
        </w:rPr>
        <w:t>) may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While we currently do not know whether any of our product candidates will be considered to be controlled substances, certain of our product candidates, including AV-101, may be regulated as controlled substances.</w:t>
      </w:r>
    </w:p>
    <w:p>
      <w:pPr>
        <w:spacing w:after="0" w:line="17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If any of our product candidates are regulated as controlled substances, depending on the controlled substance schedule in which the product candidates are placed, we, our contract manufacturers,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Moreover, if any of our product candidates are regulated as controlled substances, we and our contract manufacturers would be subject to initial and periodic DEA inspection.If we or our contract manufacturers are not able to obtain or maintain any necessary DEA registrations, we may not be able to commercialize any product candidates that are deemed to be controlled substances or we may need to find alternative contract manufacturers, which would take time and cause us to incur additional costs, delaying or limit our commercialization efforts.</w:t>
      </w:r>
    </w:p>
    <w:p>
      <w:pPr>
        <w:spacing w:after="0" w:line="172" w:lineRule="exact"/>
        <w:rPr>
          <w:sz w:val="20"/>
          <w:szCs w:val="20"/>
          <w:color w:val="auto"/>
        </w:rPr>
      </w:pPr>
    </w:p>
    <w:p>
      <w:pPr>
        <w:ind w:right="260"/>
        <w:spacing w:after="0" w:line="323" w:lineRule="auto"/>
        <w:rPr>
          <w:sz w:val="20"/>
          <w:szCs w:val="20"/>
          <w:color w:val="auto"/>
        </w:rPr>
      </w:pPr>
      <w:r>
        <w:rPr>
          <w:rFonts w:ascii="Arial" w:cs="Arial" w:eastAsia="Arial" w:hAnsi="Arial"/>
          <w:sz w:val="15"/>
          <w:szCs w:val="15"/>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do not currently have an infrastructure for the sale, marketing and distribution of pharmaceutical products, nor do we intend to create such capabilities. Therefore, in order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ind w:left="660" w:hanging="328"/>
        <w:spacing w:after="0" w:line="33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39"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for our product candidates by the FDA or other applicable regulatory authorities;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and cost effectiveness;</w:t>
      </w:r>
    </w:p>
    <w:p>
      <w:pPr>
        <w:sectPr>
          <w:pgSz w:w="11900" w:h="16838" w:orient="portrait"/>
          <w:cols w:equalWidth="0" w:num="1">
            <w:col w:w="11420"/>
          </w:cols>
          <w:pgMar w:left="240" w:top="131" w:right="239" w:bottom="0" w:gutter="0" w:footer="0" w:header="0"/>
        </w:sectPr>
      </w:pPr>
    </w:p>
    <w:bookmarkStart w:id="15" w:name="page16"/>
    <w:bookmarkEnd w:id="15"/>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47"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39" w:lineRule="exact"/>
        <w:rPr>
          <w:sz w:val="20"/>
          <w:szCs w:val="20"/>
          <w:color w:val="auto"/>
        </w:rPr>
      </w:pPr>
    </w:p>
    <w:p>
      <w:pPr>
        <w:jc w:val="both"/>
        <w:ind w:right="440"/>
        <w:spacing w:after="0" w:line="370" w:lineRule="auto"/>
        <w:rPr>
          <w:sz w:val="20"/>
          <w:szCs w:val="20"/>
          <w:color w:val="auto"/>
        </w:rPr>
      </w:pPr>
      <w:r>
        <w:rPr>
          <w:rFonts w:ascii="Arial" w:cs="Arial" w:eastAsia="Arial" w:hAnsi="Arial"/>
          <w:sz w:val="15"/>
          <w:szCs w:val="15"/>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7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pharmaceuticals industry is highly competitive. There are many public and private pharmaceutical companies, universities, governmental agencies and other research organizations actively engaged in the research and development of product candidates that may be similar to our product candidates or address similar markets. It is probable that the number of companies seeking to develop product candidates similar to our product candidates will increase.</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Currently, management is unaware of any FDA-approved oral adjunctive therapy for MDD patients with an inadequate response to standard antidepressants having the same mechanism of action and safety profile as AV-101. However, new antidepressant products with other mechanisms of action or products approved for other indications, including the anesthetic ketamine hydrochloride,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sometimes used before or instead of standard antidepressant medications to treat patients with MDD.</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the field of new generation, orally available, adjunctive treatments of adult MDD patients with an inadequate response to standard antidepressants, we believe our principal competitor is Alkermes’ orally available drug candidate in Phase 3 development, ALKS-5461.</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Parkinson’s disease levodopa induced dyskinesia, neuropathic pain, epilepsy, and other neurological conditions and diseases, including, but not limited to, Abbott Laboratories, Acadia, Allergan, Alkermes, Astra Zeneca, Eli Lilly, GlaxoSmithKline, IntraCellular, Johnson &amp; Johnson/Janssen, Lundbeck, Merck, Novartis, Ono, Otsuka, Pfizer,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Although AV-101 is in Phase 2 clinical development for treatment of depression, we may fail to pursue additional CNS-related Phase 2 development opportunities for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7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AV-101, with additional limited focus on NCE drug rescue and RM. As a result, we may forego or delay pursuit of opportunities with other product candidates or for other potential CNS-related indications for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jc w:val="both"/>
        <w:ind w:left="660" w:hanging="328"/>
        <w:spacing w:after="0" w:line="30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97"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adjunctive treatment of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We may seek FDA Orphan Drug designation for one or more of our product candidates, including AV-101. Even if we have obtained FDA Orphan Drug designation for AV-101 of other product candidates, there may be limits to the regulatory exclusivity afforded by such designation.</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may, in the future, choose to seek FDA Orphan Drug designation for one or more of our product candidates, including AV-101. Even if we obtain Orphan Drug designation from the FDA for AV-101 or any other product candidates, there are limitations to the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7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4"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6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 candidates we produce;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86" w:lineRule="exact"/>
        <w:rPr>
          <w:sz w:val="20"/>
          <w:szCs w:val="20"/>
          <w:color w:val="auto"/>
        </w:rPr>
      </w:pPr>
    </w:p>
    <w:p>
      <w:pPr>
        <w:jc w:val="both"/>
        <w:ind w:right="400"/>
        <w:spacing w:after="0" w:line="335" w:lineRule="auto"/>
        <w:rPr>
          <w:sz w:val="20"/>
          <w:szCs w:val="20"/>
          <w:color w:val="auto"/>
        </w:rPr>
      </w:pPr>
      <w:r>
        <w:rPr>
          <w:rFonts w:ascii="Arial" w:cs="Arial" w:eastAsia="Arial" w:hAnsi="Arial"/>
          <w:sz w:val="15"/>
          <w:szCs w:val="15"/>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4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drug rescue research and development methodology may not be successful in identifying and developing potential drug rescue NCEs;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drug rescue NCE may not be accepted as safe and effective by regulatory authorities, patients, the medical community or third-party payors.</w:t>
      </w:r>
    </w:p>
    <w:p>
      <w:pPr>
        <w:spacing w:after="0" w:line="24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72"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86" w:lineRule="exact"/>
        <w:rPr>
          <w:sz w:val="20"/>
          <w:szCs w:val="20"/>
          <w:color w:val="auto"/>
        </w:rPr>
      </w:pPr>
    </w:p>
    <w:p>
      <w:pPr>
        <w:ind w:left="660" w:hanging="328"/>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3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collaboration with others. Before we generate any revenues from AV-101 and/or additional drug rescue NCEs we or our potential collaborators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8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Our success is partly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 xml:space="preserve">The success of our drug rescue programs is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RM programs involving blood, bone, cartilage, and/or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62"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4"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6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1"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$10.3 million and $47.2 million, which includes $26.7 million of non-cash expense related to the extinguishment of essentially all of our outstanding promissory notes and certain other indebtedness, during the fiscal years ended March 31, 2017 and 2016, respectively. We incurred a net loss of approximately $7.3 million in the six months ended September 30, 2017 and, as of that date, we had an accumulated deficit of approximately $149.3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Our ability to become profitable depends upon our ability to generate revenues. To date, we have generated approximately $17.7 million in revenues, including receipt of non-dilutive cash payments from collaborators, sublicense revenue, and research and development grant awards from the NIH, not including the fair market value of the ongoing NIMH AV-101 MDD Phase 2 Monotherapy Study under our NIMH CRADA.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development and commercialization agreements with respect to AV-101 or one or more other product candidates. Our ability to generate revenue depends on a number of factors, including, but not limited to, our ability to:</w:t>
      </w:r>
    </w:p>
    <w:p>
      <w:pPr>
        <w:spacing w:after="0" w:line="17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we enter into a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Our audited consolidated financial statements for the year ended March 31, 2017 as well as the unaudited condensed consolidated financial statements for the period ended September 30, 2017 included elsewhere in this Report have been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the sale of our securities or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our cardiac stem cell technology for drug rescue and potential regenerative medicine applications, and we will continue to expend substantial resources for the foreseeable future developing and commercializing AV-101 for multiple CNS indications, and, potentially, developing drug rescue NCEs and RM therapies, on our own or in collaborations similar to the BlueRock Agreement.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At September 30, 2017, our existing cash and cash equivalents were not sufficient to fund our current operations for the next 12 months or to complete our proposed AV-101 MDD Phase 2 Adjunctive Treatment Study. Further, we have no current source of revenue to sustain our present activities, and we do not expect to generate revenue until, and unless, we (i) out-license or sell AV-101, a drug rescue NCE, and/or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w:t>
      </w:r>
    </w:p>
    <w:p>
      <w:pPr>
        <w:spacing w:after="0" w:line="170"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in 2017 and beyond.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and drug rescue 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to preserve our intellectual property;</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7"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1" w:lineRule="exact"/>
        <w:rPr>
          <w:sz w:val="20"/>
          <w:szCs w:val="20"/>
          <w:color w:val="auto"/>
        </w:rPr>
      </w:pPr>
    </w:p>
    <w:p>
      <w:pPr>
        <w:jc w:val="both"/>
        <w:ind w:right="160"/>
        <w:spacing w:after="0" w:line="37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1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have identified material weaknesses in our internal control over financial reporting. In particular, we concluded that (i) the size and capabilities of the Company’s staff does not permit appropriate segregation of duties to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auditing trail of entries made in the accounting software.</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2017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As of March 31, 2017, we had federal and state net operating loss carryforwards of $77.1 million and $67.6 million, respectively, which begin to expire in fiscal 2018.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and Chief Financial Officer, as well as other employees, consultants and scientific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7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6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addition, we rely on a diverse range of strategic consultants and advisors, including manufacturing, scientific and clinical development, and regulatory advisors, to assist us in designing and implementing our research and development and regulatory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we seek to advance development of AV-101 for MDD and other CNS-related conditions, as well as stem cell technology-related drug rescue and RM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39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Furthermore, these laws, regulations and requirements require us to observe greater corporate governance practices than we have employed in the past, including, but not limited to maintaining a sufficient number of independent directors, increased frequency of board meetings, and holding annual stockholder meetings. Our efforts to comply with these regulations are likely to result in increased general and administrative expenses and management time and attention directed to compliance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8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we may not realize the benefits of such acquisitions.</w:t>
      </w:r>
    </w:p>
    <w:p>
      <w:pPr>
        <w:spacing w:after="0" w:line="248"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important to the development of our business. We also rely on trade secrets to protect aspects of our business that are not amenable to, or that we do not consider appropriate for, patent protection.</w:t>
      </w:r>
    </w:p>
    <w:p>
      <w:pPr>
        <w:spacing w:after="0" w:line="16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 applications related to AV-101 and we own and have licensed patents and patent applications related to human pluripotent stem cell technology.</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Although we have an issued patent relating to AV-101 in the U.S. and the European Union, we cannot yet provide any assurances that any of our other numerous pending U.S. and additional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patent positions of biotechnology and pharmaceutical companies, including our patent position, involve complex legal and factual questions, and, therefore,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issuance, scope, validity and enforceability of any additional patent claims that we may obtain cannot be predicted with certainty. Patents, if issued,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challenged, deemed unenforceable, invalidated, or circumvented. U.S. patents and patent applications may also be subject to interference proceedings, </w:t>
      </w:r>
      <w:r>
        <w:rPr>
          <w:rFonts w:ascii="Arial" w:cs="Arial" w:eastAsia="Arial" w:hAnsi="Arial"/>
          <w:sz w:val="16"/>
          <w:szCs w:val="16"/>
          <w:i w:val="1"/>
          <w:iCs w:val="1"/>
          <w:color w:val="auto"/>
        </w:rPr>
        <w:t>ex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parte </w:t>
      </w:r>
      <w:r>
        <w:rPr>
          <w:rFonts w:ascii="Arial" w:cs="Arial" w:eastAsia="Arial" w:hAnsi="Arial"/>
          <w:sz w:val="16"/>
          <w:szCs w:val="16"/>
          <w:color w:val="auto"/>
        </w:rPr>
        <w:t>reexamination, or</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proceedings, supplemental examination and challenges in district court. Patents may be subjected to opposition, post-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 review, or comparable proceedings lodged in various foreign, both national and regional, patent offices. These proceedings could result in either loss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patent or denial of the patent application or loss or reduction in the scope of one or more of the claims of the patent or patent application. In addition,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proceedings may be costly. Thus, any patents that we may own or exclusively license may not provide any protection against competitors. Furthermore,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adverse decision in an interference proceeding can result in a third party receiving the patent right sought by us, which in turn could affect our ability to develop,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 or otherwise commercialize our product candidates.</w:t>
      </w:r>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Furthermore, though a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660" w:hanging="328"/>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8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7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9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248"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7"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U.S.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European Patent Office (</w:t>
      </w:r>
      <w:r>
        <w:rPr>
          <w:rFonts w:ascii="Arial" w:cs="Arial" w:eastAsia="Arial" w:hAnsi="Arial"/>
          <w:sz w:val="16"/>
          <w:szCs w:val="16"/>
          <w:i w:val="1"/>
          <w:iCs w:val="1"/>
          <w:color w:val="auto"/>
        </w:rPr>
        <w:t>EPO</w:t>
      </w:r>
      <w:r>
        <w:rPr>
          <w:rFonts w:ascii="Arial" w:cs="Arial" w:eastAsia="Arial" w:hAnsi="Arial"/>
          <w:sz w:val="16"/>
          <w:szCs w:val="16"/>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 Any lawsuit we are engaged in to protect or enforce our patents or the patents of our licensors could be expensive, time-consuming and unsuccessful.</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Further, 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before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 can.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EPO,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Arial" w:cs="Arial" w:eastAsia="Arial" w:hAnsi="Arial"/>
          <w:sz w:val="16"/>
          <w:szCs w:val="16"/>
          <w:i w:val="1"/>
          <w:iCs w:val="1"/>
          <w:color w:val="auto"/>
        </w:rPr>
        <w:t>Business —Intellectual Property</w:t>
      </w:r>
      <w:r>
        <w:rPr>
          <w:rFonts w:ascii="Arial" w:cs="Arial" w:eastAsia="Arial" w:hAnsi="Arial"/>
          <w:sz w:val="16"/>
          <w:szCs w:val="16"/>
          <w:color w:val="auto"/>
        </w:rPr>
        <w:t>” herein for a description of our license agreements, which includes a description of the termination provisions of these agreements.</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4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7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7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18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660" w:right="20" w:hanging="328"/>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public market for our securities may adversely affect an investor’s ability to liquidate an investment in the Company.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common stock is currently quoted on the NASDAQ Capital Market, however, there is presently limited trading activity. We can give no assurance that an active market will develop, or if developed, that it will be sustained. If an investor acquires shares of our common stock, the investor may not be able to liquidate the shares should there be a need or desire to do so.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highly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8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Certain of our current institutional stockholders own a substantial portion of our outstanding capital stock, including our common stock, Series A Preferred, Series B Preferred, and Series C Preferred, all of which preferred stock is convertible into a substantial number of shares of common stock. Accordingly,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Our Restated Articles of Incorporation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has authorized the issuance of (i) 500,000 shares of Series A Preferred, all of which shares are issued and outstanding at September 30, 2017; (ii) 4.0 million shares of Series B 10% Convertible Preferred stock, of which approximately 1.2 million shares remain issued and outstanding at September 30, 2017; and (iii) 3.0 million shares of Series C Convertible Preferred Stock, of which approximately 2.3 million shares are issued and outstanding at September 30, 2017.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Since becoming a public company by means of a reverse merger in 2011, we have been subject to the reporting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7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significant return</w:t>
      </w:r>
      <w:r>
        <w:rPr>
          <w:rFonts w:ascii="Arial" w:cs="Arial" w:eastAsia="Arial" w:hAnsi="Arial"/>
          <w:sz w:val="18"/>
          <w:szCs w:val="18"/>
          <w:b w:val="1"/>
          <w:bCs w:val="1"/>
          <w:color w:val="auto"/>
        </w:rPr>
        <w:t>.</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management will have broad discretion over the use of proceeds from this offering. We currently intend to use the net proceeds from the sale of securities offered by this prospectus for general corporate purposes, including research and development, working capital and capital expenditures. We may use a portion of the net proceeds to fund production of, and nonclinical and clinical studies related to Phase 2 and Phase 3 development of, AV-101 and other drug candidates. We may also use the net proceeds from the sale of the securities under this prospectus to in-license, acquire or invest in complementary businesses, technologies, products or assets. However, our management will have broad discretion in the application of the net proceeds from this offering and could spend the proceeds in ways that do not improve our results of operations or enhance the value of our common stock. The failure by management to apply these funds effectively could result in financial losses that could have a material adverse effect on our business, cause the price of our common stock to decline and delay the development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Because the combined public offering price per share and related warrant is substantially higher than the book value per share of our common stock, you will incur immediate and substantial dilution in the net tangible book value of the common stock you purchase in this offering. After giving effect to the sale by us of 10,000,000 shares of our common stock and warrants to purchase up to 10,000,000 shares of common stock at a combined public offering price of $1.50 per share, and after deducting the underwriting discount and estimated offering expenses payable by us, you will suffer immediate and substantial dilution of $0.95 per share in the pro forma net tangible book value of the common stock you purchase in this offering, assuming no value is attributed to the warrants, and the warrants are accounted for and classified as equity. To the extent outstanding options, warrants or other derivative securities are ultimately exercised or converted, or if we issue restricted stock to our employees under the 2016 Plan,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w:t>
      </w:r>
      <w:r>
        <w:rPr>
          <w:rFonts w:ascii="Arial" w:cs="Arial" w:eastAsia="Arial" w:hAnsi="Arial"/>
          <w:sz w:val="16"/>
          <w:szCs w:val="16"/>
          <w:i w:val="1"/>
          <w:iCs w:val="1"/>
          <w:color w:val="auto"/>
        </w:rPr>
        <w:t>Dilution</w:t>
      </w:r>
      <w:r>
        <w:rPr>
          <w:rFonts w:ascii="Arial" w:cs="Arial" w:eastAsia="Arial" w:hAnsi="Arial"/>
          <w:sz w:val="16"/>
          <w:szCs w:val="16"/>
          <w:color w:val="auto"/>
        </w:rPr>
        <w:t>” on page 43.</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impact the price of our common stock</w:t>
      </w:r>
      <w:r>
        <w:rPr>
          <w:rFonts w:ascii="Arial" w:cs="Arial" w:eastAsia="Arial" w:hAnsi="Arial"/>
          <w:sz w:val="18"/>
          <w:szCs w:val="18"/>
          <w:b w:val="1"/>
          <w:bCs w:val="1"/>
          <w:color w:val="auto"/>
        </w:rPr>
        <w:t>.</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December 6, 2017, we had 11,848,974 shares of common stock outstanding, as well as outstanding options to purchase an aggregate of 3,279,871 shares of our common stock at a weighted average exercise price of $3.23 per share, up to 4,228,252 shares of common stock issuable upon conversion of outstanding shares of our preferred stock, and outstanding warrants to purchase up to an aggregate of 7,107,157 shares of our common stock at a weighted average exercise price of $4.70 per share. The exercise of such outstanding derivative securities may result in further dilution of your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no public market for the warrants being offered by this prospectus, and we do not anticipate such a market ever developing in the future</w:t>
      </w:r>
      <w:r>
        <w:rPr>
          <w:rFonts w:ascii="Arial" w:cs="Arial" w:eastAsia="Arial" w:hAnsi="Arial"/>
          <w:sz w:val="16"/>
          <w:szCs w:val="16"/>
          <w:b w:val="1"/>
          <w:bCs w:val="1"/>
          <w:color w:val="auto"/>
        </w:rPr>
        <w:t>.</w:t>
      </w:r>
    </w:p>
    <w:p>
      <w:pPr>
        <w:spacing w:after="0" w:line="2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is no established public trading market for the warrants being offered by this prospectus and we do not intend to have the warrants listed on a national securities exchange or any other recognized trading system in the future. Without an active market, the liquidity of any warrants sold by means of this prospectus will be 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warrants being offered by means of this prospectus may not have any value</w:t>
      </w:r>
      <w:r>
        <w:rPr>
          <w:rFonts w:ascii="Arial" w:cs="Arial" w:eastAsia="Arial" w:hAnsi="Arial"/>
          <w:sz w:val="18"/>
          <w:szCs w:val="18"/>
          <w:b w:val="1"/>
          <w:bCs w:val="1"/>
          <w:color w:val="auto"/>
        </w:rPr>
        <w:t>.</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warrants offered by us in this offering do not confer any rights of ownership of shares of common stock on its holders, such as voting rights or the right to receive dividends, but only represent the right to acquire shares of common stock at a fixed price for a limited period of time. In the event that the market price of our common stock does not exceed the exercise price of the warrants sold in this offering during the period when the warrants are exercisable, the warrants may not have any value.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NOTES REGARDING FORWARD-LOOKING STATEMENTS</w:t>
      </w:r>
    </w:p>
    <w:p>
      <w:pPr>
        <w:spacing w:after="0" w:line="225" w:lineRule="exact"/>
        <w:rPr>
          <w:sz w:val="20"/>
          <w:szCs w:val="20"/>
          <w:color w:val="auto"/>
        </w:rPr>
      </w:pPr>
    </w:p>
    <w:p>
      <w:pPr>
        <w:ind w:right="480"/>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contained in this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22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660" w:right="20" w:hanging="328"/>
        <w:spacing w:after="0" w:line="33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plans to develop and commercialize our lead product candidate, AV-101, initially as an adjunctive treatment for MDD in patients with an inadequate response to standard, FDA-approved antidepressants, and subsequently as a treatment for additional CNS diseases and disorders;</w:t>
      </w:r>
    </w:p>
    <w:p>
      <w:pPr>
        <w:spacing w:after="0" w:line="139" w:lineRule="exact"/>
        <w:rPr>
          <w:rFonts w:ascii="Arial" w:cs="Arial" w:eastAsia="Arial" w:hAnsi="Arial"/>
          <w:sz w:val="16"/>
          <w:szCs w:val="16"/>
          <w:color w:val="auto"/>
        </w:rPr>
      </w:pPr>
    </w:p>
    <w:p>
      <w:pPr>
        <w:ind w:left="660" w:right="20" w:hanging="328"/>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jc w:val="both"/>
        <w:ind w:left="660" w:right="2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of the U.S. National Institute of Mental Health,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success of competing products and product candidates in development by others that are or become available for the indications that we are pursuing;</w:t>
      </w:r>
    </w:p>
    <w:p>
      <w:pPr>
        <w:spacing w:after="0" w:line="259" w:lineRule="exact"/>
        <w:rPr>
          <w:rFonts w:ascii="Arial" w:cs="Arial" w:eastAsia="Arial" w:hAnsi="Arial"/>
          <w:sz w:val="15"/>
          <w:szCs w:val="15"/>
          <w:color w:val="auto"/>
        </w:rPr>
      </w:pPr>
    </w:p>
    <w:p>
      <w:pPr>
        <w:ind w:left="660" w:hanging="328"/>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ind w:right="360"/>
        <w:spacing w:after="0" w:line="370" w:lineRule="auto"/>
        <w:rPr>
          <w:sz w:val="20"/>
          <w:szCs w:val="20"/>
          <w:color w:val="auto"/>
        </w:rPr>
      </w:pPr>
      <w:r>
        <w:rPr>
          <w:rFonts w:ascii="Arial" w:cs="Arial" w:eastAsia="Arial" w:hAnsi="Arial"/>
          <w:sz w:val="15"/>
          <w:szCs w:val="15"/>
          <w:color w:val="auto"/>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estimate that the net proceeds to us from this offering will be approximately $13.6 million, after deducting the underwriting discount and estimated offering expenses payable by us.</w:t>
      </w:r>
    </w:p>
    <w:p>
      <w:pPr>
        <w:spacing w:after="0" w:line="18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expect to use the net proceeds from this offering for research and development, primarily related to the AV-101 MDD Phase 2 Adjunctive Treatment Study, ordinary course working capital needs and other general corporate purposes. We may also use a portion of the net proceeds to (i) produce additional supplies of AV-101 for future nonclinical and clinical studies, (ii) conduct certain standard nonclinical studies necessary to enable longer term oral administration (initially at least 90 days) of AV-101 for MDD and multiple other potential CNS indications and to facilitate a smooth transition to Phase 3 development of AV-101 for adjunctive treatment of MDD should the results of the AV-101 MDD Phase 2 Adjunctive Treatment Study be positive and warrant further clinical development of AV-101 for MDD, and (iii) conduct a small, single dose, food effects clinical study of AV-101 in healthy volunteers (not MDD patients) to enable Phase 3 development of AV-101. We may also use a portion of the net proceeds from the sale of the securities under this prospectus to in-license, acquire or invest in complementary businesses, technologies, products or assets.</w:t>
      </w:r>
    </w:p>
    <w:p>
      <w:pPr>
        <w:spacing w:after="0" w:line="17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table below reflects our current planned use of the net proceeds from this offering, assuming no exercise of the warrants offered hereby. Each of these amounts is an estimate only, and is subject to change at any time before or after closing of the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0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(in millions)</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Underwriting discount and other offering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Net proceeds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and other general and administrative purposes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expect net proceeds from this offering to provide sufficient funding to launch and complete our AV-101 MDD Phase 2 Adjunctive Treatment Study in 2018.</w:t>
      </w: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Pending other uses, we intend to invest the net proceeds from this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MARKET FOR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“VTGN.”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Shown below is the range of high and low sales prices for our common stock for the periods indicated as reported by the NASDAQ Capital Market.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Fiscal Year Ending March 31, 2018</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ending June 30, 2017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Second quarter ending September 30, 2017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ending December 31, 2017 (through December 12, 2017)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March 31, 2017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First quarter ending June 30, 2016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ending September 30, 2016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Third quarter ending December 31, 2016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ending March 31, 2017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March 31, 2016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First quarter ending June 30, 2015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ending September 30, 2015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Third quarter ending December 31, 2015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ending March 31, 2016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On December 12, 2017, the closing price of our common stock on the NASDAQ Capital Market was $1.18 per share. As of December 12, 2017, there were approximately 1,300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DIVIDEND POLICY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for use in the operation and expansion of our business, and do not anticipate paying any cash dividends in the foreseeable future. Our Series B Preferred accrues dividends at a rate of 10% per annum, which dividends are payable solely in unregistered shares of our common stock at the time the Series B Preferred is converted into common stock. Any future determination related to dividend policy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DILUTION</w:t>
      </w:r>
    </w:p>
    <w:p>
      <w:pPr>
        <w:spacing w:after="0" w:line="22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If you purchase shares of our common stock and related warrants in this offering, you will experience dilution to the extent of the difference between the combined public offering price per share and related warrant in this offering and our pro forma as adjusted net tangible book value per share immediately after this offering assuming no value is attributed to the warrants, and the warrants are accounted for and classified as equity. As of September 30, 2017, our net tangible book value (deficit) was approximately $(1,671,600), or approximately $(0.14) per share. Net tangible book value (deficit) is equal to our total assets minus the sum of liabilities and intangible assets. Net tangible book value (deficit) per share is net tangible book value (deficit) divided by the total number of shares of common stock outstanding.</w:t>
      </w:r>
    </w:p>
    <w:p>
      <w:pPr>
        <w:spacing w:after="0" w:line="19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After giving effect to the sale by us of 10,000,000 shares of our common stock and warrants to purchase up to 10,000,000 shares of our common stock in this offering at a combined public offering price of $1.50 per share and related warrant, and after deducting the underwriting discount and estimated offering expenses payable by us, our as-adjusted net tangible book value as of September 30, 2017 would have been approximately $11.9 million, or approximately $0.55 per share. This amount represents an immediate increase in net tangible book value of $0.69 per share to existing stockholders and an immediate dilution in net tangible book value of $0.95 per share to purchasers of our common stock and related warrants in this offering.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The following table illustrates the dilution in net tangible book value per share to new investors:</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Combined public offering price per share and related warrant:</w:t>
            </w:r>
          </w:p>
        </w:tc>
        <w:tc>
          <w:tcPr>
            <w:tcW w:w="4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tangible book value (deficit) per share as of September 30, 2017</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after this offering</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4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foregoing discussion and table does not take into account further dilution to new investors that could occur upon the exercise of outstanding options or warrants having a per share exercise price less than the combined public offering price in this offering. To the extent that we raise additional capital through the sale of equity or convertible debt securities, the issuance of those securities could result in further dilution to our stockholders.</w:t>
      </w:r>
    </w:p>
    <w:p>
      <w:pPr>
        <w:spacing w:after="0" w:line="16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table and discussion above are based on 11,628,974 shares of our common stock outstanding as of September 30, 2017, and excludes as of that date the following:</w:t>
      </w:r>
    </w:p>
    <w:p>
      <w:pPr>
        <w:spacing w:after="0" w:line="18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3,279,871 shares of common stock issuable upon exercise of outstanding stock options with a weighted average exercise price of $3.23 per share;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6,965,151 shares of common stock issuable upon exercise of outstanding warrants with a weighted average exercise price of $4.77 per share;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750,000 shares of common stock issuable upon conversion of all outstanding shares of our Series A Preferred;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1,160,240 shares of common stock issuable upon conversion of all outstanding shares of our Series B Preferred and 663,460 shares of common stock reserved for issuance as payment of accrued dividends on outstanding shares of Series B Preferred;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2,318,012 shares of common stock issuable upon conversion of all outstanding shares of our Series C Preferred;</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6,082,162 shares of common stock reserved for future issuance in connection with future grants under our Amended and Restated 2016 Stock Incentive Plan;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10,000,000 shares of common stock issuable upon the exercise of the warrants offered hereby.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2017:</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 pro forma basis giving effect to the sale and issuance by us of 10,000,000 shares of common stock warrants to purchase up to 10,000,000 shares of our common stock in this offering, at a combined public offering price of $1.50 per share and related warrant, and after deducting the underwriting discount and estimated offering expenses payable by us assuming no value is attributed to the warrants, and the warrants are accounted for and classified as equity.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As of September 30, 2017 (amounts in dollars and in thousands, except share and per share amounts)</w:t>
            </w:r>
          </w:p>
        </w:tc>
        <w:tc>
          <w:tcPr>
            <w:tcW w:w="20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Actual</w:t>
            </w:r>
          </w:p>
        </w:tc>
        <w:tc>
          <w:tcPr>
            <w:tcW w:w="1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Pro forma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1,764</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15,374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10,000,000 shares authorized:</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Series A Preferred, 500,000 shares authorized and outstanding, actual and pro forma</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4,000,000 shares authorized and 1,160,240 shares outstanding, actual and pro forma</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Series C Preferred, 3,000,000 shares authorized and 2,318,012 shares outstanding, actual and pro forma</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 $0.001 par value, 100,000,000 shares authorized;11,764,639 shares issued, actual; 21,764,639 shares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pro forma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151,541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165,141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135,665 shares, actual and pro forma</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(149,261)</w:t>
            </w:r>
          </w:p>
        </w:tc>
        <w:tc>
          <w:tcPr>
            <w:tcW w:w="12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(149,261)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Total capitalization</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11,938</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in the table above excludes the following shares as of September 30, 2017:</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3,279,871 shares of common stock issuable upon exercise of outstanding stock options with a weighted average exercise price of $3.23 per share;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6,965,151 shares of common stock issuable upon exercise of outstanding warrants with a weighted average exercise price of $4.77 per share;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750,000 shares of common stock issuable upon conversion of all outstanding shares of our Series A Preferred;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1,160,240 shares of common stock issuable upon conversion of all outstanding shares of our Series B Preferred and 663,460 shares of common stock reserved for issuance as payment of accrued dividends on outstanding shares of Series B Preferred;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2,318,012 shares of common stock issuable upon conversion of all outstanding shares of our Series C Preferred;</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6,082,162 shares of common stock reserved for future issuance in connection with future grants under our Amended and Restated 2016 Stock Incentive Plan ;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10,000,000 shares of common stock issuable upon the exercise of the warrants offered hereby.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SELECTED CONSOLIDATED FINANCIAL DATA</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following selected consolidated financial data of VistaGen Therapeutics, Inc. should be read in conjunction with, and are qualified by reference to, the section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the consolidated financial statements and notes thereto included elsewhere in this prospectus. The consolidated statement of operations data for the years ended March 31, 2017 and 2016, and the consolidated balance sheet data as of March 31, 2017 and 2016 are derived from, and qualified by reference to, our audited consolidated financial statements included elsewhere in this prospectus and should be read in conjunction with those consolidated financial statements and notes thereto. The consolidated statement of operations data for the six-month periods ended September 30, 2017 and 2016 and the consolidated balance sheet data as of September 30, 2017 are derived from our unaudited consolidated financial statements included elsewhere in this prospectus which, in our opinion, have been prepared on the same basis as the audited consolidated financial statements and reflect only adjustments, consisting only of normal recurring adjustments, necessary for a fair presentation of our results of operations and financial position. Our results for the six months ended September 30, 2017 are not necessarily indicative of results to be expected for the full year or any other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7"/>
              </w:rPr>
              <w:t>Fiscal Year Ended</w:t>
            </w:r>
          </w:p>
        </w:tc>
        <w:tc>
          <w:tcPr>
            <w:tcW w:w="200" w:type="dxa"/>
            <w:vAlign w:val="bottom"/>
          </w:tcPr>
          <w:p>
            <w:pPr>
              <w:spacing w:after="0"/>
              <w:rPr>
                <w:sz w:val="18"/>
                <w:szCs w:val="18"/>
                <w:color w:val="auto"/>
              </w:rPr>
            </w:pPr>
          </w:p>
        </w:tc>
        <w:tc>
          <w:tcPr>
            <w:tcW w:w="1500" w:type="dxa"/>
            <w:vAlign w:val="bottom"/>
            <w:gridSpan w:val="3"/>
          </w:tcPr>
          <w:p>
            <w:pPr>
              <w:jc w:val="center"/>
              <w:ind w:left="472"/>
              <w:spacing w:after="0"/>
              <w:rPr>
                <w:sz w:val="20"/>
                <w:szCs w:val="20"/>
                <w:color w:val="auto"/>
              </w:rPr>
            </w:pPr>
            <w:r>
              <w:rPr>
                <w:rFonts w:ascii="Arial" w:cs="Arial" w:eastAsia="Arial" w:hAnsi="Arial"/>
                <w:sz w:val="18"/>
                <w:szCs w:val="18"/>
                <w:b w:val="1"/>
                <w:bCs w:val="1"/>
                <w:color w:val="auto"/>
                <w:w w:val="88"/>
              </w:rPr>
              <w:t>Six-Months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tcPr>
          <w:p>
            <w:pPr>
              <w:jc w:val="center"/>
              <w:ind w:left="472"/>
              <w:spacing w:after="0"/>
              <w:rPr>
                <w:sz w:val="20"/>
                <w:szCs w:val="20"/>
                <w:color w:val="auto"/>
              </w:rPr>
            </w:pPr>
            <w:r>
              <w:rPr>
                <w:rFonts w:ascii="Arial" w:cs="Arial" w:eastAsia="Arial" w:hAnsi="Arial"/>
                <w:sz w:val="18"/>
                <w:szCs w:val="18"/>
                <w:b w:val="1"/>
                <w:bCs w:val="1"/>
                <w:color w:val="auto"/>
                <w:w w:val="91"/>
              </w:rPr>
              <w:t>March 31,</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7"/>
              </w:rPr>
              <w:t>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2016</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4"/>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40" w:type="dxa"/>
            <w:vAlign w:val="bottom"/>
          </w:tcPr>
          <w:p>
            <w:pPr>
              <w:spacing w:after="0"/>
              <w:rPr>
                <w:sz w:val="19"/>
                <w:szCs w:val="19"/>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b w:val="1"/>
                <w:bCs w:val="1"/>
                <w:color w:val="auto"/>
              </w:rPr>
              <w:t>(in</w:t>
            </w:r>
          </w:p>
        </w:tc>
        <w:tc>
          <w:tcPr>
            <w:tcW w:w="4220" w:type="dxa"/>
            <w:vAlign w:val="bottom"/>
            <w:gridSpan w:val="10"/>
          </w:tcPr>
          <w:p>
            <w:pPr>
              <w:jc w:val="right"/>
              <w:ind w:right="820"/>
              <w:spacing w:after="0"/>
              <w:rPr>
                <w:sz w:val="20"/>
                <w:szCs w:val="20"/>
                <w:color w:val="auto"/>
              </w:rPr>
            </w:pPr>
            <w:r>
              <w:rPr>
                <w:rFonts w:ascii="Arial" w:cs="Arial" w:eastAsia="Arial" w:hAnsi="Arial"/>
                <w:sz w:val="18"/>
                <w:szCs w:val="18"/>
                <w:b w:val="1"/>
                <w:bCs w:val="1"/>
                <w:color w:val="auto"/>
                <w:w w:val="80"/>
              </w:rPr>
              <w:t>thousands, except share and per share amounts)</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6,295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(10,249)</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(17,851)</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(7,254)</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warrant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tcPr>
          <w:p>
            <w:pPr>
              <w:spacing w:after="0"/>
              <w:rPr>
                <w:sz w:val="18"/>
                <w:szCs w:val="18"/>
                <w:color w:val="auto"/>
              </w:rPr>
            </w:pPr>
          </w:p>
        </w:tc>
        <w:tc>
          <w:tcPr>
            <w:tcW w:w="11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(26,700)</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(10,254)</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(47,219)</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(7,260)</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(10,256)</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(47,221)</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(7,262)</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(1,257)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Deemed dividend on Series B Preferred Units</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(2,058)</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(11,624)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(51,419)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and diluted net loss attributable to common stockholders per common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 average shares used in computing basic and diluted net loss attributable to</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common stockholders per common share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7,531,642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1,767,957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9,465,459</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6,577,769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As of March 31,</w:t>
            </w:r>
          </w:p>
        </w:tc>
        <w:tc>
          <w:tcPr>
            <w:tcW w:w="200" w:type="dxa"/>
            <w:vAlign w:val="bottom"/>
          </w:tcPr>
          <w:p>
            <w:pPr>
              <w:spacing w:after="0"/>
              <w:rPr>
                <w:sz w:val="24"/>
                <w:szCs w:val="24"/>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As of September 30,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2016</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Pro Forma (1)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3,712</w:t>
            </w:r>
          </w:p>
        </w:tc>
        <w:tc>
          <w:tcPr>
            <w:tcW w:w="26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2,618</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notes payable and accrued interest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Working capital</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(939)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443</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 stock, preferred stock, treasury stock and additional paid-in capital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616</w:t>
            </w:r>
          </w:p>
        </w:tc>
        <w:tc>
          <w:tcPr>
            <w:tcW w:w="26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(2,977)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(1,672)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11,938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right="80" w:hanging="652"/>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 forma column gives effect to the sale and issuance by us of 10,000,000 shares of our common stock and warrants to purchase up to 10,000,000 shares of our common stock in this offering, at a combined public offering price of $1.50 per share and related warrant, after deducting the underwriting discount and estimated offering expenses payable by us, assuming no value is attributed to the warrants, and the warrants are accounted for and classified as equity .</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auto"/>
        </w:rPr>
        <w:t>MANAGEMENT'S DISCUSSION AND ANALYSIS OF FINANCIAL CONDITION AND RESULTS OF OPERATIONS</w:t>
      </w:r>
    </w:p>
    <w:p>
      <w:pPr>
        <w:spacing w:after="0" w:line="23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xml:space="preserve">)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such as aripiprazole often used adjunctively to augment them. We believe AV-101 also has potential as a non-opioid treatment alternative for neuropathic pain, as well as several additional CNS indications </w:t>
      </w:r>
      <w:r>
        <w:rPr>
          <w:rFonts w:ascii="Arial" w:cs="Arial" w:eastAsia="Arial" w:hAnsi="Arial"/>
          <w:sz w:val="16"/>
          <w:szCs w:val="16"/>
          <w:color w:val="333333"/>
        </w:rPr>
        <w:t>where modulation of the NMDA receptors,</w:t>
      </w:r>
      <w:r>
        <w:rPr>
          <w:rFonts w:ascii="Arial" w:cs="Arial" w:eastAsia="Arial" w:hAnsi="Arial"/>
          <w:sz w:val="16"/>
          <w:szCs w:val="16"/>
          <w:color w:val="auto"/>
        </w:rPr>
        <w:t xml:space="preserve"> </w:t>
      </w:r>
      <w:r>
        <w:rPr>
          <w:rFonts w:ascii="Arial" w:cs="Arial" w:eastAsia="Arial" w:hAnsi="Arial"/>
          <w:sz w:val="16"/>
          <w:szCs w:val="16"/>
          <w:color w:val="333333"/>
        </w:rPr>
        <w:t>activation of AMPA pathways and/or key active metabolites of AV-101 may achieve therapeutic benefit</w:t>
      </w:r>
      <w:r>
        <w:rPr>
          <w:rFonts w:ascii="Arial" w:cs="Arial" w:eastAsia="Arial" w:hAnsi="Arial"/>
          <w:sz w:val="16"/>
          <w:szCs w:val="16"/>
          <w:color w:val="000000"/>
        </w:rPr>
        <w:t>, including Parkinson’s disease levodopa -induced</w:t>
      </w:r>
      <w:r>
        <w:rPr>
          <w:rFonts w:ascii="Arial" w:cs="Arial" w:eastAsia="Arial" w:hAnsi="Arial"/>
          <w:sz w:val="16"/>
          <w:szCs w:val="16"/>
          <w:color w:val="333333"/>
        </w:rPr>
        <w:t xml:space="preserve"> </w:t>
      </w:r>
      <w:r>
        <w:rPr>
          <w:rFonts w:ascii="Arial" w:cs="Arial" w:eastAsia="Arial" w:hAnsi="Arial"/>
          <w:sz w:val="16"/>
          <w:szCs w:val="16"/>
          <w:color w:val="000000"/>
        </w:rPr>
        <w:t>dyskinesia (</w:t>
      </w:r>
      <w:r>
        <w:rPr>
          <w:rFonts w:ascii="Arial" w:cs="Arial" w:eastAsia="Arial" w:hAnsi="Arial"/>
          <w:sz w:val="16"/>
          <w:szCs w:val="16"/>
          <w:i w:val="1"/>
          <w:iCs w:val="1"/>
          <w:color w:val="000000"/>
        </w:rPr>
        <w:t>PD LID</w:t>
      </w:r>
      <w:r>
        <w:rPr>
          <w:rFonts w:ascii="Arial" w:cs="Arial" w:eastAsia="Arial" w:hAnsi="Arial"/>
          <w:sz w:val="16"/>
          <w:szCs w:val="16"/>
          <w:color w:val="000000"/>
        </w:rPr>
        <w:t>), epilepsy and Huntington’s disease.</w:t>
      </w:r>
    </w:p>
    <w:p>
      <w:pPr>
        <w:spacing w:after="0" w:line="17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low dose intravenous (</w:t>
      </w:r>
      <w:r>
        <w:rPr>
          <w:rFonts w:ascii="Arial" w:cs="Arial" w:eastAsia="Arial" w:hAnsi="Arial"/>
          <w:sz w:val="16"/>
          <w:szCs w:val="16"/>
          <w:i w:val="1"/>
          <w:iCs w:val="1"/>
          <w:color w:val="auto"/>
        </w:rPr>
        <w:t>IV</w:t>
      </w:r>
      <w:r>
        <w:rPr>
          <w:rFonts w:ascii="Arial" w:cs="Arial" w:eastAsia="Arial" w:hAnsi="Arial"/>
          <w:sz w:val="16"/>
          <w:szCs w:val="16"/>
          <w:color w:val="auto"/>
        </w:rPr>
        <w:t>) administration of 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an NMDAR antagonist, in patients with treatment-resistant MDD. These NIMH studies, as well as clinical research at Yale University and other academic institutions, have demonstrated robust antidepressant effects in treatment-resistant MDD patients within twenty-four hours of a single IV dose of ketamine.</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entitled, </w:t>
      </w:r>
      <w:r>
        <w:rPr>
          <w:rFonts w:ascii="Arial" w:cs="Arial" w:eastAsia="Arial" w:hAnsi="Arial"/>
          <w:sz w:val="16"/>
          <w:szCs w:val="16"/>
          <w:i w:val="1"/>
          <w:iCs w:val="1"/>
          <w:color w:val="auto"/>
        </w:rPr>
        <w:t xml:space="preserve">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w:t>
      </w:r>
      <w:r>
        <w:rPr>
          <w:rFonts w:ascii="Arial" w:cs="Arial" w:eastAsia="Arial" w:hAnsi="Arial"/>
          <w:sz w:val="16"/>
          <w:szCs w:val="16"/>
          <w:i w:val="1"/>
          <w:iCs w:val="1"/>
          <w:color w:val="auto"/>
        </w:rPr>
        <w:t xml:space="preserve"> </w:t>
      </w:r>
      <w:r>
        <w:rPr>
          <w:rFonts w:ascii="Arial" w:cs="Arial" w:eastAsia="Arial" w:hAnsi="Arial"/>
          <w:sz w:val="16"/>
          <w:szCs w:val="16"/>
          <w:color w:val="auto"/>
        </w:rPr>
        <w:t>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the GlyB site and also involved the activation of another key neurological pathway, the alpha-amino-3-hydroxy-5-methyl-4-isoxazolepropionic acid (</w:t>
      </w:r>
      <w:r>
        <w:rPr>
          <w:rFonts w:ascii="Arial" w:cs="Arial" w:eastAsia="Arial" w:hAnsi="Arial"/>
          <w:sz w:val="16"/>
          <w:szCs w:val="16"/>
          <w:i w:val="1"/>
          <w:iCs w:val="1"/>
          <w:color w:val="auto"/>
        </w:rPr>
        <w:t>AMPA</w:t>
      </w:r>
      <w:r>
        <w:rPr>
          <w:rFonts w:ascii="Arial" w:cs="Arial" w:eastAsia="Arial" w:hAnsi="Arial"/>
          <w:sz w:val="16"/>
          <w:szCs w:val="16"/>
          <w:color w:val="auto"/>
        </w:rPr>
        <w:t>) receptor pathway.</w:t>
      </w:r>
    </w:p>
    <w:p>
      <w:pPr>
        <w:spacing w:after="0" w:line="17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currently funding, and Dr. Zarate, as Principal Investigator, and his team are currently conducting, a small Phase 2 clinical study of AV-101 monotherapy in subjects with treatment-resistant MDD (the </w:t>
      </w:r>
      <w:r>
        <w:rPr>
          <w:rFonts w:ascii="Arial" w:cs="Arial" w:eastAsia="Arial" w:hAnsi="Arial"/>
          <w:sz w:val="16"/>
          <w:szCs w:val="16"/>
          <w:i w:val="1"/>
          <w:iCs w:val="1"/>
          <w:color w:val="auto"/>
        </w:rPr>
        <w:t>NIMH</w:t>
      </w:r>
      <w:r>
        <w:rPr>
          <w:rFonts w:ascii="Arial" w:cs="Arial" w:eastAsia="Arial" w:hAnsi="Arial"/>
          <w:sz w:val="16"/>
          <w:szCs w:val="16"/>
          <w:color w:val="auto"/>
        </w:rPr>
        <w:t xml:space="preserve"> </w:t>
      </w:r>
      <w:r>
        <w:rPr>
          <w:rFonts w:ascii="Arial" w:cs="Arial" w:eastAsia="Arial" w:hAnsi="Arial"/>
          <w:sz w:val="16"/>
          <w:szCs w:val="16"/>
          <w:i w:val="1"/>
          <w:iCs w:val="1"/>
          <w:color w:val="auto"/>
        </w:rPr>
        <w:t>AV-101 MDD Phase 2 Monotherapy Study</w:t>
      </w:r>
      <w:r>
        <w:rPr>
          <w:rFonts w:ascii="Arial" w:cs="Arial" w:eastAsia="Arial" w:hAnsi="Arial"/>
          <w:sz w:val="16"/>
          <w:szCs w:val="16"/>
          <w:color w:val="auto"/>
        </w:rPr>
        <w:t>). In October 2017, we received FDA authorization to launch our 180-patient Phase 2 multi-center, multi-dose, double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blind, placebo-controlled efficacy and safety study of AV-101 as a new generation adjunctive treatment of MDD in adult patients with an inadequate therapeutic response to standard, FDA-approved antidepressants (the </w:t>
      </w:r>
      <w:r>
        <w:rPr>
          <w:rFonts w:ascii="Arial" w:cs="Arial" w:eastAsia="Arial" w:hAnsi="Arial"/>
          <w:sz w:val="16"/>
          <w:szCs w:val="16"/>
          <w:i w:val="1"/>
          <w:iCs w:val="1"/>
          <w:color w:val="auto"/>
        </w:rPr>
        <w:t>AV-101 MDD Phase 2 Adjunctive Treatment Study</w:t>
      </w:r>
      <w:r>
        <w:rPr>
          <w:rFonts w:ascii="Arial" w:cs="Arial" w:eastAsia="Arial" w:hAnsi="Arial"/>
          <w:sz w:val="16"/>
          <w:szCs w:val="16"/>
          <w:color w:val="auto"/>
        </w:rPr>
        <w:t>). Subject to completion of this offering, we intend to launch the AV-101 MDD Phase 2 Adjunctive Treatment Study in the first quarter of 2018 with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as the Principal Investigator. Dr. Fava was the co-Principal Investigator with Dr. A. John Rush of the STAR*D study, the largest clinical trial conducted in depression to date, whose findings were published in journals such as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NEJM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JAMA</w:t>
      </w:r>
      <w:r>
        <w:rPr>
          <w:rFonts w:ascii="Arial" w:cs="Arial" w:eastAsia="Arial" w:hAnsi="Arial"/>
          <w:sz w:val="16"/>
          <w:szCs w:val="16"/>
          <w:color w:val="auto"/>
        </w:rPr>
        <w:t>).</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third-party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including small molecule NCEs with regenerative potential, for CNS and other diseases and (ii) cellular therapies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pipeline. In December 2016, we exclusively sublicensed to BlueRock Therapeutics LP, a next generation regenerative medicine company established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Through VistaStem, we may also pursue additional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applications, including using blood, cartilage, and/or liver</w:t>
      </w:r>
      <w:r>
        <w:rPr>
          <w:rFonts w:ascii="Arial" w:cs="Arial" w:eastAsia="Arial" w:hAnsi="Arial"/>
          <w:sz w:val="16"/>
          <w:szCs w:val="16"/>
          <w:i w:val="1"/>
          <w:iCs w:val="1"/>
          <w:color w:val="auto"/>
        </w:rPr>
        <w:t xml:space="preserve"> </w:t>
      </w:r>
      <w:r>
        <w:rPr>
          <w:rFonts w:ascii="Arial" w:cs="Arial" w:eastAsia="Arial" w:hAnsi="Arial"/>
          <w:sz w:val="16"/>
          <w:szCs w:val="16"/>
          <w:color w:val="auto"/>
        </w:rPr>
        <w:t>cells derived from hPSCs for (A) cell-based therapy, (B) cell repair therapy, and/or (C) tissue engineering. In a manner similar to our exclusive sublicense agreement with BlueRock Therapeutics, we may pursue these additional RM applications in collaboration with third-parties.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Despite generating $1.25 million of sublicense revenue from the BlueRock Agreement in December 2016, we have not yet achieved recurring revenue-generating status from any of our product candidates or technologies. Since our inception in May 1998, we have devoted substantially all of our time and efforts to developing our lead CNS product candidate, AV-101, from early nonclinical studies to our ongoing Phase 2 clinical development program in MDD, as well as stem cell technology research and development, bioassay development, small molecule drug development, and creating, protecting and patenting intellectual property related to our product candidates and technologies, with the corollary initiatives of recruiting and retaining personnel and raising working capital. As of September 30, 2017, we had an accumulated deficit of approximately $149.3 million. Our net loss for the six months ended September 30, 2017 and 2016 was approximately $7.3 million and $5.1 million, respectively. We expect losses to continue for the foreseeable future, primarily related to our further development of AV-101 for the adjunctive treatment of MDD, as well as other CNS indications.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Our Fiscal Year Ended March 31, 2017 and Six Months Ended September 30, 2017.</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During Fiscal 2017 and the first two quarters of Fiscal 2018, we have continued to (i) advance nonclinical, including manufacturing, and clinical development of AV-101 as a potential new generation antidepressant and as a potential new therapeutic alternative for several other CNS indications with significant unmet medical need, (ii)expand the regulatory and intellectual property foundation to support broad clinical development and, ultimately, commercialization of AV-101 in the U.S. and foreign markets, and (iii) on a limited basis, advance the predictive toxicology capabilities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small molecule new chemical entity drug rescue and development applications and collaborative regenerative medicine opportunities related to our cardiac stem cell technology platform .</w:t>
      </w:r>
    </w:p>
    <w:p>
      <w:pPr>
        <w:spacing w:after="0" w:line="1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our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NIH, the NIH continues to fund, and Dr. Carlos Zarate Jr. of the NIMH continues to conduct, the NIMH AV-101 MDD Phase 2 Monotherapy Study, at no cost to us other than supplying clinical trial material. Although we do not direct or control the progress of this study, we currently anticipate that the NIMH will complete the NIMH AV-101 MDD Phase 2 Monotherapy Study in the first half of 2018.</w:t>
      </w: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May 2016, we consummated an underwritten public offering of our securities pursuant to which we received net proceeds of approximately $9.54 million and issued to institutional investors an aggregate of 2,570,040 registered shares of our common stock and five-year warrants exercisable at $5.30 per share to purchase an aggregate of 2,705,883 shares of our common stock (</w:t>
      </w:r>
      <w:r>
        <w:rPr>
          <w:rFonts w:ascii="Arial" w:cs="Arial" w:eastAsia="Arial" w:hAnsi="Arial"/>
          <w:sz w:val="18"/>
          <w:szCs w:val="18"/>
          <w:i w:val="1"/>
          <w:iCs w:val="1"/>
          <w:color w:val="auto"/>
        </w:rPr>
        <w:t>May 2016 Public Offering</w:t>
      </w:r>
      <w:r>
        <w:rPr>
          <w:rFonts w:ascii="Arial" w:cs="Arial" w:eastAsia="Arial" w:hAnsi="Arial"/>
          <w:sz w:val="18"/>
          <w:szCs w:val="18"/>
          <w:color w:val="auto"/>
        </w:rPr>
        <w:t>). In connection with the May 2016 Public Offering, our common stock was approved for listing on The NASDAQ Capital Market, where it has traded under the symbol “VTGN” since May 11, 2016. Please see the section titled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w:t>
      </w:r>
      <w:r>
        <w:rPr>
          <w:rFonts w:ascii="Arial" w:cs="Arial" w:eastAsia="Arial" w:hAnsi="Arial"/>
          <w:sz w:val="18"/>
          <w:szCs w:val="18"/>
          <w:i w:val="1"/>
          <w:iCs w:val="1"/>
          <w:color w:val="auto"/>
        </w:rPr>
        <w:t>and Capital Resources</w:t>
      </w:r>
      <w:r>
        <w:rPr>
          <w:rFonts w:ascii="Arial" w:cs="Arial" w:eastAsia="Arial" w:hAnsi="Arial"/>
          <w:sz w:val="18"/>
          <w:szCs w:val="18"/>
          <w:color w:val="auto"/>
        </w:rPr>
        <w:t>” below, for a summary of our capital raising activity subsequent to March 31, 2017 and a discussion of our expected future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w:t>
      </w:r>
    </w:p>
    <w:p>
      <w:pPr>
        <w:spacing w:after="0" w:line="19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addition to bolstering our Clinical and Regulatory Advisory Board with the appointment of Dr. Maurizio Fava (Harvard University) as Chairman and the addition of members Dr. Sanjay Matthew (Baylor University) and Dr. Thomas Laughren (former director, FDA’s Division of Psychiatry), all pre-eminent opinion leaders in the field of depression, and the addition of veteran healthcare executive Jerry Gin, Ph.D., MBA to our Board of Directors, we enhanced our management team with the addition of Mark A. Smith, MD, Ph.D., as our Chief Medical Officer in June 2016. Dr. Smith has over 20 years of pharmaceutical industry and CNS drug development experience. He has been a successful project leader in both drug discovery and development on projects resulting in approximately 20 investigational new drugs (</w:t>
      </w:r>
      <w:r>
        <w:rPr>
          <w:rFonts w:ascii="Arial" w:cs="Arial" w:eastAsia="Arial" w:hAnsi="Arial"/>
          <w:sz w:val="16"/>
          <w:szCs w:val="16"/>
          <w:i w:val="1"/>
          <w:iCs w:val="1"/>
          <w:color w:val="auto"/>
        </w:rPr>
        <w:t>INDs</w:t>
      </w:r>
      <w:r>
        <w:rPr>
          <w:rFonts w:ascii="Arial" w:cs="Arial" w:eastAsia="Arial" w:hAnsi="Arial"/>
          <w:sz w:val="16"/>
          <w:szCs w:val="16"/>
          <w:color w:val="auto"/>
        </w:rPr>
        <w:t>). Dr. Smith has directed clinical trials examining depression, bipolar disorder, anxiety, schizophrenia, Alzheimer’s disease, ADHD and agitation in Phase 1 through Phase 2b. In addition, Dr. Smith has vast knowledge and expertise in translational neuroscience, clinical trial design and regulatory interactions. In September 2016, we appointed Mark A. McPartland as our Vice President of Corporate Development. Mr. McPartland has over 20 years of experience in corporate development, capital markets, corporate communications and management consulting for companies at varying stage of their corporate evolution, including early- and mid-stage biopharmaceutical companies. Mr. McPartland is primarily concentrating his efforts in expanding awareness of VistaGen across a range of investors, researchers, patients, clinicians and potential partners. In July 2017, we appointed Mark Wallace, M.D., Distinguished Professor of Clinical Anesthesiology at the University of California, San Diego, to our Clinical and Regulatory Advisory Board to assist us in advancing development of AV-101 as a potential non-opioid treatment alternative for neuropathic pain. Dr. Wallace is an internationally recognized leader in the field of multi-modal pain management, with over 30 years of professional experience, board certifications, licensures, honors/awards, grants, articles and abstracts.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line="3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2016, we entered into the BlueRock Agreement with BlueRock Therapeutics, LP, a next generation regenerative medicine company recently established by Bayer AG and Versant Ventures (</w:t>
      </w:r>
      <w:r>
        <w:rPr>
          <w:rFonts w:ascii="Arial" w:cs="Arial" w:eastAsia="Arial" w:hAnsi="Arial"/>
          <w:sz w:val="16"/>
          <w:szCs w:val="16"/>
          <w:i w:val="1"/>
          <w:iCs w:val="1"/>
          <w:color w:val="auto"/>
        </w:rPr>
        <w:t>BlueRock</w:t>
      </w:r>
      <w:r>
        <w:rPr>
          <w:rFonts w:ascii="Arial" w:cs="Arial" w:eastAsia="Arial" w:hAnsi="Arial"/>
          <w:sz w:val="16"/>
          <w:szCs w:val="16"/>
          <w:color w:val="auto"/>
        </w:rPr>
        <w:t>), pursuant to which BlueRock received exclusive rights to utilize certain technologies exclusively licensed by us from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for the production of cardiac stem cells for the treatment of heart disease. We retained rights to technology licensed from UHN related to small molecule, protein and antibody drug discovery, drug rescue and drug development, including small molecules with cardiac regenerative potential, as well as small molecule, protein and antibody testing involving cardiac cells. In January 2017, we received an upfront cash payment of $1.25 million under the BlueRock Agreement and we may potentially receive additional cash milestones and royalty payments in the future upon BlueRock’s achievement of certain development objectives and commercial sales.</w:t>
      </w:r>
    </w:p>
    <w:p>
      <w:pPr>
        <w:spacing w:after="0" w:line="17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Between late-March 2017 and June 2017, we entered into self-placed private placement transactions with individual accredited investors, pursuant to which we sold units consisting of an aggregate of 495,001 shares of our unregistered common stock and warrants which are not exercisable until six months and one day following issuance and expire on April 30, 2021, to purchase an aggregate of 247,500 shares of our common stock at a weighted average fixed exercise price of $3.99 per share, subject to adjustment only for customary stock dividends, reclassifications, splits and similar transactions. We received cash proceeds of approximately $1 million in this self-placed private placement transaction. In September 2017, we reduced the exercise price of each of the warrants issued in the Spring 2017 Private Placement to $2.00 per share and issued additional warrants, also exercisable six months and one day following issuance at an exercise price of $2.00 per share, to purchase an aggregate of 247,501 unregistered shares of our common stock. In August 2017, in a self-placed private placement transaction, we sold units consisting of 28,572 shares of our unregistered common stock and warrants exercisable six months and one day following the date of issuance through April 30, 2021 to purchase 28,572 unregistered shares of our common stock at an exercise price of $4.00 per share. We received cash proceeds of $50,000 from this private placement transaction.</w:t>
      </w:r>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September 2017, we completed a firm commitment underwritten public offering, pursuant to which we sold 1,371,430 shares of our common stock and Series A1 Warrants to purchase up to 1,388,931 shares of common stock and Series A2 Warrants to purchase up to 503,641 of common stock (collectively, the </w:t>
      </w:r>
      <w:r>
        <w:rPr>
          <w:rFonts w:ascii="Arial" w:cs="Arial" w:eastAsia="Arial" w:hAnsi="Arial"/>
          <w:sz w:val="16"/>
          <w:szCs w:val="16"/>
          <w:i w:val="1"/>
          <w:iCs w:val="1"/>
          <w:color w:val="auto"/>
        </w:rPr>
        <w:t>Warrants</w:t>
      </w:r>
      <w:r>
        <w:rPr>
          <w:rFonts w:ascii="Arial" w:cs="Arial" w:eastAsia="Arial" w:hAnsi="Arial"/>
          <w:sz w:val="16"/>
          <w:szCs w:val="16"/>
          <w:color w:val="auto"/>
        </w:rPr>
        <w:t>), each exercisable for $1.82 per share warrants to two of our existing institutional investors, resulting in net proceeds of approximately $2.0 million (the</w:t>
      </w:r>
      <w:r>
        <w:rPr>
          <w:rFonts w:ascii="Arial" w:cs="Arial" w:eastAsia="Arial" w:hAnsi="Arial"/>
          <w:sz w:val="16"/>
          <w:szCs w:val="16"/>
          <w:i w:val="1"/>
          <w:iCs w:val="1"/>
          <w:color w:val="auto"/>
        </w:rPr>
        <w:t xml:space="preserve"> September 2017 Public Offering</w:t>
      </w:r>
      <w:r>
        <w:rPr>
          <w:rFonts w:ascii="Arial" w:cs="Arial" w:eastAsia="Arial" w:hAnsi="Arial"/>
          <w:sz w:val="16"/>
          <w:szCs w:val="16"/>
          <w:color w:val="auto"/>
        </w:rPr>
        <w:t>). The Series A1 Warrants will be exercisable for a five-year period commencing on March 7, 2018, and the Series A2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are exercisable at any time and expire on September 6, 2022. The common stock and the shares of common stock underlying the Warrants issued in the September 2017 Public Offering were sold pursuant to our effective Registration Statement on Form S-3 (Registration No. 333-215671) to cover this and potential future sales of our equity securities in one or more public offerings from time to time.</w:t>
      </w:r>
    </w:p>
    <w:p>
      <w:pPr>
        <w:spacing w:after="0" w:line="17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July 2017, we appointed Mark Wallace, M.D., Distinguished Professor of Clinical Anesthesiology at the University of California, San Diego, to our Clinical and Regulatory Advisory Board to assist us in advancing development of AV-101 as a potential non-opioid treatment alternative for neuropathic pain. Dr. Wallace is an internationally recognized leader in the field of multi-modal pain management, with over 30 years of professional experience, board certifications, licensures, honors/awards, grants, articles and abstracts.</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continue to prepare for the launch of our AV-101 MDD Phase 2 Adjunctive Treatment Study with initiatives that have significantly improved the efficiency of our AV-101 manufacturing processes and production of sufficient quantities of AV-101 to enable a more comprehensive initiation of the study. We currently anticipate the launch of the AV-101 MDD Phase 2 Adjunctive Treatment Study, with Dr. Maurizio Fava of Harvard Medical School serving as Principal Investigator, in the first quarter of 2018.</w:t>
      </w:r>
    </w:p>
    <w:p>
      <w:pPr>
        <w:spacing w:after="0" w:line="1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Additionally, we are pursuing initiatives to secure a broad spectrum of intellectual property protection for AV-101 covering multiple CNS indications. </w:t>
      </w:r>
      <w:r>
        <w:rPr>
          <w:rFonts w:ascii="Arial" w:cs="Arial" w:eastAsia="Arial" w:hAnsi="Arial"/>
          <w:sz w:val="16"/>
          <w:szCs w:val="16"/>
          <w:color w:val="333333"/>
        </w:rPr>
        <w:t>W</w:t>
      </w:r>
      <w:r>
        <w:rPr>
          <w:rFonts w:ascii="Arial" w:cs="Arial" w:eastAsia="Arial" w:hAnsi="Arial"/>
          <w:sz w:val="16"/>
          <w:szCs w:val="16"/>
          <w:color w:val="auto"/>
        </w:rPr>
        <w:t>e have filed and are pursuing several patent applications in Europe, the U.S. and other selected regions. Several of these patent applications have already been granted or allowed, on both (i) certain novel therapeutic methods of use of AV-101, including depression, and (ii) certain novel methods of producing AV-101. In Europe, the European Patent Office (</w:t>
      </w:r>
      <w:r>
        <w:rPr>
          <w:rFonts w:ascii="Arial" w:cs="Arial" w:eastAsia="Arial" w:hAnsi="Arial"/>
          <w:sz w:val="16"/>
          <w:szCs w:val="16"/>
          <w:i w:val="1"/>
          <w:iCs w:val="1"/>
          <w:color w:val="auto"/>
        </w:rPr>
        <w:t>EPO</w:t>
      </w:r>
      <w:r>
        <w:rPr>
          <w:rFonts w:ascii="Arial" w:cs="Arial" w:eastAsia="Arial" w:hAnsi="Arial"/>
          <w:sz w:val="16"/>
          <w:szCs w:val="16"/>
          <w:color w:val="auto"/>
        </w:rPr>
        <w:t>) recently granted our patent related to methods of treating depression with AV-101 and certain other neurological indications. In the U.S. and other selected regional markets, we are currently pursuing a counterpart AV-101 patent application similar to the patent granted by the EPO. Although the U.S.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has not yet allowed the counterpart application filed in the U.S., we believe that our counterpart patent applications under review by the USPTO and other countries ultimately will be granted.</w:t>
      </w:r>
    </w:p>
    <w:p>
      <w:pPr>
        <w:spacing w:after="0" w:line="172"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In Europe, the U.S. and other selected regional markets, we are also prosecuting patent applications related to novel methods of producing AV-101. We recently received a Notice of Allowance for manufacturing patent applications regarding our manufacturing process from the USPTO and Chinese patent office. We have submitted a counterpart application to the EPO, which has not yet been approved. However, given that our application at the USPTO was sufficient to obtain an allowed patent in the U.S., we believe our counterpart patent application at the EPO ultimately will be granted.</w:t>
      </w:r>
    </w:p>
    <w:p>
      <w:pPr>
        <w:spacing w:after="0" w:line="194"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As a matter of course, we continue to minimize, to the greatest extent possible cash commitments and expenditures for both internal and external research and development and general and administrative services. To further advance the nonclinical and clinical development of AV-101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Fiscal Years Ended March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fiscal years ended March 31, 2017 and 2016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131" w:right="239"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jc w:val="right"/>
              <w:ind w:right="6652"/>
              <w:spacing w:after="0"/>
              <w:rPr>
                <w:sz w:val="20"/>
                <w:szCs w:val="20"/>
                <w:color w:val="auto"/>
              </w:rPr>
            </w:pPr>
            <w:r>
              <w:rPr>
                <w:rFonts w:ascii="Arial" w:cs="Arial" w:eastAsia="Arial" w:hAnsi="Arial"/>
                <w:sz w:val="18"/>
                <w:szCs w:val="18"/>
                <w:color w:val="auto"/>
                <w:w w:val="94"/>
              </w:rPr>
              <w:t>General and administrative</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jc w:val="right"/>
              <w:ind w:right="6652"/>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warrant liabilities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(10,254)</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(47,219)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dividend on Series B Preferred Stock</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(1,257)</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on Series B Preferred Stock</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(11,624)</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(51,419)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recognized $1.25 million in sublicense revenue pursuant to the BlueRock Agreement in the quarter ended December 31, 2016. While we may potentially receive additional payments and royalties under the BlueRock Agreement in the future, in the event certain performance-based milestones and commercial sales are achieved by BlueRock, the agreement might not provide recurring revenue to us in the near term. We reported no other revenue for the fiscal years ended March 31, 2017 or 2016 and we presently have no revenue-generating arrangements with respect to AV-101 or other potential product candidates. However, as indicated previously, under our CRADA with the NIH, the NIH is fully funding and conducting the NIMH AV-101 MDD Phase 2 Monotherapy Study at no cost to 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Research and development expense totaled $5.2 million for the fiscal year ended March 31, 2017 (</w:t>
      </w:r>
      <w:r>
        <w:rPr>
          <w:rFonts w:ascii="Arial" w:cs="Arial" w:eastAsia="Arial" w:hAnsi="Arial"/>
          <w:sz w:val="18"/>
          <w:szCs w:val="18"/>
          <w:i w:val="1"/>
          <w:iCs w:val="1"/>
          <w:color w:val="auto"/>
        </w:rPr>
        <w:t>Fiscal 2017</w:t>
      </w:r>
      <w:r>
        <w:rPr>
          <w:rFonts w:ascii="Arial" w:cs="Arial" w:eastAsia="Arial" w:hAnsi="Arial"/>
          <w:sz w:val="18"/>
          <w:szCs w:val="18"/>
          <w:color w:val="auto"/>
        </w:rPr>
        <w:t>), an increase of approximately 33% compared with the $3.9 million incurred for the fiscal year ended March 31, 2016 (</w:t>
      </w:r>
      <w:r>
        <w:rPr>
          <w:rFonts w:ascii="Arial" w:cs="Arial" w:eastAsia="Arial" w:hAnsi="Arial"/>
          <w:sz w:val="18"/>
          <w:szCs w:val="18"/>
          <w:i w:val="1"/>
          <w:iCs w:val="1"/>
          <w:color w:val="auto"/>
        </w:rPr>
        <w:t>Fiscal 2016</w:t>
      </w:r>
      <w:r>
        <w:rPr>
          <w:rFonts w:ascii="Arial" w:cs="Arial" w:eastAsia="Arial" w:hAnsi="Arial"/>
          <w:sz w:val="18"/>
          <w:szCs w:val="18"/>
          <w:color w:val="auto"/>
        </w:rPr>
        <w:t>), demonstrating our increased and continuing focus on manufacturing and nonclinical and clinical development of AV-101 in preparation for our AV-101 MDD Phase 2 Adjunctive Treatment Study, which we currently anticipate to begin in the first quarter of 2018. Of the amounts reported, non-cash expenses, related primarily to grants or modifications of our equity securities, totaled approximately $534,000 in Fiscal 2017 and $1.7 million in Fiscal 2016. The following table indicates the primary components of research and development expense for each of the periods (amounts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32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 including UHN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development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AV-101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increase in salaries and benefits reflects the impact of the hiring of our Chief Medical Officer (</w:t>
      </w:r>
      <w:r>
        <w:rPr>
          <w:rFonts w:ascii="Arial" w:cs="Arial" w:eastAsia="Arial" w:hAnsi="Arial"/>
          <w:sz w:val="16"/>
          <w:szCs w:val="16"/>
          <w:i w:val="1"/>
          <w:iCs w:val="1"/>
          <w:color w:val="auto"/>
        </w:rPr>
        <w:t>CMO</w:t>
      </w:r>
      <w:r>
        <w:rPr>
          <w:rFonts w:ascii="Arial" w:cs="Arial" w:eastAsia="Arial" w:hAnsi="Arial"/>
          <w:sz w:val="16"/>
          <w:szCs w:val="16"/>
          <w:color w:val="auto"/>
        </w:rPr>
        <w:t>) in June 2016, as well as salary increases and bonus payments granted to our President and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and to the four non-officer members of our scientific staff.</w:t>
      </w:r>
    </w:p>
    <w:p>
      <w:pPr>
        <w:spacing w:after="0" w:line="139"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 xml:space="preserve">The decrease in stock based compensation expense is primarily attributable to the $852,200 fair value, determined using the Black-Scholes Option Pricing Model and the assumptions indicated in Note 13, </w:t>
      </w:r>
      <w:r>
        <w:rPr>
          <w:rFonts w:ascii="Arial" w:cs="Arial" w:eastAsia="Arial" w:hAnsi="Arial"/>
          <w:sz w:val="15"/>
          <w:szCs w:val="15"/>
          <w:i w:val="1"/>
          <w:iCs w:val="1"/>
          <w:color w:val="auto"/>
        </w:rPr>
        <w:t>Stock Option Plans and 401(k) Plan</w:t>
      </w:r>
      <w:r>
        <w:rPr>
          <w:rFonts w:ascii="Arial" w:cs="Arial" w:eastAsia="Arial" w:hAnsi="Arial"/>
          <w:sz w:val="15"/>
          <w:szCs w:val="15"/>
          <w:color w:val="auto"/>
        </w:rPr>
        <w:t>, to the accompanying Consolidated Financial Statements in Part 8 of this Report, of the September 2015 grant of immediately vested and expensed warrants to purchase 150,000 shares of our common stock granted to our CSO. Stock compensation expense in Fiscal 2017 reflects the ratable amortization of option grants made to our CSO and CMO, scientific staff and consultants, in November 2016, June 2016 (CSO and CMO only) and September 2015. Our stock options are generally amortized over a two-year to four-year vesting period. A substantial number of the option grants made in or prior to our fiscal year ended March 31, 2014 became fully-vested and were fully-expensed by March 31, 2017.</w:t>
      </w:r>
    </w:p>
    <w:p>
      <w:pPr>
        <w:spacing w:after="0" w:line="159"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Consulting services reflects fees paid or accrued for scientific, nonclinical and clinical development and regulatory advisory and consulting services rendered to us by third-parties, primarily by members of our scientific and CNS clinical and regulatory advisory boards. The reduction in expense for Fiscal 2017 primarily reflects the rationalization of our stem cell-related scientific advisory board and related accruals, including as a result of the BlueRock Agreement.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Technology license expense reflects both recurring annual fees as well as legal counsel and other costs related to patent prosecution and protection pursuant to certain of our stem cell technology license agreements or for other potential commercial purposes. We recognize these costs as they are invoiced to us by the licensors and they do not occur ratably throughout the year or between years. Additionally, in both periods, this expense includes legal counsel and other costs we have incurred to advance in the U.S. and numerous foreign countries several pending patent applications with respect to AV-101 and our stem cell technology platform. Technology license-related legal expense for Fiscal 2017 also includes $55,000 representing the fair value of a warrant granted to intellectual property counsel as partial compensation for services. Fiscal 2017 expense further includes a net of $158,000 related to the sublicense consideration paid to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related to the BlueRock Agreement plus additional fees and expenses related to two newly acquired licenses from UHN related to cardiac stem cell technology, net of amounts previously accrued in connection with our prior sponsored research collaboration with UHN. Technology license expense for Fiscal 2016 included (i) approximately $153,000 of fees and expenses incurred for additional stem cell technology related licenses acquired in connection with our agreement with UHN; (ii) $120,000 of noncash expense resulting from the grants to two intellectual property legal service providers in July 2015 of an aggregate of 10,000 shares of our Series B Preferred, and (iii) $254,000 of noncash expense resulting from the March 2016 grant of immediately-vested warrants to purchase an aggregate of 50,000 shares of our common stock to two intellectual property legal service providers.</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AV-101 expenses for Fiscal 2017 include continuing costs incurred to develop more efficient and cost-effective proprietary production methods for AV-101 and for certain pre-production and nonclinical trial analyses and procedures to facilitate Phase 2 clinical development of AV-101, including our AV-101 MDD Phase 2 Adjunctive Treatment Study. We expect these expenses to increase significantly during Fiscal 2018 and Fiscal 2019 as we continue preparations for, initiate and conduct our AV-101 MDD Phase 2 Adjunctive Treatment Study. Additionally, AV-101 expense in both periods reflects nominal costs associated with standard monitoring for and responding to potential feedback related to our AV-101 Phase 1 clinical safety program and addressing any other matters that may be required under the terms of our prior NIH grant awards, primarily facilitated by our CRO for our Phase 1 safety studies, Cato Research Ltd. The increase in stem cell and other project related expenses in Fiscal 2017 primarily reflects in-house costs associated with our participation in the FDA’s CiPA project focused on using next generation cardiac stem-cell technology-based bioassay systems for in vitro cardiac predictive toxicology screening.</w:t>
      </w:r>
    </w:p>
    <w:p>
      <w:pPr>
        <w:spacing w:after="0" w:line="1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increase in rent expense in Fiscal 2017 reflects both the impact of the scheduled rent increase for our South San Francisco headquarters and laboratory facilities effective August 2016, as well as the impact of accounting for the November 2016 lease amendment extending our lease of those facilities by five years from July 31, 2017 to July 31, 2022.</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Warrant modification expense in Fiscal 2016 reflects the increase in fair value resulting from the November 2015 modification of outstanding warrants to purchase an aggregate of 315,000 shares of our common stock held by our CSO and a key scientific advisor to reduce the exercise prices thereof from a range of $9.25 to $12.80 per share to $7.00 per share. No similar modifications occurred in Fiscal 2017.</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General and administrative expense decreased to $6.3 million in Fiscal 2017 from $13.9 million in Fiscal 2016 primarily as a result of the decrease in non-cash stock compensation expense attributable to option and warrant grants to employees, officers and independent Board members in Fiscal 2016, partially offset by an increase in non-cash expense related to grants of equity securities in payment of certain professional services during Fiscal 2017. Of the amounts reported, non-cash expenses, related primarily to grants or modifications of our equity securities, totaled approximately $3.1 million in Fiscal 2017 and $11.9 million in Fiscal 2016. The following table indicates the primary components of general and administrative expenses for each of the periods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32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6,295</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increase in salaries and benefits reflects the impact of salary increases and bonus payments granted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and a member of our administrative staff and the change in that employee’s status from part-time to full-time, as well as the hiring of our VP, Corporate Development in September 2016.</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 xml:space="preserve">The decrease in stock based compensation expense is primarily attributable to the $2.8 million fair value, determined using the Black-Scholes Option Pricing Model and the assumptions indicated in Note 13, </w:t>
      </w:r>
      <w:r>
        <w:rPr>
          <w:rFonts w:ascii="Arial" w:cs="Arial" w:eastAsia="Arial" w:hAnsi="Arial"/>
          <w:sz w:val="16"/>
          <w:szCs w:val="16"/>
          <w:i w:val="1"/>
          <w:iCs w:val="1"/>
          <w:color w:val="auto"/>
        </w:rPr>
        <w:t>Stock Option Plans and 401(k) Plan</w:t>
      </w:r>
      <w:r>
        <w:rPr>
          <w:rFonts w:ascii="Arial" w:cs="Arial" w:eastAsia="Arial" w:hAnsi="Arial"/>
          <w:sz w:val="16"/>
          <w:szCs w:val="16"/>
          <w:color w:val="auto"/>
        </w:rPr>
        <w:t>, to the accompanying Consolidated Financial Statements in Item 8 of this Report, of the September 2015 grant of immediately vested and expensed warrants to purchase 500,000 shares of our common stock granted to our CEO, CFO, independent members of our Board of Directors and certain consultants. Stock compensation expense in Fiscal 2017 reflects the ratable amortization of option grants made to our CEO, CFO, independent members of our Board of Directors and administrative staff and consultants, in November 2016, June 2016 (CEO, CFO and independent Board members only) and September 2015, as well as to our VP-Corporate Development upon the commencement of his employment in September 2016. Our stock options are generally amortized over a two-year to four-year vesting period. A substantial number of the option grants made in or prior to our fiscal year ended March 31, 2014 became fully-vested and were fully-expensed by March 31, 2017.</w:t>
      </w:r>
    </w:p>
    <w:p>
      <w:pPr>
        <w:spacing w:after="0" w:line="1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Board fees includes fees recognized for the services of independent members of our Board of Directors. We added an additional independent director, Dr. Jerry Gin, to our Board in March 2016.</w:t>
      </w:r>
    </w:p>
    <w:p>
      <w:pPr>
        <w:spacing w:after="0" w:line="18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Legal, accounting and other professional fees in Fiscal 2017 and Fiscal 2016 includes $337,500 and $1.0 million, respectively, of non-cash expense recognized pursuant to the June 2015 grant of an aggregate of 90,000 shares of our Series B Preferred having an aggregate fair value at the time of issuance of $1.4 million as compensation for financial advisory and corporate development service contracts with two independent service providers for services performed between July 2015 and June 2016. During Fiscal 2017, in addition to the expense noted above attributable to the June 2015 Series B Preferred grant, we granted an aggregate of 25,000 unregistered shares of our common stock having a fair value at the date of issuance of $108,500 to a legal services provider as partial compensation for services and an aggregate of 320,000 unregistered shares of our common stock having a fair value at the date of issuance of $1.1 million as partial compensation for financial advisory, investment banking and business development services. During Fiscal 2016, in addition to the expense noted above attributable to the June 2015 Series B Preferred grant, we also granted (i) an aggregate of 50,000 shares of our common stock having an aggregate fair value of $500,000 pursuant to two corporate development contracts initiated during the first quarter of Fiscal 2016; (ii) 25,000 shares of our Series B Preferred having a fair value of $250,000 to legal counsel as compensation for services in connection with our debt restructuring and other corporate finance matters, and (iii) 15,750 shares of our unregistered common stock and a five-year warrant to purchase 7,500 unregistered shares of our common stock having an aggregate fair value of $138,000 in connection with investment banking services. In both years, professional services expense also includes cash payments for routine legal fees and expenses and the expense related to the annual audit of the prior year financial statements, preparation of the prior year income tax returns, and quarterly reviews of current year financial statements.</w:t>
      </w:r>
    </w:p>
    <w:p>
      <w:pPr>
        <w:spacing w:after="0" w:line="182"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Investor relations expense includes the fees of our external service providers for a significantly expanded broad spectrum of institutional investor relations and public market awareness and support functions and, particularly during Fiscal 2017, initiatives that included numerous meetings in multiple U.S. markets and other communication activities focused on expanding public market awareness of the Company, including among investment professionals and investment advisors, and individual and institutional investors. During Fiscal 2017, in addition to cash fees and expenses we incurred, we granted an aggregate of 160,000 unregistered shares of our common stock to six investor relations and market awareness service providers as full or partial compensation for their services and recognized non-cash expense of $472,800, representing the fair value of the stock at the time of issuance. We also granted three-year, immediately exercisable warrants to purchase an aggregate of 75,000 shares of our unregistered common stock at exercise prices ranging from $4.50 per share to $6.00 per share to three investor relations service providers and recognized non-cash expense of $172,300 representing the fair value of the warrants at the time of issuance.</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both periods, travel expense reflects costs associated with presentations to and meetings in numerous U.S. markets with existing and potential investors and investment professionals and advisors, media and securities analysts, as well as various investor relations, market awareness and business development initiatives, in Fiscal 2017 by our CEO, CMO and VP, Corporate Development.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Between January 2016 and December 2016, we entered into various warrant exchange agreements with certain warrant holders pursuant to which those holders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exchanged outstanding warrants to purchase shares of our common stock for a lesser number of unregistered shares of our common stock. In both periods,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accounted for these transactions as warrant modifications. Between April 2016 and December 2016, certain warrant holders agreed to exchange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224,513 shares of our common stock for an aggregate of 156,246 shares of our unregistered common stock, resulting in our recognition of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$350,700 in noncash expense attributable to the increase in fair value related to Fiscal 2017 warrant exchanges. Further, in December 2016, we modified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warrant to reduce the exercise price from $8.00 per share to $3.51 per share and increase the number of shares exercisable under the warrant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 shares to 50,000 shares, recognizing $76,900 in expense as the incremental fair value attributable to the modification. Noncash warrant modification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in Fiscal 2016 includes (i) $122,000 representing the increase in the fair value attributable to the June 2015 modification of outstanding warrants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an aggregate of 54,576 shares of our common stock to reduce the exercise prices thereof, generally from $30.00 per share to $10.00 per share; (ii)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$358,000 representing the increase in the fair value attributable to the November 2015 modification of outstanding warrants to purchase an aggregate of 808,553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previously granted to our CEO, CFO, and independent members of our Board of Directors to reduce the exercise prices thereof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range of $9.25 to $12.80 per share to $7.00 per share; and (iii) $5.6 million representing the aggregate increase in the fair value of certain warrant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conducted during the fourth quarter of Fiscal 2016. In January 2016, we entered into an Exchange Agreement with PLTG pursuant to which PLTG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exchanged warrants, including all outstanding PLTG Warrants and the shares issuable pursuant to the Series A Preferred Exchange Warrant, to purchase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aggregate of 2,824,016 shares of our common stock for 2,118,012 unregistered shares of our Series C Convertible Preferred Stock (</w:t>
      </w:r>
      <w:r>
        <w:rPr>
          <w:rFonts w:ascii="Arial" w:cs="Arial" w:eastAsia="Arial" w:hAnsi="Arial"/>
          <w:sz w:val="15"/>
          <w:szCs w:val="15"/>
          <w:i w:val="1"/>
          <w:iCs w:val="1"/>
          <w:color w:val="auto"/>
        </w:rPr>
        <w:t>Series C Preferred</w:t>
      </w:r>
      <w:r>
        <w:rPr>
          <w:rFonts w:ascii="Arial" w:cs="Arial" w:eastAsia="Arial" w:hAnsi="Arial"/>
          <w:sz w:val="15"/>
          <w:szCs w:val="15"/>
          <w:color w:val="auto"/>
        </w:rPr>
        <w:t>) at the ratio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0.75 share of Series C Preferred for each warrant share cancelled. We recognized related noncash warrant modification expense of $3.2 million. In February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March 2016, we entered into similar agreements with certain other warrant holders pursuant to which such warrant holders exchanged outstanding warrants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purchase an aggregate of 1,086,611 shares of our common stock for an aggregate of 814,989 shares of our unregistered common stock. We recognized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$2.4 million in non-cash warrant modification expense. In February 2016, we also extended the term of certain outstanding warrants to purchase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aggregate of 91,230 shares of our common stock and recognized $46,000 of non-cash expense as a result of such modifications.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Expenses, Net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Interest expense, net, totaled $4,600 for Fiscal 2017, a significant decrease compared to the $770,800 reported for Fiscal 2016, resulting from the extinguishment of substantially all of our promissory notes, as well as other indebtedness, having an aggregate carrying value at the time of extinguishment of approximately $15.9 million, between May 2015 and August 2015 by conversion into our shares of our Series B Preferred at a conversion price of $7.00 per share or cash repayment and the related elimination of note interest and discount amortization. The following table summarizes the primary components of interest expense for each of the periods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140" w:type="dxa"/>
            <w:vAlign w:val="bottom"/>
            <w:gridSpan w:val="4"/>
          </w:tcPr>
          <w:p>
            <w:pPr>
              <w:jc w:val="right"/>
              <w:ind w:right="240"/>
              <w:spacing w:after="0"/>
              <w:rPr>
                <w:sz w:val="20"/>
                <w:szCs w:val="20"/>
                <w:color w:val="auto"/>
              </w:rPr>
            </w:pPr>
            <w:r>
              <w:rPr>
                <w:rFonts w:ascii="Arial" w:cs="Arial" w:eastAsia="Arial" w:hAnsi="Arial"/>
                <w:sz w:val="18"/>
                <w:szCs w:val="18"/>
                <w:color w:val="auto"/>
              </w:rPr>
              <w:t>Fiscal Years Ended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color w:val="auto"/>
                <w:w w:val="97"/>
              </w:rPr>
              <w:t>March 31,</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Amortization of discount on promissory notes</w:t>
            </w:r>
          </w:p>
        </w:tc>
        <w:tc>
          <w:tcPr>
            <w:tcW w:w="8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interest expense, including on capital leases and premium financing</w:t>
            </w:r>
          </w:p>
        </w:tc>
        <w:tc>
          <w:tcPr>
            <w:tcW w:w="8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interest expense</w:t>
            </w: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income</w:t>
            </w: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0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expense on promissory notes in Fiscal 2017 represents only the interest accrued on our promissory note to Progressive Medical Research prior to its repayment in June 2016. The substantial overall decrease in interest expense on promissory notes and the related amortization of discounts on such notes between the periods reflects the cessation of interest accrual and discount amortization upon the extinguishment and conversion of all outstanding Senior Secured Convertible Notes, certain 10% convertible notes (</w:t>
      </w:r>
      <w:r>
        <w:rPr>
          <w:rFonts w:ascii="Arial" w:cs="Arial" w:eastAsia="Arial" w:hAnsi="Arial"/>
          <w:sz w:val="18"/>
          <w:szCs w:val="18"/>
          <w:i w:val="1"/>
          <w:iCs w:val="1"/>
          <w:color w:val="auto"/>
        </w:rPr>
        <w:t>2014 Unit Notes</w:t>
      </w:r>
      <w:r>
        <w:rPr>
          <w:rFonts w:ascii="Arial" w:cs="Arial" w:eastAsia="Arial" w:hAnsi="Arial"/>
          <w:sz w:val="18"/>
          <w:szCs w:val="18"/>
          <w:color w:val="auto"/>
        </w:rPr>
        <w:t>) and other outstanding promissory notes into shares of our Series B Preferred between May 2015 and August 2015.</w:t>
      </w:r>
    </w:p>
    <w:p>
      <w:pPr>
        <w:spacing w:after="0" w:line="19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Under the terms of our October 2012 Note Exchange and Purchase Agreement with PLTG, we issued certain Senior Secured Convertible Promissory Notes and a related Exchange Warrant and Investment Warrants between October 2012 and July 2013. Upon PLTG’s exchange of the shares of our Series A Preferred Stock held by PLTG into shares of our common stock, we were also required to issue a Series A Exchange Warrant to PLTG. We determined that the various warrants included certain exercise price resets and other adjustment features requiring us to treat the warrants as liabilities. Accordingly, we recorded a noncash warrant liability at its estimated fair value as of the date of warrant issuance or contract execution. In May 2015, we entered into an agreement with PLTG pursuant to which we amended the various warrants and fixed the exercise price thereof and eliminated the anti-dilution reset features that had previously required the warrants to be treated as liabilities and carried at fair value. Accordingly, during the first quarter of Fiscal 2016, we adjusted these warrants to their fair value, reflecting an increase in the fair value in the amount of $1.9 million since March 31, 2015, resulting primarily from the increase in the market price of our common stock in relation to the exercise price of the warrants, and then subsequently eliminated the entire warrant liability with respect to these warrants. In January 2016, the PLTG warrants were cancelled and exchanged for shares of our Series C Preferred stock.</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7" w:name="page58"/>
    <w:bookmarkEnd w:id="57"/>
    <w:p>
      <w:pPr>
        <w:spacing w:after="0" w:line="113"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Between May 2015 and August 2015 we extinguished outstanding promissory notes and other indebtedness having a carrying value of approximately $15.9 million, including our Senior Secured Convertible Notes, our 2014 Unit Notes and other debt and certain adjustments thereto that were either already due and payable or would have otherwise matured prior to March 31, 2016 by converting such balances into shares of our Series B Preferred at a conversion price (the stated value of the Series B Preferred issued) of $7.00 per share. We treated the conversion of the indebtedness into Series B Preferred as extinguishments of debt for accounting purposes. Since the fair value of the Series B Preferred we negotiated in settlement of the promissory notes and other indebtedness exceeded the carrying value of the debts, we incurred non-recurring noncash losses on each of the extinguishments. Additionally, under the terms of our May 2015 agreement with PLTG in which PLTG agreed to, among other things, convert the Senior Secured Notes and certain other of our convertible promissory notes into Series B Preferred, we issued to PLTG 400,000 shares of Series B Preferred having an aggregate fair value of $4.0 million and Series B Warrants to purchase 1,200,000 shares of our common stock having an aggregate of fair value of $8,270,900. We recognized this aggregate fair value as a further non-recurring noncash component of loss on extinguishment of debt. Many of the 2014 Unit Notes that were converted into Series B Preferred contained a beneficial conversion feature at the time they were originally issued. We accounted for the repurchase of the beneficial conversion feature at the time the 2014 Unit Notes were extinguished and converted, an aggregate of $2.2 million, as a reduction to the loss on extinguishment of debt. We recorded an aggregate net non-recurring non-cash loss of approximately $26.7 million attributable to the extinguishment of substantially all of our indebtedness as a result of the conversion of such indebtedness into shares of our Series B Preferred at a conversion price (stated value) of $7.00 per share.</w:t>
      </w:r>
    </w:p>
    <w:p>
      <w:pPr>
        <w:spacing w:after="0" w:line="18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We allocated the proceeds from self-placed private placement sales of Series B Preferred Units to the Series B Preferred and the Series B Warrants based on their relative fair values on the dates of the sales. The difference between the relative fair value per share of the Series B Preferred, approximately $4.20 per share and $4.13 per share for Fiscal 2017 and Fiscal 2016, respectively, and its conversion price (or stated value) of $7.00 per share represented a deemed dividend to the purchasers of the Series B Preferred Units. Accordingly, we recognized a deemed dividend in the aggregate amount of $111,100 and $2,058,000 in arriving at net loss attributable to common stockholders for Fiscal 2017 and Fiscal 2016 in the accompanying Consolidated Statement of Operations and Comprehensive Loss included in Item 8 of this Annual Report. Further, we recognized $1.3 million and $2.1 million for Fiscal 2017 and Fiscal 2016, respectively, representing the 10% cumulative dividend payable on our Series B Preferred as an additional deduction in arriving at net loss attributable to common stockholders in the accompanying Consolidated Statement of Operations and Comprehensive Loss, included in this Annual Report. The reduction in the dividend accrual results from the automatic conversion of an aggregate of 2,403,051 shares of Series B Preferred upon our completion of the May 2016 Public Offering and a subsequent voluntary conversion of 87,500 shares of our Series B Preferred in August 2016, as disclosed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Consolidated Financial Statements in Item 8 of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Three Months Ended September 30, 2017 and 2016</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summarizes the results of our operations, including both cash and noncash components, for the three months ended September 30, 2017 and 2016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(4,997)</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Deemed dividend on Series B Preferred Stock</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reported no revenue for the quarters ended September 30, 2017 or 2016 and we presently have no recurring revenue generating arrangements with respect to AV-101 or other potential product candidates. While we may potentially receive future milestone payments and royalties under the BlueRock Agreement upon achievement of certain performance-based milestones and commercial sales. However, there can be no assurance that the BlueRock Agreement will provide additional revenue to us in the near term or at all.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Research and development expense, including both cash and noncash components, totaled $2.4 million for the quarter ended September 30, 2017, an increase of approximately 51% compared to the $1.6 million reported for the quarter ended September 30, 2016. Noncash expenses, including stock compensation, depreciation and a portion of rent expense in both periods and a portion of AV-101 project expenses in the quarter ended September 30, 2017, totaled approximately $592,000 and $83,000 in the quarters ended September 30, 2017 and 2016, respectively. The increase in research and development expense in 2017 reflects our continued focus on nonclinical and clinical development of AV-101, particularly our preparations for the launch of the AV-101 MDD Phase 2</w:t>
      </w:r>
    </w:p>
    <w:p>
      <w:pPr>
        <w:sectPr>
          <w:pgSz w:w="11900" w:h="16951" w:orient="portrait"/>
          <w:cols w:equalWidth="0" w:num="1">
            <w:col w:w="11420"/>
          </w:cols>
          <w:pgMar w:left="240" w:top="131" w:right="239" w:bottom="0" w:gutter="0" w:footer="0" w:header="0"/>
        </w:sectPr>
      </w:pPr>
    </w:p>
    <w:bookmarkStart w:id="58" w:name="page59"/>
    <w:bookmarkEnd w:id="58"/>
    <w:p>
      <w:pPr>
        <w:spacing w:after="0" w:line="6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Adjunctive Treatment Study, which is currently anticipated in the first quarter of 2018, subject to securing additional financing. The following table indicates the primary components of research and development expense for each of the periods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b w:val="1"/>
                <w:bCs w:val="1"/>
                <w:color w:val="auto"/>
                <w:w w:val="92"/>
              </w:rPr>
              <w:t>Three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AV-101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salaries and benefits expense reflects the impact of salary increases granted to our Chief Medical Officer (</w:t>
      </w:r>
      <w:r>
        <w:rPr>
          <w:rFonts w:ascii="Arial" w:cs="Arial" w:eastAsia="Arial" w:hAnsi="Arial"/>
          <w:sz w:val="16"/>
          <w:szCs w:val="16"/>
          <w:i w:val="1"/>
          <w:iCs w:val="1"/>
          <w:color w:val="auto"/>
        </w:rPr>
        <w:t>CMO</w:t>
      </w:r>
      <w:r>
        <w:rPr>
          <w:rFonts w:ascii="Arial" w:cs="Arial" w:eastAsia="Arial" w:hAnsi="Arial"/>
          <w:sz w:val="16"/>
          <w:szCs w:val="16"/>
          <w:color w:val="auto"/>
        </w:rPr>
        <w:t>) and Chief Scientific Officer</w:t>
      </w:r>
    </w:p>
    <w:p>
      <w:pPr>
        <w:spacing w:after="0" w:line="38"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CSO</w:t>
      </w:r>
      <w:r>
        <w:rPr>
          <w:rFonts w:ascii="Arial" w:cs="Arial" w:eastAsia="Arial" w:hAnsi="Arial"/>
          <w:sz w:val="16"/>
          <w:szCs w:val="16"/>
          <w:color w:val="auto"/>
        </w:rPr>
        <w:t>) in July 2017 and to the non-officer members of our scientific staff in June 2017. Additionally, our then-newly-hired CMO did not receive a bonus payment in July 2016; however, both our CMO and CSO were granted a bonus in September 2017. The full amount of each officer’s 2017 bonus was accrued at the time it was granted, but only 25% of the total amount was paid by September 30, 2017, with the remaining balance to be paid ratably through March 31, 2018.</w:t>
      </w:r>
    </w:p>
    <w:p>
      <w:pPr>
        <w:spacing w:after="0" w:line="16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Noncash stock based compensation expense increased in the current period primarily from the routine amortization of option grants made to our CSO, CMO and scientific staff in September 2017, April 2017 and November 2016, which grants, in the aggregate, account for approximately $105,000 of 2017 expense. Expense attributable to these grants is being amortized over two-year to four-year vesting periods, based on the terms of the respective grants. Substantially all option grants made prior to September 2015 were fully-vested and fully-expensed prior to June 30, 2017.</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Consulting services reflects fees paid or accrued for scientific, nonclinical and clinical development and regulatory advisory services rendered to us by third-parties, primarily by members of our scientific and CNS clinical and regulatory advisory boards. The reduction in expense in the current period primarily reflects the change in terms of consulting agreements with our stem cell-related scientific advisory board members.</w:t>
      </w:r>
    </w:p>
    <w:p>
      <w:pPr>
        <w:spacing w:after="0" w:line="19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Technology license expense reflects both recurring annual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this expense includes legal counsel and other costs we have incurred to advance pending patent applications in the U.S. and numerous foreign countries with respect to AV-101 and our stem cell technology platform.</w:t>
      </w:r>
    </w:p>
    <w:p>
      <w:pPr>
        <w:spacing w:after="0" w:line="15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AV-101 project expense for the quarter ended September 30, 2017 includes continuing costs incurred to develop more efficient and cost-effective proprietary manufacturing methods for AV-101, and to produce clinical trial material for the AV-101 MDD Phase 2 Adjunctive Treatment Study, as well as costs incurred for certain other nonclinical studies to facilitate further clinical development of AV-101 in MDD and potentially for other indications, and to comply with applicable FDA regulations. Stem cell and other project related expenses reflects costs associated with our in-house stem cell technology-related initiatives, and, in 2016, our participation in the FDA’s Comprehensive In 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project.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increase in rent expense for the quarter ended September 30, 2017 reflects higher commercial property rents prevalent in the South San Francisco real estate market and recognized in our November 2016 lease amendment extending the lease of our headquarters facilities in South San Francisco by five years from July 31, 2017 to July 31, 2022 and the related accounting for the extension amendment.</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General and administrative expense, including both cash and noncash components, increased by 72% to approximately $2.6 million from $1.5 million for the quarters ended September 30, 2017 and 2016, respectively. Noncash expense aggregated approximately $1,494,000 and $579,000 for the quarters ended September 30, 2017 and 2016, respectively, including, in both periods, stock compensation expense, a portion of investor relations and investment banking expenses, warrant modification expense, and a portion of rent expense. The overall increase in general and administrative expenses resulted primarily from increased professional services expenses, including noncash expense attributable to the grant of common stock for services, noncash warrant modification expense and, to a lesser extent, salary and benefits and noncash stock compensation expenses. The following table indicates the primary components of general and administrative expenses, including the cash and noncash components, for each of the periods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b w:val="1"/>
                <w:bCs w:val="1"/>
                <w:color w:val="auto"/>
                <w:w w:val="92"/>
              </w:rPr>
              <w:t>Three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Rent and utilities</w:t>
            </w:r>
          </w:p>
        </w:tc>
        <w:tc>
          <w:tcPr>
            <w:tcW w:w="7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The increase in salaries and benefits primarily reflects the impact of the hiring of our Vice President of Corporate Development </w:t>
      </w:r>
      <w:r>
        <w:rPr>
          <w:rFonts w:ascii="Arial" w:cs="Arial" w:eastAsia="Arial" w:hAnsi="Arial"/>
          <w:sz w:val="18"/>
          <w:szCs w:val="18"/>
          <w:i w:val="1"/>
          <w:iCs w:val="1"/>
          <w:color w:val="auto"/>
        </w:rPr>
        <w:t>(VP-Corporate Development</w:t>
      </w:r>
      <w:r>
        <w:rPr>
          <w:rFonts w:ascii="Arial" w:cs="Arial" w:eastAsia="Arial" w:hAnsi="Arial"/>
          <w:sz w:val="18"/>
          <w:szCs w:val="18"/>
          <w:color w:val="auto"/>
        </w:rPr>
        <w:t>) in September 2016 and salary increases granted in July 2017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and VP-Corporate Development and, in June 2017, to a non-officer member of our administrative staff. Additionally, each of our officers was granted a bonus in September 2017, but our VP-Corporate Development had not yet joined the Company in July 2016, when our CEO and CFO received a bonus payment. The full amount of each officer’s 2017 bonus was accrued at the time it was granted, but only 25% of the total amount was paid by September 30, 2017, with the remaining balance to be paid ratably through March 31, 2018.</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 based compensation expense increased in the current period primarily as a result of the routine amortization of option grants to independent members of our Board and our CEO, CFO and administrative staff in September 2017, April 2017 and November 2016, plus the new-hire grant made to our VP-Corporate Development in September 2016, which grants account for approximately $117,000 of 2017 expense. Expense attributable to these grants is being amortized over a two-year to four-year vesting period, based on the terms of the respective grants. Substantially all option grants made prior to September 2015 were fully-vested and fully-expensed prior to June 30, 2017.</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Board fees includes fees recognized for the services of independent members of our Board. The Board modified committee assignments effective in April 2017, resulting in the slight increase in expense.</w:t>
      </w:r>
    </w:p>
    <w:p>
      <w:pPr>
        <w:spacing w:after="0" w:line="18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Legal, accounting and other professional fees for the quarters ended September 30, 2017 and 2016 includes cash expense related to routine legal services as well as accounting expense related to the review of the financial statements for the second quarter of each fiscal year. In the quarter ended September 30, 2017, additionally, we granted an aggregate of 20,000 unregistered shares of our common stock having an aggregate fair value of $30,800 to legal services providers as compensation for services and an aggregate of 150,000 unregistered shares of our common stock having an aggregate fair value of $234,000 to two investment banking firms pursuant to financial advisory agreements. In the quarter ended September 30, 2016, we granted an aggregate of 25,000 unregistered shares of our common stock having a fair value of $108,500 to a legal services provider as compensation for services.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Investor relations expense includes the fees of our various external service providers for a broad spectrum of investor relations, market awareness and strategic advisory and support functions, as well as initiatives that included numerous meetings in multiple U.S. markets and other communication activities focused on expanding market awareness of the Company, including among registered investment professionals and investment advisors, and individual and institutional investors. In the quarter ended September 30, 2017, in addition to cash fees and expenses we incurred, we granted an aggregate of 457,000 unregistered shares of our common stock to various corporate development, investor relations, market awareness and strategic business advisory service providers for their services and recognized noncash expense of $713,300, representing the fair value of the stock at the time of issuance. In the quarter ended September 30, 2016, we granted an aggregate of 25,000 unregistered shares of our common stock having a fair value at the time of issuance of $108,500 to an investor relations service provider as compensation for services.</w:t>
      </w:r>
    </w:p>
    <w:p>
      <w:pPr>
        <w:spacing w:after="0" w:line="17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both periods, travel expense reflects costs associated with management presentations to and meetings in multiple U.S. markets with existing and potential individual and institutional investors, investment professionals and advisors, media, and securities analysts, as well as various investor relations, market awareness and corporate development initiatives.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increase in rent expense for the quarter ended September 30, 2017 reflects higher commercial property rents prevalent in the local real estate market and recognized in our November 2016 lease amendment extending the lease of our headquarters facilities by five years from July 31, 2017 to July 31, 2022 and the related accounting for the extension amendment.</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September 2017, we reduced the exercise price of 247,500 warrants issued in the Spring 2017 Private Placement from a weighted average exercise price of $3.99 per share to $2.00 per share. We also issued to each of the Spring 2017 Private Placement investors additional warrants to purchase an aggregate total of 247,501 shares of common stock, with an exercise price of $2.00 per share. We recognized noncash expense of $279,700 in the quarter ended September 30, 2017 representing the increase in fair value of the warrants granted initially before and after the modification and the fair value of the additional warrants granted. In August 2016, we entered into warrant exchange agreements with certain warrant holders pursuant to which the warrant holders exchanged outstanding warrants to purchase an aggregate of 20,000 shares of our common stock for an aggregate of 15,000 shares of our unregistered common stock. As we had with similar prior transactions, we accounted for these transactions as warrant modifications, resulting in our recognition of $17,100 in noncash expense in the quarter ended September 30, 2016.</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Interest expense totaled $3,300 for the quarter ended September 30, 2017 compared to $1,400 reported for the quarter ended September 30, 2016. Interest expense in both periods relates to interest paid on insurance premium financing and on a capital lease of office equipment.</w:t>
      </w:r>
    </w:p>
    <w:p>
      <w:pPr>
        <w:spacing w:after="0" w:line="18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recognized $256,300 and $241,000 for the quarters ended September 30, 2017 and 2016, respectively, representing the 10% cumulative dividend payable on our Series B Preferred as an additional deduction in arriving at net loss attributable to common stockholders in the accompanying Condensed Consolidated Statement of Operations and Comprehensive Loss included in Part I of this Report. There have been no conversions of outstanding shares of our Series B Preferred stock into shares of our common stock since August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Six Months Ended September 30, 2017 and 2016</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table summarizes the results of our operations, including both cash and noncash components, for the six months ended September 30, 2017 and 2016 (amounts in thousands).</w:t>
      </w:r>
    </w:p>
    <w:p>
      <w:pPr>
        <w:spacing w:after="0" w:line="180"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Six Months Ended September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operating expenses</w:t>
            </w:r>
          </w:p>
        </w:tc>
        <w:tc>
          <w:tcPr>
            <w:tcW w:w="4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taxes</w:t>
            </w:r>
          </w:p>
        </w:tc>
        <w:tc>
          <w:tcPr>
            <w:tcW w:w="4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loss</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(7,262)</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Accrued dividend on Series B Preferred Stock</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Deemed dividend on Series B Preferred Stock</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43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4440" w:type="dxa"/>
            <w:vAlign w:val="bottom"/>
            <w:tcBorders>
              <w:top w:val="single" w:sz="8" w:color="CCEEFF"/>
              <w:bottom w:val="single" w:sz="8" w:color="auto"/>
            </w:tcBorders>
          </w:tcPr>
          <w:p>
            <w:pPr>
              <w:spacing w:after="0"/>
              <w:rPr>
                <w:sz w:val="24"/>
                <w:szCs w:val="24"/>
                <w:color w:val="auto"/>
              </w:rPr>
            </w:pPr>
          </w:p>
        </w:tc>
        <w:tc>
          <w:tcPr>
            <w:tcW w:w="4360" w:type="dxa"/>
            <w:vAlign w:val="bottom"/>
            <w:tcBorders>
              <w:top w:val="single" w:sz="8" w:color="CCEEFF"/>
              <w:bottom w:val="single" w:sz="8" w:color="auto"/>
            </w:tcBorders>
          </w:tcPr>
          <w:p>
            <w:pPr>
              <w:jc w:val="right"/>
              <w:ind w:right="2872"/>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reported no revenue for the six-month periods ended September 30, 2017 or 2016 and we presently have no recurring revenue generating arrangements with respect to AV-101 or other potential product candidates. While we may potentially receive future milestone payments and royalties under the BlueRock Agreement upon the achievement of certain performance-based milestones and commercial sales, there can be no assurance that the BlueRock Agreement will provide additional revenue to us in the near term or at all.</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Research and development expense, including both cash and noncash components, totaled $3.5 million for the six months ended September 30, 2017, an increase of approximately 45% compared to the $2.4 million reported for the six months ended September 30, 2016. Noncash expenses totaled approximately $843,000 and $131,000 in the six months ended September 30, 2017 and 2016, respectively, including stock compensation, depreciation and a portion of rent expense in both periods, and a portion of AV-101 project expenses in the six months ended September 30, 2017. The increase in research and development expense in 2017 reflects our continued focus on nonclinical and clinical development of AV-101, particularly our preparations for the launch of the AV-101 MDD Phase 2 Adjunctive Treatment Study, which is currently anticipated in the first quarter of 2018, subject to securing additional financing. The following table indicates the primary cash and noncash components of research and development expense for each of the periods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Six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AV-101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Stem cell and all other</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3,523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increase in salaries and benefits reflects the hiring of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in June 2016, and salary increases granted to our CMO in July 2017, to our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and to the non-officer members of our scientific staff in June 2016 and June 2017. Additionally, our then-newly-hired CMO did not receive a bonus payment in July 2016; however, both our CMO and CSO were granted a bonus in September 2017. The full amount of each officer’s September 2017 bonus was accrued at the time it was granted, but only 25% of the total amount was paid by September 30, 2017, with the remaining balance to be paid ratably through March 31, 2018.</w:t>
      </w:r>
    </w:p>
    <w:p>
      <w:pPr>
        <w:spacing w:after="0" w:line="19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Stock based compensation expense increased in the current period primarily as a result of the routine amortization of option grants made to our CSO, CMO and scientific staff in September 2017, April 2017 and November 2016, plus the new-hire grant made to our CMO in June 2016, which grants account for approximately $193,000 of 2017 expense. The expense attributable to these grants is being amortized over a two-year to four-year vesting period, based on the terms of the respective grants. Substantially all option grants made prior to September 2015 were fully-vested and fully-expensed prior to June 30, 2017.</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Consulting services reflects fees paid or accrued for scientific, nonclinical and clinical development and regulatory advisory services rendered to us by third-parties, primarily by members of our scientific and CNS clinical and regulatory advisory boards. The reduction in expense in 2017 primarily reflects the change in terms of consulting agreements with our stem cell-related scientific advisory board members.</w:t>
      </w:r>
    </w:p>
    <w:p>
      <w:pPr>
        <w:sectPr>
          <w:pgSz w:w="11900" w:h="16838" w:orient="portrait"/>
          <w:cols w:equalWidth="0" w:num="1">
            <w:col w:w="11420"/>
          </w:cols>
          <w:pgMar w:left="240" w:top="125" w:right="239" w:bottom="49" w:gutter="0" w:footer="0" w:header="0"/>
        </w:sectPr>
      </w:pPr>
    </w:p>
    <w:bookmarkStart w:id="61" w:name="page62"/>
    <w:bookmarkEnd w:id="61"/>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Technology license expense reflects both recurring annual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but to a greater extent in 2016, this expense includes legal counsel and other costs we have incurred to advance numerous pending patent applications in the U.S. and various foreign countries with respect to AV-101 and our stem cell technology platform.</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AV-101 project expense for both periods includes continuing costs incurred to develop more efficient and cost-effective proprietary manufacturing methods for AV-101, and to produce clinical trial material enabling the AV-101 MDD Phase 2 Adjunctive Treatment Study, and, primarily in 2017, costs incurred for certain other nonclinical studies to facilitate further clinical development of AV-101 in MDD and potentially for other indications and to comply with applicable FDA regulations. Stem cell and other project related expenses reflects costs associated with our in-house stem cell technology-related initiatives, and, in 2016, our participation in the FDA’s Comprehensive In 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project.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rent expense for 2017 reflects higher commercial property rents prevalent in the South San Francisco real estate market and recognized in our November 2016 lease amendment extending the lease of our headquarters facilities in South San Francisco by five years, from July 31, 2017 to July 31, 2022, and the related accounting for the extension amendment.</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General and administrative expense, including both cash and noncash components, increased approximately 42% to $3.7 million for the six months ended September 30, 2017 from $2.6 million for the six months ended September 30, 2016. Noncash expense aggregated approximately $1.7 million and $1.0 million for the six months ended September 30, 2017 and 2016, respectively, including, in both periods, stock compensation expense, a portion of investor relations and investment banking expenses, warrant modification expense, and a portion of rent expense. The overall increase in general and administrative expenses was primarily attributable to increased salary and benefits expense and noncash stock compensation, professional services and warrant modification expenses. The following table indicates the primary components of general and administrative expenses, including noncash components, for each of the periods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Six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increase in salaries and benefits reflects the impact of the hiring of our Vice President of Corporate Development </w:t>
      </w:r>
      <w:r>
        <w:rPr>
          <w:rFonts w:ascii="Arial" w:cs="Arial" w:eastAsia="Arial" w:hAnsi="Arial"/>
          <w:sz w:val="18"/>
          <w:szCs w:val="18"/>
          <w:i w:val="1"/>
          <w:iCs w:val="1"/>
          <w:color w:val="auto"/>
        </w:rPr>
        <w:t>(VP-Corporate Development</w:t>
      </w:r>
      <w:r>
        <w:rPr>
          <w:rFonts w:ascii="Arial" w:cs="Arial" w:eastAsia="Arial" w:hAnsi="Arial"/>
          <w:sz w:val="18"/>
          <w:szCs w:val="18"/>
          <w:color w:val="auto"/>
        </w:rPr>
        <w:t>) in September 2016 and salary increases granted in June 2016 and July 2017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and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and in June 2016 and June 2017 to a non-officer member of our administrative staff. Additionally, each of our officers was granted a bonus in September 2017, but our VP-Corporate Development had not yet joined the Company in July 2016, when our CEO and CFO received a bonus payment. The full amount of each officer’s 2017 bonus was accrued at the time it was granted, but only 25% of the total amount was paid by September 30, 2017, with the remaining balance to be paid ratably through March 31, 2018.</w:t>
      </w:r>
    </w:p>
    <w:p>
      <w:pPr>
        <w:spacing w:after="0" w:line="19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Stock based compensation expense increased in the current period primarily as a result of the routine amortization of option grants to independent members of our Board of Directors and our CEO, CFO and administrative staff in September 2017, April 2017 and November 2016, plus the new-hire grant made to our VP-Corporate Development in September 2016 in September 2016, which grants account for approximately $232,000 of 2017 expense. The expense attributable to these grants is being amortized over a two-year to four-year vesting period based on the terms of the respective grants. Substantially all option grants made prior to September 2015 were fully-vested and fully-expensed prior to June 30, 2017.</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Board fees includes fees recognized for the services of independent members of our Board. The Board modified committee assignments effective in April 2017, resulting in the slight increase in expense.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Legal, accounting and other professional fees for the six months ended September 30, 2017 and 2016 includes expense related to routine legal services as well as the accounting expense related to the annual audit of the prior year’s financial statements and the review of the financial statements for the first and second quarters of the current fiscal year. In addition to cash fees incurred, during the six months ended September 30, 2017, we granted an aggregate of 20,000 unregistered shares of our common stock having an aggregate fair value of $30,800 to legal services providers as compensation for services and an aggregate of 150,000 unregistered shares of our common stock having an aggregate fair value of $234,000 to two investment banking firms pursuant to financial advisory agreements. Noncash expense for the six months ended September 30, 2016 included approximately $338,000 recognized in the quarter ended June 30, 2016 pursuant to the June 30, 2015 grant of an aggregate of 90,000 shares of our Series B 10% convertible preferred stock having an aggregate fair value of $1,350,000</w:t>
      </w:r>
    </w:p>
    <w:p>
      <w:pPr>
        <w:sectPr>
          <w:pgSz w:w="11900" w:h="16946" w:orient="portrait"/>
          <w:cols w:equalWidth="0" w:num="1">
            <w:col w:w="11420"/>
          </w:cols>
          <w:pgMar w:left="240" w:top="131" w:right="239" w:bottom="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as compensation for financial advisory and corporate development service contracts with two independent providers for services to be performed through June 30, 2016 and $108,500 recognized in the quarter ended September 30, 2016 representing the fair value of 25,000 unregistered shares of our common stock granted to a legal services provider as compensation for services.</w:t>
      </w:r>
    </w:p>
    <w:p>
      <w:pPr>
        <w:spacing w:after="0" w:line="1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Investor relations expense includes the fees of our various external service providers for a broad spectrum of investor relations, market awareness and strategic advisory and support functions, as well as initiatives that included numerous meetings in multiple U.S. markets and other communication activities focused on expanding market awareness of the Company, including among registered investment professionals and investment advisors, and individual and institutional investors. In the six months ended September 30, 2017, in addition to cash fees and expenses we incurred, in the quarter ended June 30, 2017,we granted 25,000 unregistered shares of our common stock to an investor relations and awareness service provider as partial compensation for its services and recognized noncash expense of approximately $50,000 representing the fair value of the stock at the time of issuance; additionally, in the quarter ended September 30, 2017, we granted an aggregate of 457,000 unregistered shares of our common stock to various corporate development, investor relations, market awareness and business advisory service providers as compensation for their services and recognized noncash expense of $713,300, representing the fair value of the stock at the time of issuance. In the six months ended September 30, 2016, we granted an aggregate of 25,000 unregistered shares of our common stock having a fair value at the time of issuance of $108,500 to an investor relations service provider as compensation for its services.</w:t>
      </w:r>
    </w:p>
    <w:p>
      <w:pPr>
        <w:spacing w:after="0" w:line="17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both periods, travel expense reflects costs associated with management presentations to and meetings in multiple U.S. markets with existing and potential individual and institutional investors, investment professionals and advisors, media, and securities analysts, as well as various investor relations, market awareness and corporate development initiatives.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rent expense for 2017 reflects higher commercial property rents prevalent in the South San Francisco real estate market and recognized in our November 2016 lease amendment extending the lease of our headquarters facilities in South San Francisco by five years, from July 31, 2017 to July 31, 2022, and the related accounting for the extension amendment.</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September 2017, we reduced the exercise price of 247,500 warrants issued in the Spring 2017 Private Placement from a weighted average exercise price of $3.99 per share to $2.00 per share. We also issued to each of the Spring 2017 Private Placement investors additional warrants to purchase an aggregate total of 247,501 shares of common stock, with an exercise price of $2.00 per share. We recognized noncash expense of $279,700 in the six months ended September 30, 2017, representing the increase in fair value of the warrants granted initially before and after the modification and the fair value of the additional warrants granted. Between April 2016 and August 2016, we entered into warrant exchange agreements with certain warrant holders pursuant to which the warrant holders exchanged outstanding warrants to purchase an aggregate of 61,649 shares of our common stock for an aggregate of 46,238 shares of our unregistered common stock. As with similar prior transactions, we accounted for these transactions as warrant modifications, resulting in our recognition of an aggregate of $57,400 in noncash expense during the six-month period ended September 30, 2016.</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Interest expense totaled $5,700 for the six months ended September 30, 2017 compared to $2,800 reported for the six months ended September 30, 2016. Interest expense in both periods relates to interest paid on insurance premium financing and on a capital lease of office equipment.</w:t>
      </w:r>
    </w:p>
    <w:p>
      <w:pPr>
        <w:spacing w:after="0" w:line="13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recognized $503,600 and $780,800 for the six months ended September 30, 2017 and 2016, respectively, representing the 10% cumulative noncash dividend payable on our Series B Preferred as an additional deduction in arriving at net loss attributable to common stockholders in the accompanying Condensed Consolidated Statement of Operations and Comprehensive Loss included in Part I of this Report. The reduction in the dividend accrual results from the automatic conversion of an aggregate of 2,403,051 shares of Series B Preferred into an equal number of shares of our common stock upon our completion of our May 2016 public offering of shares of our common stock and warrants, and a subsequent voluntary conversion of 87,500 shares of our Series B Preferred in August 2016. There have been no conversions of outstanding shares of Series B Preferred into common shares since August 2016.</w:t>
      </w:r>
    </w:p>
    <w:p>
      <w:pPr>
        <w:spacing w:after="0" w:line="1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quarter ended June 30, 2016, we allocated the proceeds from our self-placed private placement sales of Series B Preferred Units to the Series B Preferred stock and the Series B Warrants based on their relative fair values on the dates of the sales. The difference between the relative fair value per share of the Series B Preferred, approximately $4.20 per share, and its Conversion Price (or stated value) of $7.00 per share represented a deemed dividend to the purchasers of the Series B Preferred Units. Accordingly, we recognized a deemed dividend in the aggregate amount of $111,100 in arriving at net loss attributable to common stockholders for the six months ended September 30, 2016 in the accompanying Condensed Consolidated Statement of Operations and Comprehensive Loss included in Part I of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8"/>
          <w:szCs w:val="18"/>
          <w:i w:val="1"/>
          <w:iCs w:val="1"/>
          <w:color w:val="auto"/>
        </w:rPr>
        <w:t>GAAP</w:t>
      </w:r>
      <w:r>
        <w:rPr>
          <w:rFonts w:ascii="Arial" w:cs="Arial" w:eastAsia="Arial" w:hAnsi="Arial"/>
          <w:sz w:val="18"/>
          <w:szCs w:val="18"/>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 xml:space="preserve">We have historically generated revenue principally from collaborative research and development arrangements, licensing and technology access fees and government grants. We recognize revenue under the provisions of the SEC issued Staff Accounting Bulletin 104, Topic 13, </w:t>
      </w:r>
      <w:r>
        <w:rPr>
          <w:rFonts w:ascii="Arial" w:cs="Arial" w:eastAsia="Arial" w:hAnsi="Arial"/>
          <w:sz w:val="16"/>
          <w:szCs w:val="16"/>
          <w:i w:val="1"/>
          <w:iCs w:val="1"/>
          <w:color w:val="auto"/>
        </w:rPr>
        <w:t>Revenue Recognition Revised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Updated </w:t>
      </w:r>
      <w:r>
        <w:rPr>
          <w:rFonts w:ascii="Arial" w:cs="Arial" w:eastAsia="Arial" w:hAnsi="Arial"/>
          <w:sz w:val="16"/>
          <w:szCs w:val="16"/>
          <w:color w:val="auto"/>
        </w:rPr>
        <w:t>(</w:t>
      </w:r>
      <w:r>
        <w:rPr>
          <w:rFonts w:ascii="Arial" w:cs="Arial" w:eastAsia="Arial" w:hAnsi="Arial"/>
          <w:sz w:val="16"/>
          <w:szCs w:val="16"/>
          <w:i w:val="1"/>
          <w:iCs w:val="1"/>
          <w:color w:val="auto"/>
        </w:rPr>
        <w:t>SAB 104</w:t>
      </w:r>
      <w:r>
        <w:rPr>
          <w:rFonts w:ascii="Arial" w:cs="Arial" w:eastAsia="Arial" w:hAnsi="Arial"/>
          <w:sz w:val="16"/>
          <w:szCs w:val="16"/>
          <w:color w:val="auto"/>
        </w:rPr>
        <w:t>) and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605-25,</w:t>
      </w:r>
      <w:r>
        <w:rPr>
          <w:rFonts w:ascii="Arial" w:cs="Arial" w:eastAsia="Arial" w:hAnsi="Arial"/>
          <w:sz w:val="16"/>
          <w:szCs w:val="16"/>
          <w:i w:val="1"/>
          <w:iCs w:val="1"/>
          <w:color w:val="auto"/>
        </w:rPr>
        <w:t xml:space="preserve"> Revenue Arrangements-Multiple Element Arrangements </w:t>
      </w:r>
      <w:r>
        <w:rPr>
          <w:rFonts w:ascii="Arial" w:cs="Arial" w:eastAsia="Arial" w:hAnsi="Arial"/>
          <w:sz w:val="16"/>
          <w:szCs w:val="16"/>
          <w:color w:val="auto"/>
        </w:rPr>
        <w:t>(</w:t>
      </w:r>
      <w:r>
        <w:rPr>
          <w:rFonts w:ascii="Arial" w:cs="Arial" w:eastAsia="Arial" w:hAnsi="Arial"/>
          <w:sz w:val="16"/>
          <w:szCs w:val="16"/>
          <w:i w:val="1"/>
          <w:iCs w:val="1"/>
          <w:color w:val="auto"/>
        </w:rPr>
        <w:t>ASC 605-25</w:t>
      </w:r>
      <w:r>
        <w:rPr>
          <w:rFonts w:ascii="Arial" w:cs="Arial" w:eastAsia="Arial" w:hAnsi="Arial"/>
          <w:sz w:val="16"/>
          <w:szCs w:val="16"/>
          <w:color w:val="auto"/>
        </w:rPr>
        <w:t>). Revenue for</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not having multiple deliverables, as outlined in ASC 605-25, is recognized once costs are incurred and collectability is reasonably assured.</w:t>
      </w:r>
    </w:p>
    <w:p>
      <w:pPr>
        <w:spacing w:after="0" w:line="167"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w:t>
      </w:r>
    </w:p>
    <w:p>
      <w:pPr>
        <w:sectPr>
          <w:pgSz w:w="11900" w:h="16838" w:orient="portrait"/>
          <w:cols w:equalWidth="0" w:num="1">
            <w:col w:w="11420"/>
          </w:cols>
          <w:pgMar w:left="240" w:top="131" w:right="239" w:bottom="0" w:gutter="0" w:footer="0" w:header="0"/>
        </w:sectPr>
      </w:pPr>
    </w:p>
    <w:bookmarkStart w:id="63" w:name="page64"/>
    <w:bookmarkEnd w:id="63"/>
    <w:p>
      <w:pPr>
        <w:jc w:val="both"/>
        <w:ind w:right="340"/>
        <w:spacing w:after="0" w:line="332" w:lineRule="auto"/>
        <w:rPr>
          <w:sz w:val="20"/>
          <w:szCs w:val="20"/>
          <w:color w:val="auto"/>
        </w:rPr>
      </w:pPr>
      <w:r>
        <w:rPr>
          <w:rFonts w:ascii="Arial" w:cs="Arial" w:eastAsia="Arial" w:hAnsi="Arial"/>
          <w:sz w:val="16"/>
          <w:szCs w:val="16"/>
          <w:color w:val="auto"/>
        </w:rPr>
        <w:t xml:space="preserve">prices. The selling price for each unit is based on vendor-specific objective evidence, or </w:t>
      </w:r>
      <w:r>
        <w:rPr>
          <w:rFonts w:ascii="Arial" w:cs="Arial" w:eastAsia="Arial" w:hAnsi="Arial"/>
          <w:sz w:val="16"/>
          <w:szCs w:val="16"/>
          <w:i w:val="1"/>
          <w:iCs w:val="1"/>
          <w:color w:val="auto"/>
        </w:rPr>
        <w:t>VSOE</w:t>
      </w:r>
      <w:r>
        <w:rPr>
          <w:rFonts w:ascii="Arial" w:cs="Arial" w:eastAsia="Arial" w:hAnsi="Arial"/>
          <w:sz w:val="16"/>
          <w:szCs w:val="16"/>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39"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94" w:lineRule="exact"/>
        <w:rPr>
          <w:sz w:val="20"/>
          <w:szCs w:val="20"/>
          <w:color w:val="auto"/>
        </w:rPr>
      </w:pPr>
    </w:p>
    <w:p>
      <w:pPr>
        <w:jc w:val="both"/>
        <w:ind w:left="660" w:hanging="328"/>
        <w:spacing w:after="0" w:line="308" w:lineRule="auto"/>
        <w:tabs>
          <w:tab w:leader="none" w:pos="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Collaborative arrangements typically consist of non-refundable and/or exclusive technology access fees, cost reimbursements for specific research and development spending, and various future product development milestone and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63" w:lineRule="exact"/>
        <w:rPr>
          <w:rFonts w:ascii="Arial" w:cs="Arial" w:eastAsia="Arial" w:hAnsi="Arial"/>
          <w:sz w:val="15"/>
          <w:szCs w:val="15"/>
          <w:color w:val="auto"/>
        </w:rPr>
      </w:pPr>
    </w:p>
    <w:p>
      <w:pPr>
        <w:jc w:val="both"/>
        <w:ind w:left="660" w:hanging="328"/>
        <w:spacing w:after="0" w:line="298"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66"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Financial Accounting Standards Board (the </w:t>
      </w:r>
      <w:r>
        <w:rPr>
          <w:rFonts w:ascii="Arial" w:cs="Arial" w:eastAsia="Arial" w:hAnsi="Arial"/>
          <w:sz w:val="18"/>
          <w:szCs w:val="18"/>
          <w:i w:val="1"/>
          <w:iCs w:val="1"/>
          <w:color w:val="auto"/>
        </w:rPr>
        <w:t>FASB</w:t>
      </w:r>
      <w:r>
        <w:rPr>
          <w:rFonts w:ascii="Arial" w:cs="Arial" w:eastAsia="Arial" w:hAnsi="Arial"/>
          <w:sz w:val="18"/>
          <w:szCs w:val="18"/>
          <w:color w:val="auto"/>
        </w:rPr>
        <w:t>) has recently issued new guidance regarding revenue recognition. This new guidance will be effective for our fiscal year beginning April 1, 2018, with earlier adoption permitted. We have completed our initial assessment of the new guidance and will be developing an implementation plan to evaluate the accounting and disclosure requirements under the new guidance. Based on our assessment to date, we do not believe that adoption of the new guidance will have a material impact on our consolidated financial statements. We have not yet finalized our transition method for adoption of the new guidance.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 accordance with ASC 360-10</w:t>
      </w:r>
      <w:r>
        <w:rPr>
          <w:rFonts w:ascii="Arial" w:cs="Arial" w:eastAsia="Arial" w:hAnsi="Arial"/>
          <w:sz w:val="15"/>
          <w:szCs w:val="15"/>
          <w:i w:val="1"/>
          <w:iCs w:val="1"/>
          <w:color w:val="auto"/>
        </w:rPr>
        <w:t>, Property, Plant &amp; Equipment—Overall</w:t>
      </w:r>
      <w:r>
        <w:rPr>
          <w:rFonts w:ascii="Arial" w:cs="Arial" w:eastAsia="Arial" w:hAnsi="Arial"/>
          <w:sz w:val="15"/>
          <w:szCs w:val="15"/>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manufacturing and nonclinical and clinical development of AV-101, our oral CNS prodrug candidate in Phase 2 clinical development for MDD, and, from-time-to-time, sponsored stem cell research and development, as well as costs related to the application and prosecution of patents related to AV-101 and our stem cell technology platform. All such costs are charged to expense as incurred.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240"/>
        <w:spacing w:after="0" w:line="305" w:lineRule="auto"/>
        <w:rPr>
          <w:sz w:val="20"/>
          <w:szCs w:val="20"/>
          <w:color w:val="auto"/>
        </w:rPr>
      </w:pPr>
      <w:r>
        <w:rPr>
          <w:rFonts w:ascii="Arial" w:cs="Arial" w:eastAsia="Arial" w:hAnsi="Arial"/>
          <w:sz w:val="15"/>
          <w:szCs w:val="15"/>
          <w:color w:val="auto"/>
        </w:rPr>
        <w:t>We recognize non-cash compensation expense for all stock-based awards to employees based on the grant date fair value of the award. We record this expense over the period during which the employee is required to perform services in exchange for the award, which generally represents the scheduled vesting</w:t>
      </w:r>
    </w:p>
    <w:p>
      <w:pPr>
        <w:ind w:right="60"/>
        <w:spacing w:after="0" w:line="361" w:lineRule="auto"/>
        <w:rPr>
          <w:sz w:val="20"/>
          <w:szCs w:val="20"/>
          <w:color w:val="auto"/>
        </w:rPr>
      </w:pPr>
      <w:r>
        <w:rPr>
          <w:rFonts w:ascii="Arial" w:cs="Arial" w:eastAsia="Arial" w:hAnsi="Arial"/>
          <w:sz w:val="15"/>
          <w:szCs w:val="15"/>
          <w:color w:val="auto"/>
        </w:rPr>
        <w:t>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and its historically limited trading volume, is based on the historical daily trading data of the common stock of a peer group of public companies over the expected term of the option.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Although we did not have a warrant liability at March 31, 2017 or 2016, in conjunction with certain Senior Secured Convertible Promissory Notes that we issued to Platinum Long Term Growth VII, LLC (</w:t>
      </w:r>
      <w:r>
        <w:rPr>
          <w:rFonts w:ascii="Arial" w:cs="Arial" w:eastAsia="Arial" w:hAnsi="Arial"/>
          <w:sz w:val="16"/>
          <w:szCs w:val="16"/>
          <w:i w:val="1"/>
          <w:iCs w:val="1"/>
          <w:color w:val="auto"/>
        </w:rPr>
        <w:t>PLTG</w:t>
      </w:r>
      <w:r>
        <w:rPr>
          <w:rFonts w:ascii="Arial" w:cs="Arial" w:eastAsia="Arial" w:hAnsi="Arial"/>
          <w:sz w:val="16"/>
          <w:szCs w:val="16"/>
          <w:color w:val="auto"/>
        </w:rPr>
        <w:t xml:space="preserve">) between October 2012 and July 2013 and the related warrants, and the contingently issuable Series A Exchange Warrant (collectively, the </w:t>
      </w:r>
      <w:r>
        <w:rPr>
          <w:rFonts w:ascii="Arial" w:cs="Arial" w:eastAsia="Arial" w:hAnsi="Arial"/>
          <w:sz w:val="16"/>
          <w:szCs w:val="16"/>
          <w:i w:val="1"/>
          <w:iCs w:val="1"/>
          <w:color w:val="auto"/>
        </w:rPr>
        <w:t>PLTG Warrants</w:t>
      </w:r>
      <w:r>
        <w:rPr>
          <w:rFonts w:ascii="Arial" w:cs="Arial" w:eastAsia="Arial" w:hAnsi="Arial"/>
          <w:sz w:val="16"/>
          <w:szCs w:val="16"/>
          <w:color w:val="auto"/>
        </w:rPr>
        <w:t>), we determined that the PLTG Warrants included certain exercise price and other adjustment features requiring them to be treated as non-cash liabilities. Accordingly, the PLTG Warrants were recorded at their issuance-date estimated fair values and marked to market at each subsequent reporting period, recording the change in the fair value as non-cash expense or non-cash income. The key component in determining the fair value of the PLTG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and would have continued to be so until all of the PLTG Warrants were issued and exercised, amended, cancelled or expired. Assuming all other fair value inputs remained generally constant, we recorded an increase in the warrant liability and non-cash losses when our stock price increased and a decrease in the warrant liability and non-cash income when our stock price decreased.</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Notwithstanding the foregoing, on May 12, 2015, we entered into an agreement with PLTG pursuant to which we (i) fixed the exercise price of the PLTG Warrants at $7.00 per share, (ii) eliminated the exercise price reset features and (iii) fixed the number of shares of our common stock issuable thereunder. This agreement and the related amendments to the PLTG Warrants resulted in the elimination of the warrant liability with respect to the PLTG Warrants during the quarter ending June 30, 2015. As further described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to the Consolidated Financial Statements for the years ended March 31, 2017 and 2016 elsewhere in this Prospectus, the PLTG Warrants, including the right to receive the Series A Exchange Warrant, were cancelled in exchange for our issuance of shares of our Series C Preferred stock to PLTG in January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We believe the following recent accounting pronouncements or changes in accounting pronouncements are of significance or potential significance to the Company.</w:t>
      </w:r>
    </w:p>
    <w:p>
      <w:pPr>
        <w:spacing w:after="0" w:line="18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In May 2014, the Financial Accounting Standards Board (the </w:t>
      </w:r>
      <w:r>
        <w:rPr>
          <w:rFonts w:ascii="Arial" w:cs="Arial" w:eastAsia="Arial" w:hAnsi="Arial"/>
          <w:sz w:val="15"/>
          <w:szCs w:val="15"/>
          <w:i w:val="1"/>
          <w:iCs w:val="1"/>
          <w:color w:val="auto"/>
        </w:rPr>
        <w:t>FASB</w:t>
      </w:r>
      <w:r>
        <w:rPr>
          <w:rFonts w:ascii="Arial" w:cs="Arial" w:eastAsia="Arial" w:hAnsi="Arial"/>
          <w:sz w:val="15"/>
          <w:szCs w:val="15"/>
          <w:color w:val="auto"/>
        </w:rPr>
        <w:t xml:space="preserve">) issued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standard creates a five-step model that requires entities to exercise judgment when considering the recognition of revenue, including (1) identifying the contract(s) with the customer, (2) identifying the separate performance obligations in the contract, (3) determining the transaction price, (4) allocating the transaction price to the separate performance obligations, and (5) recognizing revenue as each performance obligation is satisfied. The standard also requires additional disclosure about the nature, amount, timing and uncertainty of revenue and cash flows arising from customer contracts, including qualitative and quantitative information about contracts with customers, significant judgments and changes in judgments and assets recognized with respect to costs incurred to obtain or fulfill a contract. The FASB has continued to issue accounting standards updates to clarify and provide implementation guidance related to Revenue from Contracts with Customers, including ASU 2016-08</w:t>
      </w:r>
      <w:r>
        <w:rPr>
          <w:rFonts w:ascii="Arial" w:cs="Arial" w:eastAsia="Arial" w:hAnsi="Arial"/>
          <w:sz w:val="15"/>
          <w:szCs w:val="15"/>
          <w:i w:val="1"/>
          <w:iCs w:val="1"/>
          <w:color w:val="auto"/>
        </w:rPr>
        <w:t>, Revenue from Contract with Customers: Principal versus Agent Considerations</w:t>
      </w:r>
      <w:r>
        <w:rPr>
          <w:rFonts w:ascii="Arial" w:cs="Arial" w:eastAsia="Arial" w:hAnsi="Arial"/>
          <w:sz w:val="15"/>
          <w:szCs w:val="15"/>
          <w:color w:val="auto"/>
        </w:rPr>
        <w:t xml:space="preserve">, ASU 2016-10, </w:t>
      </w:r>
      <w:r>
        <w:rPr>
          <w:rFonts w:ascii="Arial" w:cs="Arial" w:eastAsia="Arial" w:hAnsi="Arial"/>
          <w:sz w:val="15"/>
          <w:szCs w:val="15"/>
          <w:i w:val="1"/>
          <w:iCs w:val="1"/>
          <w:color w:val="auto"/>
        </w:rPr>
        <w:t>Revenue from Contracts</w:t>
      </w:r>
      <w:r>
        <w:rPr>
          <w:rFonts w:ascii="Arial" w:cs="Arial" w:eastAsia="Arial" w:hAnsi="Arial"/>
          <w:sz w:val="15"/>
          <w:szCs w:val="15"/>
          <w:color w:val="auto"/>
        </w:rPr>
        <w:t xml:space="preserve"> </w:t>
      </w:r>
      <w:r>
        <w:rPr>
          <w:rFonts w:ascii="Arial" w:cs="Arial" w:eastAsia="Arial" w:hAnsi="Arial"/>
          <w:sz w:val="15"/>
          <w:szCs w:val="15"/>
          <w:i w:val="1"/>
          <w:iCs w:val="1"/>
          <w:color w:val="auto"/>
        </w:rPr>
        <w:t>with Customers: Identifying Performance Obligations and Licensing</w:t>
      </w:r>
      <w:r>
        <w:rPr>
          <w:rFonts w:ascii="Arial" w:cs="Arial" w:eastAsia="Arial" w:hAnsi="Arial"/>
          <w:sz w:val="15"/>
          <w:szCs w:val="15"/>
          <w:color w:val="auto"/>
        </w:rPr>
        <w:t>, and ASU 2016-12,</w:t>
      </w:r>
      <w:r>
        <w:rPr>
          <w:rFonts w:ascii="Arial" w:cs="Arial" w:eastAsia="Arial" w:hAnsi="Arial"/>
          <w:sz w:val="15"/>
          <w:szCs w:val="15"/>
          <w:i w:val="1"/>
          <w:iCs w:val="1"/>
          <w:color w:val="auto"/>
        </w:rPr>
        <w:t xml:space="preserve"> Revenue from Contracts with Customers: Narrow-Scope Improvements and Practical Expedients. </w:t>
      </w:r>
      <w:r>
        <w:rPr>
          <w:rFonts w:ascii="Arial" w:cs="Arial" w:eastAsia="Arial" w:hAnsi="Arial"/>
          <w:sz w:val="15"/>
          <w:szCs w:val="15"/>
          <w:color w:val="auto"/>
        </w:rPr>
        <w:t>These amendments address a number of areas, including a company’s identification of its performance obligations in a contract,</w:t>
      </w:r>
      <w:r>
        <w:rPr>
          <w:rFonts w:ascii="Arial" w:cs="Arial" w:eastAsia="Arial" w:hAnsi="Arial"/>
          <w:sz w:val="15"/>
          <w:szCs w:val="15"/>
          <w:i w:val="1"/>
          <w:iCs w:val="1"/>
          <w:color w:val="auto"/>
        </w:rPr>
        <w:t xml:space="preserve"> </w:t>
      </w:r>
      <w:r>
        <w:rPr>
          <w:rFonts w:ascii="Arial" w:cs="Arial" w:eastAsia="Arial" w:hAnsi="Arial"/>
          <w:sz w:val="15"/>
          <w:szCs w:val="15"/>
          <w:color w:val="auto"/>
        </w:rPr>
        <w:t>collectability, non-cash consideration, presentation of sales tax and a company’s evaluation of the nature of its promise to grant a license of intellectual property and whether or not that revenue is recognized over time or at a point in time. These new standards will be effective for our fiscal year beginning April 1, 2018, with earlier adoption permitted. We have completed our initial assessment of the new guidance and will be developing an implementation plan to evaluate the accounting and disclosure requirements under the new standards. Based on our assessment to date, we do not believe that adoption of Topic 606 and the related standards will have a material impact on our consolidated financial statements. We have not yet finalized our transition method for adoption of the new standards.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5" w:name="page66"/>
    <w:bookmarkEnd w:id="6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 Uncertainties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 Entity’s Ability to Continue as a Going Concern </w:t>
      </w:r>
      <w:r>
        <w:rPr>
          <w:rFonts w:ascii="Arial" w:cs="Arial" w:eastAsia="Arial" w:hAnsi="Arial"/>
          <w:sz w:val="16"/>
          <w:szCs w:val="16"/>
          <w:color w:val="auto"/>
        </w:rPr>
        <w:t>(</w:t>
      </w:r>
      <w:r>
        <w:rPr>
          <w:rFonts w:ascii="Arial" w:cs="Arial" w:eastAsia="Arial" w:hAnsi="Arial"/>
          <w:sz w:val="16"/>
          <w:szCs w:val="16"/>
          <w:i w:val="1"/>
          <w:iCs w:val="1"/>
          <w:color w:val="auto"/>
        </w:rPr>
        <w:t>ASU 2014-15</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ASU sets forth a requirement for management to evaluate whether there are conditions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events that raise substantial doubt about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or other disclosures when substantial doubt is not alleviated; and (6) require an assessment for a period of one year after the date the financial statements are issued or available to be issued. Substantial doubt about an entity’s ability to continue as a going concern exists when relevant conditions and events, considered in the aggregate, indicate that it is probable (as defined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that the entity will be unable to meet its obligations as they become due within one year after the date that the financial statements are issued or are available to be issued. If substantial doubt exists, the extent of the required disclosures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We adopted ASU 2014-15 for our fiscal year ended March 31, 2017 and Note 2, </w:t>
      </w:r>
      <w:r>
        <w:rPr>
          <w:rFonts w:ascii="Arial" w:cs="Arial" w:eastAsia="Arial" w:hAnsi="Arial"/>
          <w:sz w:val="16"/>
          <w:szCs w:val="16"/>
          <w:i w:val="1"/>
          <w:iCs w:val="1"/>
          <w:color w:val="auto"/>
        </w:rPr>
        <w:t>Basis of Presentation and Going Concern</w:t>
      </w:r>
      <w:r>
        <w:rPr>
          <w:rFonts w:ascii="Arial" w:cs="Arial" w:eastAsia="Arial" w:hAnsi="Arial"/>
          <w:sz w:val="16"/>
          <w:szCs w:val="16"/>
          <w:color w:val="auto"/>
        </w:rPr>
        <w:t>, includes our disclosures regarding substantial doubt about our ability to continue as a going concern and the steps we have planned to alleviate such doubt for the twelve months following the date of the issuance of these Consolidated Financial Statements.</w:t>
      </w:r>
    </w:p>
    <w:p>
      <w:pPr>
        <w:spacing w:after="0" w:line="17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 - Imputation of Interest (Subtopic 835-30): Simplifying the Presentation of Debt Issuance Costs</w:t>
      </w:r>
      <w:r>
        <w:rPr>
          <w:rFonts w:ascii="Arial" w:cs="Arial" w:eastAsia="Arial" w:hAnsi="Arial"/>
          <w:sz w:val="16"/>
          <w:szCs w:val="16"/>
          <w:color w:val="auto"/>
        </w:rPr>
        <w:t>. The amendments in this ASU require that debt issuance costs related to a recognized debt liability be presented in the balance sheet as a direct deduction from the carrying amount of that debt liability, consistent with debt discounts. The amendments in this update are effective for financial statements issued for fiscal years ending after December 31, 2015, and interim periods within those fiscal years. We have adopted this ASU effective with our fiscal year beginning April 1, 2016, but have incurred no debt issuance costs since that date.</w:t>
      </w:r>
    </w:p>
    <w:p>
      <w:pPr>
        <w:spacing w:after="0" w:line="170"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which amends existing guidance on income taxes to require the classification of all deferred tax assets and liabilities as non-current on the balance sheet. We have adopted this ASU effective with our fiscal year beginning April 1, 2017 on a prospective basis. We do not expect this ASU to have a material impact on our consolidated financial statements.</w:t>
      </w:r>
    </w:p>
    <w:p>
      <w:pPr>
        <w:spacing w:after="0" w:line="16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Recognition and Measurement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w:t>
      </w:r>
      <w:r>
        <w:rPr>
          <w:rFonts w:ascii="Arial" w:cs="Arial" w:eastAsia="Arial" w:hAnsi="Arial"/>
          <w:sz w:val="16"/>
          <w:szCs w:val="16"/>
          <w:color w:val="auto"/>
        </w:rPr>
        <w:t>. The updated guidance enhances the reporting model for financial instruments, which includes amendments to address aspects of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presentation and disclosure. The amendment to the standard is effective for financial statements issued for our fiscal year beginning April 1, 2018. We do not believe that this ASU will have a material impact on our consolidated financial statements.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which will replace the existing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and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current guidance for operating leases. The standard is effective for financial statements issued for fiscal years beginning after December 15, 2018, and interim periods within those fiscal years, with early adoption permitted. We are in the process of evaluating the impact that this new guidance will have on our consolidated financial statements.</w:t>
      </w:r>
    </w:p>
    <w:p>
      <w:pPr>
        <w:spacing w:after="0" w:line="17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which includes multiple provisions intended to simplify several aspects of accounting for share-based payment transactions, including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classification of awards as either equity or liabilities, an option to recognize gross stock compensation expense with actual forfeitures recognized as they occur, as well as certain classifications on the statement of cash flows. The standard is effective for our fiscal year beginning April 1, 2017. We are evaluating the impact of this ASU on our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From our inception in May 1998 through September 30, 2017, we have financed our operations and technology acquisitions primarily through the issuance and sale of our equity and debt securities, including convertible promissory notes and short-term promissory notes, for cash proceeds of approximately $47.6 million, as well as from an aggregate of approximately $17.6 million of government research grant awards, strategic collaboration payments, intellectual property sublicensing and other revenues. We have also issued equity securities with an approximate aggregate value at issuance of $32.3 million in non-cash settlements of certain liabilities, including liabilities for professional services rendered to us or as compensation for such services. Additionally, pursuant to our CRADA with the NIH, the NIMH continues to conduct Phase 2 clinical development activities relating to AV-101 as a potential new generation antidepressant. The NIMH AV-101 MDD Phase 2 Monotherapy Study is being sponsored in full, at no cost to us other than supplying clinical trial material, by the NIMH under the direction of Dr. Carlos Zarate Jr. as Principal Investigator.</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6" w:name="page67"/>
    <w:bookmarkEnd w:id="66"/>
    <w:p>
      <w:pPr>
        <w:spacing w:after="0" w:line="50"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 xml:space="preserve">Between late-March 2017 and June 30, 2017, we sold to accredited investors, in a self-placed private placement, units consisting of an aggregate of 495,001 unregistered shares of our common stock and warrants to purchase an aggregate of 247,500 unregistered shares of our common stock pursuant to which we received proceeds of approximately $1.0 million (the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 resulting in our cash and cash equivalents balance of $1.6 million at June 30, 2017. In August 2017, in a self-placed private placement transaction, we sold to an accredited investor units consisting of 28,572 shares of our unregistered common stock and warrants to purchase 28,572 unregistered shares of our common stock at an exercise price of $4.00 per share. We received cash proceeds of $50,000 from this sale of our securities. In September, we completed an underwritten, public offering of shares of our common stock and warrants, pursuant to which we received net proceeds of approximately $2.0 million. Our cash balance at June 30, 2017 plus the proceeds from subsequent sales of our securities was not sufficient to enable us to fund our planned operations, including expected cash expenditures of approximately $12 million for the next twelve months, including expenditures required to further prepare for, launch and satisfy a significant portion of the projected expenses associated with our proposed AV-101 MDD Phase 2 Adjunctive Treatment Study.</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September 2017, we completed a firm commitment underwritten public offering, pursuant to which we offered and sold an aggregate of 1,371,430 shares of our common stock and warrants to purchase an aggregate of 1,892,572 shares of our common stock to two of our existing institutional investors, resulting in gross proceeds of approximately $2.4 million under our Registration Statement on Form S-3 (Registration No. 333-215671) (the </w:t>
      </w:r>
      <w:r>
        <w:rPr>
          <w:rFonts w:ascii="Arial" w:cs="Arial" w:eastAsia="Arial" w:hAnsi="Arial"/>
          <w:sz w:val="18"/>
          <w:szCs w:val="18"/>
          <w:i w:val="1"/>
          <w:iCs w:val="1"/>
          <w:color w:val="auto"/>
        </w:rPr>
        <w:t>S-3 Registration Statement</w:t>
      </w:r>
      <w:r>
        <w:rPr>
          <w:rFonts w:ascii="Arial" w:cs="Arial" w:eastAsia="Arial" w:hAnsi="Arial"/>
          <w:sz w:val="18"/>
          <w:szCs w:val="18"/>
          <w:color w:val="auto"/>
        </w:rPr>
        <w:t>) that had been previously declared effective by the Securities and Exchange Commission to cover potential future sales of our equity securities in one or more public offerings from time to time. While we may make additional sales of our equity securities under the S-3 Registration Statement, we do not have an obligation to do so.</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Additionally, in September 2017, to facilitate potential future issuances and sales of our equity securities for ordinary corporate finance and general corporate purposes and as recommended by our Board, our stockholders approved an amendment to our Restated and Amended Articles of Incorporation to increase the number of shares of common stock available for issuance from 30 million shares to 100 million shares, an amount our Board determined is customary and appropriate for a NASDAQ-listed, clinical-stage biopharmaceutical company. Following that approval, in October 2017, we filed a Registration Statement on Form S-1 (Registration No. 333-221009) (the </w:t>
      </w:r>
      <w:r>
        <w:rPr>
          <w:rFonts w:ascii="Arial" w:cs="Arial" w:eastAsia="Arial" w:hAnsi="Arial"/>
          <w:sz w:val="18"/>
          <w:szCs w:val="18"/>
          <w:i w:val="1"/>
          <w:iCs w:val="1"/>
          <w:color w:val="auto"/>
        </w:rPr>
        <w:t>S-1 Registration Statement</w:t>
      </w:r>
      <w:r>
        <w:rPr>
          <w:rFonts w:ascii="Arial" w:cs="Arial" w:eastAsia="Arial" w:hAnsi="Arial"/>
          <w:sz w:val="18"/>
          <w:szCs w:val="18"/>
          <w:color w:val="auto"/>
        </w:rPr>
        <w:t>) pursuant to which we anticipate completing an offering of our equity securities with proceeds sufficient to enable the launch and completion of the AV-101 MDD Phase 2 Adjunctive Treatment Study and fund our internal operations for at least the next twelve months. There can be no assurance, however, that we will achieve effectiveness of the S-1 Registration Statement or successfully complete an offering thereunder.</w:t>
      </w:r>
    </w:p>
    <w:p>
      <w:pPr>
        <w:spacing w:after="0" w:line="199"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 xml:space="preserve">Although our current financial resources are not yet sufficient to fully fund completion of the AV-101 MDD Phase 2 Adjunctive Treatment Study, we anticipate, as we have numerous times in the past, raising sufficient additional capital as and when necessary and advisable to sustain our operations and achieve our key corporate objectives through at least the next twelve months, including initiating and conducting the AV-101 MDD Phase 2 Adjunctive Treatment Study in an ordinary course manner. We expect to secure additional capital primarily through the sale of our equity securities in one or more private placements to accredited investors or public offerings. We have filed a Registration Statement on Form S-3 (Registration No. 333-215671) (the </w:t>
      </w:r>
      <w:r>
        <w:rPr>
          <w:rFonts w:ascii="Arial" w:cs="Arial" w:eastAsia="Arial" w:hAnsi="Arial"/>
          <w:sz w:val="15"/>
          <w:szCs w:val="15"/>
          <w:i w:val="1"/>
          <w:iCs w:val="1"/>
          <w:color w:val="auto"/>
        </w:rPr>
        <w:t>S-3 Registration Statement</w:t>
      </w:r>
      <w:r>
        <w:rPr>
          <w:rFonts w:ascii="Arial" w:cs="Arial" w:eastAsia="Arial" w:hAnsi="Arial"/>
          <w:sz w:val="15"/>
          <w:szCs w:val="15"/>
          <w:color w:val="auto"/>
        </w:rPr>
        <w:t xml:space="preserve">) that has been declared effective by the Securities and Exchange Commission (the </w:t>
      </w:r>
      <w:r>
        <w:rPr>
          <w:rFonts w:ascii="Arial" w:cs="Arial" w:eastAsia="Arial" w:hAnsi="Arial"/>
          <w:sz w:val="15"/>
          <w:szCs w:val="15"/>
          <w:i w:val="1"/>
          <w:iCs w:val="1"/>
          <w:color w:val="auto"/>
        </w:rPr>
        <w:t>Commission</w:t>
      </w:r>
      <w:r>
        <w:rPr>
          <w:rFonts w:ascii="Arial" w:cs="Arial" w:eastAsia="Arial" w:hAnsi="Arial"/>
          <w:sz w:val="15"/>
          <w:szCs w:val="15"/>
          <w:color w:val="auto"/>
        </w:rPr>
        <w:t>) to cover our potential future sale of our equity securities in one or more public offerings from time to time. As of the date of this prospectus, we have sold approximately $6.28 million of securities under the S-3 Registration Statement.</w:t>
      </w:r>
    </w:p>
    <w:p>
      <w:pPr>
        <w:spacing w:after="0" w:line="15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may also seek research and development collaborations that could generate revenue, funding for development of AV-101 and additional product candidates, as well as additional government grant awards and agreements similar to our current CRADA with the NIMH, which provides for the NIMH to fully fund the NIMH’s ongoing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the timing of and projected costs relating to key research and development projects, including our expenses associated with our proposed AV-101 MDD Phase 2 Adjunctive Treatment Study, regulatory consulting, CRO services, investor relations and corporate development, legal, acquisition and protection of intellectual property, public company compliance and other professional services and working capital costs.</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when needed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(4,010)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(7,263)</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2,921</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color w:val="auto"/>
        </w:rPr>
        <w:t>Cash and cash equivalents at end of period</w:t>
      </w:r>
    </w:p>
    <w:p>
      <w:pPr>
        <w:sectPr>
          <w:pgSz w:w="11900" w:h="16888" w:orient="portrait"/>
          <w:cols w:equalWidth="0" w:num="1">
            <w:col w:w="11420"/>
          </w:cols>
          <w:pgMar w:left="240" w:top="131" w:right="239" w:bottom="0" w:gutter="0" w:footer="0" w:header="0"/>
        </w:sectPr>
      </w:pPr>
    </w:p>
    <w:bookmarkStart w:id="67" w:name="page68"/>
    <w:bookmarkEnd w:id="67"/>
    <w:p>
      <w:pPr>
        <w:jc w:val="both"/>
        <w:ind w:left="6080"/>
        <w:spacing w:after="0"/>
        <w:tabs>
          <w:tab w:leader="none" w:pos="6780" w:val="left"/>
          <w:tab w:leader="none" w:pos="7440" w:val="left"/>
          <w:tab w:leader="none" w:pos="8140" w:val="left"/>
          <w:tab w:leader="none" w:pos="8800" w:val="left"/>
          <w:tab w:leader="none" w:pos="9500" w:val="left"/>
          <w:tab w:leader="none" w:pos="10180" w:val="left"/>
          <w:tab w:leader="none" w:pos="1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1,764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6,257</w:t>
        <w:tab/>
        <w:t>$</w:t>
      </w:r>
      <w:r>
        <w:rPr>
          <w:sz w:val="20"/>
          <w:szCs w:val="20"/>
          <w:color w:val="auto"/>
        </w:rPr>
        <w:tab/>
      </w:r>
      <w:r>
        <w:rPr>
          <w:rFonts w:ascii="Arial" w:cs="Arial" w:eastAsia="Arial" w:hAnsi="Arial"/>
          <w:sz w:val="18"/>
          <w:szCs w:val="18"/>
          <w:color w:val="auto"/>
        </w:rPr>
        <w:t>2,921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10795</wp:posOffset>
            </wp:positionV>
            <wp:extent cx="330200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00" cy="171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68" w:name="page69"/>
    <w:bookmarkEnd w:id="6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 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VistaGen Therapeutics, Inc., a Nevada corporation. All references to future quarters and years in this prospectus supplement refer to calendar quarters and calendar years, unless reference is made otherwise.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FDA</w:t>
      </w:r>
      <w:r>
        <w:rPr>
          <w:rFonts w:ascii="Arial" w:cs="Arial" w:eastAsia="Arial" w:hAnsi="Arial"/>
          <w:sz w:val="16"/>
          <w:szCs w:val="16"/>
          <w:color w:val="auto"/>
        </w:rPr>
        <w:t>). During the years ending March 31, 2017 and 2016, we spent approximately $5.2 million and $3.9 million, respectively, on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development of AV-101.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involves both NMDA (N-methyl-D-aspartate) and AMPA (alpha-amino-3-hydroxy-5-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methyl-4-isoxazolepropionic acid) receptors in the brain responsible for fast excitatory synaptic activity throughout the CNS. AV-101’s MOA is fundamentally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differentiated from all FDA-approved antidepressants, as well as all atypical antipsychotics such as aripiprazole often used adjunctively to augment them.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believe AV-101 also has potential as a non-opioid treatment alternative for neuropathic pain, as well as several additional CNS indications </w:t>
      </w:r>
      <w:r>
        <w:rPr>
          <w:rFonts w:ascii="Arial" w:cs="Arial" w:eastAsia="Arial" w:hAnsi="Arial"/>
          <w:sz w:val="16"/>
          <w:szCs w:val="16"/>
          <w:color w:val="333333"/>
        </w:rPr>
        <w:t>where modulation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33333"/>
        </w:rPr>
        <w:t>the NMDA receptors, activation of AMPA pathways and/or key active metabolites of AV-101 may achieve therapeutic benefit</w:t>
      </w:r>
      <w:r>
        <w:rPr>
          <w:rFonts w:ascii="Arial" w:cs="Arial" w:eastAsia="Arial" w:hAnsi="Arial"/>
          <w:sz w:val="16"/>
          <w:szCs w:val="16"/>
          <w:color w:val="000000"/>
        </w:rPr>
        <w:t>, including Parkinson’s disease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levodopa -induced dyskinesia (</w:t>
      </w:r>
      <w:r>
        <w:rPr>
          <w:rFonts w:ascii="Arial" w:cs="Arial" w:eastAsia="Arial" w:hAnsi="Arial"/>
          <w:sz w:val="18"/>
          <w:szCs w:val="18"/>
          <w:i w:val="1"/>
          <w:iCs w:val="1"/>
          <w:color w:val="auto"/>
        </w:rPr>
        <w:t>PD LID</w:t>
      </w:r>
      <w:r>
        <w:rPr>
          <w:rFonts w:ascii="Arial" w:cs="Arial" w:eastAsia="Arial" w:hAnsi="Arial"/>
          <w:sz w:val="18"/>
          <w:szCs w:val="18"/>
          <w:color w:val="auto"/>
        </w:rPr>
        <w:t>), epilepsy and Huntington’s disease.</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an FDA-approved anesthetic, ketamine hydrochloride injection (</w:t>
      </w:r>
      <w:r>
        <w:rPr>
          <w:rFonts w:ascii="Arial" w:cs="Arial" w:eastAsia="Arial" w:hAnsi="Arial"/>
          <w:sz w:val="16"/>
          <w:szCs w:val="16"/>
          <w:i w:val="1"/>
          <w:iCs w:val="1"/>
          <w:color w:val="auto"/>
        </w:rPr>
        <w:t>ketamine</w:t>
      </w:r>
      <w:r>
        <w:rPr>
          <w:rFonts w:ascii="Arial" w:cs="Arial" w:eastAsia="Arial" w:hAnsi="Arial"/>
          <w:sz w:val="16"/>
          <w:szCs w:val="16"/>
          <w:color w:val="auto"/>
        </w:rPr>
        <w:t>), an ion-channel blocking NMDA receptor antagonist, in MDD patients with inadequate responses to multiple standard antidepressants. These NIMH studies, as well as clinical research at Yale University and other academic institutions, have demonstrated robust antidepressant effects in treatment-resistant MDD patients within twenty-four hours of a single sub-anesthetic dose of ketamine administered by intravenous (</w:t>
      </w:r>
      <w:r>
        <w:rPr>
          <w:rFonts w:ascii="Arial" w:cs="Arial" w:eastAsia="Arial" w:hAnsi="Arial"/>
          <w:sz w:val="16"/>
          <w:szCs w:val="16"/>
          <w:i w:val="1"/>
          <w:iCs w:val="1"/>
          <w:color w:val="auto"/>
        </w:rPr>
        <w:t>IV</w:t>
      </w:r>
      <w:r>
        <w:rPr>
          <w:rFonts w:ascii="Arial" w:cs="Arial" w:eastAsia="Arial" w:hAnsi="Arial"/>
          <w:sz w:val="16"/>
          <w:szCs w:val="16"/>
          <w:color w:val="auto"/>
        </w:rPr>
        <w:t>) injection.</w:t>
      </w:r>
    </w:p>
    <w:p>
      <w:pPr>
        <w:spacing w:after="0" w:line="17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We believe AV-101 may have potential to deliver ketamine-like antidepressant effects, without the need for IV administration and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 prodrug 4-chlorokynurenine causes ketamine-like antidepressant effects, but not side effects, by NMDA/glycineB-site inhibition,</w:t>
      </w:r>
      <w:r>
        <w:rPr>
          <w:rFonts w:ascii="Arial" w:cs="Arial" w:eastAsia="Arial" w:hAnsi="Arial"/>
          <w:sz w:val="16"/>
          <w:szCs w:val="16"/>
          <w:color w:val="auto"/>
        </w:rPr>
        <w:t xml:space="preserve"> using well-established preclinical 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7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currently funding, and Dr. Zarate, as Principal Investigator, and his team are currently conducting, a small Phase 2 clinical study of AV-101 monotherapy in subjects with treatment-resistant MDD (the </w:t>
      </w:r>
      <w:r>
        <w:rPr>
          <w:rFonts w:ascii="Arial" w:cs="Arial" w:eastAsia="Arial" w:hAnsi="Arial"/>
          <w:sz w:val="16"/>
          <w:szCs w:val="16"/>
          <w:i w:val="1"/>
          <w:iCs w:val="1"/>
          <w:color w:val="auto"/>
        </w:rPr>
        <w:t>NIMH</w:t>
      </w:r>
      <w:r>
        <w:rPr>
          <w:rFonts w:ascii="Arial" w:cs="Arial" w:eastAsia="Arial" w:hAnsi="Arial"/>
          <w:sz w:val="16"/>
          <w:szCs w:val="16"/>
          <w:color w:val="auto"/>
        </w:rPr>
        <w:t xml:space="preserve"> </w:t>
      </w:r>
      <w:r>
        <w:rPr>
          <w:rFonts w:ascii="Arial" w:cs="Arial" w:eastAsia="Arial" w:hAnsi="Arial"/>
          <w:sz w:val="16"/>
          <w:szCs w:val="16"/>
          <w:i w:val="1"/>
          <w:iCs w:val="1"/>
          <w:color w:val="auto"/>
        </w:rPr>
        <w:t>AV-101 MDD Phase 2 Monotherapy Study</w:t>
      </w:r>
      <w:r>
        <w:rPr>
          <w:rFonts w:ascii="Arial" w:cs="Arial" w:eastAsia="Arial" w:hAnsi="Arial"/>
          <w:sz w:val="16"/>
          <w:szCs w:val="16"/>
          <w:color w:val="auto"/>
        </w:rPr>
        <w:t>). In October 2017, we received FDA authorization to launch our 180-patient Phase 2 multi-center, multi-dose, double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blind, placebo-controlled efficacy and safety study of AV-101 as a new generation adjunctive treatment of MDD in adult patients with an inadequate therapeutic response to standard, FDA-approved antidepressants (the </w:t>
      </w:r>
      <w:r>
        <w:rPr>
          <w:rFonts w:ascii="Arial" w:cs="Arial" w:eastAsia="Arial" w:hAnsi="Arial"/>
          <w:sz w:val="16"/>
          <w:szCs w:val="16"/>
          <w:i w:val="1"/>
          <w:iCs w:val="1"/>
          <w:color w:val="auto"/>
        </w:rPr>
        <w:t>AV-101 MDD Phase 2 Adjunctive Treatment Study</w:t>
      </w:r>
      <w:r>
        <w:rPr>
          <w:rFonts w:ascii="Arial" w:cs="Arial" w:eastAsia="Arial" w:hAnsi="Arial"/>
          <w:sz w:val="16"/>
          <w:szCs w:val="16"/>
          <w:color w:val="auto"/>
        </w:rPr>
        <w:t>). Subject to completion of this offering, we intend to launch the AV-101 MDD Phase 2 Adjunctive Treatment Study in the first quarter of 2018 with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as the Principal Investigator. Dr. Fava was the co-Principal Investigator with Dr. A. John Rush of the STAR*D study, the largest clinical trial conducted in depression to date, whose findings were published in journals such as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NEJM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JAMA</w:t>
      </w:r>
      <w:r>
        <w:rPr>
          <w:rFonts w:ascii="Arial" w:cs="Arial" w:eastAsia="Arial" w:hAnsi="Arial"/>
          <w:sz w:val="16"/>
          <w:szCs w:val="16"/>
          <w:color w:val="auto"/>
        </w:rPr>
        <w:t>). If started in the first quarter of 2018, we expect to complete this study by the end of 2018, with top line results available in the first quarter of 2019.</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customized cardiac bioassay system, to develop small molecule NCEs for our pipeline. To advance potential RM applications of its cardiac stem cell technology,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2016, we exclusively sublicensed to BlueRock Therapeutics LP, a next generation RM company established by Bayer AG and Versant Ventures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BlueRock Therapeutics</w:t>
      </w:r>
      <w:r>
        <w:rPr>
          <w:rFonts w:ascii="Arial" w:cs="Arial" w:eastAsia="Arial" w:hAnsi="Arial"/>
          <w:sz w:val="15"/>
          <w:szCs w:val="15"/>
          <w:color w:val="auto"/>
        </w:rPr>
        <w:t xml:space="preserve">), rights to certain proprietary technologies relating to the production of cardiac stem cells for the treatment of heart disease (the </w:t>
      </w:r>
      <w:r>
        <w:rPr>
          <w:rFonts w:ascii="Arial" w:cs="Arial" w:eastAsia="Arial" w:hAnsi="Arial"/>
          <w:sz w:val="15"/>
          <w:szCs w:val="15"/>
          <w:i w:val="1"/>
          <w:iCs w:val="1"/>
          <w:color w:val="auto"/>
        </w:rPr>
        <w:t>BlueRock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Agreement</w:t>
      </w:r>
      <w:r>
        <w:rPr>
          <w:rFonts w:ascii="Arial" w:cs="Arial" w:eastAsia="Arial" w:hAnsi="Arial"/>
          <w:sz w:val="16"/>
          <w:szCs w:val="16"/>
          <w:color w:val="auto"/>
        </w:rPr>
        <w:t>). In a manner similar to our exclusive sublicense agreement with BlueRock Therapeutics, we may pursue additional RM collaborations or licensing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involving blood, cartilage, and/or liver cells derived from hPSCs for (A) cell-based therapy, (B) cell repair therapy, and/or (C) tissue engineering.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World Health Organization (</w:t>
      </w:r>
      <w:r>
        <w:rPr>
          <w:rFonts w:ascii="Arial" w:cs="Arial" w:eastAsia="Arial" w:hAnsi="Arial"/>
          <w:sz w:val="18"/>
          <w:szCs w:val="18"/>
          <w:i w:val="1"/>
          <w:iCs w:val="1"/>
          <w:color w:val="auto"/>
        </w:rPr>
        <w:t>WHO</w:t>
      </w:r>
      <w:r>
        <w:rPr>
          <w:rFonts w:ascii="Arial" w:cs="Arial" w:eastAsia="Arial" w:hAnsi="Arial"/>
          <w:sz w:val="18"/>
          <w:szCs w:val="18"/>
          <w:color w:val="auto"/>
        </w:rPr>
        <w:t>) estimates that 300 million people worldwide are affected by depression. According to the NIH, major depression is one of the most common mental disorders in the U.S. The NIMH reports that, in 2014, approximately 16 million adults in the U.S. had at least one major depressive episode in the past year. According to the U.S. Centers for Disease Control and Prevention (</w:t>
      </w:r>
      <w:r>
        <w:rPr>
          <w:rFonts w:ascii="Arial" w:cs="Arial" w:eastAsia="Arial" w:hAnsi="Arial"/>
          <w:sz w:val="18"/>
          <w:szCs w:val="18"/>
          <w:i w:val="1"/>
          <w:iCs w:val="1"/>
          <w:color w:val="auto"/>
        </w:rPr>
        <w:t>CDC</w:t>
      </w:r>
      <w:r>
        <w:rPr>
          <w:rFonts w:ascii="Arial" w:cs="Arial" w:eastAsia="Arial" w:hAnsi="Arial"/>
          <w:sz w:val="18"/>
          <w:szCs w:val="18"/>
          <w:color w:val="auto"/>
        </w:rPr>
        <w:t>) one in 10 Americans over the age of 12 takes a standard, FDA-approved antidepressant.</w:t>
      </w:r>
    </w:p>
    <w:p>
      <w:pPr>
        <w:spacing w:after="0" w:line="19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Most standard antidepressants target neurotransmitter reuptake inhibition – either serotonin (antidepressants known as </w:t>
      </w:r>
      <w:r>
        <w:rPr>
          <w:rFonts w:ascii="Arial" w:cs="Arial" w:eastAsia="Arial" w:hAnsi="Arial"/>
          <w:sz w:val="18"/>
          <w:szCs w:val="18"/>
          <w:i w:val="1"/>
          <w:iCs w:val="1"/>
          <w:color w:val="auto"/>
        </w:rPr>
        <w:t>SSRIs</w:t>
      </w:r>
      <w:r>
        <w:rPr>
          <w:rFonts w:ascii="Arial" w:cs="Arial" w:eastAsia="Arial" w:hAnsi="Arial"/>
          <w:sz w:val="18"/>
          <w:szCs w:val="18"/>
          <w:color w:val="auto"/>
        </w:rPr>
        <w:t xml:space="preserve">) or serotonin/norepinephrine (antidepressants known as </w:t>
      </w:r>
      <w:r>
        <w:rPr>
          <w:rFonts w:ascii="Arial" w:cs="Arial" w:eastAsia="Arial" w:hAnsi="Arial"/>
          <w:sz w:val="18"/>
          <w:szCs w:val="18"/>
          <w:i w:val="1"/>
          <w:iCs w:val="1"/>
          <w:color w:val="auto"/>
        </w:rPr>
        <w:t>SNRIs</w:t>
      </w:r>
      <w:r>
        <w:rPr>
          <w:rFonts w:ascii="Arial" w:cs="Arial" w:eastAsia="Arial" w:hAnsi="Arial"/>
          <w:sz w:val="18"/>
          <w:szCs w:val="18"/>
          <w:color w:val="auto"/>
        </w:rPr>
        <w:t>). Even when effective, these standard antidepressants take many weeks to achieve adequate therapeutic effects. Nearly two out of every three drug-treated depression patients do not obtain adequate therapeutic benefit from initial treatment with a standard antidepressant. Even after treatment with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(drugs such as aripiprazole), despite only modest potential therapeutic benefit and the significant risk of additional side effects.</w:t>
      </w:r>
    </w:p>
    <w:p>
      <w:pPr>
        <w:spacing w:after="0" w:line="20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All standard antidepressants have risks of side effects, including, among others, anxiety, metabolic syndrome, sleep disturbance and sexual dysfunction. Adjunctive use of atypical antipsychotics to augment inadequately performing standard antidepressants may increase the risk of significant side effects, including, tardive dyskinesia, substantial weight gain, diabetes and heart disease, while offering only a modest potential increase in therapeutic benefit.</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AV-101</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AV-101 is our oral CNS product candidate in Phase 2 development in the United States, initially focused as a new generation antidepressant for the adjunctive treatment of MDD patients with an inadequate response to standard, FDA-approved antidepressants.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 prodrug 4-chlorokynurenine causes ketamine-like antidepressant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but not side effects, by NMDA/glycineB-site inhibition, </w:t>
      </w:r>
      <w:r>
        <w:rPr>
          <w:rFonts w:ascii="Arial" w:cs="Arial" w:eastAsia="Arial" w:hAnsi="Arial"/>
          <w:sz w:val="16"/>
          <w:szCs w:val="16"/>
          <w:color w:val="auto"/>
        </w:rPr>
        <w:t>using well-established preclinical models of depression, AV-101 was shown to induce fast-acting,</w:t>
      </w:r>
      <w:r>
        <w:rPr>
          <w:rFonts w:ascii="Arial" w:cs="Arial" w:eastAsia="Arial" w:hAnsi="Arial"/>
          <w:sz w:val="16"/>
          <w:szCs w:val="16"/>
          <w:i w:val="1"/>
          <w:iCs w:val="1"/>
          <w:color w:val="auto"/>
        </w:rPr>
        <w:t xml:space="preserve"> </w:t>
      </w:r>
      <w:r>
        <w:rPr>
          <w:rFonts w:ascii="Arial" w:cs="Arial" w:eastAsia="Arial" w:hAnsi="Arial"/>
          <w:sz w:val="16"/>
          <w:szCs w:val="16"/>
          <w:color w:val="auto"/>
        </w:rPr>
        <w:t>dose-dependent, persistent and statistically significant ketamine-like antidepressant effects following a single treatment, responses equivalent to those seen with a single sub-anesthetic control dose of ketamine, but without the negative side effects seen with ketamine. In addition, these studies confirmed that the antidepressant effects of AV-101 were mediated through both inhibition of the GlyB site of NMDA receptors and activation of the AMPA receptor pathway in the brain, a key final common pathway feature of certain new generation antidepressants such as ketamine and AV-101, each with a MOA that is fundamentally different from all standard antidepressants and atypical antipsychotics used adjunctively to augment them.</w:t>
      </w:r>
    </w:p>
    <w:p>
      <w:pPr>
        <w:spacing w:after="0" w:line="1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completed two NIH-funded, randomized, double blind, placebo-controlled AV-101 Phase 1 safety studies. Pursuant to our CRADA with the NIMH and Dr. Carlos Zarate, Jr., the NIMH is funding, and Dr. Zarate, as Principal Investigator, and his team are conducting, a small NIMH AV-101 MDD Phase 2 Monotherapy Study. Although we are not involved in conducting this study, we currently anticipate that the NIMH will complete the NIMH AV-101 MDD Phase 2 Monotherapy Study during the first half of 2018.</w:t>
      </w:r>
    </w:p>
    <w:p>
      <w:pPr>
        <w:spacing w:after="0" w:line="19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are preparing to begin the AV-101 MDD Phase 2 Adjunctive Treatment Study, which will test the safety, efficacy and tolerability of AV-101 as an adjunctive treatment of MDD in adult patients with an inadequate response to standard, FDA-approved antidepressants. Subject to receiving sufficient financing, , we intend to launch the AV-101 MDD Phase 2 Adjunctive Treatment Study in the first quarter of 2018. In connection with our preparation for this study, as well as potential Phase 3 development and commercialization of AV-101, we, together with our contract manufacturing organization (</w:t>
      </w:r>
      <w:r>
        <w:rPr>
          <w:rFonts w:ascii="Arial" w:cs="Arial" w:eastAsia="Arial" w:hAnsi="Arial"/>
          <w:sz w:val="16"/>
          <w:szCs w:val="16"/>
          <w:i w:val="1"/>
          <w:iCs w:val="1"/>
          <w:color w:val="auto"/>
        </w:rPr>
        <w:t>CMO</w:t>
      </w:r>
      <w:r>
        <w:rPr>
          <w:rFonts w:ascii="Arial" w:cs="Arial" w:eastAsia="Arial" w:hAnsi="Arial"/>
          <w:sz w:val="16"/>
          <w:szCs w:val="16"/>
          <w:color w:val="auto"/>
        </w:rPr>
        <w:t>), developed a novel process for the production of AV-101 drug substance. We believe our new proprietary production process will significantly improve AV-101 manufacturing efficiency, thereby reducing the current and future cost of manufacturing AV-101 drug substance and improving the yield of AV-101 drug substance manufactured. While developing our new manufacturing process, our CMO produced a batch of AV-101 drug substance that contained certain impurities not within the limits set out by the International Conference on Harmonisation of Technical Requirements for Registration of Pharmaceuticals for Human Use (</w:t>
      </w:r>
      <w:r>
        <w:rPr>
          <w:rFonts w:ascii="Arial" w:cs="Arial" w:eastAsia="Arial" w:hAnsi="Arial"/>
          <w:sz w:val="16"/>
          <w:szCs w:val="16"/>
          <w:i w:val="1"/>
          <w:iCs w:val="1"/>
          <w:color w:val="auto"/>
        </w:rPr>
        <w:t>the ICH Guidelines</w:t>
      </w:r>
      <w:r>
        <w:rPr>
          <w:rFonts w:ascii="Arial" w:cs="Arial" w:eastAsia="Arial" w:hAnsi="Arial"/>
          <w:sz w:val="16"/>
          <w:szCs w:val="16"/>
          <w:color w:val="auto"/>
        </w:rPr>
        <w:t>). The FDA routinely utilizes the ICH Guidelines as an industry standard for development stage programs such as our AV-101 Phase 2 program. Consequently, the FDA placed a clinical hold on the launch of the AV-101 MDD Phase 2 Adjunctive Treatment Study until we either (a) further improved our AV-101 manufacturing process to remove the impurities or reduce the impurities below applicable limits in the ICH Guidelines, or (b) conducted a bridging toxicology study to qualify the impurities as safe for clinical use. In response to the FDA’s requests, we did both. We further improved our AV-101 manufacturing process, produced a new batch of AV-101 drug substance using the improved process, and now have analytical results from that batch showing that the impurities were reduced to a level below the limits of the ICH Guidelines. In addition, we conducted a bridging toxicology study, the results of which confirmed that the impurities found in the AV-101 drug substance tested were safe for clinical use.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FDA also requested additional contraceptive protection in the upcoming clinical study until we complete preclinical reproductive toxicology studies that are routinely conducted later in stages of clinical development. Although previous toxicology studies for AV-101 do not suggest any reproductive organ involvement, and we have confirmed with the FDA that our proposed study is a Phase 2 study, we have implemented additional contraceptive measures in the revised protocol for the AV-101 MDD Phase 2 Adjunctive Treatment Study that will remain in effect until standard reproductive toxicology studies are completed in the ordinary course prior to commencement of Phase 3 development. We have confirmed with the FDA that our recently implemented contraceptive measures are appropriate for the current stage of development of AV-101.</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September 2017, we requested, and were granted, a pre-IND Type A meeting with the FDA’s Division of Psychiatry to discuss certain matters pertaining to our AV-101 development program and the AV-101 MDD Phase 2 Adjunctive Treatment Study. Subsequent to our Type A Meeting with the FDA, we submitted the supplemental data from our new manufacturing process, the bridging toxicology report and our study protocol, revised to address the FDA’s comments. These documents addressed all concerns raised by the FDA to date. Consequently, on October 26, 2017, the FDA authorized us to proceed, under our Investigational New Drug (</w:t>
      </w:r>
      <w:r>
        <w:rPr>
          <w:rFonts w:ascii="Arial" w:cs="Arial" w:eastAsia="Arial" w:hAnsi="Arial"/>
          <w:sz w:val="16"/>
          <w:szCs w:val="16"/>
          <w:i w:val="1"/>
          <w:iCs w:val="1"/>
          <w:color w:val="auto"/>
        </w:rPr>
        <w:t>IND</w:t>
      </w:r>
      <w:r>
        <w:rPr>
          <w:rFonts w:ascii="Arial" w:cs="Arial" w:eastAsia="Arial" w:hAnsi="Arial"/>
          <w:sz w:val="16"/>
          <w:szCs w:val="16"/>
          <w:color w:val="auto"/>
        </w:rPr>
        <w:t>) application, with the AV-101 MDD Phase 2 Adjunctive Treatment Study. We believe preclinical studies and Phase 1 safety studies support our hypothesis that AV-101 also has potential as a non-opioid treatment alternative for neuropathic pain, as well as several additional CNS indications where modulation of the NMDA receptors, activation of AMPA pathways and/or key active metabolites of AV-101 may achieve therapeutic benefit, including Parkinson’s disease levodopa induced dyskinesia (</w:t>
      </w:r>
      <w:r>
        <w:rPr>
          <w:rFonts w:ascii="Arial" w:cs="Arial" w:eastAsia="Arial" w:hAnsi="Arial"/>
          <w:sz w:val="16"/>
          <w:szCs w:val="16"/>
          <w:i w:val="1"/>
          <w:iCs w:val="1"/>
          <w:color w:val="auto"/>
        </w:rPr>
        <w:t>PD LID</w:t>
      </w:r>
      <w:r>
        <w:rPr>
          <w:rFonts w:ascii="Arial" w:cs="Arial" w:eastAsia="Arial" w:hAnsi="Arial"/>
          <w:sz w:val="16"/>
          <w:szCs w:val="16"/>
          <w:color w:val="auto"/>
        </w:rPr>
        <w:t>), epilepsy and Huntington’s disease. We are beginning to plan additional Phase 2 clinical studies to further evaluate the therapeutic potential of AV-101 beyond MDD.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w:t>
      </w:r>
    </w:p>
    <w:p>
      <w:pPr>
        <w:ind w:right="100"/>
        <w:spacing w:after="0" w:line="286" w:lineRule="auto"/>
        <w:rPr>
          <w:sz w:val="20"/>
          <w:szCs w:val="20"/>
          <w:color w:val="auto"/>
        </w:rPr>
      </w:pP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cardiac bioassay system capable of predicting potential human heart toxicity of small molecule NCEs</w:t>
      </w:r>
      <w:r>
        <w:rPr>
          <w:rFonts w:ascii="Arial" w:cs="Arial" w:eastAsia="Arial" w:hAnsi="Arial"/>
          <w:sz w:val="16"/>
          <w:szCs w:val="16"/>
          <w:i w:val="1"/>
          <w:iCs w:val="1"/>
          <w:color w:val="auto"/>
        </w:rPr>
        <w:t xml:space="preserve"> in vitro</w:t>
      </w:r>
      <w:r>
        <w:rPr>
          <w:rFonts w:ascii="Arial" w:cs="Arial" w:eastAsia="Arial" w:hAnsi="Arial"/>
          <w:sz w:val="16"/>
          <w:szCs w:val="16"/>
          <w:color w:val="auto"/>
        </w:rPr>
        <w:t>, long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before they are ever tested in animal and human studies. Potential commercial applications of our stem cell technology platform involve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internally for NCE drug discovery and drug rescue to expand our proprietary drug candidate pipeline. Drug rescue involves leveraging substantial prior research and development investments by pharmaceutical companies and others related to public domain NCE programs terminated before FDA approval due to heart toxicity risks and RM and cellular therapies. To advance potential RM applications of our cardiac stem cell technology,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In a manner similar to the BlueRock Agreement,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Our core strategy is to develop and commercialize innovative small molecule drugs that address significant unmet medical needs related to CNS diseases and disorders. We have assembled a management team and a team of scientific, clinical, and regulatory advisors, including recognized experts in the fields of depression and other CNS disorders, with significant pharmaceutical industry and regulatory experience to lead and execute the development and commercialization of our CNS product candidate opportunities. Key elements of our strategy are to:</w:t>
      </w:r>
    </w:p>
    <w:p>
      <w:pPr>
        <w:spacing w:after="0" w:line="161" w:lineRule="exact"/>
        <w:rPr>
          <w:sz w:val="20"/>
          <w:szCs w:val="20"/>
          <w:color w:val="auto"/>
        </w:rPr>
      </w:pPr>
    </w:p>
    <w:p>
      <w:pPr>
        <w:ind w:left="660" w:right="40" w:hanging="328"/>
        <w:spacing w:after="0" w:line="289"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Develop and commercialize our lead CNS product candidate, AV-101, initially as a new generation adjunctive treatment for MDD patients with an inadequate response to standard, FDA-approved antidepressants. </w:t>
      </w:r>
      <w:r>
        <w:rPr>
          <w:rFonts w:ascii="Arial" w:cs="Arial" w:eastAsia="Arial" w:hAnsi="Arial"/>
          <w:sz w:val="16"/>
          <w:szCs w:val="16"/>
          <w:color w:val="auto"/>
        </w:rPr>
        <w:t>We are currently pursuing adjunctive treatment of MDD as our lead CNS</w:t>
      </w:r>
      <w:r>
        <w:rPr>
          <w:rFonts w:ascii="Arial" w:cs="Arial" w:eastAsia="Arial" w:hAnsi="Arial"/>
          <w:sz w:val="16"/>
          <w:szCs w:val="16"/>
          <w:b w:val="1"/>
          <w:bCs w:val="1"/>
          <w:color w:val="auto"/>
        </w:rPr>
        <w:t xml:space="preserve"> </w:t>
      </w:r>
      <w:r>
        <w:rPr>
          <w:rFonts w:ascii="Arial" w:cs="Arial" w:eastAsia="Arial" w:hAnsi="Arial"/>
          <w:sz w:val="16"/>
          <w:szCs w:val="16"/>
          <w:color w:val="auto"/>
        </w:rPr>
        <w:t>indication for AV-101. We are preparing to launch our 180-patient Phase 2 study of AV-101 for the adjunctive treatment of MDD in patients with an inadequate response to standard antidepressants. We intend to develop AV-101 internally, through a pivotal Phase 3 clinical program focused on adjunctive treatment of MDD, accompanied by submission of our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for AV-101 to the FDA. If our NDA is approved by the FDA, we plan to commercialize AV-101 for this indication in the U.S. either by (A) collaborating with a large pharmaceutical company with a strong commercial presence in global depression and other CNS markets and/or (B) contracting for and/or establishing a specialty sales force support focused primarily on psychiatrists and long-term care physicians who prescribe standard antidepressants and atypical antipsychotics for treatment of their MDD patients under the current and evolving MDD drug treatment paradigm.</w:t>
      </w:r>
    </w:p>
    <w:p>
      <w:pPr>
        <w:spacing w:after="0" w:line="166" w:lineRule="exact"/>
        <w:rPr>
          <w:rFonts w:ascii="Arial" w:cs="Arial" w:eastAsia="Arial" w:hAnsi="Arial"/>
          <w:sz w:val="16"/>
          <w:szCs w:val="16"/>
          <w:color w:val="auto"/>
        </w:rPr>
      </w:pPr>
    </w:p>
    <w:p>
      <w:pPr>
        <w:ind w:left="660" w:right="80" w:hanging="328"/>
        <w:spacing w:after="0" w:line="29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commercial potential of AV-101 by expanding Phase 2 development to include additional CNS-related disorders and diseases.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intend to pursue clinical development and commercialization of AV-101 across multiple CNS-related indications that are underserved by currently available medicines and represent significant unmet medical needs. Based on AV-101 preclinical studies, our successful NIH-funded AV-101 Phase 1a and 1b clinical safety studies, and regulatory submissions related to the AV-101 MDD Phase 2 Adjunctive Treatment Study, we believe AV-101 also has potential as a non-opioid treatment alternative for neuropathic pain, as well as several additional CNS indications </w:t>
      </w:r>
      <w:r>
        <w:rPr>
          <w:rFonts w:ascii="Arial" w:cs="Arial" w:eastAsia="Arial" w:hAnsi="Arial"/>
          <w:sz w:val="16"/>
          <w:szCs w:val="16"/>
          <w:color w:val="333333"/>
        </w:rPr>
        <w:t>where modulation of the NMDA</w:t>
      </w:r>
      <w:r>
        <w:rPr>
          <w:rFonts w:ascii="Arial" w:cs="Arial" w:eastAsia="Arial" w:hAnsi="Arial"/>
          <w:sz w:val="16"/>
          <w:szCs w:val="16"/>
          <w:color w:val="auto"/>
        </w:rPr>
        <w:t xml:space="preserve"> </w:t>
      </w:r>
      <w:r>
        <w:rPr>
          <w:rFonts w:ascii="Arial" w:cs="Arial" w:eastAsia="Arial" w:hAnsi="Arial"/>
          <w:sz w:val="16"/>
          <w:szCs w:val="16"/>
          <w:color w:val="333333"/>
        </w:rPr>
        <w:t>receptors, activation of AMPA pathways and/or key active metabolites of AV-101 may achieve therapeutic benefit</w:t>
      </w:r>
      <w:r>
        <w:rPr>
          <w:rFonts w:ascii="Arial" w:cs="Arial" w:eastAsia="Arial" w:hAnsi="Arial"/>
          <w:sz w:val="16"/>
          <w:szCs w:val="16"/>
          <w:color w:val="000000"/>
        </w:rPr>
        <w:t>, including PD LID, epilepsy and</w:t>
      </w:r>
      <w:r>
        <w:rPr>
          <w:rFonts w:ascii="Arial" w:cs="Arial" w:eastAsia="Arial" w:hAnsi="Arial"/>
          <w:sz w:val="16"/>
          <w:szCs w:val="16"/>
          <w:color w:val="333333"/>
        </w:rPr>
        <w:t xml:space="preserve"> </w:t>
      </w:r>
      <w:r>
        <w:rPr>
          <w:rFonts w:ascii="Arial" w:cs="Arial" w:eastAsia="Arial" w:hAnsi="Arial"/>
          <w:sz w:val="16"/>
          <w:szCs w:val="16"/>
          <w:color w:val="000000"/>
        </w:rPr>
        <w:t>Huntington’s disease.</w:t>
      </w:r>
    </w:p>
    <w:p>
      <w:pPr>
        <w:spacing w:after="0" w:line="167" w:lineRule="exact"/>
        <w:rPr>
          <w:rFonts w:ascii="Arial" w:cs="Arial" w:eastAsia="Arial" w:hAnsi="Arial"/>
          <w:sz w:val="16"/>
          <w:szCs w:val="16"/>
          <w:color w:val="auto"/>
        </w:rPr>
      </w:pPr>
    </w:p>
    <w:p>
      <w:pPr>
        <w:ind w:left="660" w:right="160" w:hanging="328"/>
        <w:spacing w:after="0" w:line="30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Pursue in-licensing and acquisition of additional CNS product candidates. </w:t>
      </w:r>
      <w:r>
        <w:rPr>
          <w:rFonts w:ascii="Arial" w:cs="Arial" w:eastAsia="Arial" w:hAnsi="Arial"/>
          <w:sz w:val="16"/>
          <w:szCs w:val="16"/>
          <w:color w:val="auto"/>
        </w:rPr>
        <w:t>While our resources are currently focused primarily on development of</w:t>
      </w:r>
      <w:r>
        <w:rPr>
          <w:rFonts w:ascii="Arial" w:cs="Arial" w:eastAsia="Arial" w:hAnsi="Arial"/>
          <w:sz w:val="16"/>
          <w:szCs w:val="16"/>
          <w:b w:val="1"/>
          <w:bCs w:val="1"/>
          <w:color w:val="auto"/>
        </w:rPr>
        <w:t xml:space="preserve"> </w:t>
      </w:r>
      <w:r>
        <w:rPr>
          <w:rFonts w:ascii="Arial" w:cs="Arial" w:eastAsia="Arial" w:hAnsi="Arial"/>
          <w:sz w:val="16"/>
          <w:szCs w:val="16"/>
          <w:color w:val="auto"/>
        </w:rPr>
        <w:t>AV-101 for MDD and additional CNS indications, we anticipate pursuing acquisition of additional CNS-related product candidates in the future. We believe that a diversified CNS product candidate portfolio, combined with our internal and collaborative network of CNS drug development expertise and ecosystem, will mitigate risks inherent in drug development and increase the likelihood of our success.</w:t>
      </w:r>
    </w:p>
    <w:p>
      <w:pPr>
        <w:spacing w:after="0" w:line="157" w:lineRule="exact"/>
        <w:rPr>
          <w:rFonts w:ascii="Arial" w:cs="Arial" w:eastAsia="Arial" w:hAnsi="Arial"/>
          <w:sz w:val="16"/>
          <w:szCs w:val="16"/>
          <w:color w:val="auto"/>
        </w:rPr>
      </w:pPr>
    </w:p>
    <w:p>
      <w:pPr>
        <w:ind w:left="660" w:right="220" w:hanging="328"/>
        <w:spacing w:after="0" w:line="290"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Capitalize on our drug rescue and RM opportunities using our stem cell technology platform. </w:t>
      </w:r>
      <w:r>
        <w:rPr>
          <w:rFonts w:ascii="Arial" w:cs="Arial" w:eastAsia="Arial" w:hAnsi="Arial"/>
          <w:sz w:val="16"/>
          <w:szCs w:val="16"/>
          <w:color w:val="auto"/>
        </w:rPr>
        <w:t>We are focused on using our cardiac stem cell</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to screen and develop proprietary NCEs through drug rescue programs intended to produce proprietary NCEs for our internal drug development pipeline, without incurring many of the substantial costs and risks typically inherent in new drug discovery and nonclinical drug development. In order to capitalize on our existing stem cell technology, we may establish additional strategic collaborations similar to the BlueRock Agreement, as well as investigating potential spin-off opportunities. As most of our resources are currently focused on the nonclinical and clinical development activities we believe are necessary to advance AV-101 through Phase 2, into pivotal Phase 3 development and ultimately to market approval, a strategic collaboration or spin-off involving our stem cell technology could allow us to capitalize on our existing stem cell technology and shift our focus exclusively to developing our CNS pipeline.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(L-4-cholorkyurenine or 4-Cl-KYN)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Overview and Mechanism of Action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AV-101 is an orally available, clinical-stage prodrug candidate that readily gains access to the CNS after systemic administration and is rapidly converted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into its active metabolite, 7-chlorokynurenic acid (</w:t>
      </w:r>
      <w:r>
        <w:rPr>
          <w:rFonts w:ascii="Arial" w:cs="Arial" w:eastAsia="Arial" w:hAnsi="Arial"/>
          <w:sz w:val="18"/>
          <w:szCs w:val="18"/>
          <w:i w:val="1"/>
          <w:iCs w:val="1"/>
          <w:color w:val="auto"/>
        </w:rPr>
        <w:t>7-Cl-KYNA</w:t>
      </w:r>
      <w:r>
        <w:rPr>
          <w:rFonts w:ascii="Arial" w:cs="Arial" w:eastAsia="Arial" w:hAnsi="Arial"/>
          <w:sz w:val="18"/>
          <w:szCs w:val="18"/>
          <w:color w:val="auto"/>
        </w:rPr>
        <w:t>), a well-characterized, potent and highly selective antagonist of the NMDA receptor at its GlyB co-agonist site.</w:t>
      </w:r>
    </w:p>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Current evidence suggests that AV-101’s antagonism of NMDA receptor signaling may provide faster-acting antidepressant effects in the treatment of MDD than standard antidepressants. In addition, as confirmed in our AV-101 Phase 1 clinical studies, targeting the GlyB site of the NMDA receptor does not have the negative side effects typically associated with standard antidepressants, atypical antipsychotics often used adjunctively in the current MDD drug treatment paradigm to augment them, or classic ion channel-blocking NMDA receptor antagonists, such as ketamine.</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Major Depressive Disorder</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Depression is a serious medical illness and a global public health concern. The WHO estimates that depression is the leading cause of disability worldwide, and is a major contributor to the global burden of disease, affecting 300 million people globally. According to the CDC, approximately one in every 10 Americans aged 12 and over takes antidepressant medication.</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Suicide is estimated to be the cause of death in up to 15% individuals with MDD.</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Standard Antidepressants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For many people, depression cannot be controlled for any length of time without treatment. Standard antidepressant medications available in the multi-billion dollar global depression market, including commonly-prescribed SSRIs and SNRIs, have limited effectiveness, and, because of their mechanism of action, must be taken for several weeks before patients experience any significant therapeutic benefit. About two out of every three depression sufferers, including over an estimated 6.0 million drug-treated MDD patients in the U.S., do not receive adequate therapeutic benefits from their initial treatment with a standard antidepressant, and the likelihood of achieving remission of depressive symptoms declines with each successive treatment attempt. Even after multiple treatment attempts, approximately one out of every three depression sufferers still fails to find an adequately effective standard antidepressant. In addition, this trial and error process and the systemic effects of the various antidepressants involved may increase the risk of patient tolerability issues and serious side effects, including suicidal thoughts and behaviors in certain groups.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Ketamine and NIH Clinical Studies in Major Depressive Disorder</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Ketamine hydrochloride is an FDA-approved, rapid-acting general anesthetic currently administered only by intravenous or intramuscular injection. The use of ketamine (an NMDA receptor antagonist which acts as an NMDA ion channel blocker) to treat MDD has been studied in several clinical trials conducted by depression experts at Yale University and other academic institutions and at the NIMH, part of the NIH, including by Dr. Carlos Zarate, Jr., the NIMH’s Chief of Experimental Therapeutics &amp; Pathophysiology Branch and of the Section on Neurobiology and Treatment of Mood and Anxiety Disorders. In randomized, placebo-controlled, double blind clinical trials reported by Dr. Zarate and others at the NIMH, a single sub-anesthetic dose of ketamine (0.5 mg/kg over 40 minutes) produced robust and rapid (within twenty-four hours) antidepressant effects in MDD patients who had not responded to standard antidepressants. These results were in sharp contrast to the very slow onset of standard antidepressants (SSRIs and SNRIs) that usually require many weeks of chronic usage to achieve similar antidepressant effects. The potential for widespread therapeutic use of current FDA-approved ketamine, a Schedule III drug, for MDD is limited by its potential for abuse, dissociative and psychosis-like side effects and by current practical challenges associated with the necessity of I.V. administration in a medical center. Notwithstanding these limitations, however, the discovery of ketamine’s fast-acting antidepressant effects revolutionized thinking about the current MDD drug treatment paradigm and catalyzed development of a new generation of antidepressants with a faster-acting mechanisms of action (</w:t>
      </w:r>
      <w:r>
        <w:rPr>
          <w:rFonts w:ascii="Arial" w:cs="Arial" w:eastAsia="Arial" w:hAnsi="Arial"/>
          <w:sz w:val="16"/>
          <w:szCs w:val="16"/>
          <w:i w:val="1"/>
          <w:iCs w:val="1"/>
          <w:color w:val="auto"/>
        </w:rPr>
        <w:t>MOA</w:t>
      </w:r>
      <w:r>
        <w:rPr>
          <w:rFonts w:ascii="Arial" w:cs="Arial" w:eastAsia="Arial" w:hAnsi="Arial"/>
          <w:sz w:val="16"/>
          <w:szCs w:val="16"/>
          <w:color w:val="auto"/>
        </w:rPr>
        <w:t>) similar to ketamine’s. Our oral CNS drug candidate, AV-101 is among a new generation of antidepressants with potential to deliver faster-acting antidepressant effects than standard antidepressants, without the side effects typically associated with standard antidepressants, atypical antipsychotics and ketamine.</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AV-101, Mechanism of Action, and Major Depressive Disorder</w:t>
      </w:r>
    </w:p>
    <w:p>
      <w:pPr>
        <w:spacing w:after="0" w:line="252"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AV-101 (4-Cl-KYN) is an orally available prodrug candidate that produces, in the brain, 7-Cl-KYNA, one of the most potent and selective antagonists of the GlyB site of the NMDA receptor, resulting in the down-regulation of NMDA receptor signaling. Growing evidence suggests that glutamatergic activation involving AMPA receptors is central to the neurobiology and treatment of MDD and other mood disorders.</w:t>
      </w:r>
    </w:p>
    <w:p>
      <w:pPr>
        <w:spacing w:after="0" w:line="16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is fundamentally differentiated from the MOA of all standard, FDA-approved antidepressants and all atypical antipsychotics often used adjunctively to augment inadequate response to standard antidepressants, placing AV-101 among a new generation of antidepressants with potential to treat millions of MDD sufferers worldwide who are poorly served by SSRIs, SNRIs and other current depression therapies. AV-101 is functionally similar to ketamine in that both induce final common pathway antidepressant activity via glutamatergic activation involving AMPA receptors. However, AV-101 inhibits NMDA receptor channel activity, whereas ketamine blocks the ion channel of the NMDA receptor. AV-101, as a prodrug, produces in the brain an antagonist that inhibits the NMDA receptor by selectively binding to its functionally required GlyB site. Experimental evidence confirms that inhibiting the NMDA receptor by targeting the GlyB site can produce potent antidepressive effects and bypass adverse effects that result when ketamine blocks the NMDA receptor ion channel. Experimental evidence also supports the conclusion that this NMDA receptor inhibition by AV-101 may then result in a glutamatergic activation that depends on the AMPA receptor pathway, resulting in an increase in neuronal connections that has been associated with the faster-acting antidepressant effects than those achieved by standard antidepressants, similar to those seen with ketamine.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3" w:name="page74"/>
    <w:bookmarkEnd w:id="7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peer-reviewed published preclinical studies, AV-101 caused fast-acting, ketamine-like antidepressant effects, including rapid onset and long duration of effect following a single treatment, without causing ketamine’s negative side effects. In two NIH-funded randomized, double blind, placebo-controlled Phase 1 safety studies, AV-101 was safe, well-tolerated and not associated with any severe adverse events. There were no signs of sedation, hallucinations or psychological side effects often associated with ketamine and other channel-blocking NMDA receptor antagonists.</w:t>
      </w:r>
    </w:p>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Building on over $8.8 million of prior grant award funding from the NIH for preclinical and Phase 1 clinical development of AV-101, under our CRADA, we are collaborating with Dr. Carlos Zarate, Jr. and his team at the NIMH on the small NIMH AV-101 MDD Phase 2 Monotherapy Study. Pursuant to the CRADA, this ongoing study is being conducted at the NIMH by Dr. Zarate as Principal Investigator, and is being fully-funded by the NIMH. The primary objective of the NIMH AV-101 MDD Phase 2 Monotherapy Study will be to evaluate the ability of AV-101 to improve overall depressive symptomatology in subjects with MDD, specifically whether subjects with MDD have a greater and more rapid decrease in depressive symptoms when treated with AV-101 than with placebo. We currently anticipate that the NIMH will complete the NIMH AV-101 MDD Phase 2 Monotherapy Study during the first half of 2018.</w:t>
      </w:r>
    </w:p>
    <w:p>
      <w:pPr>
        <w:spacing w:after="0" w:line="1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We are preparing to begin the AV-101 MDD Phase 2 Adjunctive Treatment Study, which will test the safety, efficacy and tolerability of AV-101 as an adjunctive treatment of MDD in adult patients with an inadequate response to standard, FDA-approved antidepressants. Subject to receiving sufficient financing, we intend to launch the AV-101 MDD Phase 2 Adjunctive Treatment Study in the first quarter of 2018 and currently anticipate completing the study by the end of 2018, with top line results available in the first quarter of 2019. The Principal Investigator of our AV-101 MDD Phase 2 Adjunctive Treatment Study will be Dr. Maurizio Fava of Harvard Medical School. Dr. Fava was the co-Principal Investigator with Dr. A. John Rush of the largest clinical trial ever conducted in depression, STAR*D, whose findings were published in journals such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Journal of the American Medical</w:t>
      </w:r>
      <w:r>
        <w:rPr>
          <w:rFonts w:ascii="Arial" w:cs="Arial" w:eastAsia="Arial" w:hAnsi="Arial"/>
          <w:sz w:val="18"/>
          <w:szCs w:val="18"/>
          <w:color w:val="auto"/>
        </w:rPr>
        <w:t xml:space="preserve"> </w:t>
      </w:r>
      <w:r>
        <w:rPr>
          <w:rFonts w:ascii="Arial" w:cs="Arial" w:eastAsia="Arial" w:hAnsi="Arial"/>
          <w:sz w:val="18"/>
          <w:szCs w:val="18"/>
          <w:i w:val="1"/>
          <w:iCs w:val="1"/>
          <w:color w:val="auto"/>
        </w:rPr>
        <w:t>Association</w:t>
      </w:r>
      <w:r>
        <w:rPr>
          <w:rFonts w:ascii="Arial" w:cs="Arial" w:eastAsia="Arial" w:hAnsi="Arial"/>
          <w:sz w:val="18"/>
          <w:szCs w:val="18"/>
          <w:color w:val="auto"/>
        </w:rPr>
        <w:t>.</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AV-101 and Parkinson’s Disease Levodopa-Induced Dyskinesia (PD LID)</w:t>
      </w:r>
    </w:p>
    <w:p>
      <w:pPr>
        <w:spacing w:after="0" w:line="22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 xml:space="preserve">Parkinson's disease is a chronic, progressive motor disorder that causes tremors, rigidity, slowed movements and postural instability. The Parkinson's Disease Foundation estimates that there were approximately one million people living with Parkinson's disease in the United States in 2011. The most commonly-prescribed treatments for Parkinson's disease are levodopa-based therapies. In the body, levodopa is converted to dopamine to replace the dopamine loss caused by the disease. The therapeutic efficacy of levodopa is gradually lost over time, and abnormal involuntary movements, dyskinesias, gradually emerge as a prominent side-effect in response to previously beneficial doses of the drug. </w:t>
      </w:r>
      <w:r>
        <w:rPr>
          <w:rFonts w:ascii="Arial" w:cs="Arial" w:eastAsia="Arial" w:hAnsi="Arial"/>
          <w:sz w:val="16"/>
          <w:szCs w:val="16"/>
          <w:i w:val="1"/>
          <w:iCs w:val="1"/>
          <w:color w:val="auto"/>
        </w:rPr>
        <w:t>Parkinson’s disease</w:t>
      </w:r>
      <w:r>
        <w:rPr>
          <w:rFonts w:ascii="Arial" w:cs="Arial" w:eastAsia="Arial" w:hAnsi="Arial"/>
          <w:sz w:val="16"/>
          <w:szCs w:val="16"/>
          <w:color w:val="auto"/>
        </w:rPr>
        <w:t xml:space="preserve"> levodopa-induced dyskinesia can be severely disabling, rendering patients unable to perform routine daily tasks. Studies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and </w:t>
      </w:r>
      <w:r>
        <w:rPr>
          <w:rFonts w:ascii="Arial" w:cs="Arial" w:eastAsia="Arial" w:hAnsi="Arial"/>
          <w:sz w:val="16"/>
          <w:szCs w:val="16"/>
          <w:i w:val="1"/>
          <w:iCs w:val="1"/>
          <w:color w:val="auto"/>
        </w:rPr>
        <w:t>Movement Disorders</w:t>
      </w:r>
      <w:r>
        <w:rPr>
          <w:rFonts w:ascii="Arial" w:cs="Arial" w:eastAsia="Arial" w:hAnsi="Arial"/>
          <w:sz w:val="16"/>
          <w:szCs w:val="16"/>
          <w:color w:val="auto"/>
        </w:rPr>
        <w:t xml:space="preserve"> have shown PD LID develops in approximately 45% of levodopa-treated Parkinson’s disease patients after five years and 80% after 10 years of levodopa treatment.</w:t>
      </w:r>
    </w:p>
    <w:p>
      <w:pPr>
        <w:spacing w:after="0" w:line="1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 monkey model of Parkinson’s disease, AV-101 (250 mg/kg and 450 mg/kg) reduced by 30% the mean dyskinesia score associated with PD LID. Maximum dyskinesia scores were also reduced by 17%. Importantly, AV-101 did not reduce the anti-parkinsonian therapeutic benefit of levodopa. Moreover, the duration of levodopa response and delay to levodopa effect were not affected by treatment with AV-101. We believe these monkey data warrant exploratory Phase 2 clinical testing of AV-101 in Parkinson’s disease patients diagnosed with PD LID.</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AV-101 and Neuropathic Pain</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Neuropathic pain is a complex, chronic pain state that results from problems with signals from nerves. There are various causes of neuropathic pain, including tissue injury, nerve damage or disease, diabetes, infection, toxins, certain types of drugs, such as antivirals and chemotherapeutic agents, certain cancers, and even chronic alcohol intake. With neuropathic pain, damaged, dysfunctional or injured nerve fibers send incorrect signals to other pain centers and impact nerve function both at the site of injury and areas around the injury. Many neuropathic pain treatments on the market today, including gabapentin, have side effects such as anxiety, depression, mild cognitive impairment and/or sedation.</w:t>
      </w:r>
    </w:p>
    <w:p>
      <w:pPr>
        <w:spacing w:after="0" w:line="170" w:lineRule="exact"/>
        <w:rPr>
          <w:sz w:val="20"/>
          <w:szCs w:val="20"/>
          <w:color w:val="auto"/>
        </w:rPr>
      </w:pPr>
    </w:p>
    <w:p>
      <w:pPr>
        <w:jc w:val="both"/>
        <w:ind w:left="660" w:hanging="328"/>
        <w:spacing w:after="0" w:line="285"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effects of AV-101 were assessed in published peer-reviewed studies involving four well-established non-clinical models of pain, both hyperalgesia and allodynia, to examine its analgesic and behavioral profile. The publication, titled: “</w:t>
      </w:r>
      <w:r>
        <w:rPr>
          <w:rFonts w:ascii="Arial" w:cs="Arial" w:eastAsia="Arial" w:hAnsi="Arial"/>
          <w:sz w:val="16"/>
          <w:szCs w:val="16"/>
          <w:i w:val="1"/>
          <w:iCs w:val="1"/>
          <w:color w:val="auto"/>
        </w:rPr>
        <w:t>Characterization of the effects of L-4-chlorokynurenine on</w:t>
      </w:r>
      <w:r>
        <w:rPr>
          <w:rFonts w:ascii="Arial" w:cs="Arial" w:eastAsia="Arial" w:hAnsi="Arial"/>
          <w:sz w:val="16"/>
          <w:szCs w:val="16"/>
          <w:color w:val="auto"/>
        </w:rPr>
        <w:t xml:space="preserve"> </w:t>
      </w:r>
      <w:r>
        <w:rPr>
          <w:rFonts w:ascii="Arial" w:cs="Arial" w:eastAsia="Arial" w:hAnsi="Arial"/>
          <w:sz w:val="16"/>
          <w:szCs w:val="16"/>
          <w:i w:val="1"/>
          <w:iCs w:val="1"/>
          <w:color w:val="auto"/>
        </w:rPr>
        <w:t>nociception in rodents</w:t>
      </w:r>
      <w:r>
        <w:rPr>
          <w:rFonts w:ascii="Arial" w:cs="Arial" w:eastAsia="Arial" w:hAnsi="Arial"/>
          <w:sz w:val="16"/>
          <w:szCs w:val="16"/>
          <w:color w:val="auto"/>
        </w:rPr>
        <w:t>,” by lead author, Tony L. Yaksh, Ph.D., Professor in Anesthesiology at the University of California, San Diego, was published in</w:t>
      </w:r>
      <w:r>
        <w:rPr>
          <w:rFonts w:ascii="Arial" w:cs="Arial" w:eastAsia="Arial" w:hAnsi="Arial"/>
          <w:sz w:val="16"/>
          <w:szCs w:val="16"/>
          <w:i w:val="1"/>
          <w:iCs w:val="1"/>
          <w:color w:val="auto"/>
        </w:rPr>
        <w:t xml:space="preserve"> The Journal of Pain </w:t>
      </w:r>
      <w:r>
        <w:rPr>
          <w:rFonts w:ascii="Arial" w:cs="Arial" w:eastAsia="Arial" w:hAnsi="Arial"/>
          <w:sz w:val="16"/>
          <w:szCs w:val="16"/>
          <w:color w:val="auto"/>
        </w:rPr>
        <w:t>in April 2017 (J Pain. 18:1184-1196, 2017)). In these studies, systemic delivery of AV-101 yielded brain concentrations of AV-101's</w:t>
      </w:r>
      <w:r>
        <w:rPr>
          <w:rFonts w:ascii="Arial" w:cs="Arial" w:eastAsia="Arial" w:hAnsi="Arial"/>
          <w:sz w:val="16"/>
          <w:szCs w:val="16"/>
          <w:i w:val="1"/>
          <w:iCs w:val="1"/>
          <w:color w:val="auto"/>
        </w:rPr>
        <w:t xml:space="preserve"> </w:t>
      </w:r>
      <w:r>
        <w:rPr>
          <w:rFonts w:ascii="Arial" w:cs="Arial" w:eastAsia="Arial" w:hAnsi="Arial"/>
          <w:sz w:val="16"/>
          <w:szCs w:val="16"/>
          <w:color w:val="auto"/>
        </w:rPr>
        <w:t>active metabolite, 7-Cl-KYNA. The high CNS levels of 7-Cl-KYNA that were calculated to exceed its IC50 at the NMDA receptor GlyB site and resulted in robust, dose-dependent anti-nociceptive effects, similar to gabapentin, but with no discernable negative side effects. Gabapentin, a commonly used drug for neuropathic pain, causes sedation and mild cognitive impairment. Other commonly prescribed medications for pain include drugs targeting opioid receptors in the brain. Unfortunately, misuse of such drugs can lead to a significantly increased risk of addiction despite their potential therapeutic benefits. Therefore, we believe a drug candidate that does not target opioid receptors and is equally effective on pain, but is better tolerated than gabapentin or potentially addictive drugs targeting opioid receptors, could be an important treatment alternative for the millions of patients battling chronic neuropathic pain. Taken together with our successful AV-101 Phase 1a and 1b clinical safety studies, we believe the published results of these nonclinical studies support further clinical development of AV-101 in an exploratory Phase 2 clinical study to assess its potential as a non-opioid treatment to reduce debilitating neuropathic pain effectively, without causing gabapentin-like side effects or risk of addiction associated with pain medications targeting opioid receptors.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4" w:name="page75"/>
    <w:bookmarkEnd w:id="7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AV-101 and Epilepsy</w:t>
      </w:r>
    </w:p>
    <w:p>
      <w:pPr>
        <w:spacing w:after="0" w:line="225"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AV-101 has been shown to protect against seizures and neuronal damage in animal models of epilepsy, providing preclinical support for its potential as a novel treatment alternative for epilepsy. Epilepsy is one of the most prevalent neurological disorders, affecting almost 1% of the worldwide population. According to the Epilepsy Foundation, as many as three million Americans have epilepsy, and one-third of those suffering from epilepsy are not effectively treated with currently available medications. In addition, standard anticonvulsants can cause significant side effects, which frequently interfere with compliance.</w:t>
      </w:r>
    </w:p>
    <w:p>
      <w:pPr>
        <w:spacing w:after="0" w:line="15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Glutamate is a neurotransmitter that is critically involved in the pathophysiology of epilepsy. Through its stimulation of the NMDA receptor subtype, glutamate has been implicated in the neuropathology and clinical symptoms of the disease. In support of this, NMDA receptor antagonists are potent anticonvulsants. However, classic NMDA receptor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 receptor function and are therefore anticonvulsant and neuroprotective. Importantly, GlyB site antagonists have fewer and less severe side effects than classic channel-blocking NMDA receptor antagonists and other antiepileptic agents, making them a safer potential alternative to, and one expected to be associated with greater patient compliance than, available anticonvulsant medications.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AV-101 has two additional therapeutically important properties as a drug candidate for treatment of epilepsy:</w:t>
      </w:r>
    </w:p>
    <w:p>
      <w:pPr>
        <w:spacing w:after="0" w:line="225" w:lineRule="exact"/>
        <w:rPr>
          <w:sz w:val="20"/>
          <w:szCs w:val="20"/>
          <w:color w:val="auto"/>
        </w:rPr>
      </w:pPr>
    </w:p>
    <w:p>
      <w:pPr>
        <w:ind w:left="360" w:right="120" w:hanging="286"/>
        <w:spacing w:after="0" w:line="298" w:lineRule="auto"/>
        <w:tabs>
          <w:tab w:leader="none" w:pos="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AV-101 is preferentially converted to 7-Cl-KYNA in brain areas related to neuronal injury. This is because astrocytes, which are responsible for the enzymatic transamination of 4-Cl-KYN prodrug to active 7-Cl-KYNA, are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66" w:lineRule="exact"/>
        <w:rPr>
          <w:rFonts w:ascii="Arial" w:cs="Arial" w:eastAsia="Arial" w:hAnsi="Arial"/>
          <w:sz w:val="16"/>
          <w:szCs w:val="16"/>
          <w:color w:val="auto"/>
        </w:rPr>
      </w:pPr>
    </w:p>
    <w:p>
      <w:pPr>
        <w:ind w:left="360" w:right="500" w:hanging="286"/>
        <w:spacing w:after="0" w:line="268" w:lineRule="auto"/>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active metabolite of AV-101, 4-Cl-3-hydroxyanthranilic acid, inhibits the synthesis of quinolinic acid, an endogenous NMDAR agonist that causes convulsions and excitotoxic neuronal damage.</w:t>
      </w:r>
    </w:p>
    <w:p>
      <w:pPr>
        <w:spacing w:after="0" w:line="18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AV-101’s ability to activate astrocytes for focal delivery of an anti-epileptic principle, and its dual action as a NMDAR GlyB antagonist and quinolinic acid synthesis inhibitor, make AV-101 a potential Phase 2 development candidate for treatment of epilepsy.</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AV-101 and Huntington’s Disease</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Working together with metabotropic glutamate receptors, the NMDA receptor ensures the establishment of long-term potentiation (</w:t>
      </w:r>
      <w:r>
        <w:rPr>
          <w:rFonts w:ascii="Arial" w:cs="Arial" w:eastAsia="Arial" w:hAnsi="Arial"/>
          <w:sz w:val="16"/>
          <w:szCs w:val="16"/>
          <w:i w:val="1"/>
          <w:iCs w:val="1"/>
          <w:color w:val="auto"/>
        </w:rPr>
        <w:t>LTP</w:t>
      </w:r>
      <w:r>
        <w:rPr>
          <w:rFonts w:ascii="Arial" w:cs="Arial" w:eastAsia="Arial" w:hAnsi="Arial"/>
          <w:sz w:val="16"/>
          <w:szCs w:val="16"/>
          <w:color w:val="auto"/>
        </w:rPr>
        <w:t>), a process believed to be responsible for the acquisition of information. These functions are mediated by calcium entry through the NMDA receptor-associated channel, which in turn influences a wide variety of cellular components, like cytoskeletal proteins or second-messenger synthases. However, over activation at the NMDA receptor triggers an excessive entry of calcium ions, initiating a series of cytoplasmic and nuclear processes that promote neuronal cell death through necrosis as well as apoptosis, and these mechanisms have been implicated in several neurodegenerative diseases.</w:t>
      </w:r>
    </w:p>
    <w:p>
      <w:pPr>
        <w:spacing w:after="0" w:line="170"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Huntington's disease (</w:t>
      </w:r>
      <w:r>
        <w:rPr>
          <w:rFonts w:ascii="Arial" w:cs="Arial" w:eastAsia="Arial" w:hAnsi="Arial"/>
          <w:sz w:val="15"/>
          <w:szCs w:val="15"/>
          <w:i w:val="1"/>
          <w:iCs w:val="1"/>
          <w:color w:val="auto"/>
        </w:rPr>
        <w:t>HD</w:t>
      </w:r>
      <w:r>
        <w:rPr>
          <w:rFonts w:ascii="Arial" w:cs="Arial" w:eastAsia="Arial" w:hAnsi="Arial"/>
          <w:sz w:val="15"/>
          <w:szCs w:val="15"/>
          <w:color w:val="auto"/>
        </w:rPr>
        <w:t>) is an inherited disorder that causes degeneration of brain cells, called neurons, in motor control regions of the brain, as well as other areas. Symptoms of the disease, which gets progressively worse, include uncontrolled movements (called chorea), abnormal body postures, and changes in behavior, emotion, judgment, and cognition. HD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15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tissue levels of two neurotoxic metabolites of the kynurenine pathway of tryptophan degradation, quinolinic acid (</w:t>
      </w:r>
      <w:r>
        <w:rPr>
          <w:rFonts w:ascii="Arial" w:cs="Arial" w:eastAsia="Arial" w:hAnsi="Arial"/>
          <w:sz w:val="16"/>
          <w:szCs w:val="16"/>
          <w:i w:val="1"/>
          <w:iCs w:val="1"/>
          <w:color w:val="auto"/>
        </w:rPr>
        <w:t>QUIN</w:t>
      </w:r>
      <w:r>
        <w:rPr>
          <w:rFonts w:ascii="Arial" w:cs="Arial" w:eastAsia="Arial" w:hAnsi="Arial"/>
          <w:sz w:val="16"/>
          <w:szCs w:val="16"/>
          <w:color w:val="auto"/>
        </w:rPr>
        <w:t>) and 3-hydroxykynurenine (</w:t>
      </w:r>
      <w:r>
        <w:rPr>
          <w:rFonts w:ascii="Arial" w:cs="Arial" w:eastAsia="Arial" w:hAnsi="Arial"/>
          <w:sz w:val="16"/>
          <w:szCs w:val="16"/>
          <w:i w:val="1"/>
          <w:iCs w:val="1"/>
          <w:color w:val="auto"/>
        </w:rPr>
        <w:t>3-HK</w:t>
      </w:r>
      <w:r>
        <w:rPr>
          <w:rFonts w:ascii="Arial" w:cs="Arial" w:eastAsia="Arial" w:hAnsi="Arial"/>
          <w:sz w:val="16"/>
          <w:szCs w:val="16"/>
          <w:color w:val="auto"/>
        </w:rPr>
        <w:t>)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QUIN and to potentially produce significant local concentrations of 7-Cl-KYNA on chronic administration, presents an exciting opportunity for exploratory Phase 2 clinical investigation of AV-101 as a potential chronic treatment alternative for certain symptoms of HD.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AV-101 Phase 1 Clinical Safety Studies</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safety data from two NIH-funded AV-101 Phase 1 clinical safety studies indicate that AV-101 was safe and well tolerated in healthy subjects at all doses tested. There were no Adverse Effects (</w:t>
      </w:r>
      <w:r>
        <w:rPr>
          <w:rFonts w:ascii="Arial" w:cs="Arial" w:eastAsia="Arial" w:hAnsi="Arial"/>
          <w:sz w:val="18"/>
          <w:szCs w:val="18"/>
          <w:i w:val="1"/>
          <w:iCs w:val="1"/>
          <w:color w:val="auto"/>
        </w:rPr>
        <w:t>AEs</w:t>
      </w:r>
      <w:r>
        <w:rPr>
          <w:rFonts w:ascii="Arial" w:cs="Arial" w:eastAsia="Arial" w:hAnsi="Arial"/>
          <w:sz w:val="18"/>
          <w:szCs w:val="18"/>
          <w:color w:val="auto"/>
        </w:rPr>
        <w:t>) reported by subjects that received AV-101 that were graded as probably related to study drug. The type and distribution of AEs reported by subjects in the studies were considered to be typical for studies in healthy volunteers. All AEs were completely resolved. Further, no Serious Adverse Events (</w:t>
      </w:r>
      <w:r>
        <w:rPr>
          <w:rFonts w:ascii="Arial" w:cs="Arial" w:eastAsia="Arial" w:hAnsi="Arial"/>
          <w:sz w:val="18"/>
          <w:szCs w:val="18"/>
          <w:i w:val="1"/>
          <w:iCs w:val="1"/>
          <w:color w:val="auto"/>
        </w:rPr>
        <w:t>SAEs</w:t>
      </w:r>
      <w:r>
        <w:rPr>
          <w:rFonts w:ascii="Arial" w:cs="Arial" w:eastAsia="Arial" w:hAnsi="Arial"/>
          <w:sz w:val="18"/>
          <w:szCs w:val="18"/>
          <w:color w:val="auto"/>
        </w:rPr>
        <w:t>) were reported.</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Pharmacokinetics (</w:t>
      </w:r>
      <w:r>
        <w:rPr>
          <w:rFonts w:ascii="Arial" w:cs="Arial" w:eastAsia="Arial" w:hAnsi="Arial"/>
          <w:sz w:val="18"/>
          <w:szCs w:val="18"/>
          <w:i w:val="1"/>
          <w:iCs w:val="1"/>
          <w:color w:val="auto"/>
        </w:rPr>
        <w:t>PK</w:t>
      </w:r>
      <w:r>
        <w:rPr>
          <w:rFonts w:ascii="Arial" w:cs="Arial" w:eastAsia="Arial" w:hAnsi="Arial"/>
          <w:sz w:val="18"/>
          <w:szCs w:val="18"/>
          <w:color w:val="auto"/>
        </w:rPr>
        <w:t>) of AV-101 were fully characterized across the range of doses in these Phase 1a and 1b studies. Plasma concentration-time profiles obtained for 4-Cl-KYN (AV-101) and 7-Cl-KYNA after administration of a single escalating dose (Phase 1a) and multiple, once daily oral doses of 360, 1,080, or 1,440 mg for 14 days (Phase 1b) were consistent with rapid absorption of the oral dose and first-order elimination of both analytes, with evidence of multi-compartment kinetics, particularly for the AV-101’s active metabolite, 7-Cl-KYNA.</w:t>
      </w:r>
    </w:p>
    <w:p>
      <w:pPr>
        <w:spacing w:after="0" w:line="19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Although the Phase 1 safety and PK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Phase 1a Study</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phase 1a, randomized, double blind, placebo-controlled study to evaluate the safety and PK of single doses of AV-101 in healthy volunteers was conducted. Seven cohorts (30, 120, 360, 720, 1,080, 1,440, and 1,800 mg) with six subjects per cohort (1:1, AV-101: placebo) were to be enrolled in the study. Nine subjects experienced 10 AEs, with four of the AEs occurring in subjects in the placebo group and two of the AEs occurring for one subject receiving 30 mg AV-101. For the AEs occurring in the AV-101–treated subjects, there were no meaningful differences in the number of AEs observed at the 30-mg dose (two AEs) when compared with that at the 120-mg dose (one AE), 360-mg dose (one AE), 720-mg dose (zero AEs), 1,080-mg dose (zero AEs), or 1,440-mg dose (two AEs). Eight of 10 AEs (80%) were considered mild, and two (20%, headache and gastroenteritis) were considered moderate. Four subjects on AV-101, one each in Cohorts 1 through 4 and two subjects on placebo in Cohort 5 reported AEs of headaches. Five headaches were mild with no concomitant treatment, and one was moderate with concomitant drug therapy administered. Most completely resolved the same day as onset and were considered not serious. One headache started the day after dosing and resolved approximately one week later on the same day as the concomitant drug therapy was administered. One case of contact dermatitis bilateral lower extremities was reported in Cohort 2 on placebo that was ongoing. One of the subjects with the headache also reported an AE of gastroenteritis that was unrelated to AV-101. This AE was considered moderate but did not require any drug therapy and was completely resolved within two days of onset. This AE was also considered not serious.</w:t>
      </w:r>
    </w:p>
    <w:p>
      <w:pPr>
        <w:spacing w:after="0" w:line="17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PK of AV-101 was fully characterized across the range of doses in this Phase 1a study following a single oral administration. Plasma concentration-time profiles obtained for 4-Cl-KYN (AV-101) and 7-Cl-KYNA were consistent with rapid absorption of the oral dose and first-order elimination of both analytes, with evidence of multi-compartment kinetics, particularly for the metabolite 7-Cl-KYNA.</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Even though this Phase 1a safety study was not designed to quantitatively assess effects on mood, during the interviews, two out of three subjects who received the highest dose (1440 mg) of AV-101 voluntarily acknowledged positive effects on their mood. Similar comments were not made by any of the 18 placebo group subjects.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Phase 1b Study</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Phase 1b clinical study was conducted as a single-site, dose-escalating study to evaluate the safety, tolerability, and PK of multiple doses of AV-101 administered daily in healthy volunteers. The antihyperalgesic effect of AV-101 on capsaicin-induced hyperalgesia was also assessed. Subjects were sequentially enrolled into one of three cohorts (360 mg, 1,080 mg, and 1,440 mg) and were randomized to AV-101 or placebo at a 12:4 (AV-101 to placebo) ratio. Subjects were dosed for 14 consecutive days. Each subject was given a paper diary and instructed to record daily dose administration, concomitant medications, and AEs during the 14-day treatment period.</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this study, the minimum toxic dose was to be (i) the dose at which a drug-related SAE occurred in an AV-101–treated subject, or (ii) the dose at which a severe AE that warranted stopping the study, as determined by the investigator and medical monitor, occurred in an AV-101–treated subject within a cohort. The minimum toxic dose was not reached in this study.</w:t>
      </w:r>
    </w:p>
    <w:p>
      <w:pPr>
        <w:spacing w:after="0" w:line="1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 total of 40 AEs were reported by 24 of 37 (64.9%) subjects receiving AV-101, and 17 AEs were reported by 10 of 13 (76.9%) subject receiving placebo.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 and no SAEs were reported.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6" w:name="page77"/>
    <w:bookmarkEnd w:id="7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majority of the reported AEs were nervous system disorders (23 subjects, 46% of subjects) and gastrointestinal disorders (seven subjects, 14.0%). The remaining AEs were classified as eye disorders (three subjects, 6.0%); psychiatric disorders (three subjects, 6.0%); respiratory, thoracic, and mediastinal disorders (three subjects, 6.0%); skin and subcutaneous tissue disorders (three subjects, 6.0%); general disorders and administration site conditions (two subjects, 4.0%); cardiac disorders one subject, 2.0%); infections and infestations (one subject, 2.0%); musculoskeletal and connective tissue disorders (one subject, 2.0%); and renal disorders (one subject, 2.0%).</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distribution of AEs by System Organ Class was similar among the cohorts with the exception of headaches and gastrointestinal disorders. Eight of the 18 (44.4%) reported headaches were in the placebo group, 6 (33.3%) were in the 1,080-mg group, three (16.7%) were in the 1,440-mg group, and one (5.6%) was in the 360-mg group. Three (42.9%) of the seven reported gastrointestinal disorders were in the 360-mg group, two (28.6%) were in the placebo group, one (14.3%) was in the 1,080-mg group, and one (14.3%) was in the 1,440-mg group.</w:t>
      </w:r>
    </w:p>
    <w:p>
      <w:pPr>
        <w:spacing w:after="0" w:line="1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determination of the relationship of the AE to the study drug was made when the data were unblinded. Ten of the 15 AEs (66.7%) that occurred in the 360-mg AV-101 group, 10 of the 14 AEs (71.4%) that occurred in the 1,040-mg AV-101 group, seven of the 10 AEs (70.0%) that occurred in the 1,440-mg AV-101 group, and 13 of the 17 AEs (76.5%) that occurred in the placebo group were determined to be possibly related to study drug. One (5.9%) AE in the placebo group was probably related to study drug (rash around neck). Of the 57 reported AEs, 49 (85.9%) were of mild intensity and eight (14.0%) were of moderate intensity. There were two moderate intensity AEs in the 360-mg AV-101 group; one was unrelated pain in the right foot, and one was a possibly related headache. All other moderate AEs occurred in the placebo group and included nausea or vomiting (two AEs), headache (two AEs), and rash around the neck (one AE). No SAEs were reported.</w:t>
      </w:r>
    </w:p>
    <w:p>
      <w:pPr>
        <w:spacing w:after="0" w:line="20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Even though this Phase 1b safety study was not designed to quantitatively assess effects on mood, during the interviews certain subjects who received 360, 1080, and 1440 mg of AV-101, voluntarily acknowledged positive effects on mood. Similar comments were not made by any of the placebo-group subjects.</w:t>
      </w:r>
    </w:p>
    <w:p>
      <w:pPr>
        <w:spacing w:after="0" w:line="13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PK of AV-101 was fully characterized across the range of doses in this Phase 1b study. Plasma concentration-time profiles obtained for 4-Cl-KYN (AV-101) and 7-Cl-KYNA following 14 daily oral administrations of 360, 1,080, or 1,440 mg were consistent with rapid absorption of the oral dose and first-order elimination of both analytes, with evidence of multi-compartment kinetics, particularly for the metabolite 7-Cl-KYNA.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VistaStem Therapeutics</w:t>
      </w:r>
    </w:p>
    <w:p>
      <w:pPr>
        <w:spacing w:after="0" w:line="2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We used our hPSC-derived cardiomyocytes (human heart cells) to develop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bioassay system for predicting heart toxicity of drug rescue NCEs. We believe</w:t>
      </w:r>
      <w:r>
        <w:rPr>
          <w:rFonts w:ascii="Arial" w:cs="Arial" w:eastAsia="Arial" w:hAnsi="Arial"/>
          <w:sz w:val="16"/>
          <w:szCs w:val="16"/>
          <w:i w:val="1"/>
          <w:iCs w:val="1"/>
          <w:color w:val="auto"/>
        </w:rPr>
        <w:t xml:space="preserve"> CardioSafe </w:t>
      </w:r>
      <w:r>
        <w:rPr>
          <w:rFonts w:ascii="Arial" w:cs="Arial" w:eastAsia="Arial" w:hAnsi="Arial"/>
          <w:sz w:val="16"/>
          <w:szCs w:val="16"/>
          <w:color w:val="auto"/>
        </w:rPr>
        <w:t>3D is more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clinically predictive than the hERG assay, which currently is the only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safety assay required by FDA guidelines, and provides us with new generation human cell-based technology to identify and evaluate drug rescue candidates and develop drug rescue NCEs.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Scientific Background</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7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Human pluripotent stem cells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6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Human pluripotent stem cells are either embryonic stem cells (</w:t>
      </w:r>
      <w:r>
        <w:rPr>
          <w:rFonts w:ascii="Arial" w:cs="Arial" w:eastAsia="Arial" w:hAnsi="Arial"/>
          <w:sz w:val="16"/>
          <w:szCs w:val="16"/>
          <w:i w:val="1"/>
          <w:iCs w:val="1"/>
          <w:color w:val="auto"/>
        </w:rPr>
        <w:t>hESCs</w:t>
      </w:r>
      <w:r>
        <w:rPr>
          <w:rFonts w:ascii="Arial" w:cs="Arial" w:eastAsia="Arial" w:hAnsi="Arial"/>
          <w:sz w:val="16"/>
          <w:szCs w:val="16"/>
          <w:color w:val="auto"/>
        </w:rPr>
        <w:t>) or induced pluripotent stem cells (</w:t>
      </w:r>
      <w:r>
        <w:rPr>
          <w:rFonts w:ascii="Arial" w:cs="Arial" w:eastAsia="Arial" w:hAnsi="Arial"/>
          <w:sz w:val="16"/>
          <w:szCs w:val="16"/>
          <w:i w:val="1"/>
          <w:iCs w:val="1"/>
          <w:color w:val="auto"/>
        </w:rPr>
        <w:t>iPSCs</w:t>
      </w:r>
      <w:r>
        <w:rPr>
          <w:rFonts w:ascii="Arial" w:cs="Arial" w:eastAsia="Arial" w:hAnsi="Arial"/>
          <w:sz w:val="16"/>
          <w:szCs w:val="16"/>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multiple types of these mature cells as the foundation to design and develop novel, customized bioassay systems to test the safety and efficacy of NCEs </w:t>
      </w:r>
      <w:r>
        <w:rPr>
          <w:rFonts w:ascii="Arial" w:cs="Arial" w:eastAsia="Arial" w:hAnsi="Arial"/>
          <w:sz w:val="16"/>
          <w:szCs w:val="16"/>
          <w:i w:val="1"/>
          <w:iCs w:val="1"/>
          <w:color w:val="auto"/>
        </w:rPr>
        <w:t>in vitro</w:t>
      </w:r>
      <w:r>
        <w:rPr>
          <w:rFonts w:ascii="Arial" w:cs="Arial" w:eastAsia="Arial" w:hAnsi="Arial"/>
          <w:sz w:val="16"/>
          <w:szCs w:val="16"/>
          <w:color w:val="auto"/>
        </w:rPr>
        <w:t>. These cells also have potential for diverse regenerative medicine applications.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Human Embryonic Stem Cells</w:t>
      </w:r>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According to the NIH, hESCs are derived from excess embryos that develop from eggs that have been fertilized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fertilization (</w:t>
      </w:r>
      <w:r>
        <w:rPr>
          <w:rFonts w:ascii="Arial" w:cs="Arial" w:eastAsia="Arial" w:hAnsi="Arial"/>
          <w:sz w:val="18"/>
          <w:szCs w:val="18"/>
          <w:i w:val="1"/>
          <w:iCs w:val="1"/>
          <w:color w:val="auto"/>
        </w:rPr>
        <w:t>IVF</w:t>
      </w:r>
      <w:r>
        <w:rPr>
          <w:rFonts w:ascii="Arial" w:cs="Arial" w:eastAsia="Arial" w:hAnsi="Arial"/>
          <w:sz w:val="18"/>
          <w:szCs w:val="18"/>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Human ESCs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Induced Pluripotent Stem Cells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It is also possible to obtain hPSC lines from individuals without the use of embryos. Induced PSCs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the biology and differentiation capabilities of hESCs and iPSCs are likely to be comparable for most if not all purposes. There are, however, specific situations in which we may prefer to use one or the other type of hPSC. For example, we may prefer to use iPSCs for potential drug discovery applications based on the relative ease of generating iPSCs from:</w:t>
      </w:r>
    </w:p>
    <w:p>
      <w:pPr>
        <w:spacing w:after="0" w:line="19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individuals with specific inheritable diseases and conditions that predispose the individual to respond differently to drugs; or</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individuals with specific variations in genes that directly affect drug levels in the body or alter the manner or efficiency of their metabolism, breakdown and/or elimination of drugs.</w:t>
      </w:r>
    </w:p>
    <w:p>
      <w:pPr>
        <w:spacing w:after="0" w:line="18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CardioSafe </w:t>
      </w:r>
      <w:r>
        <w:rPr>
          <w:rFonts w:ascii="Arial" w:cs="Arial" w:eastAsia="Arial" w:hAnsi="Arial"/>
          <w:sz w:val="18"/>
          <w:szCs w:val="18"/>
          <w:color w:val="auto"/>
        </w:rPr>
        <w:t>3D</w:t>
      </w:r>
    </w:p>
    <w:p>
      <w:pPr>
        <w:spacing w:after="0" w:line="225"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 xml:space="preserve">The limitations of current preclinical drug testing systems used by pharmaceutical companies and others contribute to the high failure rate of NCEs. Incorporating novel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using hPSC-derived cardiomyocytes (</w:t>
      </w:r>
      <w:r>
        <w:rPr>
          <w:rFonts w:ascii="Arial" w:cs="Arial" w:eastAsia="Arial" w:hAnsi="Arial"/>
          <w:sz w:val="16"/>
          <w:szCs w:val="16"/>
          <w:i w:val="1"/>
          <w:iCs w:val="1"/>
          <w:color w:val="auto"/>
        </w:rPr>
        <w:t>hPSC-CMs</w:t>
      </w:r>
      <w:r>
        <w:rPr>
          <w:rFonts w:ascii="Arial" w:cs="Arial" w:eastAsia="Arial" w:hAnsi="Arial"/>
          <w:sz w:val="16"/>
          <w:szCs w:val="16"/>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61"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 xml:space="preserve">We produce fully functional, non-transformed hPSC-CMs at a high level of purity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cardiac toxicity assays screening for both direct cardiomyocyte cytotoxicity and arrhythmogenesis (or development of irregular beating patterns). We believe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is sensitive, stable, reproducible and capable of generating data enabling a more accurate prediction of the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cardiac effects of NCEs than is possible with existing preclinical testing systems, particularly the hERG assay.</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Limited Clinical Predictivity of the FDA-Required hERG Assay vs. Broad Clinical Predictivity of CardioSafe 3D</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hERG assay, which uses either transformed hamster ovary cells or human kidney cells, is currently the only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safety assay required by FDA Guidelines (</w:t>
      </w:r>
      <w:r>
        <w:rPr>
          <w:rFonts w:ascii="Arial" w:cs="Arial" w:eastAsia="Arial" w:hAnsi="Arial"/>
          <w:sz w:val="16"/>
          <w:szCs w:val="16"/>
          <w:i w:val="1"/>
          <w:iCs w:val="1"/>
          <w:color w:val="auto"/>
        </w:rPr>
        <w:t>ICH57B</w:t>
      </w:r>
      <w:r>
        <w:rPr>
          <w:rFonts w:ascii="Arial" w:cs="Arial" w:eastAsia="Arial" w:hAnsi="Arial"/>
          <w:sz w:val="16"/>
          <w:szCs w:val="16"/>
          <w:color w:val="auto"/>
        </w:rPr>
        <w:t>).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 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7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 xml:space="preserve">We have developed and validated two clinically relevant functional components of our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consists of a suite of five fluorescence or luminescence based high-throughput hPSC-CM assays. These five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assays measure the following important drug-induced cardiac biological effects:</w:t>
      </w:r>
    </w:p>
    <w:p>
      <w:pPr>
        <w:spacing w:after="0" w:line="197" w:lineRule="exact"/>
        <w:rPr>
          <w:sz w:val="20"/>
          <w:szCs w:val="20"/>
          <w:color w:val="auto"/>
        </w:rPr>
      </w:pPr>
    </w:p>
    <w:p>
      <w:pPr>
        <w:ind w:left="340" w:hanging="210"/>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cell viability;</w:t>
      </w:r>
    </w:p>
    <w:p>
      <w:pPr>
        <w:spacing w:after="0" w:line="15" w:lineRule="exact"/>
        <w:rPr>
          <w:rFonts w:ascii="Arial" w:cs="Arial" w:eastAsia="Arial" w:hAnsi="Arial"/>
          <w:sz w:val="18"/>
          <w:szCs w:val="18"/>
          <w:color w:val="auto"/>
        </w:rPr>
      </w:pPr>
    </w:p>
    <w:p>
      <w:pPr>
        <w:ind w:left="340" w:hanging="210"/>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apoptosis;</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mitochondrial membrane depolarization;</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oxidative stress; and</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energy metabolism disruption.</w:t>
      </w:r>
    </w:p>
    <w:p>
      <w:pPr>
        <w:spacing w:after="0" w:line="219"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 xml:space="preserve">These five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biological assays were correlated to reported clinical results using reference compounds known to be cardiotoxic in humans versus compounds known to be safe in humans. These reference compounds were representative of eight different drug classes, including:</w:t>
      </w:r>
    </w:p>
    <w:p>
      <w:pPr>
        <w:spacing w:after="0" w:line="139" w:lineRule="exact"/>
        <w:rPr>
          <w:sz w:val="20"/>
          <w:szCs w:val="20"/>
          <w:color w:val="auto"/>
        </w:rPr>
      </w:pPr>
    </w:p>
    <w:p>
      <w:pPr>
        <w:ind w:left="340" w:hanging="210"/>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ion channel blockers: amiodarone, nifedipine;</w:t>
      </w:r>
    </w:p>
    <w:p>
      <w:pPr>
        <w:spacing w:after="0" w:line="15" w:lineRule="exact"/>
        <w:rPr>
          <w:rFonts w:ascii="Arial" w:cs="Arial" w:eastAsia="Arial" w:hAnsi="Arial"/>
          <w:sz w:val="18"/>
          <w:szCs w:val="18"/>
          <w:color w:val="auto"/>
        </w:rPr>
      </w:pPr>
    </w:p>
    <w:p>
      <w:pPr>
        <w:ind w:left="340" w:hanging="210"/>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hERG trafficking blockers: pentamidine, amoxapine;</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a-1 adrenoreceptors: doxazosin;</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protein and DNA synthesis inhibitors: emetine;</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DNA intercalating agents: doxorubicin;</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antibiotics: ampicillin, cefazolin;</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NSAID: aspirin; and</w:t>
      </w:r>
    </w:p>
    <w:p>
      <w:pPr>
        <w:spacing w:after="0" w:line="9" w:lineRule="exact"/>
        <w:rPr>
          <w:rFonts w:ascii="Arial" w:cs="Arial" w:eastAsia="Arial" w:hAnsi="Arial"/>
          <w:sz w:val="18"/>
          <w:szCs w:val="18"/>
          <w:color w:val="auto"/>
        </w:rPr>
      </w:pPr>
    </w:p>
    <w:p>
      <w:pPr>
        <w:ind w:left="340" w:hanging="210"/>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kinase inhibitors: staurosporine.</w:t>
      </w:r>
    </w:p>
    <w:p>
      <w:pPr>
        <w:spacing w:after="0" w:line="219"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 xml:space="preserve">This suite of five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provides valuable and more comprehensive bioanalytical tools for both assessing the effects of pharmaceutical compounds on cardiac cytotoxicity than the hERG assay and can elucidate for us and our strategic partners specific mechanisms of cardiac toxicity, thereby laying what we believe is a novel and advantageous foundation for our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drug rescue NCE programs.</w:t>
      </w:r>
    </w:p>
    <w:p>
      <w:pPr>
        <w:spacing w:after="0" w:line="15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The other component of our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assay system is a sensitive and reliable medium throughput multi-electrode array (</w:t>
      </w:r>
      <w:r>
        <w:rPr>
          <w:rFonts w:ascii="Arial" w:cs="Arial" w:eastAsia="Arial" w:hAnsi="Arial"/>
          <w:sz w:val="16"/>
          <w:szCs w:val="16"/>
          <w:i w:val="1"/>
          <w:iCs w:val="1"/>
          <w:color w:val="auto"/>
        </w:rPr>
        <w:t>MEA</w:t>
      </w:r>
      <w:r>
        <w:rPr>
          <w:rFonts w:ascii="Arial" w:cs="Arial" w:eastAsia="Arial" w:hAnsi="Arial"/>
          <w:sz w:val="16"/>
          <w:szCs w:val="16"/>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has been validated with reported clinical results involving drugs with known toxic or non-toxic cardiac effects in humans.</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 xml:space="preserve">We have validated that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is capable of assessing important electrophysiological activity of drug rescue NCEs, including spike amplitude, beat period and field potential duration. Our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MEA assay, which we refer to as </w:t>
      </w:r>
      <w:r>
        <w:rPr>
          <w:rFonts w:ascii="Arial" w:cs="Arial" w:eastAsia="Arial" w:hAnsi="Arial"/>
          <w:sz w:val="15"/>
          <w:szCs w:val="15"/>
          <w:i w:val="1"/>
          <w:iCs w:val="1"/>
          <w:color w:val="auto"/>
        </w:rPr>
        <w:t>ECG in a test tube</w:t>
      </w:r>
      <w:r>
        <w:rPr>
          <w:rFonts w:ascii="Arial" w:cs="Arial" w:eastAsia="Arial" w:hAnsi="Arial"/>
          <w:sz w:val="15"/>
          <w:szCs w:val="15"/>
          <w:color w:val="auto"/>
        </w:rPr>
        <w:t xml:space="preserve">™, was reproducible and consistent with the known human cardiac effects of all compounds studied, based on the mechanisms of action and dosage of the compounds. For instance, by using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we were able to distinguish between the arrhythmogenic cardiac effects of terfenadine (Seldane™), withdrawn by the FDA due to cardiotoxicity, and the cardiac effects of the closely structurally-related compound, fexofenadine (Allegra™), a safe variant of terfenadine, which remains on the market. We believe our correlation data demonstrate that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provides valuable and more comprehensive bioanalytical tools for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cardiac safety screening than the hERG assay. We believe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will contribute to our efficient and rapid identification of novel, potentially safer proprietary NCEs in our drug rescue programs.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Using CardioSafe 3D to Develop Drug Rescue NCEs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Our drug rescue activities are focused on producing for our internal pipeline proprietary, safer variants of still-promising NCEs previously discovered, optimized and tested for efficacy by pharmaceutical companies and others but terminated before FDA approval due to unexpected heart toxicity or liver toxicity. Our current drug rescue strategy involves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assess the toxicity that caused certain NCEs available in the public to be terminated, and use that biological insight to produce and develop a new, potentially safer, and proprietary NCEs for our pipeline.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pacing w:after="0" w:line="17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By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enhance our understanding of the cardiac liability profile of NCEs, biological insight not previously available when the NCEs were originally discovered, optimized for efficacy and developed, we believe we can demonstrate preclinical proof-of-concept (</w:t>
      </w:r>
      <w:r>
        <w:rPr>
          <w:rFonts w:ascii="Arial" w:cs="Arial" w:eastAsia="Arial" w:hAnsi="Arial"/>
          <w:sz w:val="16"/>
          <w:szCs w:val="16"/>
          <w:i w:val="1"/>
          <w:iCs w:val="1"/>
          <w:color w:val="auto"/>
        </w:rPr>
        <w:t>POC</w:t>
      </w:r>
      <w:r>
        <w:rPr>
          <w:rFonts w:ascii="Arial" w:cs="Arial" w:eastAsia="Arial" w:hAnsi="Arial"/>
          <w:sz w:val="16"/>
          <w:szCs w:val="16"/>
          <w:color w:val="auto"/>
        </w:rPr>
        <w:t xml:space="preserve">) as to the efficacy and safety of new, safer drug rescue NCEs in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as well as in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goal in each drug rescue program will be to produce a proprietary drug rescue NCE and establish its preclinical POC, using standard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in vivo </w:t>
      </w:r>
      <w:r>
        <w:rPr>
          <w:rFonts w:ascii="Arial" w:cs="Arial" w:eastAsia="Arial" w:hAnsi="Arial"/>
          <w:sz w:val="18"/>
          <w:szCs w:val="18"/>
          <w:color w:val="auto"/>
        </w:rPr>
        <w:t>efficacy and safety models, as well as</w:t>
      </w:r>
      <w:r>
        <w:rPr>
          <w:rFonts w:ascii="Arial" w:cs="Arial" w:eastAsia="Arial" w:hAnsi="Arial"/>
          <w:sz w:val="18"/>
          <w:szCs w:val="18"/>
          <w:i w:val="1"/>
          <w:iCs w:val="1"/>
          <w:color w:val="auto"/>
        </w:rPr>
        <w:t xml:space="preserve"> CardioSafe </w:t>
      </w:r>
      <w:r>
        <w:rPr>
          <w:rFonts w:ascii="Arial" w:cs="Arial" w:eastAsia="Arial" w:hAnsi="Arial"/>
          <w:sz w:val="18"/>
          <w:szCs w:val="18"/>
          <w:color w:val="auto"/>
        </w:rPr>
        <w:t>3D. In this context, POC means that the lead drug rescue NCE, as compared to the original, previously-terminated NCE</w:t>
      </w:r>
      <w:r>
        <w:rPr>
          <w:rFonts w:ascii="Arial" w:cs="Arial" w:eastAsia="Arial" w:hAnsi="Arial"/>
          <w:sz w:val="18"/>
          <w:szCs w:val="18"/>
          <w:i w:val="1"/>
          <w:iCs w:val="1"/>
          <w:color w:val="auto"/>
        </w:rPr>
        <w:t>,</w:t>
      </w:r>
      <w:r>
        <w:rPr>
          <w:rFonts w:ascii="Arial" w:cs="Arial" w:eastAsia="Arial" w:hAnsi="Arial"/>
          <w:sz w:val="18"/>
          <w:szCs w:val="18"/>
          <w:color w:val="auto"/>
        </w:rPr>
        <w:t xml:space="preserve"> demonstrates both (i) equal or superior efficacy in the same, or a similar,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efficacy models used by the initial developer of the previously-terminated NCE before it was terminated for safety reasons, and (ii) significant reduction of concentration dependent cardiotoxicity in </w:t>
      </w:r>
      <w:r>
        <w:rPr>
          <w:rFonts w:ascii="Arial" w:cs="Arial" w:eastAsia="Arial" w:hAnsi="Arial"/>
          <w:sz w:val="18"/>
          <w:szCs w:val="18"/>
          <w:i w:val="1"/>
          <w:iCs w:val="1"/>
          <w:color w:val="auto"/>
        </w:rPr>
        <w:t xml:space="preserve">CardioSafe </w:t>
      </w:r>
      <w:r>
        <w:rPr>
          <w:rFonts w:ascii="Arial" w:cs="Arial" w:eastAsia="Arial" w:hAnsi="Arial"/>
          <w:sz w:val="18"/>
          <w:szCs w:val="18"/>
          <w:color w:val="auto"/>
        </w:rPr>
        <w:t>3D.</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Regenerative Medicine (RM)</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Although we believe the best and most valuable near term commercial application of our stem cell technology platform is for small molecule drug rescue, we also believe stem cell technology-based RM has the potential to transform healthcare in the U.S. over the next decade by providing new approaches for treating the fundamental mechanisms of disease. We currently intend to establish strategic collaborations to leverage our stem cell technology platform, our expertise in human biology, differentiation of human pluripotent stem cells to develop functional adult human cells and tissues involved in human disease, including blood, bone, cartilage, heart and liver cells, and our expertise in designing and developing novel, customized biological assay systems with the cells we produce, for RM purposes. In December 2016, we exclusively sublicensed to BlueRock Therapeutics LP, a next generation RM company established by Bayer AG and Versant Ventures, rights to certain proprietary technologies relating to the production of cardiac stem cells for the treatment of heart disease. In a manner similar to our exclusive sublicense agreement with BlueRock Therapeutics, we may pursue additional RM collaborations or licensing transactions involving blood, cartilage, and/or liver cells derived from hPSCs for (A) cell-based therapy, (B) cell repair therapy, and/or (C) tissue engineering.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Transactions and Relationships</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Strategic collaborations are an important cornerstone of our corporate development strategy. We believe that our highly selective outsourcing of certain research and development activities gives us flexible access to chemistry broad range of research and development capabilities, manufacturing, clinical development and regulatory expertise at a lower overall cost than developing and maintaining such expertise internally on a full-time basis. In particular, we contract with third parties for certain manufacturing, non-clinical development, clinical development and regulatory affairs support. The following are among our current third-party collaborators: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Cato Research Ltd.</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Cato Research Ltd. is a CRO with international resources dedicated to helping biotechnology and pharmaceutical companies navigate the regulatory approval process in order to bring new biologics, drugs and medical devices to markets throughout the world. Cato Research is one of our CROs for development of AV-101, currently focused on all chemistry, manufacturing and controls (</w:t>
      </w:r>
      <w:r>
        <w:rPr>
          <w:rFonts w:ascii="Arial" w:cs="Arial" w:eastAsia="Arial" w:hAnsi="Arial"/>
          <w:sz w:val="16"/>
          <w:szCs w:val="16"/>
          <w:i w:val="1"/>
          <w:iCs w:val="1"/>
          <w:color w:val="auto"/>
        </w:rPr>
        <w:t>CMC</w:t>
      </w:r>
      <w:r>
        <w:rPr>
          <w:rFonts w:ascii="Arial" w:cs="Arial" w:eastAsia="Arial" w:hAnsi="Arial"/>
          <w:sz w:val="16"/>
          <w:szCs w:val="16"/>
          <w:color w:val="auto"/>
        </w:rPr>
        <w:t>) aspects of our Phase 2 development program in MDD. Cato Research’s senior management team, including co-founders Allen Cato, M.D., Ph.D. and Lynda Sutton, have over 30 years of experience interacting with the FDA and international regulatory agencies and a successful track record of product approvals.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Cardiac Safety Research Consortium</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joined the Cardiac Safety Research Consortium (</w:t>
      </w:r>
      <w:r>
        <w:rPr>
          <w:rFonts w:ascii="Arial" w:cs="Arial" w:eastAsia="Arial" w:hAnsi="Arial"/>
          <w:sz w:val="16"/>
          <w:szCs w:val="16"/>
          <w:i w:val="1"/>
          <w:iCs w:val="1"/>
          <w:color w:val="auto"/>
        </w:rPr>
        <w:t>CSRC</w:t>
      </w:r>
      <w:r>
        <w:rPr>
          <w:rFonts w:ascii="Arial" w:cs="Arial" w:eastAsia="Arial" w:hAnsi="Arial"/>
          <w:sz w:val="16"/>
          <w:szCs w:val="16"/>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0" w:name="page81"/>
    <w:bookmarkEnd w:id="8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Cardiac Safety Technical Committee of the Health and Environmental Sciences Institute – FDA’s CIPA Initiative</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have also joined the Cardiac Safety Technical Committee, Cardiac Stem Cell Working Group, and Proarrhythmia Working Group of the Health and Environmental Sciences Institute (</w:t>
      </w:r>
      <w:r>
        <w:rPr>
          <w:rFonts w:ascii="Arial" w:cs="Arial" w:eastAsia="Arial" w:hAnsi="Arial"/>
          <w:sz w:val="16"/>
          <w:szCs w:val="16"/>
          <w:i w:val="1"/>
          <w:iCs w:val="1"/>
          <w:color w:val="auto"/>
        </w:rPr>
        <w:t>HESI</w:t>
      </w:r>
      <w:r>
        <w:rPr>
          <w:rFonts w:ascii="Arial" w:cs="Arial" w:eastAsia="Arial" w:hAnsi="Arial"/>
          <w:sz w:val="16"/>
          <w:szCs w:val="16"/>
          <w:color w:val="auto"/>
        </w:rPr>
        <w:t>) to help advance, among other goals, the FDA’s Comprehensive In 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6"/>
          <w:szCs w:val="16"/>
          <w:i w:val="1"/>
          <w:iCs w:val="1"/>
          <w:color w:val="auto"/>
        </w:rPr>
        <w:t>ILSI</w:t>
      </w:r>
      <w:r>
        <w:rPr>
          <w:rFonts w:ascii="Arial" w:cs="Arial" w:eastAsia="Arial" w:hAnsi="Arial"/>
          <w:sz w:val="16"/>
          <w:szCs w:val="16"/>
          <w:color w:val="auto"/>
        </w:rPr>
        <w:t>), whose members include most of the world’s largest pharmaceutical and biotechnology companies.</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Centre for Commercialization of Regenerative Medicine</w:t>
      </w:r>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Toronto-based Centre for Commercialization of Regenerative Medicine (</w:t>
      </w:r>
      <w:r>
        <w:rPr>
          <w:rFonts w:ascii="Arial" w:cs="Arial" w:eastAsia="Arial" w:hAnsi="Arial"/>
          <w:sz w:val="16"/>
          <w:szCs w:val="16"/>
          <w:i w:val="1"/>
          <w:iCs w:val="1"/>
          <w:color w:val="auto"/>
        </w:rPr>
        <w:t>CCRM</w:t>
      </w:r>
      <w:r>
        <w:rPr>
          <w:rFonts w:ascii="Arial" w:cs="Arial" w:eastAsia="Arial" w:hAnsi="Arial"/>
          <w:sz w:val="16"/>
          <w:szCs w:val="16"/>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161"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We are a member of the CCRM’s Industry Consortium. Other members of CCRM’s Industry Consortium include Pfizer and GE Healthcare.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unique opportunities for expanding the commercial applications of our stem cell technology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Massachusetts General Hospital Clinical Trials Network and Institute</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Massachusetts General Hospital Clinical Trials Network and Institute (</w:t>
      </w:r>
      <w:r>
        <w:rPr>
          <w:rFonts w:ascii="Arial" w:cs="Arial" w:eastAsia="Arial" w:hAnsi="Arial"/>
          <w:sz w:val="16"/>
          <w:szCs w:val="16"/>
          <w:i w:val="1"/>
          <w:iCs w:val="1"/>
          <w:color w:val="auto"/>
        </w:rPr>
        <w:t>CTNI</w:t>
      </w:r>
      <w:r>
        <w:rPr>
          <w:rFonts w:ascii="Arial" w:cs="Arial" w:eastAsia="Arial" w:hAnsi="Arial"/>
          <w:sz w:val="16"/>
          <w:szCs w:val="16"/>
          <w:color w:val="auto"/>
        </w:rPr>
        <w:t>) is an academic CRO, part of the Department of Psychiatry of the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a leader in academic scientific and clinical research in psychiatry. By exploring the brain science, genetics, and neurobiology of psychiatric disorders, the MGH CTNI has been instrumental in the development of novel treatments and surrogate markers of illness and therapeutic response. Its scientific and clinical research has been instrumental in defining the standards for the state-of-the-art practice of psychiatry. We are working with MGH CTNI, including its principals, Dr. Maurizio Fava and Dr. Thomas Laughren, in connection with the planning and execution of our AV-101 MDD Adjunctive Treatment Study. Dr. Fava is acknowledged as a world-renowned expert in depressive disorders and psychopharmacology. He is Director of the Division of Clinical Research of the MGH Research Institute, Executive Vice Chair, Department of Psychiatry, at MGH, and Executive Director of MGH CTNI. He will serve as Principal Investigator of the AV-101 MDD Phase 2 Adjunctive Treatment Study. Dr. Laughren is the former FDA Division Director, Division of Psychiatry Products, Center for Drug Evaluation and Research (</w:t>
      </w:r>
      <w:r>
        <w:rPr>
          <w:rFonts w:ascii="Arial" w:cs="Arial" w:eastAsia="Arial" w:hAnsi="Arial"/>
          <w:sz w:val="16"/>
          <w:szCs w:val="16"/>
          <w:i w:val="1"/>
          <w:iCs w:val="1"/>
          <w:color w:val="auto"/>
        </w:rPr>
        <w:t>CDER</w:t>
      </w:r>
      <w:r>
        <w:rPr>
          <w:rFonts w:ascii="Arial" w:cs="Arial" w:eastAsia="Arial" w:hAnsi="Arial"/>
          <w:sz w:val="16"/>
          <w:szCs w:val="16"/>
          <w:color w:val="auto"/>
        </w:rPr>
        <w:t>).</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United States National Institutes of Health</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Since our inception in 1998, the NIH has awarded us $11.3 million in non-dilutive research and development grants, including $2.3 million to support research and development of our stem cell technology and $8.8 million for non-clinical and Phase 1a and 1b clinical development of AV-101.</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United States National Institute of Mental Health</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NIMH, part of the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Our CRADA with the NIH provides for NIMH sponsorship of the ongoing NIMH AV-101 MDD Phase 2 Monotherapy Study, a study being fully funded by the NIH and is being conducted at the NIMH by Dr. Carlos Zarate, the NIMH’s Chief of Experimental Therapeutics &amp; Pathophysiology Branch and Section on Neurobiology and Treatment of Mood and Anxiety Disorders.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rely upon patents as a major component of our intellectual property portfolio, as is typical for development-stage, biopharmaceutical companies. In addition, from time to time, we enter into patent license agreements to acquire rights to intellectual property. We also rely, in part, on trade secrets for protection of some of our discoveries. We seek to protect our trade secrets by entering into confidentiality agreements with employees, consultants, collaborators and third parties. We also own several registered and common-law trademarks.</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 help protect our intellectual property rights, our employees, contractors and consultants also sign agreements in which they assign to us, for example, their interests in patents, trade secrets and copyrights arising from their work for us.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sponsor research with key scientists in academic institutions to advance or supplement our internal research and development activities and objectives. These sponsored research agreements generally provide us with an opportunity to negotiate a new license, or acquire a substantially prescribed license, to acquire intellectual property rights in the results of the sponsored research.</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AV-101</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AV-101 (</w:t>
      </w:r>
      <w:r>
        <w:rPr>
          <w:rFonts w:ascii="Arial" w:cs="Arial" w:eastAsia="Arial" w:hAnsi="Arial"/>
          <w:sz w:val="18"/>
          <w:szCs w:val="18"/>
          <w:i w:val="1"/>
          <w:iCs w:val="1"/>
          <w:color w:val="auto"/>
        </w:rPr>
        <w:t>4-Cl-KYN</w:t>
      </w:r>
      <w:r>
        <w:rPr>
          <w:rFonts w:ascii="Arial" w:cs="Arial" w:eastAsia="Arial" w:hAnsi="Arial"/>
          <w:sz w:val="18"/>
          <w:szCs w:val="18"/>
          <w:color w:val="auto"/>
        </w:rPr>
        <w:t>) is our oral CNS product candidate presently being investigated in the NIMH AV-101 MDD Phase 2 Monotherapy Study. Further, we are preparing to launch our AV-101 MDD Phase 2 Adjunctive Treatment Study to assess the safety and efficacy of AV-101 as a new generation adjunctive treatment of MDD in adult patients with an inadequate response to standard, FDA-approved antidepressants. We have developed a portfolio of intellectual property assets around AV-101, which involves patents, patent applications and trade secrets, primarily focused on depression. In addition, we plan to seek regulatory exclusivity to the use of AV-101, with emphasis on depression, as a central approach to protect the marketing of our product. This approach will complement certain of our AV-101 intellectual property rights.</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Although the compound 4-Cl-KYN, per se, is no longer patented, and certain of its formulations are in the public domain and thus are no longer protectable, as part of our strategy to seek and secure broad commercial exclusivity for AV-101, we have filed and are pursuing several patent applications in Europe, the U.S. and selected major markets. Several of these patent applications have already been granted or allowed, on both (i) certain novel therapeutic methods of use of AV-101, including depression, and (ii) certain novel methods of producing AV-101. In Europe, the European Patent Office (</w:t>
      </w:r>
      <w:r>
        <w:rPr>
          <w:rFonts w:ascii="Arial" w:cs="Arial" w:eastAsia="Arial" w:hAnsi="Arial"/>
          <w:sz w:val="18"/>
          <w:szCs w:val="18"/>
          <w:i w:val="1"/>
          <w:iCs w:val="1"/>
          <w:color w:val="auto"/>
        </w:rPr>
        <w:t>EPO</w:t>
      </w:r>
      <w:r>
        <w:rPr>
          <w:rFonts w:ascii="Arial" w:cs="Arial" w:eastAsia="Arial" w:hAnsi="Arial"/>
          <w:sz w:val="18"/>
          <w:szCs w:val="18"/>
          <w:color w:val="auto"/>
        </w:rPr>
        <w:t>) has granted our patent related to methods of treating depression with AV-101 and certain other neurological indications. In the U.S. and selected major markets, we are currently pursuing a counterpart AV-101 patent application similar to the patent granted by the EPO. The U.S. Patent and Trademark Office (</w:t>
      </w:r>
      <w:r>
        <w:rPr>
          <w:rFonts w:ascii="Arial" w:cs="Arial" w:eastAsia="Arial" w:hAnsi="Arial"/>
          <w:sz w:val="18"/>
          <w:szCs w:val="18"/>
          <w:i w:val="1"/>
          <w:iCs w:val="1"/>
          <w:color w:val="auto"/>
        </w:rPr>
        <w:t>USPTO</w:t>
      </w:r>
      <w:r>
        <w:rPr>
          <w:rFonts w:ascii="Arial" w:cs="Arial" w:eastAsia="Arial" w:hAnsi="Arial"/>
          <w:sz w:val="18"/>
          <w:szCs w:val="18"/>
          <w:color w:val="auto"/>
        </w:rPr>
        <w:t>) has not yet allowed the counterpart application filed in the U.S. However, we believe that our counterpart patent applications in the USPTO and other countries ultimately will be granted.</w:t>
      </w:r>
    </w:p>
    <w:p>
      <w:pPr>
        <w:spacing w:after="0" w:line="1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Europe, the U.S. and selected major markets, we are also prosecuting patent applications related to novel methods of producing AV-101. Both the USPTO and Chinese patent office, have granted patents regarding our manufacturing process for AV-101. The EPO has not yet allowed the counterpart application filed in Europe. However, just as our application at the USPTO was sufficient to obtain an allowed patent in the U.S., we believe our counterpart patent application at the EPO ultimately will be granted.</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noted elsewhere in this prospectus, we are currently involved with the NIMH AV-101 MDD Phase 2 Monotherapy Study being conducted by the NIMH. As part of our analysis of the study results, we will be evaluating the possibility of seeking additional patent protection in Europe, the U.S. and selected major markets based on the clinical data and on clinical observations.</w:t>
      </w:r>
    </w:p>
    <w:p>
      <w:pPr>
        <w:spacing w:after="0" w:line="19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mentioned above, a major component of our plans to obtain market exclusivity for approved therapeutic indications for AV-101 includes the use of New Drug Product Exclusivity provided by the FDA under section 505(c)(3)(E) and 505(j)(5)(F) of the Federal Food, Drug, and Cosmetic Act (</w:t>
      </w:r>
      <w:r>
        <w:rPr>
          <w:rFonts w:ascii="Arial" w:cs="Arial" w:eastAsia="Arial" w:hAnsi="Arial"/>
          <w:sz w:val="16"/>
          <w:szCs w:val="16"/>
          <w:i w:val="1"/>
          <w:iCs w:val="1"/>
          <w:color w:val="auto"/>
        </w:rPr>
        <w:t>FDCA</w:t>
      </w:r>
      <w:r>
        <w:rPr>
          <w:rFonts w:ascii="Arial" w:cs="Arial" w:eastAsia="Arial" w:hAnsi="Arial"/>
          <w:sz w:val="16"/>
          <w:szCs w:val="16"/>
          <w:color w:val="auto"/>
        </w:rPr>
        <w:t>). The FDA’s New Drug Product Exclusivity is available for NCEs such as AV-101, which are innovative and have not been previously approved by the FDA, either alone or in combination with other drugs. The FDA’s New Drug Product Exclusivity protection provides the holder of an FDA-approved NDA with up to five years of protection from competition in the U.S. marketplace for the innovation represented by its approved new drug product. This protection precludes FDA approval of certain generic drug applications under section 505(b)(2) of the FDCA, as well as certain abbreviated new drug applications (</w:t>
      </w:r>
      <w:r>
        <w:rPr>
          <w:rFonts w:ascii="Arial" w:cs="Arial" w:eastAsia="Arial" w:hAnsi="Arial"/>
          <w:sz w:val="16"/>
          <w:szCs w:val="16"/>
          <w:i w:val="1"/>
          <w:iCs w:val="1"/>
          <w:color w:val="auto"/>
        </w:rPr>
        <w:t>ANDAs</w:t>
      </w:r>
      <w:r>
        <w:rPr>
          <w:rFonts w:ascii="Arial" w:cs="Arial" w:eastAsia="Arial" w:hAnsi="Arial"/>
          <w:sz w:val="16"/>
          <w:szCs w:val="16"/>
          <w:color w:val="auto"/>
        </w:rPr>
        <w:t>), during the up to five-year exclusivity period, except that such applications may be submitted after four years if they contain a certification of patent invalidity or non-infringement. As and if applicable, we will pursue similar types of regulatory exclusivity in other regions, such as Europe, and in certain other countries.</w:t>
      </w:r>
    </w:p>
    <w:p>
      <w:pPr>
        <w:spacing w:after="0" w:line="17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There is no guarantee that we will be successful in obtaining any additional patents related to AV-101 in Europe, the U.S., or any other country, or that if we are successful in obtaining any such patents that we would also be successful in protecting those patents against challengers or in enforcing them to stop infringement. Outside the U.S. and Europe, we are pursuing patent rights in a limited number of countries that we believe are the major markets for pharmaceuticals where having patent rights will substantially facilitate commercialization of AV-101.</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Stem Cell Technology</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have obtained and are pursuing intellectual property rights to several stem cell technologies through a combination of our own patent properties, exclusive and non-exclusive patent and technology licenses, and participation in sponsored research relationships. Generally, our stem cell intellectual property portfolio relates to drug development and drug discovery. It also relates to novel production systems of enriched populations of certain cell types, such as cardiomyocytes and the use of various cell types that have been differentiated from pluripotent stem cells for those and other purposes including cell-based therapy. Additionally, we maintain certain trade secrets regarding stem cell technology, several of which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Overall, our stem cell patent portfolio includes several issued U.S. patents as well as several foreign counterpart patents in countries of commercial interest to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portfolio also includes several patent applications pending in the U.S. and in various foreign countries.</w:t>
      </w:r>
    </w:p>
    <w:p>
      <w:pPr>
        <w:spacing w:after="0" w:line="21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patent properties in these families are based on discoveries from our internal research and development activities, research that has sponsored at various academic institutions, as well as from patent license agreements signed with the University Health Network (Toronto) and the Mount Sinai School of Medicine.</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These license agreements generally require us to pay nominal annual license fees, and, in certain cases, patent prosecution and maintenance fees, and royalty payments that vary based on product sales and services that are covered by the licensed patent rights, as well fees for sublicensing. As noted above in the context of AV-101 intellectual property, there is no guarantee that we will successfully obtain patents in the countries in which we are pursuing patent rights or that we would be successful in enforcing granted patent rights against infringers.</w:t>
      </w:r>
    </w:p>
    <w:p>
      <w:pPr>
        <w:spacing w:after="0" w:line="19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December 2016, we exclusively sublicensed to BlueRock Therapeutics, a stem cell research company recently established by Bayer AG and Versant Ventures, rights to certain proprietary technologies relating to the production of cardiac stem cells for the treatment of heart disease.</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Trademarks</w:t>
      </w:r>
    </w:p>
    <w:p>
      <w:pPr>
        <w:spacing w:after="0" w:line="225"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We have a federal trademark registration for the trademark “VISTAGEN”. Corresponding trademarks have been registered in the European Union and in Switzerland. We also use certain other trademarks in connection with our customized in vitro bioassay systems, such as CardioSafe 3D™.</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 Government Rights</w:t>
      </w:r>
    </w:p>
    <w:p>
      <w:pPr>
        <w:spacing w:after="0" w:line="225"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have received federal funding from both the NIH and the NIMH to support research and development of inventions disclosed in our patent applications relating to AV-101 and certain of our stem cell technology. Under the Bayh-Dole Act of 1980, if we do not take adequate steps to commercialize certain intellectual property rights, or certain other exigent circumstances relating to public health and safety prescribed under federal law become applicable, the U.S. government may acquire certain rights with respect to inventions made during programs funded by NIH or other federal grants.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biopharmaceutical industry is highly competitive. There are many public and private biopharmaceutical companies, universities, governmental agencies, including the NIH and NIMH,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Currently, there are no FDA-approved therapies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are sometimes used instead of and before standard antidepressant medications to treat patients with MDD.</w:t>
      </w:r>
    </w:p>
    <w:p>
      <w:pPr>
        <w:spacing w:after="0" w:line="19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the field of new generation, orally available, adjunctive treatments of adult MDD patients with an inadequate response to standard antidepressants, we believe our principal competitor is Alkermes’ orally available drug candidate in Phase 3 development, ALKS-5461, an opioid modulator.</w:t>
      </w:r>
    </w:p>
    <w:p>
      <w:pPr>
        <w:spacing w:after="0" w:line="13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Acadia, Alkermes, Allergan, AstraZeneca, Eli Lilly, GlaxoSmithKline, Johnson &amp; Johnson, Lundbeck, Merck, Novartis, Minerva, Otsuka, Pfizer, Roche, Sage, Sanofi, Shire,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We expect that AV-101 will have to compete with a variety of therapeutic products and procedures.</w:t>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83" w:name="page84"/>
    <w:bookmarkEnd w:id="8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VistaStem’s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xml:space="preserve">) technology platform,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drug discovery and safety testing, contract predictive toxicology drug screening services for third parties, internal drug discovery, drug development and drug rescue of new NCEs, and regenerative medicine, including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cell therapy research and development. A representative list of such biopharmaceutical companies pursuing one or more of these potential applications of adult and/or hPSC technology includes the following: Acea Biosciences, Astellas, Athersys, BioCardia, BioTime, Caladrius Biosciences, Cellectis Bioresearch, Cellerant Therapeutics, Cytori Therapeutics, Fujifilm Holdings, HemoGenix, International Stem Cell, Neuralstem, Organovo Holdings, PluriStem Therapeutics, and Stemina BioMarker Discovery. Pharmaceutical companies and other established corporations such as Bristol-Myers Squibb, Charles River, GE Healthcare Life Sciences, GlaxoSmithKline, Novartis, Pfizer, Roche Holdings, Thermo Fisher Scientific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Our business activities, including the manufacturing, research, development and marketing of our product candidates, are subject to extensive regulation by numerous governmental authorities in the United States and other countries. Before marketing in the United States, any new drug developed by us or our collaborators must undergo rigorous preclinical testing, clinical trials and an extensive regulatory clearance process implemented by the United States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under the Federal Food, Drug, and Cosmetic Act, as amended. The FDA regulates, among other things, the development, testing, manufacture, safety, efficacy, record keeping, labeling, storage, approval, advertising, promotion, import, export, sale and distribution of biopharmaceutical products. The regulatory review and approval process, which includes preclinical testing and clinical trials of each product candidate, is lengthy, expensive and uncertain. Moreover, government coverage and reimbursement policies will both directly and indirectly impact our ability to successfully commercialize any future approved products, and such coverage and reimbursement policies will be impacted by enacted and any applicable future healthcare reform and drug pricing measures. In addition, we are subject to state and federal laws, including, among others, anti-kickback laws, false claims laws, data privacy and security laws, and transparency laws that restrict certain business practices in the pharmaceutical industry.</w:t>
      </w:r>
    </w:p>
    <w:p>
      <w:pPr>
        <w:spacing w:after="0" w:line="1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United States, drug product candidates intended for human use undergo laboratory and animal testing until adequate proof of safety is established. Clinical trials for new product candidates are then typically conducted in humans in three sequential phases that may overlap. Phase 1 trials involve the initial introduction of the product candidate into healthy human volunteers. The emphasis of Phase 1 trials is on testing for safety or adverse effects, dosage, tolerance, metabolism, distribution, excretion and clinical pharmacology. Phase 2 involves studies in a limited patient population to determine the initial efficacy of the compound for specific targeted indications, to determine dosage tolerance and optimal dosage, and to identify possible adverse side effects and safety risks. Once a compound shows evidence of effectiveness and is found to have an acceptable safety profile in Phase 2 evaluations, Phase 3 trials are undertaken to more fully evaluate clinical outcomes. Before commencing clinical investigations in humans, we or our collaborators must submit an Investigational New Drug Application (</w:t>
      </w:r>
      <w:r>
        <w:rPr>
          <w:rFonts w:ascii="Arial" w:cs="Arial" w:eastAsia="Arial" w:hAnsi="Arial"/>
          <w:sz w:val="16"/>
          <w:szCs w:val="16"/>
          <w:i w:val="1"/>
          <w:iCs w:val="1"/>
          <w:color w:val="auto"/>
        </w:rPr>
        <w:t>IND</w:t>
      </w:r>
      <w:r>
        <w:rPr>
          <w:rFonts w:ascii="Arial" w:cs="Arial" w:eastAsia="Arial" w:hAnsi="Arial"/>
          <w:sz w:val="16"/>
          <w:szCs w:val="16"/>
          <w:color w:val="auto"/>
        </w:rPr>
        <w:t>) to the FDA.</w:t>
      </w:r>
    </w:p>
    <w:p>
      <w:pPr>
        <w:spacing w:after="0" w:line="17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Regulatory authorities, Institutional Review Boards and Data Monitoring Committees may require additional data before allowing clinical studies to commence, continue or proceed from one phase to another, and could demand that studies be discontinued or suspended at any time if there are significant safety issues. We have in the past and may in the future rely on assistance from our third-party collaborators and contract service providers to file our INDs and generally support our development and regulatory activities approval process for our potential products. Clinical testing must also meet requirements for clinical trial registration, institutional review board oversight, informed consent, health information privacy, and good clinical practices, or GCPs. Additionally, the manufacture of our drug product, must be done in accordance with current good manufacturing practices (</w:t>
      </w:r>
      <w:r>
        <w:rPr>
          <w:rFonts w:ascii="Arial" w:cs="Arial" w:eastAsia="Arial" w:hAnsi="Arial"/>
          <w:sz w:val="16"/>
          <w:szCs w:val="16"/>
          <w:i w:val="1"/>
          <w:iCs w:val="1"/>
          <w:color w:val="auto"/>
        </w:rPr>
        <w:t>GMPs</w:t>
      </w:r>
      <w:r>
        <w:rPr>
          <w:rFonts w:ascii="Arial" w:cs="Arial" w:eastAsia="Arial" w:hAnsi="Arial"/>
          <w:sz w:val="16"/>
          <w:szCs w:val="16"/>
          <w:color w:val="auto"/>
        </w:rPr>
        <w:t>).</w:t>
      </w:r>
    </w:p>
    <w:p>
      <w:pPr>
        <w:spacing w:after="0" w:line="17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To establish a new product candidate’s safety and efficacy, the FDA requires companies seeking approval to market a drug product to submit extensive preclinical and clinical data, along with other information, for each indication for which the product will be labeled. The data and information are submitted to the FDA in the form of a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which must be accompanied by payment of a significant user fee unless a waiver or exemption applies. Generating the required data and information for an NDA takes many years and requires the expenditure of substantial resources. Information generated in this process is susceptible to varying interpretations that could delay, limit or prevent regulatory approval at any stage of the process. The failure to demonstrate adequately the quality, safety and efficacy of a product candidate under development would delay or prevent regulatory approval of the product candidate. Under applicable laws and FDA regulations, each NDA submitted for FDA approval is given an internal administrative review within 60 days following submission of the NDA. If deemed sufficiently complete to permit a substantive review, the FDA will “file” the NDA. The FDA can refuse to file any NDA that it deems incomplete or not properly reviewable. The FDA has established internal goals of eight months from submission for priority review of NDAs that cover product candidates that offer major advances in treatment or provide a treatment where no adequate therapy exists, and 12 months from submission for the standard review of NDAs. However, the FDA is not legally required to complete its review within these periods, these performance goals may change over time and the review is often extended by FDA requests for additional information or clarification. Moreover, the outcome of the review, even if generally favorable, may not be an actual approval but a “complete response letter” that describes additional work that must be done before the NDA can be approved. Before approving an NDA, the FDA can choose to inspect the facilities at which the product is manufactured and will not approve the product unless the manufacturing facility complies with GMPs. The FDA may also audit sites at which clinical trials have been conducted to determine compliance with GCPs and data integrity. The FDA’s review of an NDA may also involve review and recommendations by an independent FDA advisory committee, particularly for novel indications. The FDA is not bound by the recommendation of an advisory committee.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4" w:name="page85"/>
    <w:bookmarkEnd w:id="8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addition, delays or rejections may be encountered based upon changes in regulatory policy, regulations or statutes governing product approval during the period of product development and regulatory agency review.</w:t>
      </w:r>
    </w:p>
    <w:p>
      <w:pPr>
        <w:spacing w:after="0" w:line="18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Before receiving FDA approval to market a potential product, we or our collaborators must demonstrate through adequate and well-controlled clinical studies that the potential product is safe and effective in the patient population that will be treated. 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unless a waiver applies. If regulatory approval of a potential product is granted, this approval will be limited to those disease states and conditions for which the product is approved. Marketing or promoting a drug for an unapproved indication is generally prohibited. Furthermore, FDA approval may entail ongoing requirements for risk management, including post-marketing, or Phase 4, studies. Even if approval is obtained, a marketed product, its manufacturer and its manufacturing facilities are subject to payment of significant annual fees and continuing review and periodic inspections by the FDA. Discovery of previously unknown problems with a product, manufacturer or facility may result in restrictions on the product or manufacturer, including labeling changes, warning letters, costly recalls or withdrawal of the product from the market.</w:t>
      </w:r>
    </w:p>
    <w:p>
      <w:pPr>
        <w:spacing w:after="0" w:line="17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at any time in the course of studies in animals designed to identify unacceptable effects of a product candidate, known as toxicological studies, or during clinical trials of our potential products. The appearance of any unacceptable toxicity or side effect could cause us or regulatory authorities to interrupt, limit, delay or abort the development of any of our product candidates. Further, such unacceptable toxicity or side effects could ultimately prevent a potential product’s approval by the FDA or foreign regulatory authorities for any or all targeted indications or limit any labeling claims and market acceptance, even if the product is approved.</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addition, as a condition of approval, the FDA may require an applicant to develop a Risk Evaluation and Mitigation Strategy, or </w:t>
      </w:r>
      <w:r>
        <w:rPr>
          <w:rFonts w:ascii="Arial" w:cs="Arial" w:eastAsia="Arial" w:hAnsi="Arial"/>
          <w:sz w:val="16"/>
          <w:szCs w:val="16"/>
          <w:i w:val="1"/>
          <w:iCs w:val="1"/>
          <w:color w:val="auto"/>
        </w:rPr>
        <w:t>REMS</w:t>
      </w:r>
      <w:r>
        <w:rPr>
          <w:rFonts w:ascii="Arial" w:cs="Arial" w:eastAsia="Arial" w:hAnsi="Arial"/>
          <w:sz w:val="16"/>
          <w:szCs w:val="16"/>
          <w:color w:val="auto"/>
        </w:rPr>
        <w:t>. A REMS uses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w:t>
      </w:r>
      <w:r>
        <w:rPr>
          <w:rFonts w:ascii="Arial" w:cs="Arial" w:eastAsia="Arial" w:hAnsi="Arial"/>
          <w:sz w:val="16"/>
          <w:szCs w:val="16"/>
          <w:i w:val="1"/>
          <w:iCs w:val="1"/>
          <w:color w:val="auto"/>
        </w:rPr>
        <w:t>ETASU</w:t>
      </w:r>
      <w:r>
        <w:rPr>
          <w:rFonts w:ascii="Arial" w:cs="Arial" w:eastAsia="Arial" w:hAnsi="Arial"/>
          <w:sz w:val="16"/>
          <w:szCs w:val="16"/>
          <w:color w:val="auto"/>
        </w:rPr>
        <w:t>).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7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Any trade name that we intend to use for a potential product must be approved by the FDA irrespective of whether we have secured a formal trademark registration from the U.S. Patent and Trademark Office. The FDA conducts a rigorous review of proposed product names, and may reject a product name if it believes that the name inappropriately implies medical claims or if it poses the potential for confusion with other product names. The FDA will not approve a trade name until the NDA for a product is approved. If the FDA determines that the trade names of other products that are approved prior to the approval of our potential products may present a risk of confusion with our proposed trade name, the FDA may elect to not approve our proposed trade name. If our trade name is rejected, we will lose the benefit of any brand equity that may already have been developed for this trade name, as well as the benefit of our existing trademark applications for this trade name.</w:t>
      </w:r>
    </w:p>
    <w:p>
      <w:pPr>
        <w:spacing w:after="0" w:line="20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and our collaborators and contract manufacturers also are required to comply with the applicable FDA GMP regulations. GMP regulations include requirements relating to quality control and quality assurance as well as the corresponding maintenance of records and documentation. Manufacturing facilities are subject to inspection by the FDA. These facilities must be approved before we can use them in commercial manufacturing of our potential products and must maintain ongoing compliance for commercial product manufacture. The FDA may conclude that we or our collaborators or contract manufacturers are not in compliance with applicable GMP requirements and other FDA regulatory requirements, which may result in delay or failure to approve applications, warning letters, product recalls and/or imposition of fines or penalties.</w:t>
      </w:r>
    </w:p>
    <w:p>
      <w:pPr>
        <w:spacing w:after="0" w:line="17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a product is approved, we must also comply with post-marketing requirements, including, but not limited to, compliance with advertising and promotion laws enforced by various government agencies, including the FDA’s Office of Prescription Drug Promotion, through such laws as the Prescription Drug Marketing Act, federal and state anti-fraud and abuse laws, including anti-kickback and false claims laws, healthcare information privacy and security laws, post-marketing safety surveillance, and disclosure of payments or other transfers of value to healthcare professionals and entities. In addition, we are subject to other federal and state regulation including, for example, the implementation of corporate compliance programs.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If we elect to distribute our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5" w:name="page86"/>
    <w:bookmarkEnd w:id="8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Outside of the United States,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Community (</w:t>
      </w:r>
      <w:r>
        <w:rPr>
          <w:rFonts w:ascii="Arial" w:cs="Arial" w:eastAsia="Arial" w:hAnsi="Arial"/>
          <w:sz w:val="16"/>
          <w:szCs w:val="16"/>
          <w:i w:val="1"/>
          <w:iCs w:val="1"/>
          <w:color w:val="auto"/>
        </w:rPr>
        <w:t>EC</w:t>
      </w:r>
      <w:r>
        <w:rPr>
          <w:rFonts w:ascii="Arial" w:cs="Arial" w:eastAsia="Arial" w:hAnsi="Arial"/>
          <w:sz w:val="16"/>
          <w:szCs w:val="16"/>
          <w:color w:val="auto"/>
        </w:rPr>
        <w:t>), centralized registration procedures are available to companies wishing to market a product in more than one EC member state. If the regulatory authority is satisfied that adequate evidence of safety, quality and efficacy has been presented, marketing authorization will be granted. This foreign regulatory development and approval process involves all of the risks associated with achieving FDA marketing approval in the U.S. as discussed above. In addition, foreign regulations may include applicable post-marketing requirements, including safety surveillance, anti-fraud and abuse laws, and implementation of corporate compliance programs and reporting of payments or other transfers of value to healthcare professionals and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23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Potential sales of AV-101 or any other future product candidate, if approved, will depend, at least in part, on the extent to which such products will be covered by third-party payors, such as government health care programs, commercial insurance and managed healthcare organizations. These third-party payors are increasingly limiting coverage and/or reducing reimbursements for medical products and services. A third-party payor’s decision to provide coverage for a drug product does not imply that an adequate reimbursement rate will be approved. Further, one payor’s determination to provide coverage for a drug product does not assure that other payors will also provide coverage for the drug product.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future revenues and results of operations. Decreases in third-party reimbursement or a decision by a third-party payor to not cover AV-101, if approved, or any future approved products could reduce physician usage of our products, and have a material adverse effect on our sales, results of operations and financial condition.</w:t>
      </w:r>
    </w:p>
    <w:p>
      <w:pPr>
        <w:spacing w:after="0" w:line="1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the United States, the Medicare Part D program provides a voluntary outpatient drug benefit to Medicare beneficiaries for certain products. We do not know whether AV-101, if approved, or any other future product candidate will be eligible for coverage under Medicare Part D, but individual Medicare Part D plans offer coverage subject to various factors such as those described above. In addition, while Medicare Part D plans have historically included “all or substantially all” drugs in the following designated classes of “clinical concern” on their formularies: anticonvulsants, antidepressants, antineoplastics, antipsychotics, antiretrovirals, and immunosuppressants, the Centers for Medicare and Medicaid Services (</w:t>
      </w:r>
      <w:r>
        <w:rPr>
          <w:rFonts w:ascii="Arial" w:cs="Arial" w:eastAsia="Arial" w:hAnsi="Arial"/>
          <w:sz w:val="16"/>
          <w:szCs w:val="16"/>
          <w:i w:val="1"/>
          <w:iCs w:val="1"/>
          <w:color w:val="auto"/>
        </w:rPr>
        <w:t>CMS</w:t>
      </w:r>
      <w:r>
        <w:rPr>
          <w:rFonts w:ascii="Arial" w:cs="Arial" w:eastAsia="Arial" w:hAnsi="Arial"/>
          <w:sz w:val="16"/>
          <w:szCs w:val="16"/>
          <w:color w:val="auto"/>
        </w:rPr>
        <w:t>) has in the past proposed, but not adopted, changes to this policy. If this policy is changed in the future and if CMS no longer considers the antidepressant class to be of “clinical concern”, Medicare Part D plans would have significantly more discretion to reduce the number of products covered in that class. Furthermore, private payors often follow Medicare coverage policies and payment limitations in setting their own coverage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Laws and Regulations</w:t>
      </w:r>
    </w:p>
    <w:p>
      <w:pPr>
        <w:spacing w:after="0" w:line="23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Sales of AV-101,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194" w:lineRule="exact"/>
        <w:rPr>
          <w:sz w:val="20"/>
          <w:szCs w:val="20"/>
          <w:color w:val="auto"/>
        </w:rPr>
      </w:pPr>
    </w:p>
    <w:p>
      <w:pPr>
        <w:jc w:val="both"/>
        <w:ind w:left="660" w:right="20" w:hanging="328"/>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w:t>
      </w:r>
    </w:p>
    <w:p>
      <w:pPr>
        <w:spacing w:after="0" w:line="19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w:t>
      </w:r>
      <w:r>
        <w:rPr>
          <w:rFonts w:ascii="Arial" w:cs="Arial" w:eastAsia="Arial" w:hAnsi="Arial"/>
          <w:sz w:val="18"/>
          <w:szCs w:val="18"/>
          <w:i w:val="1"/>
          <w:iCs w:val="1"/>
          <w:color w:val="auto"/>
        </w:rPr>
        <w:t>HIPAA</w:t>
      </w:r>
      <w:r>
        <w:rPr>
          <w:rFonts w:ascii="Arial" w:cs="Arial" w:eastAsia="Arial" w:hAnsi="Arial"/>
          <w:sz w:val="18"/>
          <w:szCs w:val="18"/>
          <w:color w:val="auto"/>
        </w:rPr>
        <w:t>)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197" w:lineRule="exact"/>
        <w:rPr>
          <w:rFonts w:ascii="Arial" w:cs="Arial" w:eastAsia="Arial" w:hAnsi="Arial"/>
          <w:sz w:val="18"/>
          <w:szCs w:val="18"/>
          <w:color w:val="auto"/>
        </w:rPr>
      </w:pPr>
    </w:p>
    <w:p>
      <w:pPr>
        <w:jc w:val="both"/>
        <w:ind w:left="660" w:hanging="328"/>
        <w:spacing w:after="0" w:line="30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w:t>
      </w:r>
      <w:r>
        <w:rPr>
          <w:rFonts w:ascii="Arial" w:cs="Arial" w:eastAsia="Arial" w:hAnsi="Arial"/>
          <w:sz w:val="16"/>
          <w:szCs w:val="16"/>
          <w:i w:val="1"/>
          <w:iCs w:val="1"/>
          <w:color w:val="auto"/>
        </w:rPr>
        <w:t>HITECH</w:t>
      </w:r>
      <w:r>
        <w:rPr>
          <w:rFonts w:ascii="Arial" w:cs="Arial" w:eastAsia="Arial" w:hAnsi="Arial"/>
          <w:sz w:val="16"/>
          <w:szCs w:val="16"/>
          <w:color w:val="auto"/>
        </w:rPr>
        <w:t>)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160"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as well as ownership and investment interests held by physicians and their immediate family members.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6" w:name="page87"/>
    <w:bookmarkEnd w:id="8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Also, 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Additionally, to the extent that our product is sold in a foreign country, we may be subject to similar foreign laws.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 Cell Technology - United States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All procedures we use to obtain clinical samples, and the procedures we use to isolate hESCs, are consistent with the informed consent and ethical guidelines promulgated by the U.S. National Academy of Science, the International Society of Stem Cell Research (</w:t>
      </w:r>
      <w:r>
        <w:rPr>
          <w:rFonts w:ascii="Arial" w:cs="Arial" w:eastAsia="Arial" w:hAnsi="Arial"/>
          <w:sz w:val="18"/>
          <w:szCs w:val="18"/>
          <w:i w:val="1"/>
          <w:iCs w:val="1"/>
          <w:color w:val="auto"/>
        </w:rPr>
        <w:t>ISSCR</w:t>
      </w:r>
      <w:r>
        <w:rPr>
          <w:rFonts w:ascii="Arial" w:cs="Arial" w:eastAsia="Arial" w:hAnsi="Arial"/>
          <w:sz w:val="18"/>
          <w:szCs w:val="18"/>
          <w:color w:val="auto"/>
        </w:rPr>
        <w:t>), or the NIH. These procedures and documentation have been reviewed by an external Stem Cell Research Oversight Committee, and all cell lines we use have been approved under one or more of these guidelines.</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and Inter-Corporate Relationships</w:t>
      </w:r>
    </w:p>
    <w:p>
      <w:pPr>
        <w:spacing w:after="0" w:line="2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VistaGen Therapeutics. Inc., a California corporation, dba VistaStem (</w:t>
      </w:r>
      <w:r>
        <w:rPr>
          <w:rFonts w:ascii="Arial" w:cs="Arial" w:eastAsia="Arial" w:hAnsi="Arial"/>
          <w:sz w:val="18"/>
          <w:szCs w:val="18"/>
          <w:i w:val="1"/>
          <w:iCs w:val="1"/>
          <w:color w:val="auto"/>
        </w:rPr>
        <w:t>VistaStem</w:t>
      </w:r>
      <w:r>
        <w:rPr>
          <w:rFonts w:ascii="Arial" w:cs="Arial" w:eastAsia="Arial" w:hAnsi="Arial"/>
          <w:sz w:val="18"/>
          <w:szCs w:val="18"/>
          <w:color w:val="auto"/>
        </w:rPr>
        <w:t>), is our wholly-owned subsidiary and has two wholly-owned subsidiaries: VistaStem Canada Inc., a corporation incorporated pursuant to the laws of the Province of Ontario, and Artemis Neuroscience, Inc., a corporation incorporated pursuant to the laws of the State of Maryland. The operations of VistaStem, and each of its wholly owned subsidiaries are managed by our senior management team based in South San Francisco, California.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7, 2017, we employed nine full-time employees, four of whom have doctorate degrees. Five full-time employees work in research and development and laboratory support services and four full-time employees work in general and administrative roles. Staffing for all other functional areas is achieved through our network of strategic relationships with service providers and consultants, each of whom provides services on a real-time, as-needed basis, including human resources and payroll, information technology, facilities, legal, investor relations and website maintenance, regulatory affairs, and FDA program management.</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never had a work stoppage, and none of our employees is represented by a labor organization or under any collective bargaining agreement. We consider our employee relations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lease our office and laboratory space, which consists of approximately 10,900 square feet located in South San Francisco, California, under a lease expiring on July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business does not require us to comply with any extraordinary environmental regulations.</w:t>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87" w:name="page88"/>
    <w:bookmarkEnd w:id="8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AND EXECUTIVE OFFICERS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senior management is composed of individuals with significant management experience. Our directors and executive officers as of December 12, 2017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920" w:type="dxa"/>
            <w:vAlign w:val="bottom"/>
            <w:gridSpan w:val="2"/>
          </w:tcPr>
          <w:p>
            <w:pPr>
              <w:ind w:left="44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Shawn K. Singh</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H. Ralph Snodgrass, Ph.D.</w:t>
            </w:r>
          </w:p>
        </w:tc>
        <w:tc>
          <w:tcPr>
            <w:tcW w:w="172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67</w:t>
            </w: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Founder, President, Chief Scientific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72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62</w:t>
            </w: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Jerrold D. Dotson</w:t>
            </w:r>
          </w:p>
        </w:tc>
        <w:tc>
          <w:tcPr>
            <w:tcW w:w="172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64</w:t>
            </w: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Vice President, Chief Financial Officer and Secretary</w:t>
            </w: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Mark McPartland</w:t>
            </w:r>
          </w:p>
        </w:tc>
        <w:tc>
          <w:tcPr>
            <w:tcW w:w="172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51</w:t>
            </w: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Vice-President, Corporate Development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(1)</w:t>
            </w:r>
          </w:p>
        </w:tc>
        <w:tc>
          <w:tcPr>
            <w:tcW w:w="172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81</w:t>
            </w: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(2)</w:t>
            </w:r>
          </w:p>
        </w:tc>
        <w:tc>
          <w:tcPr>
            <w:tcW w:w="172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76</w:t>
            </w: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(3)</w:t>
            </w:r>
          </w:p>
        </w:tc>
        <w:tc>
          <w:tcPr>
            <w:tcW w:w="172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74</w:t>
            </w: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_______________</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Chairman of the audit committee and member of the compensation committee and corporate governance and nominating committee.</w:t>
      </w:r>
    </w:p>
    <w:p>
      <w:pPr>
        <w:spacing w:after="0" w:line="15" w:lineRule="exact"/>
        <w:rPr>
          <w:rFonts w:ascii="Arial" w:cs="Arial" w:eastAsia="Arial" w:hAnsi="Arial"/>
          <w:sz w:val="18"/>
          <w:szCs w:val="18"/>
          <w:color w:val="auto"/>
        </w:rPr>
      </w:pPr>
    </w:p>
    <w:p>
      <w:pPr>
        <w:ind w:left="300" w:hanging="29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Chairman of the compensation committee and member of the audit committee and corporate governance and nominating committee.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Chairman of the corporate governance and nominating committee and member of the audit committee and compensation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i w:val="1"/>
          <w:iCs w:val="1"/>
          <w:color w:val="auto"/>
        </w:rPr>
        <w:t xml:space="preserve">Shawn K. Singh </w:t>
      </w:r>
      <w:r>
        <w:rPr>
          <w:rFonts w:ascii="Arial" w:cs="Arial" w:eastAsia="Arial" w:hAnsi="Arial"/>
          <w:sz w:val="16"/>
          <w:szCs w:val="16"/>
          <w:color w:val="auto"/>
        </w:rPr>
        <w:t>has served as our Chief Executive Officer since August 2009, first as the Chief Executive Officer of VistaGen Therapeutics, Inc., a California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xml:space="preserve">), then as Chief Executive Officer of the Company after the merger by and between VistaGen California and the Company on May 11, 2011 (the </w:t>
      </w:r>
      <w:r>
        <w:rPr>
          <w:rFonts w:ascii="Arial" w:cs="Arial" w:eastAsia="Arial" w:hAnsi="Arial"/>
          <w:sz w:val="16"/>
          <w:szCs w:val="16"/>
          <w:i w:val="1"/>
          <w:iCs w:val="1"/>
          <w:color w:val="auto"/>
        </w:rPr>
        <w:t>Merger</w:t>
      </w:r>
      <w:r>
        <w:rPr>
          <w:rFonts w:ascii="Arial" w:cs="Arial" w:eastAsia="Arial" w:hAnsi="Arial"/>
          <w:sz w:val="16"/>
          <w:szCs w:val="16"/>
          <w:color w:val="auto"/>
        </w:rPr>
        <w:t>), at which time VistaGen California became a wholly-owned subsidiary of the Company.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over 25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affiliated with Cato BioVentures. Mr. Singh served as President (part-time) of Echo Therapeutics (NASDAQ: ECTE), a medical device company developing a non-invasive, wireless continuous glucose monitoring (</w:t>
      </w:r>
      <w:r>
        <w:rPr>
          <w:rFonts w:ascii="Arial" w:cs="Arial" w:eastAsia="Arial" w:hAnsi="Arial"/>
          <w:sz w:val="16"/>
          <w:szCs w:val="16"/>
          <w:i w:val="1"/>
          <w:iCs w:val="1"/>
          <w:color w:val="auto"/>
        </w:rPr>
        <w:t>CGM</w:t>
      </w:r>
      <w:r>
        <w:rPr>
          <w:rFonts w:ascii="Arial" w:cs="Arial" w:eastAsia="Arial" w:hAnsi="Arial"/>
          <w:sz w:val="16"/>
          <w:szCs w:val="16"/>
          <w:color w:val="auto"/>
        </w:rPr>
        <w:t>) system,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revenue-generating, specialty pharmaceutical company with a substantial commercial business in China and a product portfolio spanning major therapeutics markets, including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Juris Doctor degree from the University of Maryland School of Law. Mr. Singh is a member of the State Bar of California.</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 California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24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Stem Cell Research (</w:t>
      </w:r>
      <w:r>
        <w:rPr>
          <w:rFonts w:ascii="Arial" w:cs="Arial" w:eastAsia="Arial" w:hAnsi="Arial"/>
          <w:sz w:val="16"/>
          <w:szCs w:val="16"/>
          <w:i w:val="1"/>
          <w:iCs w:val="1"/>
          <w:color w:val="auto"/>
        </w:rPr>
        <w:t>ISSCR</w:t>
      </w:r>
      <w:r>
        <w:rPr>
          <w:rFonts w:ascii="Arial" w:cs="Arial" w:eastAsia="Arial" w:hAnsi="Arial"/>
          <w:sz w:val="16"/>
          <w:szCs w:val="16"/>
          <w:color w:val="auto"/>
        </w:rPr>
        <w:t>)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31 years’ experience in the uses of stem cells as biological tools for research, drug discovery and development.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8" w:name="page89"/>
    <w:bookmarkEnd w:id="8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joined VistaGen as our Chief Medical Officer effective June 18, 2016. Dr. Smith served as the Clinical Lead for Neuropsychiatry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7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Mark A. McPartland </w:t>
      </w:r>
      <w:r>
        <w:rPr>
          <w:rFonts w:ascii="Arial" w:cs="Arial" w:eastAsia="Arial" w:hAnsi="Arial"/>
          <w:sz w:val="16"/>
          <w:szCs w:val="16"/>
          <w:color w:val="333333"/>
        </w:rPr>
        <w:t>has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Vice-President, Corporate Development since October 2016. Mr. McPartland previously served as the Vice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Development and Communications at Stellar Biotechnologies, Inc. (NASDAQ: SBOT), a leader in sustainable manufacture of KLH, an immune-stimulating protein widely used in the field of active immunotherapy, from November 2013 to September 2016. While at Stellar, Mr. McPartland was responsible for transforming and expanding its capital markets and corporate communications strategy, while also supporting its global business development activities. From September 2011 to November 2013, Mr. McPartland served as Senior Vice President at MZ Group, a subsidiary of @titude Global, the world's largest independent global investor relations consulting firm, and from January 2005 to January 2011, he served as Vice President and Partner at Alliance Advisors, LLC where he specialized in the implementation of capital markets strategy, market positioning and financial communications, and Regional Vice President of Hayden Communications, Inc. where he led investor relations and corporate communications programs for micro and small cap companies. Mr. McPartland received his Bachelors in Business Administration and Marketing from Coastal Carolina University.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31" w:lineRule="exact"/>
        <w:rPr>
          <w:sz w:val="20"/>
          <w:szCs w:val="20"/>
          <w:color w:val="auto"/>
        </w:rPr>
      </w:pPr>
    </w:p>
    <w:p>
      <w:pPr>
        <w:spacing w:after="0" w:line="301" w:lineRule="auto"/>
        <w:rPr>
          <w:sz w:val="20"/>
          <w:szCs w:val="20"/>
          <w:color w:val="auto"/>
        </w:rPr>
      </w:pPr>
      <w:r>
        <w:rPr>
          <w:rFonts w:ascii="Arial" w:cs="Arial" w:eastAsia="Arial" w:hAnsi="Arial"/>
          <w:sz w:val="15"/>
          <w:szCs w:val="15"/>
          <w:b w:val="1"/>
          <w:bCs w:val="1"/>
          <w:i w:val="1"/>
          <w:iCs w:val="1"/>
          <w:color w:val="auto"/>
        </w:rPr>
        <w:t xml:space="preserve">Jon S. Saxe, J.D., LL.M. </w:t>
      </w:r>
      <w:r>
        <w:rPr>
          <w:rFonts w:ascii="Arial" w:cs="Arial" w:eastAsia="Arial" w:hAnsi="Arial"/>
          <w:sz w:val="15"/>
          <w:szCs w:val="15"/>
          <w:color w:val="auto"/>
        </w:rPr>
        <w:t>has served as Chairman of our Board since 2000, first as Chairman of the Board of Directors of VistaGen California, then as Chairman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Durect Corporation (NASDAQ: DRRX), and six private life science companies, Arbor Vita Corporation, Arcuo Medical, LLC, Cancer Prevention Pharmaceuticals, Inc., Lumos Pharma, Inc., Trellis Bioscience, Inc. and Epalex Corporaiton.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Mr. Saxe has a B.S.Ch.E. from Carnegie-Mellon University, a J.D. degree from George Washington University and an LL.M. degree from New York University.</w:t>
      </w:r>
    </w:p>
    <w:p>
      <w:pPr>
        <w:spacing w:after="0" w:line="24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first as a director of VistaGen California, then as a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Board after the completion of the Merger. Dr. Underdown is currently a Venture Partner with Lumira Capital Corp.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Kisoji Biotechnology Inc., Naegis Pharmaceuticals, Inc. and Osteo QC. Some of Dr. Underdown’s previous board roles include: Argos Therapeutics (NASDAQ: ARGS), ID Biomedical (acquired by GlaxoSmithKline), enGene Inc. and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selected Dr. Underdown to serve on our Board of Directors due to his extensive background working in the biotechnology and pharmaceutical industries, as a director of numerous private and public companies, as well as his substantial corporate finance and venture capital experience funding and advising startup and established biopharmaceutical companies focused on development and commercialization of novel therapeutics.</w:t>
      </w:r>
    </w:p>
    <w:p>
      <w:pPr>
        <w:spacing w:after="0" w:line="16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of Directors on March 29, 2016. Dr. Gin is currently the co-founder and CEO of Nuvora,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Executive Officers</w:t>
      </w:r>
    </w:p>
    <w:p>
      <w:pPr>
        <w:spacing w:after="0" w:line="231"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five members. Accordingly, there are currently two vacancies on our Board of Directors. Our Board of Directors anticipates filling each of such vacancies as soon as practicable. All actions of the Board of Directors require the approval of a majority of the directors in attendance at a meeting at which a quorum is present.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Effective on April 1, 2017, our independent directors, Mr. Saxe, Dr. Underdown and Dr. Gin, serve as members of each of these committees.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Audit Committee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9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Our Compensation Committee is comprised of Dr. Underdown, who serves as the committee chairman, Mr. Saxe, and Dr. Gin. Our Compensation Committee charter is available on our website. Under its charter, the Compensation Committee is primarily responsible for, among other things:</w:t>
      </w:r>
    </w:p>
    <w:p>
      <w:pPr>
        <w:spacing w:after="0" w:line="139" w:lineRule="exact"/>
        <w:rPr>
          <w:sz w:val="20"/>
          <w:szCs w:val="20"/>
          <w:color w:val="auto"/>
        </w:rPr>
      </w:pPr>
    </w:p>
    <w:p>
      <w:pPr>
        <w:ind w:left="660" w:right="120" w:hanging="328"/>
        <w:spacing w:after="0" w:line="335" w:lineRule="auto"/>
        <w:tabs>
          <w:tab w:leader="none" w:pos="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42" w:lineRule="exact"/>
        <w:rPr>
          <w:rFonts w:ascii="Arial" w:cs="Arial" w:eastAsia="Arial" w:hAnsi="Arial"/>
          <w:sz w:val="15"/>
          <w:szCs w:val="15"/>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660" w:right="440" w:hanging="328"/>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85" w:lineRule="exact"/>
        <w:rPr>
          <w:rFonts w:ascii="Arial" w:cs="Arial" w:eastAsia="Arial" w:hAnsi="Arial"/>
          <w:sz w:val="18"/>
          <w:szCs w:val="18"/>
          <w:color w:val="auto"/>
        </w:rPr>
      </w:pPr>
    </w:p>
    <w:p>
      <w:pPr>
        <w:ind w:left="660" w:right="260" w:hanging="328"/>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establishing goals and objectives relevant to CEO compensation, evaluating CEO performance in light of such goals and objectives, and determining CEO compensation based on the evaluation;</w:t>
      </w:r>
    </w:p>
    <w:p>
      <w:pPr>
        <w:spacing w:after="0" w:line="185" w:lineRule="exact"/>
        <w:rPr>
          <w:rFonts w:ascii="Arial" w:cs="Arial" w:eastAsia="Arial" w:hAnsi="Arial"/>
          <w:sz w:val="18"/>
          <w:szCs w:val="18"/>
          <w:color w:val="auto"/>
        </w:rPr>
      </w:pPr>
    </w:p>
    <w:p>
      <w:pPr>
        <w:ind w:left="660" w:right="260" w:hanging="328"/>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660" w:right="660" w:hanging="328"/>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1" w:name="page92"/>
    <w:bookmarkEnd w:id="9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Corporate Governance and Nominating Committee is comprised of Dr. Gin, who serves as the committee chairman, Mr. Saxe and Dr. Underdown. Our Corporate Governance and Nominating Committee charter is available on our website. Under its charter, the Corporate Governance and Nominating Committee is primarily responsible for, among other things:</w:t>
      </w:r>
    </w:p>
    <w:p>
      <w:pPr>
        <w:spacing w:after="0" w:line="19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660" w:right="360" w:hanging="328"/>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660" w:right="60" w:hanging="328"/>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0563C1"/>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Board of Directors met four times and acted by unanimous written consent six times during our fiscal year ended March 31, 2017. Our Audit Committee met four times. Our Compensation Committee requested action by the entire Board of Directors for grants of various equity securities and for amendments of employment agreements. Our Nominating and Corporate Governance Committee requested action by the entire Board of Directors with respect to resolutions to be presented to our stockholders at the annual meeting of stockholders and Board committee assignments. With the exception of Dr. Underdown, who was unable to attend one Board meeting due to international travel, each director serving during Fiscal 2017 attended all of the meetings of the Board and the committees of the Board upon which such director served that were held during the term of his service.</w:t>
      </w:r>
    </w:p>
    <w:p>
      <w:pPr>
        <w:spacing w:after="0" w:line="1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do not have a formal policy regarding attendance by members of the Board at our annual meeting of stockholders, but directors are encouraged to attend. Mr. Saxe and Dr. Gin attended our annual meeting of stockholders held on September 26, 2016. Dr. Underdown was unavailable to participate due to international travel.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Our Compensation Committee consists of Dr. Underdown, Mr. Saxe and Dr. Gin, each of whom is a non-employee director. None of the members of the Compensation Committee has a relationship that would constitute an interlocking relationship with executive officers or directors of another entity.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Beneficial Ownership Reporting Compliance</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16(a) of the Exchange Act requires our officers, directors and persons who beneficially own more than ten percent of our common stock (collectively, </w:t>
      </w:r>
      <w:r>
        <w:rPr>
          <w:rFonts w:ascii="Arial" w:cs="Arial" w:eastAsia="Arial" w:hAnsi="Arial"/>
          <w:sz w:val="18"/>
          <w:szCs w:val="18"/>
          <w:i w:val="1"/>
          <w:iCs w:val="1"/>
          <w:color w:val="auto"/>
        </w:rPr>
        <w:t>Reporting Persons</w:t>
      </w:r>
      <w:r>
        <w:rPr>
          <w:rFonts w:ascii="Arial" w:cs="Arial" w:eastAsia="Arial" w:hAnsi="Arial"/>
          <w:sz w:val="18"/>
          <w:szCs w:val="18"/>
          <w:color w:val="auto"/>
        </w:rPr>
        <w:t>) to file reports of ownership on Form 3 and changes in ownership on Form 4 or Form 5 with the SEC. The Reporting Persons are also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SEC rules to furnish us with copies of all reports that they file pursuant to Section 16(a). We believe that during our fiscal year ended March 31, 2017, all Reporting Persons, other than PLTG and/or its affiliate, Montsant Partners LLC, and Cato Holding Company complied with all applicable reporting requirements.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Our Compensation Objectives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Compensation Components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6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Annual Bonus</w:t>
      </w:r>
    </w:p>
    <w:p>
      <w:pPr>
        <w:spacing w:after="0" w:line="2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voluntarily decided to not seek and, in accordance with our management team’s election, our Compensation Committee did not award, cash bonuses in any fiscal year from Fiscal 2012 through Fiscal 2015. The Compensation Committee authorized cash bonuses to officers who served during Fiscal 2016, which bonuses were paid in July 2016.</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Long-Term Equity Incentives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regarding the compensation of our Named Executive Officers (</w:t>
      </w:r>
      <w:r>
        <w:rPr>
          <w:rFonts w:ascii="Arial" w:cs="Arial" w:eastAsia="Arial" w:hAnsi="Arial"/>
          <w:sz w:val="16"/>
          <w:szCs w:val="16"/>
          <w:i w:val="1"/>
          <w:iCs w:val="1"/>
          <w:color w:val="auto"/>
        </w:rPr>
        <w:t>NEO’s</w:t>
      </w:r>
      <w:r>
        <w:rPr>
          <w:rFonts w:ascii="Arial" w:cs="Arial" w:eastAsia="Arial" w:hAnsi="Arial"/>
          <w:sz w:val="16"/>
          <w:szCs w:val="16"/>
          <w:color w:val="auto"/>
        </w:rPr>
        <w:t>) for services performed in the fiscal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Option and</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vMerge w:val="restart"/>
          </w:tcPr>
          <w:p>
            <w:pPr>
              <w:jc w:val="center"/>
              <w:ind w:left="72"/>
              <w:spacing w:after="0"/>
              <w:rPr>
                <w:sz w:val="20"/>
                <w:szCs w:val="20"/>
                <w:color w:val="auto"/>
              </w:rPr>
            </w:pPr>
            <w:r>
              <w:rPr>
                <w:rFonts w:ascii="Arial" w:cs="Arial" w:eastAsia="Arial" w:hAnsi="Arial"/>
                <w:sz w:val="18"/>
                <w:szCs w:val="18"/>
                <w:b w:val="1"/>
                <w:bCs w:val="1"/>
                <w:color w:val="auto"/>
                <w:w w:val="86"/>
              </w:rPr>
              <w:t>Fiscal</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6"/>
              </w:rPr>
              <w:t>Warrant</w:t>
            </w:r>
          </w:p>
        </w:tc>
        <w:tc>
          <w:tcPr>
            <w:tcW w:w="44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All 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Salary</w:t>
            </w:r>
          </w:p>
        </w:tc>
        <w:tc>
          <w:tcPr>
            <w:tcW w:w="240" w:type="dxa"/>
            <w:vAlign w:val="bottom"/>
          </w:tcPr>
          <w:p>
            <w:pPr>
              <w:spacing w:after="0"/>
              <w:rPr>
                <w:sz w:val="18"/>
                <w:szCs w:val="18"/>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b w:val="1"/>
                <w:bCs w:val="1"/>
                <w:color w:val="auto"/>
              </w:rPr>
              <w:t>Bonus</w:t>
            </w:r>
          </w:p>
        </w:tc>
        <w:tc>
          <w:tcPr>
            <w:tcW w:w="200" w:type="dxa"/>
            <w:vAlign w:val="bottom"/>
          </w:tcPr>
          <w:p>
            <w:pPr>
              <w:spacing w:after="0"/>
              <w:rPr>
                <w:sz w:val="18"/>
                <w:szCs w:val="18"/>
                <w:color w:val="auto"/>
              </w:rPr>
            </w:pPr>
          </w:p>
        </w:tc>
        <w:tc>
          <w:tcPr>
            <w:tcW w:w="920" w:type="dxa"/>
            <w:vAlign w:val="bottom"/>
          </w:tcPr>
          <w:p>
            <w:pPr>
              <w:jc w:val="center"/>
              <w:spacing w:after="0" w:line="217" w:lineRule="exact"/>
              <w:rPr>
                <w:sz w:val="20"/>
                <w:szCs w:val="20"/>
                <w:color w:val="auto"/>
              </w:rPr>
            </w:pPr>
            <w:r>
              <w:rPr>
                <w:rFonts w:ascii="Arial" w:cs="Arial" w:eastAsia="Arial" w:hAnsi="Arial"/>
                <w:sz w:val="18"/>
                <w:szCs w:val="18"/>
                <w:b w:val="1"/>
                <w:bCs w:val="1"/>
                <w:color w:val="auto"/>
                <w:w w:val="84"/>
              </w:rPr>
              <w:t xml:space="preserve">Awards </w:t>
            </w:r>
            <w:r>
              <w:rPr>
                <w:rFonts w:ascii="Arial" w:cs="Arial" w:eastAsia="Arial" w:hAnsi="Arial"/>
                <w:sz w:val="24"/>
                <w:szCs w:val="24"/>
                <w:b w:val="1"/>
                <w:bCs w:val="1"/>
                <w:color w:val="auto"/>
                <w:w w:val="84"/>
                <w:vertAlign w:val="superscript"/>
              </w:rPr>
              <w:t>(5)</w:t>
            </w:r>
          </w:p>
        </w:tc>
        <w:tc>
          <w:tcPr>
            <w:tcW w:w="4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89"/>
              </w:rPr>
              <w:t>Compensation</w:t>
            </w: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1080"/>
              <w:spacing w:after="0"/>
              <w:rPr>
                <w:sz w:val="20"/>
                <w:szCs w:val="20"/>
                <w:color w:val="auto"/>
              </w:rPr>
            </w:pPr>
            <w:r>
              <w:rPr>
                <w:rFonts w:ascii="Arial" w:cs="Arial" w:eastAsia="Arial" w:hAnsi="Arial"/>
                <w:sz w:val="18"/>
                <w:szCs w:val="18"/>
                <w:b w:val="1"/>
                <w:bCs w:val="1"/>
                <w:color w:val="auto"/>
              </w:rPr>
              <w:t>Name and Principal Position</w:t>
            </w:r>
          </w:p>
        </w:tc>
        <w:tc>
          <w:tcPr>
            <w:tcW w:w="1520" w:type="dxa"/>
            <w:vAlign w:val="bottom"/>
          </w:tcPr>
          <w:p>
            <w:pPr>
              <w:jc w:val="center"/>
              <w:ind w:left="52"/>
              <w:spacing w:after="0"/>
              <w:rPr>
                <w:sz w:val="20"/>
                <w:szCs w:val="20"/>
                <w:color w:val="auto"/>
              </w:rPr>
            </w:pPr>
            <w:r>
              <w:rPr>
                <w:rFonts w:ascii="Arial" w:cs="Arial" w:eastAsia="Arial" w:hAnsi="Arial"/>
                <w:sz w:val="18"/>
                <w:szCs w:val="18"/>
                <w:b w:val="1"/>
                <w:bCs w:val="1"/>
                <w:color w:val="auto"/>
                <w:w w:val="86"/>
              </w:rPr>
              <w:t>Year</w:t>
            </w: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spacing w:after="0"/>
              <w:rPr>
                <w:sz w:val="20"/>
                <w:szCs w:val="20"/>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Shawn K. Singh </w:t>
            </w:r>
            <w:r>
              <w:rPr>
                <w:rFonts w:ascii="Arial" w:cs="Arial" w:eastAsia="Arial" w:hAnsi="Arial"/>
                <w:sz w:val="24"/>
                <w:szCs w:val="24"/>
                <w:color w:val="auto"/>
                <w:vertAlign w:val="superscript"/>
              </w:rPr>
              <w:t>(1)</w:t>
            </w:r>
          </w:p>
        </w:tc>
        <w:tc>
          <w:tcPr>
            <w:tcW w:w="152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752,210</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520" w:type="dxa"/>
            <w:vAlign w:val="bottom"/>
          </w:tcPr>
          <w:p>
            <w:pPr>
              <w:jc w:val="center"/>
              <w:ind w:left="52"/>
              <w:spacing w:after="0"/>
              <w:rPr>
                <w:sz w:val="20"/>
                <w:szCs w:val="20"/>
                <w:color w:val="auto"/>
              </w:rPr>
            </w:pPr>
            <w:r>
              <w:rPr>
                <w:rFonts w:ascii="Arial" w:cs="Arial" w:eastAsia="Arial" w:hAnsi="Arial"/>
                <w:sz w:val="18"/>
                <w:szCs w:val="18"/>
                <w:color w:val="auto"/>
                <w:w w:val="84"/>
              </w:rPr>
              <w:t>2016</w:t>
            </w:r>
          </w:p>
        </w:tc>
        <w:tc>
          <w:tcPr>
            <w:tcW w:w="920" w:type="dxa"/>
            <w:vAlign w:val="bottom"/>
          </w:tcPr>
          <w:p>
            <w:pPr>
              <w:jc w:val="right"/>
              <w:spacing w:after="0"/>
              <w:rPr>
                <w:sz w:val="20"/>
                <w:szCs w:val="20"/>
                <w:color w:val="auto"/>
              </w:rPr>
            </w:pPr>
            <w:r>
              <w:rPr>
                <w:rFonts w:ascii="Arial" w:cs="Arial" w:eastAsia="Arial" w:hAnsi="Arial"/>
                <w:sz w:val="18"/>
                <w:szCs w:val="18"/>
                <w:color w:val="auto"/>
              </w:rPr>
              <w:t>347,500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1,629,574</w:t>
            </w:r>
          </w:p>
        </w:tc>
        <w:tc>
          <w:tcPr>
            <w:tcW w:w="440" w:type="dxa"/>
            <w:vAlign w:val="bottom"/>
          </w:tcPr>
          <w:p>
            <w:pPr>
              <w:jc w:val="right"/>
              <w:ind w:right="79"/>
              <w:spacing w:after="0"/>
              <w:rPr>
                <w:sz w:val="20"/>
                <w:szCs w:val="20"/>
                <w:color w:val="auto"/>
              </w:rPr>
            </w:pPr>
            <w:r>
              <w:rPr>
                <w:rFonts w:ascii="Arial" w:cs="Arial" w:eastAsia="Arial" w:hAnsi="Arial"/>
                <w:sz w:val="12"/>
                <w:szCs w:val="12"/>
                <w:color w:val="auto"/>
              </w:rPr>
              <w:t>(7)</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1,977,074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(2)</w:t>
            </w:r>
          </w:p>
        </w:tc>
        <w:tc>
          <w:tcPr>
            <w:tcW w:w="1520" w:type="dxa"/>
            <w:vAlign w:val="bottom"/>
          </w:tcPr>
          <w:p>
            <w:pPr>
              <w:jc w:val="center"/>
              <w:ind w:left="52"/>
              <w:spacing w:after="0"/>
              <w:rPr>
                <w:sz w:val="20"/>
                <w:szCs w:val="20"/>
                <w:color w:val="auto"/>
              </w:rPr>
            </w:pPr>
            <w:r>
              <w:rPr>
                <w:rFonts w:ascii="Arial" w:cs="Arial" w:eastAsia="Arial" w:hAnsi="Arial"/>
                <w:sz w:val="18"/>
                <w:szCs w:val="18"/>
                <w:color w:val="auto"/>
                <w:w w:val="84"/>
              </w:rPr>
              <w:t>2017</w:t>
            </w:r>
          </w:p>
        </w:tc>
        <w:tc>
          <w:tcPr>
            <w:tcW w:w="920" w:type="dxa"/>
            <w:vAlign w:val="bottom"/>
          </w:tcPr>
          <w:p>
            <w:pPr>
              <w:jc w:val="right"/>
              <w:spacing w:after="0"/>
              <w:rPr>
                <w:sz w:val="20"/>
                <w:szCs w:val="20"/>
                <w:color w:val="auto"/>
              </w:rPr>
            </w:pPr>
            <w:r>
              <w:rPr>
                <w:rFonts w:ascii="Arial" w:cs="Arial" w:eastAsia="Arial" w:hAnsi="Arial"/>
                <w:sz w:val="18"/>
                <w:szCs w:val="18"/>
                <w:color w:val="auto"/>
              </w:rPr>
              <w:t>340,625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152,500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520,946</w:t>
            </w:r>
          </w:p>
        </w:tc>
        <w:tc>
          <w:tcPr>
            <w:tcW w:w="440" w:type="dxa"/>
            <w:vAlign w:val="bottom"/>
          </w:tcPr>
          <w:p>
            <w:pPr>
              <w:jc w:val="right"/>
              <w:ind w:right="79"/>
              <w:spacing w:after="0"/>
              <w:rPr>
                <w:sz w:val="20"/>
                <w:szCs w:val="20"/>
                <w:color w:val="auto"/>
              </w:rPr>
            </w:pPr>
            <w:r>
              <w:rPr>
                <w:rFonts w:ascii="Arial" w:cs="Arial" w:eastAsia="Arial" w:hAnsi="Arial"/>
                <w:sz w:val="12"/>
                <w:szCs w:val="12"/>
                <w:color w:val="auto"/>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1,014,071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52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985,025</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(3)</w:t>
            </w:r>
          </w:p>
        </w:tc>
        <w:tc>
          <w:tcPr>
            <w:tcW w:w="152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275,737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654,238</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i w:val="1"/>
                <w:iCs w:val="1"/>
                <w:color w:val="auto"/>
              </w:rPr>
              <w:t>Chief Medical Officer</w:t>
            </w:r>
          </w:p>
        </w:tc>
        <w:tc>
          <w:tcPr>
            <w:tcW w:w="1520" w:type="dxa"/>
            <w:vAlign w:val="bottom"/>
          </w:tcPr>
          <w:p>
            <w:pPr>
              <w:jc w:val="center"/>
              <w:ind w:left="52"/>
              <w:spacing w:after="0"/>
              <w:rPr>
                <w:sz w:val="20"/>
                <w:szCs w:val="20"/>
                <w:color w:val="auto"/>
              </w:rPr>
            </w:pPr>
            <w:r>
              <w:rPr>
                <w:rFonts w:ascii="Arial" w:cs="Arial" w:eastAsia="Arial" w:hAnsi="Arial"/>
                <w:sz w:val="18"/>
                <w:szCs w:val="18"/>
                <w:color w:val="auto"/>
                <w:w w:val="84"/>
              </w:rPr>
              <w:t>2016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(4)</w:t>
            </w:r>
          </w:p>
        </w:tc>
        <w:tc>
          <w:tcPr>
            <w:tcW w:w="1520" w:type="dxa"/>
            <w:vAlign w:val="bottom"/>
          </w:tcPr>
          <w:p>
            <w:pPr>
              <w:jc w:val="center"/>
              <w:ind w:left="52"/>
              <w:spacing w:after="0"/>
              <w:rPr>
                <w:sz w:val="20"/>
                <w:szCs w:val="20"/>
                <w:color w:val="auto"/>
              </w:rPr>
            </w:pPr>
            <w:r>
              <w:rPr>
                <w:rFonts w:ascii="Arial" w:cs="Arial" w:eastAsia="Arial" w:hAnsi="Arial"/>
                <w:sz w:val="18"/>
                <w:szCs w:val="18"/>
                <w:color w:val="auto"/>
                <w:w w:val="84"/>
              </w:rPr>
              <w:t>2017</w:t>
            </w:r>
          </w:p>
        </w:tc>
        <w:tc>
          <w:tcPr>
            <w:tcW w:w="920" w:type="dxa"/>
            <w:vAlign w:val="bottom"/>
          </w:tcPr>
          <w:p>
            <w:pPr>
              <w:jc w:val="right"/>
              <w:spacing w:after="0"/>
              <w:rPr>
                <w:sz w:val="20"/>
                <w:szCs w:val="20"/>
                <w:color w:val="auto"/>
              </w:rPr>
            </w:pPr>
            <w:r>
              <w:rPr>
                <w:rFonts w:ascii="Arial" w:cs="Arial" w:eastAsia="Arial" w:hAnsi="Arial"/>
                <w:sz w:val="18"/>
                <w:szCs w:val="18"/>
                <w:color w:val="auto"/>
              </w:rPr>
              <w:t>289,583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318,018</w:t>
            </w:r>
          </w:p>
        </w:tc>
        <w:tc>
          <w:tcPr>
            <w:tcW w:w="440" w:type="dxa"/>
            <w:vAlign w:val="bottom"/>
          </w:tcPr>
          <w:p>
            <w:pPr>
              <w:jc w:val="right"/>
              <w:ind w:right="79"/>
              <w:spacing w:after="0"/>
              <w:rPr>
                <w:sz w:val="20"/>
                <w:szCs w:val="20"/>
                <w:color w:val="auto"/>
              </w:rPr>
            </w:pPr>
            <w:r>
              <w:rPr>
                <w:rFonts w:ascii="Arial" w:cs="Arial" w:eastAsia="Arial" w:hAnsi="Arial"/>
                <w:sz w:val="12"/>
                <w:szCs w:val="12"/>
                <w:color w:val="auto"/>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Chief Financial Officer, Secretary</w:t>
            </w:r>
          </w:p>
        </w:tc>
        <w:tc>
          <w:tcPr>
            <w:tcW w:w="152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635,297</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_______________</w:t>
            </w: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jc w:val="both"/>
        <w:ind w:left="340" w:right="420" w:hanging="332"/>
        <w:spacing w:after="0" w:line="303" w:lineRule="auto"/>
        <w:tabs>
          <w:tab w:leader="none" w:pos="3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 xml:space="preserve">Mr. Singh became Chief Executive Officer of VistaGen Therapeutics, Inc. (a California corporation) ( </w:t>
      </w:r>
      <w:r>
        <w:rPr>
          <w:rFonts w:ascii="Arial" w:cs="Arial" w:eastAsia="Arial" w:hAnsi="Arial"/>
          <w:sz w:val="15"/>
          <w:szCs w:val="15"/>
          <w:i w:val="1"/>
          <w:iCs w:val="1"/>
          <w:color w:val="auto"/>
        </w:rPr>
        <w:t>VistaGen California</w:t>
      </w:r>
      <w:r>
        <w:rPr>
          <w:rFonts w:ascii="Arial" w:cs="Arial" w:eastAsia="Arial" w:hAnsi="Arial"/>
          <w:sz w:val="15"/>
          <w:szCs w:val="15"/>
          <w:color w:val="auto"/>
        </w:rPr>
        <w:t>) on August 20, 2009 and our Chief Executive Officer in May 2011, in connection with the Merger. In our fiscal years ended March 31, 2017 and 2016, Mr. Singh’s annual base cash salary, pursuant to his January 2010 employment agreement, as amended in June 2016, was contractually set at $395,000 and $347,500, respectively.</w:t>
      </w:r>
    </w:p>
    <w:p>
      <w:pPr>
        <w:spacing w:after="0" w:line="1" w:lineRule="exact"/>
        <w:rPr>
          <w:rFonts w:ascii="Arial" w:cs="Arial" w:eastAsia="Arial" w:hAnsi="Arial"/>
          <w:sz w:val="15"/>
          <w:szCs w:val="15"/>
          <w:color w:val="auto"/>
        </w:rPr>
      </w:pPr>
    </w:p>
    <w:p>
      <w:pPr>
        <w:ind w:left="340" w:right="20"/>
        <w:spacing w:after="0" w:line="323" w:lineRule="auto"/>
        <w:rPr>
          <w:rFonts w:ascii="Arial" w:cs="Arial" w:eastAsia="Arial" w:hAnsi="Arial"/>
          <w:sz w:val="15"/>
          <w:szCs w:val="15"/>
          <w:color w:val="auto"/>
        </w:rPr>
      </w:pPr>
      <w:r>
        <w:rPr>
          <w:rFonts w:ascii="Arial" w:cs="Arial" w:eastAsia="Arial" w:hAnsi="Arial"/>
          <w:sz w:val="16"/>
          <w:szCs w:val="16"/>
          <w:color w:val="auto"/>
        </w:rPr>
        <w:t>Pursuant to his employment agreement, Mr. Singh is eligible to receive an annual cash incentive bonus of up to fifty percent (50%) of his base cash salary. To conserve cash for our operations during our fiscal year ended March 31, 2016, Mr. Singh voluntarily refrained from receiving any cash bonus.</w:t>
      </w:r>
    </w:p>
    <w:p>
      <w:pPr>
        <w:spacing w:after="0" w:line="146" w:lineRule="exact"/>
        <w:rPr>
          <w:rFonts w:ascii="Arial" w:cs="Arial" w:eastAsia="Arial" w:hAnsi="Arial"/>
          <w:sz w:val="15"/>
          <w:szCs w:val="15"/>
          <w:color w:val="auto"/>
        </w:rPr>
      </w:pPr>
    </w:p>
    <w:p>
      <w:pPr>
        <w:ind w:left="340" w:right="140" w:hanging="332"/>
        <w:spacing w:after="0" w:line="291"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2017 and 2016, Dr. Snodgrass’ annual base cash salary, pursuant to his January 2010 employment agreement, as amended in June 2016, was contractually set at $350,000 and $305,000, respectively. Pursuant to his employment agreement, Dr. Snodgrass is eligible to receive an annual cash incentive bonus of up to fifty percent (50%) of his base cash salary. To conserve cash for our operations during our fiscal years ended March 31, 2016 and 2015, Dr. Snodgrass voluntarily refrained from receiving any cash bonus.</w:t>
      </w:r>
    </w:p>
    <w:p>
      <w:pPr>
        <w:spacing w:after="0" w:line="174" w:lineRule="exact"/>
        <w:rPr>
          <w:rFonts w:ascii="Arial" w:cs="Arial" w:eastAsia="Arial" w:hAnsi="Arial"/>
          <w:sz w:val="16"/>
          <w:szCs w:val="16"/>
          <w:color w:val="auto"/>
        </w:rPr>
      </w:pPr>
    </w:p>
    <w:p>
      <w:pPr>
        <w:ind w:left="340" w:right="40" w:hanging="332"/>
        <w:spacing w:after="0" w:line="268"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Dr. Smith became our Chief Medical Officer upon his employment effective June 18, 2016. During our fiscal year ended March 31, 2017, Dr. Smith’s annual base cash salary was $350,000.</w:t>
      </w:r>
    </w:p>
    <w:p>
      <w:pPr>
        <w:spacing w:after="0" w:line="185" w:lineRule="exact"/>
        <w:rPr>
          <w:rFonts w:ascii="Arial" w:cs="Arial" w:eastAsia="Arial" w:hAnsi="Arial"/>
          <w:sz w:val="18"/>
          <w:szCs w:val="18"/>
          <w:color w:val="auto"/>
        </w:rPr>
      </w:pPr>
    </w:p>
    <w:p>
      <w:pPr>
        <w:ind w:left="340" w:right="60" w:hanging="332"/>
        <w:spacing w:after="0" w:line="306"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Mr. Dotson served as Chief Financial Officer on a part-time contract basis from September 19, 2011 through August 2012, at which time he became our full-time employee. In our fiscal years ended March 31, 2017 and 2016, Mr. Dotson’s annual base cash salary was $300,000 and $250,000, respectively. To conserve cash for our operations, Mr. Dotson did not receive a cash bonus in our fiscal year ended March 31, 2016.</w:t>
      </w:r>
    </w:p>
    <w:p>
      <w:pPr>
        <w:spacing w:after="0" w:line="160" w:lineRule="exact"/>
        <w:rPr>
          <w:rFonts w:ascii="Arial" w:cs="Arial" w:eastAsia="Arial" w:hAnsi="Arial"/>
          <w:sz w:val="16"/>
          <w:szCs w:val="16"/>
          <w:color w:val="auto"/>
        </w:rPr>
      </w:pPr>
    </w:p>
    <w:p>
      <w:pPr>
        <w:ind w:left="340" w:right="80" w:hanging="332"/>
        <w:spacing w:after="0" w:line="289"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amounts in the Option and Warrant Awards column represent the aggregate grant date fair value of options and/or warrants to purchase restricted shares of our common stock awarded to Mr. Singh, Dr. Snodgrass, Dr. Smith and Mr. Dotson, and, in Fiscal 2016, the effect of modifications to prior grants of warrants, occurring during the fiscal year presented, computed in accordance with the Financial Accounting Standards Board’s Accounting Standards Codification Topic 718, Compensation – Stock Compensation (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payments actually received by Mr. Singh, Dr. Snodgrass, Dr. Smith or Mr. Dotson with respect to any of such options or warrants to purchase restricted shares of our common stock awarded to them or modified during the periods presented. To date, Mr. Singh, Dr. Snodgrass, Dr. Smith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172" w:lineRule="exact"/>
        <w:rPr>
          <w:rFonts w:ascii="Arial" w:cs="Arial" w:eastAsia="Arial" w:hAnsi="Arial"/>
          <w:sz w:val="16"/>
          <w:szCs w:val="16"/>
          <w:color w:val="auto"/>
        </w:rPr>
      </w:pPr>
    </w:p>
    <w:p>
      <w:pPr>
        <w:ind w:left="340" w:right="40" w:hanging="332"/>
        <w:spacing w:after="0" w:line="33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Singh, Dr. Snodgrass, Dr. Smith and Mr. Dotson during Fiscal 2017 and the assumptions used in the Black Scholes Option Pricing Model to determine the grant date fair values of the respective awards and modifications.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0"/>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200" w:type="dxa"/>
            <w:vAlign w:val="bottom"/>
          </w:tcPr>
          <w:p>
            <w:pPr>
              <w:spacing w:after="0"/>
              <w:rPr>
                <w:sz w:val="24"/>
                <w:szCs w:val="24"/>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Option Grant</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Option Grant</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w w:val="92"/>
              </w:rPr>
              <w:t>6/19/2016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w w:val="92"/>
              </w:rPr>
              <w:t>11/9/2016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Singh</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484,700</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272,510</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Snodgrass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302,938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218,008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520,946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436,230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Dotson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181,763</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136,255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1,405,631</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844,781</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2,250,412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Exercise price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79.82%</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83.17%</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Dividend rate</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Fair value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40" w:right="40" w:hanging="332"/>
        <w:spacing w:after="0" w:line="370" w:lineRule="auto"/>
        <w:tabs>
          <w:tab w:leader="none" w:pos="3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table below provides information regarding the warrant awards and modifications we granted to Mr. Singh, Dr. Snodgrass and Mr. Dotson during fiscal 2016 and the assumptions used in the Black Scholes Option Pricing Model to determine the grant date fair values of the respective awards and modifications.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Warrant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w w:val="91"/>
              </w:rPr>
              <w:t>Warrant Grant</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w w:val="97"/>
              </w:rPr>
              <w:t>Modification</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w w:val="96"/>
              </w:rPr>
              <w:t>9/2/2015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11/11/2015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1,420,332</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209,242</w:t>
            </w: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1,629,574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Snodgrass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852,199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132,826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985,025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Dotson</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568,133</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67,164</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635,297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2,840,664</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409,232</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3,249,896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(except shares)</w:t>
            </w: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Before</w:t>
            </w:r>
          </w:p>
        </w:tc>
        <w:tc>
          <w:tcPr>
            <w:tcW w:w="340" w:type="dxa"/>
            <w:vAlign w:val="bottom"/>
          </w:tcPr>
          <w:p>
            <w:pPr>
              <w:spacing w:after="0"/>
              <w:rPr>
                <w:sz w:val="19"/>
                <w:szCs w:val="19"/>
                <w:color w:val="auto"/>
              </w:rPr>
            </w:pPr>
          </w:p>
        </w:tc>
        <w:tc>
          <w:tcPr>
            <w:tcW w:w="740" w:type="dxa"/>
            <w:vAlign w:val="bottom"/>
          </w:tcPr>
          <w:p>
            <w:pPr>
              <w:jc w:val="right"/>
              <w:ind w:right="272"/>
              <w:spacing w:after="0"/>
              <w:rPr>
                <w:sz w:val="20"/>
                <w:szCs w:val="20"/>
                <w:color w:val="auto"/>
              </w:rPr>
            </w:pPr>
            <w:r>
              <w:rPr>
                <w:rFonts w:ascii="Arial" w:cs="Arial" w:eastAsia="Arial" w:hAnsi="Arial"/>
                <w:sz w:val="18"/>
                <w:szCs w:val="18"/>
                <w:color w:val="auto"/>
                <w:w w:val="94"/>
              </w:rPr>
              <w:t>After</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9.99</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Volatility</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77.19%</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78.8%</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Dividend rate</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Fair value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3.67</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952,803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Mr. Singh, Dr. Snodgrass and Mr. Dotson were granted warrants to purchase 250,000, 150,000 and 100,000 restricted shares of our common stock, respectively. We modified warrants to purchase an aggregate of 477,803 shares, 310,000 shares and 165,000 shares held by Mr. Singh, Dr. Snodgrass and Mr. Dotson,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 of the NEOs is entitled to perquisites or other personal benefits that, in the aggregate, are worth over $50,000 or over 10% of their base salary.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95" w:name="page96"/>
    <w:bookmarkEnd w:id="9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Warrants Granted to NEOs</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restricted shares of our common stock held by each of the named executive officers as of March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Number of Securities</w:t>
            </w:r>
          </w:p>
        </w:tc>
        <w:tc>
          <w:tcPr>
            <w:tcW w:w="2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Number of Securities</w:t>
            </w: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Option</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Underlying</w:t>
            </w:r>
          </w:p>
        </w:tc>
        <w:tc>
          <w:tcPr>
            <w:tcW w:w="2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Underlying</w:t>
            </w: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Unexercised Options</w:t>
            </w:r>
          </w:p>
        </w:tc>
        <w:tc>
          <w:tcPr>
            <w:tcW w:w="2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Unexercised Options</w:t>
            </w: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 Exercisable</w:t>
            </w: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 Unexercisable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11/4/2019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4/26/2021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1,786</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160" w:type="dxa"/>
            <w:vAlign w:val="bottom"/>
            <w:gridSpan w:val="2"/>
          </w:tcPr>
          <w:p>
            <w:pPr>
              <w:jc w:val="right"/>
              <w:ind w:right="300"/>
              <w:spacing w:after="0" w:line="216" w:lineRule="exact"/>
              <w:rPr>
                <w:sz w:val="20"/>
                <w:szCs w:val="20"/>
                <w:color w:val="auto"/>
              </w:rPr>
            </w:pPr>
            <w:r>
              <w:rPr>
                <w:rFonts w:ascii="Arial" w:cs="Arial" w:eastAsia="Arial" w:hAnsi="Arial"/>
                <w:sz w:val="18"/>
                <w:szCs w:val="18"/>
                <w:color w:val="auto"/>
              </w:rPr>
              <w:t>200,000</w:t>
            </w:r>
            <w:r>
              <w:rPr>
                <w:rFonts w:ascii="Arial" w:cs="Arial" w:eastAsia="Arial" w:hAnsi="Arial"/>
                <w:sz w:val="24"/>
                <w:szCs w:val="24"/>
                <w:color w:val="auto"/>
                <w:vertAlign w:val="subscript"/>
              </w:rPr>
              <w:t>(1)</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320"/>
              <w:spacing w:after="0" w:line="197" w:lineRule="exact"/>
              <w:rPr>
                <w:sz w:val="20"/>
                <w:szCs w:val="20"/>
                <w:color w:val="auto"/>
              </w:rPr>
            </w:pPr>
            <w:r>
              <w:rPr>
                <w:rFonts w:ascii="Arial" w:cs="Arial" w:eastAsia="Arial" w:hAnsi="Arial"/>
                <w:sz w:val="16"/>
                <w:szCs w:val="16"/>
                <w:color w:val="auto"/>
              </w:rPr>
              <w:t>11,111</w:t>
            </w:r>
            <w:r>
              <w:rPr>
                <w:rFonts w:ascii="Arial" w:cs="Arial" w:eastAsia="Arial" w:hAnsi="Arial"/>
                <w:sz w:val="22"/>
                <w:szCs w:val="22"/>
                <w:color w:val="auto"/>
                <w:vertAlign w:val="subscript"/>
              </w:rPr>
              <w:t>(2)</w:t>
            </w:r>
          </w:p>
        </w:tc>
        <w:tc>
          <w:tcPr>
            <w:tcW w:w="2160" w:type="dxa"/>
            <w:vAlign w:val="bottom"/>
            <w:gridSpan w:val="2"/>
            <w:shd w:val="clear" w:color="auto" w:fill="CCEEFF"/>
          </w:tcPr>
          <w:p>
            <w:pPr>
              <w:jc w:val="right"/>
              <w:ind w:right="300"/>
              <w:spacing w:after="0" w:line="197" w:lineRule="exact"/>
              <w:rPr>
                <w:sz w:val="20"/>
                <w:szCs w:val="20"/>
                <w:color w:val="auto"/>
              </w:rPr>
            </w:pPr>
            <w:r>
              <w:rPr>
                <w:rFonts w:ascii="Arial" w:cs="Arial" w:eastAsia="Arial" w:hAnsi="Arial"/>
                <w:sz w:val="16"/>
                <w:szCs w:val="16"/>
                <w:color w:val="auto"/>
              </w:rPr>
              <w:t>88,889</w:t>
            </w:r>
            <w:r>
              <w:rPr>
                <w:rFonts w:ascii="Arial" w:cs="Arial" w:eastAsia="Arial" w:hAnsi="Arial"/>
                <w:sz w:val="22"/>
                <w:szCs w:val="22"/>
                <w:color w:val="auto"/>
                <w:vertAlign w:val="subscript"/>
              </w:rPr>
              <w:t>(2)</w:t>
            </w:r>
          </w:p>
        </w:tc>
        <w:tc>
          <w:tcPr>
            <w:tcW w:w="19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3.80</w:t>
            </w:r>
          </w:p>
        </w:tc>
        <w:tc>
          <w:tcPr>
            <w:tcW w:w="17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820"/>
              <w:spacing w:after="0"/>
              <w:rPr>
                <w:sz w:val="20"/>
                <w:szCs w:val="20"/>
                <w:color w:val="auto"/>
              </w:rPr>
            </w:pPr>
            <w:r>
              <w:rPr>
                <w:rFonts w:ascii="Arial" w:cs="Arial" w:eastAsia="Arial" w:hAnsi="Arial"/>
                <w:sz w:val="18"/>
                <w:szCs w:val="18"/>
                <w:color w:val="auto"/>
              </w:rPr>
              <w:t>Total:</w:t>
            </w:r>
          </w:p>
        </w:tc>
        <w:tc>
          <w:tcPr>
            <w:tcW w:w="1720" w:type="dxa"/>
            <w:vAlign w:val="bottom"/>
          </w:tcPr>
          <w:p>
            <w:pPr>
              <w:jc w:val="right"/>
              <w:spacing w:after="0"/>
              <w:rPr>
                <w:sz w:val="20"/>
                <w:szCs w:val="20"/>
                <w:color w:val="auto"/>
              </w:rPr>
            </w:pPr>
            <w:r>
              <w:rPr>
                <w:rFonts w:ascii="Arial" w:cs="Arial" w:eastAsia="Arial" w:hAnsi="Arial"/>
                <w:sz w:val="18"/>
                <w:szCs w:val="18"/>
                <w:color w:val="auto"/>
              </w:rPr>
              <w:t>673,289</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288,889</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H. Ralph Snodgrass, Ph.D.</w:t>
            </w:r>
          </w:p>
        </w:tc>
        <w:tc>
          <w:tcPr>
            <w:tcW w:w="1720" w:type="dxa"/>
            <w:vAlign w:val="bottom"/>
          </w:tcPr>
          <w:p>
            <w:pPr>
              <w:jc w:val="right"/>
              <w:spacing w:after="0"/>
              <w:rPr>
                <w:sz w:val="20"/>
                <w:szCs w:val="20"/>
                <w:color w:val="auto"/>
              </w:rPr>
            </w:pPr>
            <w:r>
              <w:rPr>
                <w:rFonts w:ascii="Arial" w:cs="Arial" w:eastAsia="Arial" w:hAnsi="Arial"/>
                <w:sz w:val="18"/>
                <w:szCs w:val="18"/>
                <w:color w:val="auto"/>
              </w:rPr>
              <w:t>2,500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12,500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9/20/2020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160" w:type="dxa"/>
            <w:vAlign w:val="bottom"/>
            <w:gridSpan w:val="2"/>
          </w:tcPr>
          <w:p>
            <w:pPr>
              <w:jc w:val="right"/>
              <w:ind w:right="300"/>
              <w:spacing w:after="0" w:line="216" w:lineRule="exact"/>
              <w:rPr>
                <w:sz w:val="20"/>
                <w:szCs w:val="20"/>
                <w:color w:val="auto"/>
              </w:rPr>
            </w:pPr>
            <w:r>
              <w:rPr>
                <w:rFonts w:ascii="Arial" w:cs="Arial" w:eastAsia="Arial" w:hAnsi="Arial"/>
                <w:sz w:val="18"/>
                <w:szCs w:val="18"/>
                <w:color w:val="auto"/>
              </w:rPr>
              <w:t>125,000</w:t>
            </w:r>
            <w:r>
              <w:rPr>
                <w:rFonts w:ascii="Arial" w:cs="Arial" w:eastAsia="Arial" w:hAnsi="Arial"/>
                <w:sz w:val="24"/>
                <w:szCs w:val="24"/>
                <w:color w:val="auto"/>
                <w:vertAlign w:val="subscript"/>
              </w:rPr>
              <w:t>(1)</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320"/>
              <w:spacing w:after="0" w:line="197" w:lineRule="exact"/>
              <w:rPr>
                <w:sz w:val="20"/>
                <w:szCs w:val="20"/>
                <w:color w:val="auto"/>
              </w:rPr>
            </w:pPr>
            <w:r>
              <w:rPr>
                <w:rFonts w:ascii="Arial" w:cs="Arial" w:eastAsia="Arial" w:hAnsi="Arial"/>
                <w:sz w:val="16"/>
                <w:szCs w:val="16"/>
                <w:color w:val="auto"/>
              </w:rPr>
              <w:t>8,888</w:t>
            </w:r>
            <w:r>
              <w:rPr>
                <w:rFonts w:ascii="Arial" w:cs="Arial" w:eastAsia="Arial" w:hAnsi="Arial"/>
                <w:sz w:val="22"/>
                <w:szCs w:val="22"/>
                <w:color w:val="auto"/>
                <w:vertAlign w:val="subscript"/>
              </w:rPr>
              <w:t>(2)</w:t>
            </w:r>
          </w:p>
        </w:tc>
        <w:tc>
          <w:tcPr>
            <w:tcW w:w="2160" w:type="dxa"/>
            <w:vAlign w:val="bottom"/>
            <w:gridSpan w:val="2"/>
            <w:shd w:val="clear" w:color="auto" w:fill="CCEEFF"/>
          </w:tcPr>
          <w:p>
            <w:pPr>
              <w:jc w:val="right"/>
              <w:ind w:right="300"/>
              <w:spacing w:after="0" w:line="197" w:lineRule="exact"/>
              <w:rPr>
                <w:sz w:val="20"/>
                <w:szCs w:val="20"/>
                <w:color w:val="auto"/>
              </w:rPr>
            </w:pPr>
            <w:r>
              <w:rPr>
                <w:rFonts w:ascii="Arial" w:cs="Arial" w:eastAsia="Arial" w:hAnsi="Arial"/>
                <w:sz w:val="16"/>
                <w:szCs w:val="16"/>
                <w:color w:val="auto"/>
              </w:rPr>
              <w:t>71,112</w:t>
            </w:r>
            <w:r>
              <w:rPr>
                <w:rFonts w:ascii="Arial" w:cs="Arial" w:eastAsia="Arial" w:hAnsi="Arial"/>
                <w:sz w:val="22"/>
                <w:szCs w:val="22"/>
                <w:color w:val="auto"/>
                <w:vertAlign w:val="subscript"/>
              </w:rPr>
              <w:t>(2)</w:t>
            </w:r>
          </w:p>
        </w:tc>
        <w:tc>
          <w:tcPr>
            <w:tcW w:w="19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3.80</w:t>
            </w:r>
          </w:p>
        </w:tc>
        <w:tc>
          <w:tcPr>
            <w:tcW w:w="17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820"/>
              <w:spacing w:after="0"/>
              <w:rPr>
                <w:sz w:val="20"/>
                <w:szCs w:val="20"/>
                <w:color w:val="auto"/>
              </w:rPr>
            </w:pPr>
            <w:r>
              <w:rPr>
                <w:rFonts w:ascii="Arial" w:cs="Arial" w:eastAsia="Arial" w:hAnsi="Arial"/>
                <w:sz w:val="18"/>
                <w:szCs w:val="18"/>
                <w:color w:val="auto"/>
              </w:rPr>
              <w:t>Total:</w:t>
            </w:r>
          </w:p>
        </w:tc>
        <w:tc>
          <w:tcPr>
            <w:tcW w:w="1720" w:type="dxa"/>
            <w:vAlign w:val="bottom"/>
          </w:tcPr>
          <w:p>
            <w:pPr>
              <w:jc w:val="right"/>
              <w:spacing w:after="0"/>
              <w:rPr>
                <w:sz w:val="20"/>
                <w:szCs w:val="20"/>
                <w:color w:val="auto"/>
              </w:rPr>
            </w:pPr>
            <w:r>
              <w:rPr>
                <w:rFonts w:ascii="Arial" w:cs="Arial" w:eastAsia="Arial" w:hAnsi="Arial"/>
                <w:sz w:val="18"/>
                <w:szCs w:val="18"/>
                <w:color w:val="auto"/>
              </w:rPr>
              <w:t>335,138</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196,112</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Mark A. Smith, M.D. Ph.D.</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160" w:type="dxa"/>
            <w:vAlign w:val="bottom"/>
            <w:gridSpan w:val="2"/>
          </w:tcPr>
          <w:p>
            <w:pPr>
              <w:jc w:val="right"/>
              <w:ind w:right="300"/>
              <w:spacing w:after="0" w:line="216" w:lineRule="exact"/>
              <w:rPr>
                <w:sz w:val="20"/>
                <w:szCs w:val="20"/>
                <w:color w:val="auto"/>
              </w:rPr>
            </w:pPr>
            <w:r>
              <w:rPr>
                <w:rFonts w:ascii="Arial" w:cs="Arial" w:eastAsia="Arial" w:hAnsi="Arial"/>
                <w:sz w:val="18"/>
                <w:szCs w:val="18"/>
                <w:color w:val="auto"/>
              </w:rPr>
              <w:t>180,000</w:t>
            </w:r>
            <w:r>
              <w:rPr>
                <w:rFonts w:ascii="Arial" w:cs="Arial" w:eastAsia="Arial" w:hAnsi="Arial"/>
                <w:sz w:val="24"/>
                <w:szCs w:val="24"/>
                <w:color w:val="auto"/>
                <w:vertAlign w:val="subscript"/>
              </w:rPr>
              <w:t>(1)</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320"/>
              <w:spacing w:after="0" w:line="197" w:lineRule="exact"/>
              <w:rPr>
                <w:sz w:val="20"/>
                <w:szCs w:val="20"/>
                <w:color w:val="auto"/>
              </w:rPr>
            </w:pPr>
            <w:r>
              <w:rPr>
                <w:rFonts w:ascii="Arial" w:cs="Arial" w:eastAsia="Arial" w:hAnsi="Arial"/>
                <w:sz w:val="16"/>
                <w:szCs w:val="16"/>
                <w:color w:val="auto"/>
              </w:rPr>
              <w:t>8,888</w:t>
            </w:r>
            <w:r>
              <w:rPr>
                <w:rFonts w:ascii="Arial" w:cs="Arial" w:eastAsia="Arial" w:hAnsi="Arial"/>
                <w:sz w:val="22"/>
                <w:szCs w:val="22"/>
                <w:color w:val="auto"/>
                <w:vertAlign w:val="subscript"/>
              </w:rPr>
              <w:t>(2)</w:t>
            </w:r>
          </w:p>
        </w:tc>
        <w:tc>
          <w:tcPr>
            <w:tcW w:w="2160" w:type="dxa"/>
            <w:vAlign w:val="bottom"/>
            <w:gridSpan w:val="2"/>
            <w:shd w:val="clear" w:color="auto" w:fill="CCEEFF"/>
          </w:tcPr>
          <w:p>
            <w:pPr>
              <w:jc w:val="right"/>
              <w:ind w:right="300"/>
              <w:spacing w:after="0" w:line="197" w:lineRule="exact"/>
              <w:rPr>
                <w:sz w:val="20"/>
                <w:szCs w:val="20"/>
                <w:color w:val="auto"/>
              </w:rPr>
            </w:pPr>
            <w:r>
              <w:rPr>
                <w:rFonts w:ascii="Arial" w:cs="Arial" w:eastAsia="Arial" w:hAnsi="Arial"/>
                <w:sz w:val="16"/>
                <w:szCs w:val="16"/>
                <w:color w:val="auto"/>
              </w:rPr>
              <w:t>71,112</w:t>
            </w:r>
            <w:r>
              <w:rPr>
                <w:rFonts w:ascii="Arial" w:cs="Arial" w:eastAsia="Arial" w:hAnsi="Arial"/>
                <w:sz w:val="22"/>
                <w:szCs w:val="22"/>
                <w:color w:val="auto"/>
                <w:vertAlign w:val="subscript"/>
              </w:rPr>
              <w:t>(2)</w:t>
            </w:r>
          </w:p>
        </w:tc>
        <w:tc>
          <w:tcPr>
            <w:tcW w:w="19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3.80</w:t>
            </w:r>
          </w:p>
        </w:tc>
        <w:tc>
          <w:tcPr>
            <w:tcW w:w="17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820"/>
              <w:spacing w:after="0"/>
              <w:rPr>
                <w:sz w:val="20"/>
                <w:szCs w:val="20"/>
                <w:color w:val="auto"/>
              </w:rPr>
            </w:pPr>
            <w:r>
              <w:rPr>
                <w:rFonts w:ascii="Arial" w:cs="Arial" w:eastAsia="Arial" w:hAnsi="Arial"/>
                <w:sz w:val="18"/>
                <w:szCs w:val="18"/>
                <w:color w:val="auto"/>
              </w:rPr>
              <w:t>Total:</w:t>
            </w:r>
          </w:p>
        </w:tc>
        <w:tc>
          <w:tcPr>
            <w:tcW w:w="1720" w:type="dxa"/>
            <w:vAlign w:val="bottom"/>
          </w:tcPr>
          <w:p>
            <w:pPr>
              <w:jc w:val="right"/>
              <w:spacing w:after="0"/>
              <w:rPr>
                <w:sz w:val="20"/>
                <w:szCs w:val="20"/>
                <w:color w:val="auto"/>
              </w:rPr>
            </w:pPr>
            <w:r>
              <w:rPr>
                <w:rFonts w:ascii="Arial" w:cs="Arial" w:eastAsia="Arial" w:hAnsi="Arial"/>
                <w:sz w:val="18"/>
                <w:szCs w:val="18"/>
                <w:color w:val="auto"/>
              </w:rPr>
              <w:t>8,888</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251,112</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Jerrold D. Dotson</w:t>
            </w:r>
          </w:p>
        </w:tc>
        <w:tc>
          <w:tcPr>
            <w:tcW w:w="1720" w:type="dxa"/>
            <w:vAlign w:val="bottom"/>
          </w:tcPr>
          <w:p>
            <w:pPr>
              <w:jc w:val="right"/>
              <w:spacing w:after="0"/>
              <w:rPr>
                <w:sz w:val="20"/>
                <w:szCs w:val="20"/>
                <w:color w:val="auto"/>
              </w:rPr>
            </w:pPr>
            <w:r>
              <w:rPr>
                <w:rFonts w:ascii="Arial" w:cs="Arial" w:eastAsia="Arial" w:hAnsi="Arial"/>
                <w:sz w:val="18"/>
                <w:szCs w:val="18"/>
                <w:color w:val="auto"/>
              </w:rPr>
              <w:t>5,001</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10/30/2022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300"/>
              <w:spacing w:after="0" w:line="216" w:lineRule="exact"/>
              <w:rPr>
                <w:sz w:val="20"/>
                <w:szCs w:val="20"/>
                <w:color w:val="auto"/>
              </w:rPr>
            </w:pPr>
            <w:r>
              <w:rPr>
                <w:rFonts w:ascii="Arial" w:cs="Arial" w:eastAsia="Arial" w:hAnsi="Arial"/>
                <w:sz w:val="18"/>
                <w:szCs w:val="18"/>
                <w:color w:val="auto"/>
              </w:rPr>
              <w:t>75,000</w:t>
            </w:r>
            <w:r>
              <w:rPr>
                <w:rFonts w:ascii="Arial" w:cs="Arial" w:eastAsia="Arial" w:hAnsi="Arial"/>
                <w:sz w:val="24"/>
                <w:szCs w:val="24"/>
                <w:color w:val="auto"/>
                <w:vertAlign w:val="subscript"/>
              </w:rPr>
              <w:t>(1)</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320"/>
              <w:spacing w:after="0" w:line="197" w:lineRule="exact"/>
              <w:rPr>
                <w:sz w:val="20"/>
                <w:szCs w:val="20"/>
                <w:color w:val="auto"/>
              </w:rPr>
            </w:pPr>
            <w:r>
              <w:rPr>
                <w:rFonts w:ascii="Arial" w:cs="Arial" w:eastAsia="Arial" w:hAnsi="Arial"/>
                <w:sz w:val="16"/>
                <w:szCs w:val="16"/>
                <w:color w:val="auto"/>
              </w:rPr>
              <w:t>5,555</w:t>
            </w:r>
            <w:r>
              <w:rPr>
                <w:rFonts w:ascii="Arial" w:cs="Arial" w:eastAsia="Arial" w:hAnsi="Arial"/>
                <w:sz w:val="22"/>
                <w:szCs w:val="22"/>
                <w:color w:val="auto"/>
                <w:vertAlign w:val="subscript"/>
              </w:rPr>
              <w:t>(2)</w:t>
            </w:r>
          </w:p>
        </w:tc>
        <w:tc>
          <w:tcPr>
            <w:tcW w:w="2160" w:type="dxa"/>
            <w:vAlign w:val="bottom"/>
            <w:gridSpan w:val="2"/>
          </w:tcPr>
          <w:p>
            <w:pPr>
              <w:jc w:val="right"/>
              <w:ind w:right="300"/>
              <w:spacing w:after="0" w:line="197" w:lineRule="exact"/>
              <w:rPr>
                <w:sz w:val="20"/>
                <w:szCs w:val="20"/>
                <w:color w:val="auto"/>
              </w:rPr>
            </w:pPr>
            <w:r>
              <w:rPr>
                <w:rFonts w:ascii="Arial" w:cs="Arial" w:eastAsia="Arial" w:hAnsi="Arial"/>
                <w:sz w:val="16"/>
                <w:szCs w:val="16"/>
                <w:color w:val="auto"/>
              </w:rPr>
              <w:t>44,445</w:t>
            </w:r>
            <w:r>
              <w:rPr>
                <w:rFonts w:ascii="Arial" w:cs="Arial" w:eastAsia="Arial" w:hAnsi="Arial"/>
                <w:sz w:val="22"/>
                <w:szCs w:val="22"/>
                <w:color w:val="auto"/>
                <w:vertAlign w:val="subscript"/>
              </w:rPr>
              <w:t>(2)</w:t>
            </w:r>
          </w:p>
        </w:tc>
        <w:tc>
          <w:tcPr>
            <w:tcW w:w="19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3.80</w:t>
            </w:r>
          </w:p>
        </w:tc>
        <w:tc>
          <w:tcPr>
            <w:tcW w:w="1760" w:type="dxa"/>
            <w:vAlign w:val="bottom"/>
          </w:tcPr>
          <w:p>
            <w:pPr>
              <w:jc w:val="center"/>
              <w:spacing w:after="0" w:line="196" w:lineRule="exact"/>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76,556</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119,445</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55"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granted on June 19, 2016 when the market price of our common stock was $3.49 per</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share. The option will become exercisable for 25% of the shares granted on June 19, 2017 with the remaining shares becoming exercisable ratably monthly through June 19, 2020, when all shares granted will be fully exercisable.</w:t>
      </w:r>
    </w:p>
    <w:p>
      <w:pPr>
        <w:spacing w:after="0" w:line="191" w:lineRule="exact"/>
        <w:rPr>
          <w:rFonts w:ascii="Arial" w:cs="Arial" w:eastAsia="Arial" w:hAnsi="Arial"/>
          <w:sz w:val="16"/>
          <w:szCs w:val="16"/>
          <w:color w:val="auto"/>
        </w:rPr>
      </w:pPr>
    </w:p>
    <w:p>
      <w:pPr>
        <w:ind w:left="460" w:right="28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November 9, 2016 when the market price of our common stock was $3.80 per share. The option becomes exercisable for 1/36th of the shares granted each month beginning December 9, 2016 through November 9, 2019, when all shares granted will be fully exercisable.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6" w:name="page97"/>
    <w:bookmarkEnd w:id="9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Subsequent to March 31, 2017, in April 2017 we granted options to our NEOs to purchase an aggregate total of 525,000 shares of common stock at $1.96 per share, of which 175,000 options were granted to Mr. Singh, 125,000 options were granted to each of Drs. Snodgrass and Smith, and 100,000 options were granted to Mr. Dotson. In September 2017, we granted options to our NEOs to purchase an aggregate total of 425,000 shares of common stock at $1.56 per share, of which 125,000 options were granted to Mr. Singh, 100,000 options were granted to each of Drs. Snodgrass and Smith, and 100,000 options were granted to Mr. Dotson.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employment agreements with Mr. Singh and Dr. Snodgrass.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Singh Agreement</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entered into an employment agreement with Mr. Singh on April 28, 2010. Under the agreement, as amended on June 22, 2016, Mr. Singh’s base salary was increased from $347,500 per year to $395,000 per year, effective June 16, 2016. Although under his agreement, Mr. Singh is eligible to receive an annual incentive cash bonus of up to 50% of his base salary, he has foregone any such cash bonus payment to conserve cash for our operations during our fiscal years 2012 through 2015. Mr. Singh received a cash bonus in the amount of $173,750 in July 2016, for his service during fiscal 2016. Payment of his annual incentive bonus is at the discretion of our Board of Directors. In the event we terminate Mr. Singh’s employment without cause, he is entitled to receive severance in an amount equal to:</w:t>
      </w:r>
    </w:p>
    <w:p>
      <w:pPr>
        <w:spacing w:after="0" w:line="198"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pro-rated portion of the incentive cash bonus that the Board of Directors determines in good faith that Mr. Singh earned prior to his termination; and</w:t>
      </w:r>
    </w:p>
    <w:p>
      <w:pPr>
        <w:spacing w:after="0" w:line="248"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such amounts required to reimburse him for Consolidated Omnibus Budget Reconciliation Act (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he is entitled to twelve months of his then-current base salary payable in the form of salary continuation.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Snodgrass Agreement</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entered into an employment agreement with Dr. Snodgrass on April 28, 2010. Under the agreement, as amended on June 22, 2016, Dr. Snodgrass’s base salary was increased from $305,000 per year to $350,000 per year, effective June 16, 2016. Although under his agreement, Dr. Snodgrass is eligible to receive an annual incentive cash bonus of up to 50% of his base salary, he has foregone any such cash bonus payment to conserve cash for our operations during our fiscal years 2012 through 2015. Dr. Snodgrass received a cash bonus in the amount of $152,500 in July 2016, for his service during fiscal 2016. Payment of his annual incentive bonus is at the discretion of the Board of Directors. In the event we terminate Dr. Snodgrass’s employment without cause, he is entitled to receive severance in an amount equal to:</w:t>
      </w:r>
    </w:p>
    <w:p>
      <w:pPr>
        <w:spacing w:after="0" w:line="198"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pro-rated portion of the incentive bonus that the Board of Directors determines in good faith that Dr. Snodgrass earned prior to his termination;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he is entitled to twelve months of his then-current base salary payable in the form of salary continuation.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 of Control Provisions</w:t>
      </w:r>
    </w:p>
    <w:p>
      <w:pPr>
        <w:spacing w:after="0" w:line="225"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affected by us without the executive’s consent (subject to our right to cure):</w:t>
      </w:r>
    </w:p>
    <w:p>
      <w:pPr>
        <w:spacing w:after="0" w:line="142"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7" w:name="page98"/>
    <w:bookmarkEnd w:id="9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$395,000 for Mr. Singh and $350,000 for Dr. Snodgrass, excluding the imputed value of accelerated vesting of incentive stock options, if 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We do not have a formal compensation plan for our non-employee directors. 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retainer, payable in cash or shares of common stock.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We paid our independent directors cash compensation consistent with the policy noted above during our fiscal year ended March 31, 2017. To conserve cash for our operations, we had accrued, but had not paid, our independent directors any cash compensation during the period January 1, 2012 through March 31, 2016. We paid all such unpaid amounts, aggregating $278,500, during Fiscal 2017.</w:t>
      </w:r>
    </w:p>
    <w:p>
      <w:pPr>
        <w:spacing w:after="0" w:line="1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our director compensation policy, as updated in March 2016, each independent director will also receive an annual grant of an option or warrant to purchase a minimum of 12,000 shares of our common stock, which will vest monthly over a one-year period from the date of grant. Prorated grants will be made for partial years of service. In June 2016, we granted options to purchase 25,000 shares of our common stock at $3.49 per share to each of our three independent directors. In November 2016, we granted options to purchase an additional 25,000 shares of our common stock at $3.80 to each of the three independent directors. Subsequent to March 31, 2017, in April 2017 we granted options to purchase 35,000 shares of our common stock at $1.96 per share, and in September 2017 we granted options to purchase 50,000 shares of our common stock at $1.56 per share to each of our three independent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compensation earned by our non-employee directors in our fiscal year ended March 31,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340" w:type="dxa"/>
            <w:vAlign w:val="bottom"/>
            <w:gridSpan w:val="2"/>
          </w:tcPr>
          <w:p>
            <w:pPr>
              <w:jc w:val="right"/>
              <w:ind w:right="14"/>
              <w:spacing w:after="0"/>
              <w:rPr>
                <w:sz w:val="20"/>
                <w:szCs w:val="20"/>
                <w:color w:val="auto"/>
              </w:rPr>
            </w:pPr>
            <w:r>
              <w:rPr>
                <w:rFonts w:ascii="Arial" w:cs="Arial" w:eastAsia="Arial" w:hAnsi="Arial"/>
                <w:sz w:val="18"/>
                <w:szCs w:val="18"/>
                <w:b w:val="1"/>
                <w:bCs w:val="1"/>
                <w:color w:val="auto"/>
                <w:w w:val="93"/>
              </w:rPr>
              <w:t>Fees Earned 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Option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Other</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340" w:type="dxa"/>
            <w:vAlign w:val="bottom"/>
            <w:gridSpan w:val="2"/>
          </w:tcPr>
          <w:p>
            <w:pPr>
              <w:jc w:val="right"/>
              <w:ind w:right="14"/>
              <w:spacing w:after="0" w:line="217" w:lineRule="exact"/>
              <w:rPr>
                <w:sz w:val="20"/>
                <w:szCs w:val="20"/>
                <w:color w:val="auto"/>
              </w:rPr>
            </w:pPr>
            <w:r>
              <w:rPr>
                <w:rFonts w:ascii="Arial" w:cs="Arial" w:eastAsia="Arial" w:hAnsi="Arial"/>
                <w:sz w:val="18"/>
                <w:szCs w:val="18"/>
                <w:b w:val="1"/>
                <w:bCs w:val="1"/>
                <w:color w:val="auto"/>
                <w:w w:val="91"/>
              </w:rPr>
              <w:t xml:space="preserve">Paid in Cash </w:t>
            </w:r>
            <w:r>
              <w:rPr>
                <w:rFonts w:ascii="Arial" w:cs="Arial" w:eastAsia="Arial" w:hAnsi="Arial"/>
                <w:sz w:val="24"/>
                <w:szCs w:val="24"/>
                <w:b w:val="1"/>
                <w:bCs w:val="1"/>
                <w:color w:val="auto"/>
                <w:w w:val="91"/>
                <w:vertAlign w:val="superscript"/>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80"/>
              <w:spacing w:after="0" w:line="217" w:lineRule="exact"/>
              <w:rPr>
                <w:sz w:val="20"/>
                <w:szCs w:val="20"/>
                <w:color w:val="auto"/>
              </w:rPr>
            </w:pPr>
            <w:r>
              <w:rPr>
                <w:rFonts w:ascii="Arial" w:cs="Arial" w:eastAsia="Arial" w:hAnsi="Arial"/>
                <w:sz w:val="18"/>
                <w:szCs w:val="18"/>
                <w:b w:val="1"/>
                <w:bCs w:val="1"/>
                <w:color w:val="auto"/>
                <w:w w:val="82"/>
              </w:rPr>
              <w:t xml:space="preserve">Awards </w:t>
            </w:r>
            <w:r>
              <w:rPr>
                <w:rFonts w:ascii="Arial" w:cs="Arial" w:eastAsia="Arial" w:hAnsi="Arial"/>
                <w:sz w:val="24"/>
                <w:szCs w:val="24"/>
                <w:b w:val="1"/>
                <w:bCs w:val="1"/>
                <w:color w:val="auto"/>
                <w:w w:val="82"/>
                <w:vertAlign w:val="superscript"/>
              </w:rPr>
              <w:t>(2)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c>
          <w:tcPr>
            <w:tcW w:w="220" w:type="dxa"/>
            <w:vAlign w:val="bottom"/>
          </w:tcPr>
          <w:p>
            <w:pPr>
              <w:spacing w:after="0"/>
              <w:rPr>
                <w:sz w:val="18"/>
                <w:szCs w:val="18"/>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474"/>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52"/>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434"/>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(3)</w:t>
            </w:r>
          </w:p>
        </w:tc>
        <w:tc>
          <w:tcPr>
            <w:tcW w:w="720" w:type="dxa"/>
            <w:vAlign w:val="bottom"/>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159,196</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95"/>
              </w:rPr>
              <w:t>(6)</w:t>
            </w:r>
          </w:p>
        </w:tc>
        <w:tc>
          <w:tcPr>
            <w:tcW w:w="8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(4)</w:t>
            </w:r>
          </w:p>
        </w:tc>
        <w:tc>
          <w:tcPr>
            <w:tcW w:w="720" w:type="dxa"/>
            <w:vAlign w:val="bottom"/>
          </w:tcPr>
          <w:p>
            <w:pPr>
              <w:jc w:val="right"/>
              <w:ind w:right="558"/>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57,500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159,196</w:t>
            </w:r>
          </w:p>
        </w:tc>
        <w:tc>
          <w:tcPr>
            <w:tcW w:w="320" w:type="dxa"/>
            <w:vAlign w:val="bottom"/>
          </w:tcPr>
          <w:p>
            <w:pPr>
              <w:jc w:val="right"/>
              <w:ind w:right="99"/>
              <w:spacing w:after="0"/>
              <w:rPr>
                <w:sz w:val="20"/>
                <w:szCs w:val="20"/>
                <w:color w:val="auto"/>
              </w:rPr>
            </w:pPr>
            <w:r>
              <w:rPr>
                <w:rFonts w:ascii="Arial" w:cs="Arial" w:eastAsia="Arial" w:hAnsi="Arial"/>
                <w:sz w:val="12"/>
                <w:szCs w:val="12"/>
                <w:color w:val="auto"/>
                <w:w w:val="95"/>
              </w:rPr>
              <w:t>(6)</w:t>
            </w:r>
          </w:p>
        </w:tc>
        <w:tc>
          <w:tcPr>
            <w:tcW w:w="82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216,696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(5)</w:t>
            </w:r>
          </w:p>
        </w:tc>
        <w:tc>
          <w:tcPr>
            <w:tcW w:w="720" w:type="dxa"/>
            <w:vAlign w:val="bottom"/>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159,196</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95"/>
              </w:rPr>
              <w:t>(6)</w:t>
            </w:r>
          </w:p>
        </w:tc>
        <w:tc>
          <w:tcPr>
            <w:tcW w:w="8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_______________</w:t>
            </w: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20" w:right="40" w:hanging="312"/>
        <w:spacing w:after="0" w:line="298"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shown represent fees earned for service on our Board of Directors, and Audit Committee, Compensation Committee and Corporate Governance and Nominating Committee during the fiscal year ended March 31, 2017, which amounts were paid in full during the fiscal year then ended. Fees paid during Fiscal 2017 for prior years’ Board and committee service, $136,500 to Mr. Saxe, and $142,000 to Dr. Underdown, are excluded from the amounts shown as they had been reported, as appropriate, in the year in which they were accrued.</w:t>
      </w:r>
    </w:p>
    <w:p>
      <w:pPr>
        <w:spacing w:after="0" w:line="166" w:lineRule="exact"/>
        <w:rPr>
          <w:rFonts w:ascii="Arial" w:cs="Arial" w:eastAsia="Arial" w:hAnsi="Arial"/>
          <w:sz w:val="16"/>
          <w:szCs w:val="16"/>
          <w:color w:val="auto"/>
        </w:rPr>
      </w:pPr>
    </w:p>
    <w:p>
      <w:pPr>
        <w:ind w:left="320" w:right="60" w:hanging="312"/>
        <w:spacing w:after="0" w:line="290"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in the Option Awards column represent the aggregate grant date fair value of options to purchase shares of our common stock awarded to Mr. Saxe, Dr. Underdown and Dr. Gin during our fiscal year ended March 31, 2017,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payments actually received by Mr. Saxe, Dr. Underdown or Dr. Gin with respect to any of such warrants or options to purchase shares of our common stock awarded to them during the fiscal year ended March 31, 2017. To date, Mr. Saxe, Dr. Underdown and Dr. Gin have not exercised such warrants or options to purchase common stock, and there can be no assurance that any of them will ever realize any of the ASC 718 grant date fair value amounts presented in the Option and Warrant Awards column.</w:t>
      </w:r>
    </w:p>
    <w:p>
      <w:pPr>
        <w:spacing w:after="0" w:line="172" w:lineRule="exact"/>
        <w:rPr>
          <w:rFonts w:ascii="Arial" w:cs="Arial" w:eastAsia="Arial" w:hAnsi="Arial"/>
          <w:sz w:val="16"/>
          <w:szCs w:val="16"/>
          <w:color w:val="auto"/>
        </w:rPr>
      </w:pPr>
    </w:p>
    <w:p>
      <w:pPr>
        <w:ind w:left="320" w:right="20" w:hanging="312"/>
        <w:spacing w:after="0" w:line="298"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Saxe has served as the Chairman of our Board of Directors, the Chairman of our Audit Committee and a member of our Compensation Committee and Corporate Governance and Nominating Committee throughout our fiscal year ended March 31, 2017. At March 31, 2017, Mr. Saxe holds: (i) 1,875 restricted shares of our common stock; (ii) options to purchase 61,875 registered shares of our common stock, of which options to purchase 14,652 shares are exercisable; and (iii) warrants to purchase 83,250 restricted shares of our common stock, all of which are exercisable.</w:t>
      </w:r>
    </w:p>
    <w:p>
      <w:pPr>
        <w:spacing w:after="0" w:line="166" w:lineRule="exact"/>
        <w:rPr>
          <w:rFonts w:ascii="Arial" w:cs="Arial" w:eastAsia="Arial" w:hAnsi="Arial"/>
          <w:sz w:val="16"/>
          <w:szCs w:val="16"/>
          <w:color w:val="auto"/>
        </w:rPr>
      </w:pPr>
    </w:p>
    <w:p>
      <w:pPr>
        <w:ind w:left="320" w:right="120" w:hanging="312"/>
        <w:spacing w:after="0" w:line="298"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Dr. Underdown has served as a member of our Board of Directors, as the Chairman of our Compensation Committee and Corporate Governance and Nominating Committee and as a member of our Audit Committee throughout our fiscal year ended March 31, 2017. At March 31, 2017, Dr. Underdown holds: (i) options to purchase 59,250 registered shares of our common stock, of which options to purchase 12,027 shares are exercisable; and (ii) warrants to purchase 82,500 restricted shares of our common stock, all of which are exercisable.</w:t>
      </w:r>
    </w:p>
    <w:p>
      <w:pPr>
        <w:spacing w:after="0" w:line="166" w:lineRule="exact"/>
        <w:rPr>
          <w:rFonts w:ascii="Arial" w:cs="Arial" w:eastAsia="Arial" w:hAnsi="Arial"/>
          <w:sz w:val="16"/>
          <w:szCs w:val="16"/>
          <w:color w:val="auto"/>
        </w:rPr>
      </w:pPr>
    </w:p>
    <w:p>
      <w:pPr>
        <w:ind w:left="320" w:right="140" w:hanging="312"/>
        <w:spacing w:after="0" w:line="256"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Dr. Gin was appointed to our Board of Directors and as a member of our Audit Committee on March 29, 2016 and served in those capacities throughout our fiscal year ended March 31, 2017. Effective on April 1, 2017, Dr. Gin was also appointed as a member of the Compensation Committee and assumed chairmanship of the Corporate Governance and Nominating Committee. At March 31, 2017, Dr. Gin holds options to purchase 75,000 registered shares of our common stock of which 27,777 are exercisable.</w:t>
      </w:r>
    </w:p>
    <w:p>
      <w:pPr>
        <w:spacing w:after="0" w:line="197" w:lineRule="exact"/>
        <w:rPr>
          <w:rFonts w:ascii="Arial" w:cs="Arial" w:eastAsia="Arial" w:hAnsi="Arial"/>
          <w:sz w:val="18"/>
          <w:szCs w:val="18"/>
          <w:color w:val="auto"/>
        </w:rPr>
      </w:pPr>
    </w:p>
    <w:p>
      <w:pPr>
        <w:ind w:left="320" w:right="800" w:hanging="312"/>
        <w:spacing w:after="0" w:line="332"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Saxe, Dr. Underdown and Dr. Gin during Fiscal 2017 and the assumptions used in the Black Scholes Option Pricing Model to determine the grant date fair values of the respective awards and modifications.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6"/>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200" w:type="dxa"/>
            <w:vAlign w:val="bottom"/>
          </w:tcPr>
          <w:p>
            <w:pPr>
              <w:spacing w:after="0"/>
              <w:rPr>
                <w:sz w:val="24"/>
                <w:szCs w:val="24"/>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Option Grant</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Option Grant</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w w:val="92"/>
              </w:rPr>
              <w:t>6/19/2016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w w:val="92"/>
              </w:rPr>
              <w:t>11/9/2016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Saxe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76,803</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82,393</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Underdown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76,803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159,196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Gin</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76,803</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159,196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230,409</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247,179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Market price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Aggregate shares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Mr. Saxe, Dr. Underdown and Dr. Gin were each granted options to purchase 25,000 shares of our common stock on both of the dates indicated.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Our securities are currently listed on The NASDAQ Capital Market, which has a requirement that a majority of our directors be independent. Accordingly, we evaluate independence by the standards for director independence established by applicable laws, rules, and listing standards, including, without limitation, the standards for independent directors established by the SEC and the NASDAQ Stock Market.</w:t>
      </w:r>
    </w:p>
    <w:p>
      <w:pPr>
        <w:spacing w:after="0" w:line="1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 million or two percent of that other company’s consolidated gross revenues.</w:t>
      </w:r>
    </w:p>
    <w:p>
      <w:pPr>
        <w:spacing w:after="0" w:line="17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Dr. Underdown and Dr. Gin are “independent” as that term is defined under the applicable rules and regulations of the SEC and NASDAQ Stock Market. Our Board of Directors has also determined that Mr. Saxe, Dr. Underdown and Dr. Gin, who together comprise our audit committee, compensation committee, and corporate governance and nominating committee, satisfy the independence standards for those committees established by applicable SEC rules and NASDAQ Stock Market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1" w:name="page102"/>
    <w:bookmarkEnd w:id="10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December 8, 2017 for:</w:t>
      </w:r>
    </w:p>
    <w:p>
      <w:pPr>
        <w:spacing w:after="0" w:line="158"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Applicable percentage ownership is based on 11,848,974 shares of common stock outstanding at December 8, 2017.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December 8, 2017.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December 8, 2017. Unless otherwise noted below, the address of each beneficial owner listed in the table is c/o VistaGen Therapeutics, Inc., 343 Allerton Avenue, South San Francisco, California 94080.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2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of shares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beneficially</w:t>
            </w:r>
          </w:p>
        </w:tc>
        <w:tc>
          <w:tcPr>
            <w:tcW w:w="2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39"/>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4"/>
              </w:rPr>
              <w:t>owned</w:t>
            </w:r>
          </w:p>
        </w:tc>
        <w:tc>
          <w:tcPr>
            <w:tcW w:w="280" w:type="dxa"/>
            <w:vAlign w:val="bottom"/>
          </w:tcPr>
          <w:p>
            <w:pPr>
              <w:spacing w:after="0"/>
              <w:rPr>
                <w:sz w:val="20"/>
                <w:szCs w:val="20"/>
                <w:color w:val="auto"/>
              </w:rPr>
            </w:pPr>
          </w:p>
        </w:tc>
        <w:tc>
          <w:tcPr>
            <w:tcW w:w="1240" w:type="dxa"/>
            <w:vAlign w:val="bottom"/>
            <w:gridSpan w:val="3"/>
          </w:tcPr>
          <w:p>
            <w:pPr>
              <w:jc w:val="center"/>
              <w:ind w:right="160"/>
              <w:spacing w:after="0" w:line="232" w:lineRule="exact"/>
              <w:rPr>
                <w:sz w:val="20"/>
                <w:szCs w:val="20"/>
                <w:color w:val="auto"/>
              </w:rPr>
            </w:pPr>
            <w:r>
              <w:rPr>
                <w:rFonts w:ascii="Arial" w:cs="Arial" w:eastAsia="Arial" w:hAnsi="Arial"/>
                <w:sz w:val="18"/>
                <w:szCs w:val="18"/>
                <w:b w:val="1"/>
                <w:bCs w:val="1"/>
                <w:color w:val="auto"/>
                <w:w w:val="83"/>
              </w:rPr>
              <w:t xml:space="preserve">owned </w:t>
            </w:r>
            <w:r>
              <w:rPr>
                <w:rFonts w:ascii="Arial" w:cs="Arial" w:eastAsia="Arial" w:hAnsi="Arial"/>
                <w:sz w:val="24"/>
                <w:szCs w:val="24"/>
                <w:b w:val="1"/>
                <w:bCs w:val="1"/>
                <w:color w:val="auto"/>
                <w:w w:val="83"/>
                <w:vertAlign w:val="superscript"/>
              </w:rPr>
              <w:t>(1)</w:t>
            </w:r>
          </w:p>
        </w:tc>
        <w:tc>
          <w:tcPr>
            <w:tcW w:w="0" w:type="dxa"/>
            <w:vAlign w:val="bottom"/>
          </w:tcPr>
          <w:p>
            <w:pPr>
              <w:spacing w:after="0"/>
              <w:rPr>
                <w:sz w:val="1"/>
                <w:szCs w:val="1"/>
                <w:color w:val="auto"/>
              </w:rPr>
            </w:pPr>
          </w:p>
        </w:tc>
      </w:tr>
      <w:tr>
        <w:trPr>
          <w:trHeight w:val="214"/>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Shawn K. Singh (2)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760,021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H. Ralph Snodgrass, Ph.D. (3)</w:t>
            </w:r>
          </w:p>
        </w:tc>
        <w:tc>
          <w:tcPr>
            <w:tcW w:w="1100" w:type="dxa"/>
            <w:vAlign w:val="bottom"/>
          </w:tcPr>
          <w:p>
            <w:pPr>
              <w:jc w:val="right"/>
              <w:spacing w:after="0"/>
              <w:rPr>
                <w:sz w:val="20"/>
                <w:szCs w:val="20"/>
                <w:color w:val="auto"/>
              </w:rPr>
            </w:pPr>
            <w:r>
              <w:rPr>
                <w:rFonts w:ascii="Arial" w:cs="Arial" w:eastAsia="Arial" w:hAnsi="Arial"/>
                <w:sz w:val="18"/>
                <w:szCs w:val="18"/>
                <w:color w:val="auto"/>
              </w:rPr>
              <w:t>511,508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 (4)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146,804</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Jerrold D. Dotson (5)</w:t>
            </w:r>
          </w:p>
        </w:tc>
        <w:tc>
          <w:tcPr>
            <w:tcW w:w="1100" w:type="dxa"/>
            <w:vAlign w:val="bottom"/>
          </w:tcPr>
          <w:p>
            <w:pPr>
              <w:jc w:val="right"/>
              <w:spacing w:after="0"/>
              <w:rPr>
                <w:sz w:val="20"/>
                <w:szCs w:val="20"/>
                <w:color w:val="auto"/>
              </w:rPr>
            </w:pPr>
            <w:r>
              <w:rPr>
                <w:rFonts w:ascii="Arial" w:cs="Arial" w:eastAsia="Arial" w:hAnsi="Arial"/>
                <w:sz w:val="18"/>
                <w:szCs w:val="18"/>
                <w:color w:val="auto"/>
              </w:rPr>
              <w:t>265,262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 McPartland (6)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Jon S. Saxe (7)</w:t>
            </w:r>
          </w:p>
        </w:tc>
        <w:tc>
          <w:tcPr>
            <w:tcW w:w="1100" w:type="dxa"/>
            <w:vAlign w:val="bottom"/>
          </w:tcPr>
          <w:p>
            <w:pPr>
              <w:jc w:val="right"/>
              <w:spacing w:after="0"/>
              <w:rPr>
                <w:sz w:val="20"/>
                <w:szCs w:val="20"/>
                <w:color w:val="auto"/>
              </w:rPr>
            </w:pPr>
            <w:r>
              <w:rPr>
                <w:rFonts w:ascii="Arial" w:cs="Arial" w:eastAsia="Arial" w:hAnsi="Arial"/>
                <w:sz w:val="18"/>
                <w:szCs w:val="18"/>
                <w:color w:val="auto"/>
              </w:rPr>
              <w:t>138,840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Brian J. Underdown, Ph.D. (8)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133,589</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Jerry B. Gin, Ph.D., MBA (9)</w:t>
            </w:r>
          </w:p>
        </w:tc>
        <w:tc>
          <w:tcPr>
            <w:tcW w:w="1100" w:type="dxa"/>
            <w:vAlign w:val="bottom"/>
          </w:tcPr>
          <w:p>
            <w:pPr>
              <w:jc w:val="right"/>
              <w:spacing w:after="0"/>
              <w:rPr>
                <w:sz w:val="20"/>
                <w:szCs w:val="20"/>
                <w:color w:val="auto"/>
              </w:rPr>
            </w:pPr>
            <w:r>
              <w:rPr>
                <w:rFonts w:ascii="Arial" w:cs="Arial" w:eastAsia="Arial" w:hAnsi="Arial"/>
                <w:sz w:val="18"/>
                <w:szCs w:val="18"/>
                <w:color w:val="auto"/>
              </w:rPr>
              <w:t>216,839</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i w:val="1"/>
                <w:iCs w:val="1"/>
                <w:color w:val="auto"/>
              </w:rPr>
              <w:t>5% Stockholders: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Platinum Long Term Growth Fund VII/Montsant Partners, LLC (10)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4,317,224</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Sphera Global Healthcare Master Fund (11)</w:t>
            </w:r>
          </w:p>
        </w:tc>
        <w:tc>
          <w:tcPr>
            <w:tcW w:w="1100" w:type="dxa"/>
            <w:vAlign w:val="bottom"/>
          </w:tcPr>
          <w:p>
            <w:pPr>
              <w:jc w:val="right"/>
              <w:spacing w:after="0"/>
              <w:rPr>
                <w:sz w:val="20"/>
                <w:szCs w:val="20"/>
                <w:color w:val="auto"/>
              </w:rPr>
            </w:pPr>
            <w:r>
              <w:rPr>
                <w:rFonts w:ascii="Arial" w:cs="Arial" w:eastAsia="Arial" w:hAnsi="Arial"/>
                <w:sz w:val="18"/>
                <w:szCs w:val="18"/>
                <w:color w:val="auto"/>
              </w:rPr>
              <w:t>1,058,387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Cato BioVentures (12)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907,294</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(8 persons) (13)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2,252,296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____________________</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225"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11,848,974 shares of common stock issued and outstanding as of December 8, 2017.</w:t>
      </w:r>
    </w:p>
    <w:p>
      <w:pPr>
        <w:spacing w:after="0" w:line="225" w:lineRule="exact"/>
        <w:rPr>
          <w:rFonts w:ascii="Arial" w:cs="Arial" w:eastAsia="Arial" w:hAnsi="Arial"/>
          <w:sz w:val="18"/>
          <w:szCs w:val="18"/>
          <w:color w:val="auto"/>
        </w:rPr>
      </w:pPr>
    </w:p>
    <w:p>
      <w:pPr>
        <w:ind w:left="580" w:right="620" w:hanging="572"/>
        <w:spacing w:after="0" w:line="268"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options to purchase 255,984 shares of common stock exercisable within 60 days of December 8, 2017 and warrants to purchase 477,803 restricted shares of common stock exercisable within 60 days of December 8, 2017.</w:t>
      </w:r>
    </w:p>
    <w:p>
      <w:pPr>
        <w:spacing w:after="0" w:line="185" w:lineRule="exact"/>
        <w:rPr>
          <w:rFonts w:ascii="Arial" w:cs="Arial" w:eastAsia="Arial" w:hAnsi="Arial"/>
          <w:sz w:val="18"/>
          <w:szCs w:val="18"/>
          <w:color w:val="auto"/>
        </w:rPr>
      </w:pPr>
    </w:p>
    <w:p>
      <w:pPr>
        <w:ind w:left="580" w:right="620" w:hanging="572"/>
        <w:spacing w:after="0" w:line="268"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options to purchase 141,284 shares of common stock exercisable within 60 days of December 8, 2017 and warrants to purchase 310,000 restricted shares of common stock exercisable within 60 days of December 8, 2017.</w:t>
      </w:r>
    </w:p>
    <w:p>
      <w:pPr>
        <w:spacing w:after="0" w:line="185"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options to purchase 146,804 shares of common stock exercisable within 60 days of December 8, 2017.</w:t>
      </w:r>
    </w:p>
    <w:p>
      <w:pPr>
        <w:spacing w:after="0" w:line="225" w:lineRule="exact"/>
        <w:rPr>
          <w:rFonts w:ascii="Arial" w:cs="Arial" w:eastAsia="Arial" w:hAnsi="Arial"/>
          <w:sz w:val="18"/>
          <w:szCs w:val="18"/>
          <w:color w:val="auto"/>
        </w:rPr>
      </w:pPr>
    </w:p>
    <w:p>
      <w:pPr>
        <w:ind w:left="580" w:right="80" w:hanging="572"/>
        <w:spacing w:after="0" w:line="259"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options to purchase 100,252 shares of common stock exercisable within 60 days of December 8, 2017, including options to purchase 676 shares of common stock held by Mr. Dotson’s wife, and warrants to purchase 165,000 restricted shares of common stock exercisable within 60 days of December 8, 2017.</w:t>
      </w:r>
    </w:p>
    <w:p>
      <w:pPr>
        <w:spacing w:after="0" w:line="194"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options to purchase 79,443 shares of common stock exercisable within 60 days of December 8, 2017.</w:t>
      </w:r>
    </w:p>
    <w:p>
      <w:pPr>
        <w:spacing w:after="0" w:line="225"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options to purchase 53,714 shares of common stock exercisable within 60 days of December 8, 2017 and warrants to purchase 83,250 restricted shares of common stock exercisable within 60 days of December 8, 2017.</w:t>
      </w:r>
    </w:p>
    <w:p>
      <w:pPr>
        <w:spacing w:after="0" w:line="185"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options to purchase 51,089 shares of common stock exercisable within 60 days of December 8, 2017 and warrants to purchase 82,500 restricted shares of common stock exercisable within 60 days of December 8, 2017.</w:t>
      </w:r>
    </w:p>
    <w:p>
      <w:pPr>
        <w:spacing w:after="0" w:line="185" w:lineRule="exact"/>
        <w:rPr>
          <w:rFonts w:ascii="Arial" w:cs="Arial" w:eastAsia="Arial" w:hAnsi="Arial"/>
          <w:sz w:val="18"/>
          <w:szCs w:val="18"/>
          <w:color w:val="auto"/>
        </w:rPr>
      </w:pPr>
    </w:p>
    <w:p>
      <w:pPr>
        <w:ind w:left="580" w:right="20" w:hanging="572"/>
        <w:spacing w:after="0" w:line="298"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50,000 restricted shares of common stock held by Dr. Gin’s wife, options to purchase 66,839 shares of common stock exercisable within 60 days of December 8, 2017 and warrants to purchase 50,000 unregistered shares of common stock, including 25,000 shares held by Dr. Gin’s wife, exercisable within 60 days of December 8, 2017. Excludes warrants to purchase an aggregate of 50,000 shares of unregistered common stock (including warrants to purchase 25,000 shares held by Dr. Gin’s wife) not exercisable within 60 days of December 8, 2017.</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02" w:name="page103"/>
    <w:bookmarkEnd w:id="10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ind w:left="580" w:right="20" w:hanging="572"/>
        <w:spacing w:after="0" w:line="285" w:lineRule="auto"/>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upon information contained in SEC Form 13G/A filed on February 18, 2015 by Platinum Long Term Growth Fund VII (</w:t>
      </w:r>
      <w:r>
        <w:rPr>
          <w:rFonts w:ascii="Arial" w:cs="Arial" w:eastAsia="Arial" w:hAnsi="Arial"/>
          <w:sz w:val="16"/>
          <w:szCs w:val="16"/>
          <w:i w:val="1"/>
          <w:iCs w:val="1"/>
          <w:color w:val="auto"/>
        </w:rPr>
        <w:t>PLTG</w:t>
      </w:r>
      <w:r>
        <w:rPr>
          <w:rFonts w:ascii="Arial" w:cs="Arial" w:eastAsia="Arial" w:hAnsi="Arial"/>
          <w:sz w:val="16"/>
          <w:szCs w:val="16"/>
          <w:color w:val="auto"/>
        </w:rPr>
        <w:t>) and adjusted to give effect to the transactions consummated between PLTG, Montsant Partners, LLC (</w:t>
      </w:r>
      <w:r>
        <w:rPr>
          <w:rFonts w:ascii="Arial" w:cs="Arial" w:eastAsia="Arial" w:hAnsi="Arial"/>
          <w:sz w:val="16"/>
          <w:szCs w:val="16"/>
          <w:i w:val="1"/>
          <w:iCs w:val="1"/>
          <w:color w:val="auto"/>
        </w:rPr>
        <w:t>Montsant</w:t>
      </w:r>
      <w:r>
        <w:rPr>
          <w:rFonts w:ascii="Arial" w:cs="Arial" w:eastAsia="Arial" w:hAnsi="Arial"/>
          <w:sz w:val="16"/>
          <w:szCs w:val="16"/>
          <w:color w:val="auto"/>
        </w:rPr>
        <w:t>), a PLTG affiliate, and Platinum Partners Value Arbitrage Fund, L.P. (In Official Liquidation) (</w:t>
      </w:r>
      <w:r>
        <w:rPr>
          <w:rFonts w:ascii="Arial" w:cs="Arial" w:eastAsia="Arial" w:hAnsi="Arial"/>
          <w:sz w:val="16"/>
          <w:szCs w:val="16"/>
          <w:i w:val="1"/>
          <w:iCs w:val="1"/>
          <w:color w:val="auto"/>
        </w:rPr>
        <w:t>PPVA</w:t>
      </w:r>
      <w:r>
        <w:rPr>
          <w:rFonts w:ascii="Arial" w:cs="Arial" w:eastAsia="Arial" w:hAnsi="Arial"/>
          <w:sz w:val="16"/>
          <w:szCs w:val="16"/>
          <w:color w:val="auto"/>
        </w:rPr>
        <w:t>), and us through December 8, 2017. The number of beneficially owned shares reported includes 637,500 restricted shares of common stock that may currently be acquired by Montsant upon fixed exchange of 425,000 restricted shares of our Series A Preferred Stock (</w:t>
      </w:r>
      <w:r>
        <w:rPr>
          <w:rFonts w:ascii="Arial" w:cs="Arial" w:eastAsia="Arial" w:hAnsi="Arial"/>
          <w:sz w:val="16"/>
          <w:szCs w:val="16"/>
          <w:i w:val="1"/>
          <w:iCs w:val="1"/>
          <w:color w:val="auto"/>
        </w:rPr>
        <w:t>Series A Preferred</w:t>
      </w:r>
      <w:r>
        <w:rPr>
          <w:rFonts w:ascii="Arial" w:cs="Arial" w:eastAsia="Arial" w:hAnsi="Arial"/>
          <w:sz w:val="16"/>
          <w:szCs w:val="16"/>
          <w:color w:val="auto"/>
        </w:rPr>
        <w:t>). Pursuant to the October 11, 2012 Note Exchange and Purchase Agreement by and between us and PLTG. There is, however, a limitation on exchange such that the number of shares of our common stock that may be acquired by PLTG or its affiliates upon exchange of the Series A Preferred is limited to the extent necessary to ensure that, following such exchange, the total number of shares of our common stock then beneficially owned by PLTG or its affiliates does not exceed 9.99% of the total number of our then issued and outstanding shares of common stock without providing us with 61 days’ prior notice thereof. Further, the reported number of shares beneficially owned by Montsant also includes 1,131,669 shares of common stock pursuant to its ownership of 1,131,669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immediately convertible into a like number of shares of our common stock.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w:t>
      </w:r>
    </w:p>
    <w:p>
      <w:pPr>
        <w:spacing w:after="0" w:line="180" w:lineRule="exact"/>
        <w:rPr>
          <w:rFonts w:ascii="Arial" w:cs="Arial" w:eastAsia="Arial" w:hAnsi="Arial"/>
          <w:sz w:val="16"/>
          <w:szCs w:val="16"/>
          <w:color w:val="auto"/>
        </w:rPr>
      </w:pPr>
    </w:p>
    <w:p>
      <w:pPr>
        <w:ind w:left="580" w:right="80"/>
        <w:spacing w:after="0" w:line="288" w:lineRule="auto"/>
        <w:rPr>
          <w:rFonts w:ascii="Arial" w:cs="Arial" w:eastAsia="Arial" w:hAnsi="Arial"/>
          <w:sz w:val="16"/>
          <w:szCs w:val="16"/>
          <w:color w:val="auto"/>
        </w:rPr>
      </w:pPr>
      <w:r>
        <w:rPr>
          <w:rFonts w:ascii="Arial" w:cs="Arial" w:eastAsia="Arial" w:hAnsi="Arial"/>
          <w:sz w:val="16"/>
          <w:szCs w:val="16"/>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 immediately convertible on a fixed 1:1 conversion basis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 Excluding the shares otherwise subject to the beneficial ownership restrictions noted above, PLTG, Montsant and PPVA may be deemed to be the beneficial owner of 230,043 shares or 1.94% of our common stock.</w:t>
      </w:r>
    </w:p>
    <w:p>
      <w:pPr>
        <w:spacing w:after="0" w:line="173" w:lineRule="exact"/>
        <w:rPr>
          <w:rFonts w:ascii="Arial" w:cs="Arial" w:eastAsia="Arial" w:hAnsi="Arial"/>
          <w:sz w:val="16"/>
          <w:szCs w:val="16"/>
          <w:color w:val="auto"/>
        </w:rPr>
      </w:pPr>
    </w:p>
    <w:p>
      <w:pPr>
        <w:ind w:left="580" w:right="240"/>
        <w:spacing w:after="0" w:line="306" w:lineRule="auto"/>
        <w:rPr>
          <w:rFonts w:ascii="Arial" w:cs="Arial" w:eastAsia="Arial" w:hAnsi="Arial"/>
          <w:sz w:val="16"/>
          <w:szCs w:val="16"/>
          <w:color w:val="auto"/>
        </w:rPr>
      </w:pPr>
      <w:r>
        <w:rPr>
          <w:rFonts w:ascii="Arial" w:cs="Arial" w:eastAsia="Arial" w:hAnsi="Arial"/>
          <w:sz w:val="16"/>
          <w:szCs w:val="16"/>
          <w:color w:val="auto"/>
        </w:rPr>
        <w:t>Matthew Wright, Operating Manager of RHSW (Cayman) Ltd., and/or Moshe Feuer, Chief Executive Officer and authorized signatory of BAM may, subject to certain restrictions, be deemed to have voting and investment control over the shares held by PPVA, PLTG and/or Montsant. The address for PLTG, PPVA and Montsant is c/o BAM Administrative Services LLC, 105 Madison Avenue, 19th Floor, New York, NY 10016.</w:t>
      </w:r>
    </w:p>
    <w:p>
      <w:pPr>
        <w:spacing w:after="0" w:line="160" w:lineRule="exact"/>
        <w:rPr>
          <w:rFonts w:ascii="Arial" w:cs="Arial" w:eastAsia="Arial" w:hAnsi="Arial"/>
          <w:sz w:val="16"/>
          <w:szCs w:val="16"/>
          <w:color w:val="auto"/>
        </w:rPr>
      </w:pPr>
    </w:p>
    <w:p>
      <w:pPr>
        <w:ind w:left="580" w:hanging="572"/>
        <w:spacing w:after="0" w:line="301" w:lineRule="auto"/>
        <w:tabs>
          <w:tab w:leader="none" w:pos="5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 xml:space="preserve">Based upon information contained in SEC Form 13F filed on August 9, 2017, as updated to give effect to transactions through December 8, 2017 as recorded on our books. The number of shares reported excludes immediately exercisable warrants to purchase 482,965 registered shares of our common stock, which warrants are subject to a limitation on exercise such that the number of shares of common stock that Sphera Global Healthcare Master Fund and HFR HE Sphera Global Healthcare Master Trust (together, </w:t>
      </w:r>
      <w:r>
        <w:rPr>
          <w:rFonts w:ascii="Arial" w:cs="Arial" w:eastAsia="Arial" w:hAnsi="Arial"/>
          <w:sz w:val="15"/>
          <w:szCs w:val="15"/>
          <w:i w:val="1"/>
          <w:iCs w:val="1"/>
          <w:color w:val="auto"/>
        </w:rPr>
        <w:t>"Sphera"</w:t>
      </w:r>
      <w:r>
        <w:rPr>
          <w:rFonts w:ascii="Arial" w:cs="Arial" w:eastAsia="Arial" w:hAnsi="Arial"/>
          <w:sz w:val="15"/>
          <w:szCs w:val="15"/>
          <w:color w:val="auto"/>
        </w:rPr>
        <w:t>) may beneficially acquire upon such exercise is limited to the extent necessary to ensure that, following such exercise, the total number of shares of common stock then beneficially owned by Sphera does not exceed 4.99% of the total number of issued and outstanding shares of our common stock without providing us with 61 days’ prior notice thereof. Further excludes warrants to purchase an aggregate of 520,849 registered shares of our common stock not exercisable within 60 days of December 8, 2017 but also subject to the</w:t>
      </w:r>
    </w:p>
    <w:p>
      <w:pPr>
        <w:spacing w:after="0" w:line="4" w:lineRule="exact"/>
        <w:rPr>
          <w:rFonts w:ascii="Arial" w:cs="Arial" w:eastAsia="Arial" w:hAnsi="Arial"/>
          <w:sz w:val="15"/>
          <w:szCs w:val="15"/>
          <w:color w:val="auto"/>
        </w:rPr>
      </w:pPr>
    </w:p>
    <w:p>
      <w:pPr>
        <w:jc w:val="both"/>
        <w:ind w:left="580" w:right="180"/>
        <w:spacing w:after="0" w:line="255" w:lineRule="auto"/>
        <w:rPr>
          <w:rFonts w:ascii="Arial" w:cs="Arial" w:eastAsia="Arial" w:hAnsi="Arial"/>
          <w:sz w:val="15"/>
          <w:szCs w:val="15"/>
          <w:color w:val="auto"/>
        </w:rPr>
      </w:pPr>
      <w:r>
        <w:rPr>
          <w:rFonts w:ascii="Arial" w:cs="Arial" w:eastAsia="Arial" w:hAnsi="Arial"/>
          <w:sz w:val="18"/>
          <w:szCs w:val="18"/>
          <w:color w:val="auto"/>
        </w:rPr>
        <w:t>4.99% ownership limitation. The primary business address of Sphera Global Healthcare Master Fund and its affiliates is c/o Sphera Funds Management Ltd., 21 Ha’arba’ah Street, Tel Aviv 64739, Israel. Moshe Arkin and Sphera Funds Management Ltd. have joint voting and investment control over the shares held by Sphera.</w:t>
      </w:r>
    </w:p>
    <w:p>
      <w:pPr>
        <w:spacing w:after="0" w:line="198" w:lineRule="exact"/>
        <w:rPr>
          <w:rFonts w:ascii="Arial" w:cs="Arial" w:eastAsia="Arial" w:hAnsi="Arial"/>
          <w:sz w:val="15"/>
          <w:szCs w:val="15"/>
          <w:color w:val="auto"/>
        </w:rPr>
      </w:pPr>
    </w:p>
    <w:p>
      <w:pPr>
        <w:ind w:left="580" w:right="260" w:hanging="572"/>
        <w:spacing w:after="0" w:line="306" w:lineRule="auto"/>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upon information contained in SEC Form 4 filed on January 9, 2012, as updated to give effect to transactions through December 8, 2017 as recorded on our books. Lynda Sutton has voting and investment authority over the shares held by Cato Holding Company, dba Cato BioVentures. The primary business address of Cato BioVentures is 4364 South Alston Avenue, Durham, North Carolina 27713.</w:t>
      </w:r>
    </w:p>
    <w:p>
      <w:pPr>
        <w:spacing w:after="0" w:line="160" w:lineRule="exact"/>
        <w:rPr>
          <w:rFonts w:ascii="Arial" w:cs="Arial" w:eastAsia="Arial" w:hAnsi="Arial"/>
          <w:sz w:val="16"/>
          <w:szCs w:val="16"/>
          <w:color w:val="auto"/>
        </w:rPr>
      </w:pPr>
    </w:p>
    <w:p>
      <w:pPr>
        <w:ind w:left="580" w:right="100" w:hanging="572"/>
        <w:spacing w:after="0" w:line="268"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options to purchase an aggregate of 804,574 shares of common stock exercisable within 60 days of December 8, 2017 and warrants to purchase an aggregate of 1,118,553 restricted shares of common stock exercisable within 60 days of December 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Grants</w:t>
      </w:r>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As of March 31, 2017, options to purchase a total of 1,659,324 registered shares of our common stock were outstanding at a weighted average exercise price of $4.76 per share, of which 351,532 options were vested and exercisable at a weighted average exercise price of $8.27 per share and 1,307,792 were unvested and not exercisable at a weighted average exercise price of $3.81 per share. These options were issued under our 2016 Plan and our 1999 Plan, each as described below. At March 31, 2017, an additional 1,184,911 shares remained available for future equity grants under our 2016 Plan.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Number of</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remaining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available for</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future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Weighted-</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to be issued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5"/>
              </w:rPr>
              <w:t>average</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under equity</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upon</w:t>
            </w:r>
          </w:p>
        </w:tc>
        <w:tc>
          <w:tcPr>
            <w:tcW w:w="2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exercise price</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compensation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2"/>
              </w:rPr>
              <w:t>exercise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2"/>
              </w:rPr>
              <w:t>of</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outstanding</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(excluding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2"/>
              </w:rPr>
              <w:t>options,</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warrants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reflected in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rights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and rights</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column (a))</w:t>
            </w: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5"/>
              </w:rPr>
              <w:t>(b)</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1,184,911</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1,184,911</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Amended and Restated 2016 Stock Incentive Plan</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Our Board unanimously approved the Company’s Amended and Restated 2016 Stock Incentive Plan, formerly titled the 2008 Stock Incentive Plan (the </w:t>
      </w:r>
      <w:r>
        <w:rPr>
          <w:rFonts w:ascii="Arial" w:cs="Arial" w:eastAsia="Arial" w:hAnsi="Arial"/>
          <w:sz w:val="16"/>
          <w:szCs w:val="16"/>
          <w:i w:val="1"/>
          <w:iCs w:val="1"/>
          <w:color w:val="auto"/>
        </w:rPr>
        <w:t>2016</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 on July 26, 2016, and the 2016 Plan was approved by our stockholders at our 2016 Annual Meeting of Stockholders on September 26, 2016, and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amended on September 15, 2017. 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or non-qualified stock options. We may grant incentive stock options only to employees of the Company or any parent or subsidiary of the Company. Awards other than incentive stock options may be granted to employees, directors and consultants. A total of 10.0 million shares of our common stock are currently authorized for issuance under the 2016 Plan. As of December 7, 2017, 6,062,162 shares remain available for future equity grants under our 2016 Plan.</w:t>
      </w:r>
    </w:p>
    <w:p>
      <w:pPr>
        <w:spacing w:after="0" w:line="10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Below is a summary of the terms and conditions of the 2016 Plan. Unless otherwise indicated, all capitalized terms have the same meaning as defined in the 2016 Plan. This summary does not purport to be complete, and is qualified, in its entirety, by the specific language of the Amended and Restated 2016 Equity Incentive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2016 Plan</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Code, or non-qualified stock options. We may grant incentive stock options only to employees of the Company or any parent or subsidiary of the Company. Awards other than incentive stock options may be granted to employees, directors and consultants.</w:t>
      </w:r>
    </w:p>
    <w:p>
      <w:pPr>
        <w:spacing w:after="0" w:line="167"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The Compensation Committee of the Board of Directors, referred to as the “Committee”, administers the 2016 Plan, including selecting the Award recipients, determining the number of shares to be subject to each Award, the exercise or purchase price of each Award and the vesting and exercise periods of each Award.</w:t>
      </w:r>
    </w:p>
    <w:p>
      <w:pPr>
        <w:spacing w:after="0" w:line="1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exercise price of all incentive stock options granted under the 2016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10 years. The Committee determines the term and exercise or purchase price of all other Awards granted under the 2016 Plan.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4" w:name="page105"/>
    <w:bookmarkEnd w:id="10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39"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52"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2016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(generally 90 days) commencing on the date of termination (but in no event later than the expiration date of the term of such Award as set forth in the Award Agreement), exercise the portion of the Grantee’s Award that was vested at the date of such termination or such other portion of the Grantee’s Award as may be determined by the Committee. The Grantee’s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Grantee’s Award was unvested at the date of termination, or if the participant does not exercise the vested portion of the Grantee’s Award within the period specified in the Award Agreement of not less than 30 days commencing on the date of termination, the Award shall terminate. If termination was caused by death or disability, any options that have become exercisable prior to the time of termination, will remain exercisable for twelve months from the date of termination (unless a shorter or longer period of time is determined by the Committee).</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maximum number of shares with respect to which options and stock appreciation rights may be granted to any participant in any calendar year will be 300,000 shares of common stock. In connection with a participant’s commencement of service with the Company, a participant may be granted options and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will be 300,000 shares of common stock. The limits described in this paragraph are subject to adjustment in the event of any change in our capital structure as described below.</w:t>
      </w:r>
    </w:p>
    <w:p>
      <w:pPr>
        <w:spacing w:after="0" w:line="17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combination of, the following:</w:t>
      </w:r>
    </w:p>
    <w:p>
      <w:pPr>
        <w:spacing w:after="0" w:line="16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 in share price;</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pre-tax profit;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earnings before interest, taxes and depreciation;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economic value added;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Subject to any required action by our stockholders, the number of shares of common stock covered by outstanding Awards, the number of shares of common stock that have been authorized for issuance under the 2016 Plan, the exercise or purchase price of each outstanding Award, the maximum number of shares of common stock that may be granted subject to Awards to any participant in a calendar year, and the like, shall be proportionally adjusted by the Committee in the event of any increase or decrease in the number of issued shares of common stock resulting from certain changes in our capital structure as described in the 2016 Plan.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Under the 2016 Plan, a Corporate Transaction is generally defined as:</w:t>
      </w:r>
    </w:p>
    <w:p>
      <w:pPr>
        <w:spacing w:after="0" w:line="225" w:lineRule="exact"/>
        <w:rPr>
          <w:sz w:val="20"/>
          <w:szCs w:val="20"/>
          <w:color w:val="auto"/>
        </w:rPr>
      </w:pPr>
    </w:p>
    <w:p>
      <w:pPr>
        <w:ind w:left="660" w:hanging="328"/>
        <w:spacing w:after="0" w:line="33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39"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2016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9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Unless terminated sooner, the 2016 Plan will automatically terminate in 2026. Our Board of Directors may at any time amend, suspend or terminate the 2016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1999 Stock Incentive Plan</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VistaGen California’s Board of Directors adopted the 1999 Plan on December 6, 1999.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1999 Plan permitted VistaGen California to make grants of incentive stock options, non-qualified stock options and restricted stock awards. VistaGen California initially reserved 45,000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19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stockholder)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7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7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of December 6, 2017, we have options outstanding under the 1999 Plan to purchase an aggregate of 4,533 shares of our common stock, the last of which, if not exercised before, expire in March 2018.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CERTAIN RELATIONSHIPS AND RELATED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Securities to Cato Holding Company</w:t>
      </w:r>
    </w:p>
    <w:p>
      <w:pPr>
        <w:spacing w:after="0" w:line="23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xml:space="preserve">, was one of our largest institutional common stockholders at March 31, 2017, holding approximately 7% of our outstanding common stock. Shawn Singh, our Chief Executive Officer and member of our Board, served as Managing Principal of CBV and Chief Business Officer, and General Counsel of CRL from February 2001 until August 2009. In October 2012, we issued to CHC an unsecured promissory note in the principal amount of $310,443 (the </w:t>
      </w:r>
      <w:r>
        <w:rPr>
          <w:rFonts w:ascii="Arial" w:cs="Arial" w:eastAsia="Arial" w:hAnsi="Arial"/>
          <w:sz w:val="16"/>
          <w:szCs w:val="16"/>
          <w:i w:val="1"/>
          <w:iCs w:val="1"/>
          <w:color w:val="auto"/>
        </w:rPr>
        <w:t>2012 CHC Note</w:t>
      </w:r>
      <w:r>
        <w:rPr>
          <w:rFonts w:ascii="Arial" w:cs="Arial" w:eastAsia="Arial" w:hAnsi="Arial"/>
          <w:sz w:val="16"/>
          <w:szCs w:val="16"/>
          <w:color w:val="auto"/>
        </w:rPr>
        <w:t xml:space="preserve">) and a five-year warrant to purchase 12,500 restricted shares of the Company’s common stock at a price of $30.00 per share (the </w:t>
      </w:r>
      <w:r>
        <w:rPr>
          <w:rFonts w:ascii="Arial" w:cs="Arial" w:eastAsia="Arial" w:hAnsi="Arial"/>
          <w:sz w:val="16"/>
          <w:szCs w:val="16"/>
          <w:i w:val="1"/>
          <w:iCs w:val="1"/>
          <w:color w:val="auto"/>
        </w:rPr>
        <w:t>CHC Warrant</w:t>
      </w:r>
      <w:r>
        <w:rPr>
          <w:rFonts w:ascii="Arial" w:cs="Arial" w:eastAsia="Arial" w:hAnsi="Arial"/>
          <w:sz w:val="16"/>
          <w:szCs w:val="16"/>
          <w:color w:val="auto"/>
        </w:rPr>
        <w:t>).</w:t>
      </w:r>
    </w:p>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Also in October 2012, we issued to CRL: (i) an unsecured promissory note in the initial principal amount of $1.0 million, which was payable solely in restricted shares of our common stock and which accrued interest at the rate of 7.5% per annum, compounded monthly (the </w:t>
      </w:r>
      <w:r>
        <w:rPr>
          <w:rFonts w:ascii="Arial" w:cs="Arial" w:eastAsia="Arial" w:hAnsi="Arial"/>
          <w:sz w:val="16"/>
          <w:szCs w:val="16"/>
          <w:i w:val="1"/>
          <w:iCs w:val="1"/>
          <w:color w:val="auto"/>
        </w:rPr>
        <w:t>CRL Note</w:t>
      </w:r>
      <w:r>
        <w:rPr>
          <w:rFonts w:ascii="Arial" w:cs="Arial" w:eastAsia="Arial" w:hAnsi="Arial"/>
          <w:sz w:val="16"/>
          <w:szCs w:val="16"/>
          <w:color w:val="auto"/>
        </w:rPr>
        <w:t xml:space="preserve">),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w:t>
      </w:r>
      <w:r>
        <w:rPr>
          <w:rFonts w:ascii="Arial" w:cs="Arial" w:eastAsia="Arial" w:hAnsi="Arial"/>
          <w:sz w:val="16"/>
          <w:szCs w:val="16"/>
          <w:i w:val="1"/>
          <w:iCs w:val="1"/>
          <w:color w:val="auto"/>
        </w:rPr>
        <w:t>CRL Warrant</w:t>
      </w:r>
      <w:r>
        <w:rPr>
          <w:rFonts w:ascii="Arial" w:cs="Arial" w:eastAsia="Arial" w:hAnsi="Arial"/>
          <w:sz w:val="16"/>
          <w:szCs w:val="16"/>
          <w:color w:val="auto"/>
        </w:rPr>
        <w:t>). Each of the CRL Note and 2012 CHC Note were scheduled to mature on March 31, 2016. In June 2015, the outstanding balance of the 2012 CHC Note, the CRL Note and all other outstanding amounts owed to CRL for CRO services were converted into 328,571 shares of our Series B Preferred, and the exercise prices of the CHC Warrant and the CRL Warrant were each reduced to $7.00 per share. CHC participated in the February 2016 warrant exchange for common stock, exchanging the CHC Warrant and the CRL Warrant, as adjusted to reflect accrued interest, for an aggregate of 54,894 shares of our unregistered common stock. In May 2016, subsequent to our consummation of the May 2016 Public Offering, all of the shares of Series B Preferred held by CHC were automatically converted into registered shares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Research and Development Agreement with Cato Research Ltd.</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2007, we entered into a contract research organization master services agreement with CRL related to the development of and regulatory services related to AV101. In July 2017, we entered into a Master Services Agreement (</w:t>
      </w:r>
      <w:r>
        <w:rPr>
          <w:rFonts w:ascii="Arial" w:cs="Arial" w:eastAsia="Arial" w:hAnsi="Arial"/>
          <w:sz w:val="16"/>
          <w:szCs w:val="16"/>
          <w:i w:val="1"/>
          <w:iCs w:val="1"/>
          <w:color w:val="auto"/>
        </w:rPr>
        <w:t>MSA</w:t>
      </w:r>
      <w:r>
        <w:rPr>
          <w:rFonts w:ascii="Arial" w:cs="Arial" w:eastAsia="Arial" w:hAnsi="Arial"/>
          <w:sz w:val="16"/>
          <w:szCs w:val="16"/>
          <w:color w:val="auto"/>
        </w:rPr>
        <w:t>) with CRL, which replaced a similar May 2007 agreement, pursuant to which CRL may assist us in the evaluation, development, commercialization and marketing of our potential product candidates, including AV-101, and provide regulatory and strategic consulting services as requested from time to time. Specific projects or services will be delineated in individual work orders negotiated from time-to-time under the MSA. During the quarter ended September 30, 2014, we issued to CRL an aggregate of 300,000 unregistered shares of our common stock, having an aggregate fair value of $525,000 on the date of issuance, for various services provided and to be provided under the terms of five negotiated AV-101- related work orders.</w:t>
      </w:r>
    </w:p>
    <w:p>
      <w:pPr>
        <w:spacing w:after="0" w:line="17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Under work orders related to such agreement, we incurred expenses of expenses of $612,200 and $78,200 for the six months ended September 30, 2017 and 2016, respectively and expenses of $254,600 and $52,600 for the fiscal years ended March 31, 2017 and 2016,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Spring 2017 Private Placement by Dr. Jerry Gin</w:t>
      </w:r>
    </w:p>
    <w:p>
      <w:pPr>
        <w:spacing w:after="0" w:line="23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Between late-March 2017 and August 2017, we sold to accredited investors, in a self-placed private placement, units consisting of an aggregate of 523,572 unregistered shares of our common stock and warrants to purchase up to an aggregate of 276,071 unregistered shares of our common stock pursuant to which we received proceeds of approximately $1.04 million (the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 Included with the accredited investors that participated in the Spring 2017 Private Placement was Dr. Jerry Gin, a member of our Board of Directors, and his spouse, who together purchased an aggregate total of 100,000 shares of unregistered common stock and warrants to purchase up to 50,000 shares of common stock for an aggregate purchase price of $200,000.</w:t>
      </w:r>
    </w:p>
    <w:p>
      <w:pPr>
        <w:spacing w:after="0" w:line="170" w:lineRule="exact"/>
        <w:rPr>
          <w:sz w:val="20"/>
          <w:szCs w:val="20"/>
          <w:color w:val="auto"/>
        </w:rPr>
      </w:pPr>
    </w:p>
    <w:p>
      <w:pPr>
        <w:jc w:val="both"/>
        <w:ind w:right="40"/>
        <w:spacing w:after="0" w:line="303" w:lineRule="auto"/>
        <w:rPr>
          <w:sz w:val="20"/>
          <w:szCs w:val="20"/>
          <w:color w:val="auto"/>
        </w:rPr>
      </w:pPr>
      <w:r>
        <w:rPr>
          <w:rFonts w:ascii="Arial" w:cs="Arial" w:eastAsia="Arial" w:hAnsi="Arial"/>
          <w:sz w:val="15"/>
          <w:szCs w:val="15"/>
          <w:color w:val="auto"/>
        </w:rPr>
        <w:t>In September 2017, the Board approved the reduction of the exercise price from $4.00 per share to $2.00 per share for all warrants issued during the Spring 2017 Private Placement, as well as the issuance of additional warrants to purchase shares of the Company’s common stock, with an exercise price of $2.00 per share, to each of the participants in the Spring 2017 Private Placement. Accordingly, on September 15, 2017, the exercise price of aforementioned warrants issued to Dr.</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Gin and his spouse was decreased from $4.00 to $2.00 per share, and Dr. Gin and his spouse received additional warrants to purchase up to 50,000 shares of the Company’s common stock for $2.00 per share.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authorized capital stock consists of 100.0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Arial" w:cs="Arial" w:eastAsia="Arial" w:hAnsi="Arial"/>
          <w:sz w:val="16"/>
          <w:szCs w:val="16"/>
          <w:i w:val="1"/>
          <w:iCs w:val="1"/>
          <w:color w:val="auto"/>
        </w:rPr>
        <w:t>Bylaws</w:t>
      </w:r>
      <w:r>
        <w:rPr>
          <w:rFonts w:ascii="Arial" w:cs="Arial" w:eastAsia="Arial" w:hAnsi="Arial"/>
          <w:sz w:val="16"/>
          <w:szCs w:val="16"/>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Exchange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6, 2017, there were issued and outstanding, or reserved for issuance:</w:t>
      </w:r>
    </w:p>
    <w:p>
      <w:pPr>
        <w:spacing w:after="0" w:line="22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11,848,974 shares of common stock held by approximately 1,300 stockholders of record;</w:t>
      </w:r>
    </w:p>
    <w:p>
      <w:pPr>
        <w:spacing w:after="0" w:line="225" w:lineRule="exact"/>
        <w:rPr>
          <w:rFonts w:ascii="Arial" w:cs="Arial" w:eastAsia="Arial" w:hAnsi="Arial"/>
          <w:sz w:val="18"/>
          <w:szCs w:val="18"/>
          <w:color w:val="auto"/>
        </w:rPr>
      </w:pPr>
    </w:p>
    <w:p>
      <w:pPr>
        <w:ind w:left="660" w:right="200" w:hanging="328"/>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exchange of 500,000 outstanding shares of our Series A Preferred, all of which is held by one institutional investor and one accredited investor;</w:t>
      </w:r>
    </w:p>
    <w:p>
      <w:pPr>
        <w:spacing w:after="0" w:line="185" w:lineRule="exact"/>
        <w:rPr>
          <w:rFonts w:ascii="Arial" w:cs="Arial" w:eastAsia="Arial" w:hAnsi="Arial"/>
          <w:sz w:val="18"/>
          <w:szCs w:val="18"/>
          <w:color w:val="auto"/>
        </w:rPr>
      </w:pPr>
    </w:p>
    <w:p>
      <w:pPr>
        <w:ind w:left="660" w:right="60" w:hanging="328"/>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exchange of our Series B Preferred held by two institutional investors and 663,460 shares reserved for issuance as payment of accrued dividends on outstanding shares of Series B Preferred;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2,318,012 shares of common stock reserved for issuance upon exchange of our Series C Preferred, all of which is held by one institutional investor;</w:t>
      </w:r>
    </w:p>
    <w:p>
      <w:pPr>
        <w:spacing w:after="0" w:line="248" w:lineRule="exact"/>
        <w:rPr>
          <w:rFonts w:ascii="Arial" w:cs="Arial" w:eastAsia="Arial" w:hAnsi="Arial"/>
          <w:sz w:val="16"/>
          <w:szCs w:val="16"/>
          <w:color w:val="auto"/>
        </w:rPr>
      </w:pPr>
    </w:p>
    <w:p>
      <w:pPr>
        <w:ind w:left="660" w:right="20" w:hanging="328"/>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7,107,157 shares of common stock that have been reserved for issuance upon exercise of outstanding warrants, with a weighted average exercise price of $4.70 per share; and</w:t>
      </w:r>
    </w:p>
    <w:p>
      <w:pPr>
        <w:spacing w:after="0" w:line="185" w:lineRule="exact"/>
        <w:rPr>
          <w:rFonts w:ascii="Arial" w:cs="Arial" w:eastAsia="Arial" w:hAnsi="Arial"/>
          <w:sz w:val="18"/>
          <w:szCs w:val="18"/>
          <w:color w:val="auto"/>
        </w:rPr>
      </w:pPr>
    </w:p>
    <w:p>
      <w:pPr>
        <w:ind w:left="660" w:right="560" w:hanging="328"/>
        <w:spacing w:after="0" w:line="33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3,279,871 shares of common stock reserved for issuance upon exercise of outstanding stock options under our 1999 Stock Incentive Plan and our Amended and Restated 2016 Stock Incentive Plan (</w:t>
      </w:r>
      <w:r>
        <w:rPr>
          <w:rFonts w:ascii="Arial" w:cs="Arial" w:eastAsia="Arial" w:hAnsi="Arial"/>
          <w:sz w:val="16"/>
          <w:szCs w:val="16"/>
          <w:i w:val="1"/>
          <w:iCs w:val="1"/>
          <w:color w:val="auto"/>
        </w:rPr>
        <w:t>2016 Plan</w:t>
      </w:r>
      <w:r>
        <w:rPr>
          <w:rFonts w:ascii="Arial" w:cs="Arial" w:eastAsia="Arial" w:hAnsi="Arial"/>
          <w:sz w:val="16"/>
          <w:szCs w:val="16"/>
          <w:color w:val="auto"/>
        </w:rPr>
        <w:t>), with a weighted average exercise price of $3.23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Arial" w:cs="Arial" w:eastAsia="Arial" w:hAnsi="Arial"/>
          <w:sz w:val="18"/>
          <w:szCs w:val="18"/>
          <w:i w:val="1"/>
          <w:iCs w:val="1"/>
          <w:color w:val="auto"/>
        </w:rPr>
        <w:t>Dividend Policy</w:t>
      </w:r>
      <w:r>
        <w:rPr>
          <w:rFonts w:ascii="Arial" w:cs="Arial" w:eastAsia="Arial" w:hAnsi="Arial"/>
          <w:sz w:val="18"/>
          <w:szCs w:val="18"/>
          <w:color w:val="auto"/>
        </w:rPr>
        <w:t>” for more information.</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9" w:name="page110"/>
    <w:bookmarkEnd w:id="10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 December 2011, our board of directors authorized the creation of a series of up to 500,000 shares of Series A Preferred. The Certificate of Designation of the Relative Rights and Preferences of the Series A Convertible Preferred Stock was filed with the Nevada Secretary of State effective December 20, 2011.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At December 6, 2017, there were 500,000 shares of Series A Preferred outstanding, which shares are exchangeable at the option of the holders into an aggregate of 750,000 shares of our common stock. The Series A Preferred ranks prior to our common stock for purposes of liquidation preference.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May 2015, our board of directors authorized the creation of a series of up to 4.0 million shares of Series B 10% Convertible Preferred Stock (</w:t>
      </w:r>
      <w:r>
        <w:rPr>
          <w:rFonts w:ascii="Arial" w:cs="Arial" w:eastAsia="Arial" w:hAnsi="Arial"/>
          <w:sz w:val="18"/>
          <w:szCs w:val="18"/>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The Certificate of Designation of the Relative Rights and Preferences of the Series B 10% Convertible Preferred Stock was filed with the Nevada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Secretary of State on May 7, 2015 (the </w:t>
      </w:r>
      <w:r>
        <w:rPr>
          <w:rFonts w:ascii="Arial" w:cs="Arial" w:eastAsia="Arial" w:hAnsi="Arial"/>
          <w:sz w:val="18"/>
          <w:szCs w:val="18"/>
          <w:i w:val="1"/>
          <w:iCs w:val="1"/>
          <w:color w:val="auto"/>
        </w:rPr>
        <w:t>Series B Certificate of Designation</w:t>
      </w:r>
      <w:r>
        <w:rPr>
          <w:rFonts w:ascii="Arial" w:cs="Arial" w:eastAsia="Arial" w:hAnsi="Arial"/>
          <w:sz w:val="18"/>
          <w:szCs w:val="18"/>
          <w:color w:val="auto"/>
        </w:rPr>
        <w: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0" w:name="page111"/>
    <w:bookmarkEnd w:id="1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the Company’s common stock. All outstanding shares of Series B Preferred are also automatically convertible into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upon the closing or effective date of any of the following transactions or events: (i) a strategic transaction involving AV-101 with an initial up front cash payment to the Company of at least $10.0 million;</w:t>
      </w:r>
    </w:p>
    <w:p>
      <w:pPr>
        <w:spacing w:after="0" w:line="1" w:lineRule="exact"/>
        <w:rPr>
          <w:sz w:val="20"/>
          <w:szCs w:val="20"/>
          <w:color w:val="auto"/>
        </w:rPr>
      </w:pPr>
    </w:p>
    <w:p>
      <w:pPr>
        <w:ind w:right="80" w:firstLine="8"/>
        <w:spacing w:after="0" w:line="302" w:lineRule="auto"/>
        <w:tabs>
          <w:tab w:leader="none" w:pos="258"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 December 6, 2017, there were 1,160,240 shares of Series B Preferred outstanding, which shares are exchangeable at the option of the holder into an aggregate of 1,160,240 shares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Series B Preferred ranks prior to our common stock,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A Preferred for purposes of liquidation preference.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 xml:space="preserve">Prior to either a Voluntary Conversion or Automatic Conversion, shares of Series B Preferred will accrue dividends, payable only in common stock, at a rate of 10% per annum (the </w:t>
      </w:r>
      <w:r>
        <w:rPr>
          <w:rFonts w:ascii="Arial" w:cs="Arial" w:eastAsia="Arial" w:hAnsi="Arial"/>
          <w:sz w:val="18"/>
          <w:szCs w:val="18"/>
          <w:i w:val="1"/>
          <w:iCs w:val="1"/>
          <w:color w:val="auto"/>
        </w:rPr>
        <w:t>Accrued Dividend</w:t>
      </w:r>
      <w:r>
        <w:rPr>
          <w:rFonts w:ascii="Arial" w:cs="Arial" w:eastAsia="Arial" w:hAnsi="Arial"/>
          <w:sz w:val="18"/>
          <w:szCs w:val="18"/>
          <w:color w:val="auto"/>
        </w:rPr>
        <w:t>). The Accrued Dividend will be payable on the date of either a Voluntary Conversion or Automatic Conversion solely in that number of shares of Common Stock equal to the Accrued Dividend.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Except with respect to transactions upon which the Series B Preferred shall be entitled to vote separately as a class, the Series B Preferred shall have no voting rights. The common stock into which the Series B Preferred shall be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C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January 2016, our board of directors authorized the creation of a series of up to 3.0 million shares of Series C Convertible Preferred Stock (</w:t>
      </w:r>
      <w:r>
        <w:rPr>
          <w:rFonts w:ascii="Arial" w:cs="Arial" w:eastAsia="Arial" w:hAnsi="Arial"/>
          <w:sz w:val="18"/>
          <w:szCs w:val="18"/>
          <w:i w:val="1"/>
          <w:iCs w:val="1"/>
          <w:color w:val="auto"/>
        </w:rPr>
        <w:t>Series C Preferred</w:t>
      </w:r>
      <w:r>
        <w:rPr>
          <w:rFonts w:ascii="Arial" w:cs="Arial" w:eastAsia="Arial" w:hAnsi="Arial"/>
          <w:sz w:val="18"/>
          <w:szCs w:val="18"/>
          <w:color w:val="auto"/>
        </w:rPr>
        <w:t xml:space="preserve">). The Certificate of Designation of the Relative Rights and Preferences of the Series C Convertible Preferred Stock was filed with the Nevada Secretary of State, effective January 25, 2016 (the </w:t>
      </w:r>
      <w:r>
        <w:rPr>
          <w:rFonts w:ascii="Arial" w:cs="Arial" w:eastAsia="Arial" w:hAnsi="Arial"/>
          <w:sz w:val="18"/>
          <w:szCs w:val="18"/>
          <w:i w:val="1"/>
          <w:iCs w:val="1"/>
          <w:color w:val="auto"/>
        </w:rPr>
        <w:t>Series C Certificate of Designation</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At December 6, 2017, there were 2,318,012 shares of Series C Preferred outstanding, which shares of Series C Preferred are exchangeable at the option of the holder into 2,318,012 shares of our common stock. The Series C Preferred ranks prior to our common stock for purposes of liquidation preference,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A Preferred and Series B Preferred.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1" w:name="page112"/>
    <w:bookmarkEnd w:id="1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Except with respect to transactions upon which the Series C Preferred shall be entitled to vote separately as a class, the Series C Preferred has no voting rights. The common stock into which the Series C Preferred is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6, 2017, we had options to purchase 3,279,871 shares of our common stock outstanding pursuant to our 1999 Plan and our 2016 Plan.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As of December 6, 2017, warrants to purchase 7,107,157 shares of our common stock were outstanding, with a weighted average exercise price of $4.70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offered hereby</w:t>
      </w:r>
    </w:p>
    <w:p>
      <w:pPr>
        <w:spacing w:after="0" w:line="231"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We are offering 10,000,000 shares of our common stock and warrants to purchase up to 10,000,000 shares of our common stock. Each share of common stock will be accompanied by a warrant to purchase one share of common stock at an exercise price of $1.50 per share, an amount equal to 100% of the combined public offering price per share and related warrant. The common stock and warrants are immediately separable but can only be purchased together in this offering.</w:t>
      </w:r>
    </w:p>
    <w:p>
      <w:pPr>
        <w:spacing w:after="0" w:line="14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is a brief summary of certain terms and conditions of the warrants to be issued in connection with this Offering and are subject in all respects to the provisions contained in the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w:t>
      </w:r>
    </w:p>
    <w:p>
      <w:pPr>
        <w:spacing w:after="0" w:line="225"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warrants will be issued in electronic book-entry form to the investors. You should review a copy of the form of warrant, which is filed as an exhibit to the registration statement of which this prospectus forms a part, for a complete description of the terms and conditions applicable to the warrants.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Exercisability</w:t>
      </w:r>
    </w:p>
    <w:p>
      <w:pPr>
        <w:spacing w:after="0" w:line="225"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The warrants are exercisable at any time after their original issuance, and at any time up to the date that is five years after their original issuance. Each of the warrants may be exercised, in whole or in part, by delivering to us a written notice of election to exercise the applicable warrant and delivering to us cash payment of the exercise price, if applicable. The exercise price and the number of shares of our common stock issuable upon exercise of the warrants is subject to adjustment in the event of certain subdivisions and combinations, including by any stock split or reverse stock split, stock dividend, recapitalization or otherwise.</w:t>
      </w:r>
    </w:p>
    <w:p>
      <w:pPr>
        <w:spacing w:after="0" w:line="152"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Cashless Exercise: </w:t>
      </w:r>
      <w:r>
        <w:rPr>
          <w:rFonts w:ascii="Arial" w:cs="Arial" w:eastAsia="Arial" w:hAnsi="Arial"/>
          <w:sz w:val="18"/>
          <w:szCs w:val="18"/>
          <w:color w:val="auto"/>
        </w:rPr>
        <w:t>If, at any time during the term of the warrants, the issuance or resale of shares of our common stock upon exercise of the warrants is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covered by an effective registration statement, the holder is permitted to effect a cashless exercise of the warrants (in whole or in part) in which case the holder would receive upon such exercise the net number of shares of common stock determined according to the formula set forth in the warrants. Shares issued pursuant to a cashless exercise would be deemed to have been issued pursuant to the exemption from registration provided by Section 3(a)(9) of the Securities Act of 1933, and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and the shares of common stock issued upon such cashless exercise would take on the characteristics of the Warrants being exercised, including, for purposes of Rule 144(d) promulgated under the Securities Act, a holding period beginning from the original issuance date of the warrants.</w:t>
      </w:r>
    </w:p>
    <w:p>
      <w:pPr>
        <w:sectPr>
          <w:pgSz w:w="11900" w:h="16838" w:orient="portrait"/>
          <w:cols w:equalWidth="0" w:num="1">
            <w:col w:w="11420"/>
          </w:cols>
          <w:pgMar w:left="240" w:top="131" w:right="239" w:bottom="1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84" w:gutter="0" w:footer="0" w:header="0"/>
          <w:type w:val="continuous"/>
        </w:sectPr>
      </w:pPr>
    </w:p>
    <w:bookmarkStart w:id="112" w:name="page113"/>
    <w:bookmarkEnd w:id="112"/>
    <w:p>
      <w:pPr>
        <w:ind w:right="20"/>
        <w:spacing w:after="0" w:line="294" w:lineRule="auto"/>
        <w:rPr>
          <w:sz w:val="20"/>
          <w:szCs w:val="20"/>
          <w:color w:val="auto"/>
        </w:rPr>
      </w:pPr>
      <w:r>
        <w:rPr>
          <w:rFonts w:ascii="Arial" w:cs="Arial" w:eastAsia="Arial" w:hAnsi="Arial"/>
          <w:sz w:val="16"/>
          <w:szCs w:val="16"/>
          <w:i w:val="1"/>
          <w:iCs w:val="1"/>
          <w:color w:val="auto"/>
        </w:rPr>
        <w:t xml:space="preserve">Adjustment Provisions: </w:t>
      </w:r>
      <w:r>
        <w:rPr>
          <w:rFonts w:ascii="Arial" w:cs="Arial" w:eastAsia="Arial" w:hAnsi="Arial"/>
          <w:sz w:val="16"/>
          <w:szCs w:val="16"/>
          <w:color w:val="auto"/>
        </w:rPr>
        <w:t>The exercise price and the number and type of securities purchasable upon exercise of the warrants are subject to adjustment upon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events, including certain subdivisions, combinations and similar events. If we declare any dividend or distribution of assets (including cash, stock or other securities, evidence of indebtedness, purchase rights or other property), each holder of a warrant will be entitled to participate in such distribution to the same extent that the holder would have participated had the applicable warrant been exercised immediately before the record date for the distribution. The terms of the warrants may make it difficult for us to raise additional capital at prevailing market terms in the future.</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Subject to applicable laws, the warrants may be offered for sale, sold, transferred or assigned without our consent. However, as of the date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supplement there is no established trading market for the warrants and it is not expected that a trading market for the warrants will develop in the future. Without an active trading market, the liquidity of the warrants will be limited.</w:t>
      </w:r>
    </w:p>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We will not apply to list the warrants on NASDAQ Capital Market. We do not intend to list the warrants on any securities exchange or other quotation</w:t>
      </w:r>
      <w:r>
        <w:rPr>
          <w:rFonts w:ascii="Arial" w:cs="Arial" w:eastAsia="Arial" w:hAnsi="Arial"/>
          <w:sz w:val="18"/>
          <w:szCs w:val="18"/>
          <w:i w:val="1"/>
          <w:iCs w:val="1"/>
          <w:color w:val="auto"/>
        </w:rPr>
        <w:t xml:space="preserve"> </w:t>
      </w:r>
      <w:r>
        <w:rPr>
          <w:rFonts w:ascii="Arial" w:cs="Arial" w:eastAsia="Arial" w:hAnsi="Arial"/>
          <w:sz w:val="18"/>
          <w:szCs w:val="18"/>
          <w:color w:val="auto"/>
        </w:rPr>
        <w:t>system. Without an active market, the liquidity of the warrants will be limited.</w:t>
      </w:r>
    </w:p>
    <w:p>
      <w:pPr>
        <w:spacing w:after="0" w:line="18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i w:val="1"/>
          <w:iCs w:val="1"/>
          <w:color w:val="auto"/>
        </w:rPr>
        <w:t xml:space="preserve">Rights as a stockholder: </w:t>
      </w:r>
      <w:r>
        <w:rPr>
          <w:rFonts w:ascii="Arial" w:cs="Arial" w:eastAsia="Arial" w:hAnsi="Arial"/>
          <w:sz w:val="16"/>
          <w:szCs w:val="16"/>
          <w:color w:val="auto"/>
        </w:rPr>
        <w:t>Except as set forth in the warrants or by virtue of such holders’ ownership of shares of our common stock, the holders of the warrants do</w:t>
      </w:r>
      <w:r>
        <w:rPr>
          <w:rFonts w:ascii="Arial" w:cs="Arial" w:eastAsia="Arial" w:hAnsi="Arial"/>
          <w:sz w:val="16"/>
          <w:szCs w:val="16"/>
          <w:i w:val="1"/>
          <w:iCs w:val="1"/>
          <w:color w:val="auto"/>
        </w:rPr>
        <w:t xml:space="preserve"> </w:t>
      </w:r>
      <w:r>
        <w:rPr>
          <w:rFonts w:ascii="Arial" w:cs="Arial" w:eastAsia="Arial" w:hAnsi="Arial"/>
          <w:sz w:val="16"/>
          <w:szCs w:val="16"/>
          <w:color w:val="auto"/>
        </w:rPr>
        <w:t>not have the rights or privileges of holders of our common stock, including any voting rights, until they exercise the warrants.</w:t>
      </w:r>
    </w:p>
    <w:p>
      <w:pPr>
        <w:spacing w:after="0" w:line="13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Limitations on Exercise: </w:t>
      </w:r>
      <w:r>
        <w:rPr>
          <w:rFonts w:ascii="Arial" w:cs="Arial" w:eastAsia="Arial" w:hAnsi="Arial"/>
          <w:sz w:val="18"/>
          <w:szCs w:val="18"/>
          <w:color w:val="auto"/>
        </w:rPr>
        <w:t>The exercise of the warrants may be limited in certain circumstances if, after giving effect to such exercise, the holder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would beneficially own (as determined in accordance with the terms of the warrants) more than 4.99% (or, at the election of the holder, 9.99%) of our outstanding common stock immediately after giving effect to the exercise.</w:t>
      </w:r>
    </w:p>
    <w:p>
      <w:pPr>
        <w:spacing w:after="0" w:line="194"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Fundamental Transactions: </w:t>
      </w:r>
      <w:r>
        <w:rPr>
          <w:rFonts w:ascii="Arial" w:cs="Arial" w:eastAsia="Arial" w:hAnsi="Arial"/>
          <w:sz w:val="16"/>
          <w:szCs w:val="16"/>
          <w:color w:val="auto"/>
        </w:rPr>
        <w:t>In the event of certain fundamental transactions, as described in the warrants and generally including any merger or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or into another entity, the holders of the warrants shall thereafter have the right to exercise the applicable warrant for the same amount and kind of securities, cash or property as it would have been entitled to receive upon the occurrence of such fundamental transaction if it had been, immediately prior to such fundamental transaction, the holder of shares of common stock issuable upon exercise in full of the warrant. In the event of a Change of Control (as defined in the warrants) (other than a Change of Control which was not approved by the Board of Directors, as to which this right shall not apply), at the request of the holder delivered before the 30th day after such Change of Control, a holder of a warrant will have the right to require us or any successor entity to purchase the holder’s warrant for the Black-Scholes Value of the remaining unexercised portion of the warrant on the effective date of such Change of Control (determined in accordance with a formula specified in the warrants), payable in cash; provided, that if the applicable Change of Control was not approved by our Board of Directors, such amount shall be payable, at our option in either (x) shares of our common stock or the consideration receivable by holders of common stock in the Change of Control transaction, as applicable, valued at the value of the consideration received by the shareholders in such Change of Control, or (y) cash.</w:t>
      </w:r>
    </w:p>
    <w:p>
      <w:pPr>
        <w:spacing w:after="0" w:line="177"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i w:val="1"/>
          <w:iCs w:val="1"/>
          <w:color w:val="auto"/>
        </w:rPr>
        <w:t xml:space="preserve">Dividends and Other Distributions: </w:t>
      </w:r>
      <w:r>
        <w:rPr>
          <w:rFonts w:ascii="Arial" w:cs="Arial" w:eastAsia="Arial" w:hAnsi="Arial"/>
          <w:sz w:val="16"/>
          <w:szCs w:val="16"/>
          <w:color w:val="auto"/>
        </w:rPr>
        <w:t>If we declare or make any dividend or other distribution of our assets to holders of shares of our common stock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any distribution of cash, stock or other securities, property, options, evidence of indebtedness or any other assets), then, subject to certain limitation on exercise described in the warrants, each holder of a warrant shall receive the distributed assets that such holder would have been entitled to receive in the distribution had the holder exercised the warrant immediately prior to the record date for the distribution.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 Jersey City, New Jersey.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79" w:right="279" w:bottom="1440" w:gutter="0" w:footer="0" w:header="0"/>
        </w:sectPr>
      </w:pPr>
    </w:p>
    <w:bookmarkStart w:id="113" w:name="page114"/>
    <w:bookmarkEnd w:id="1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UNDERWRITING</w:t>
      </w:r>
    </w:p>
    <w:p>
      <w:pPr>
        <w:spacing w:after="0" w:line="27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have entered into an underwriting agreement with Oppenheimer &amp; Co. Inc., as the representative of the several underwriters named below. The underwriting agreement provides for the purchase by the several underwriters of the shares of common stock and related warrants offered hereby.</w:t>
      </w:r>
    </w:p>
    <w:p>
      <w:pPr>
        <w:spacing w:after="0" w:line="13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Subject to the terms and conditions of the underwriting agreement, we have agreed to sell to the underwriters, and each underwriter has severally agreed to purchase the number of shares of common stock and related warrants set forth opposite its name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 of</w:t>
            </w: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Warrants</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1100" w:type="dxa"/>
            <w:vAlign w:val="bottom"/>
          </w:tcPr>
          <w:p>
            <w:pPr>
              <w:jc w:val="right"/>
              <w:spacing w:after="0"/>
              <w:rPr>
                <w:sz w:val="20"/>
                <w:szCs w:val="20"/>
                <w:color w:val="auto"/>
              </w:rPr>
            </w:pPr>
            <w:r>
              <w:rPr>
                <w:rFonts w:ascii="Arial" w:cs="Arial" w:eastAsia="Arial" w:hAnsi="Arial"/>
                <w:sz w:val="18"/>
                <w:szCs w:val="18"/>
                <w:color w:val="auto"/>
              </w:rPr>
              <w:t>2,500,000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2,500,000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have agreed to purchase all of the shares and related warrants offered by this prospectus if any are purchased.</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underwriters have advised us that they propose to offer the shares of common stock and related warrants directly to the public at the combined public offering price set forth on the cover page of this prospectus. In addition, the underwriters may offer some of the shares and related warrants to other securities dealers at such price less a concession of $ per share and related warrants. The underwriters may also allow, and such dealers may re-allow, a concession not in excess of $ per share and related warrants to other dealers. After the public offering of the shares of common stock and related warrants, the combined public offering price and other selling terms may be changed by the underwriters.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w w:val="97"/>
              </w:rPr>
              <w:t>The following table shows the underwriting discount to be paid to the underwriters in connection with this offering.</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Per Share and</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b w:val="1"/>
                <w:bCs w:val="1"/>
                <w:color w:val="auto"/>
              </w:rPr>
              <w:t>Related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Warrant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Combined public offering price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15,000,000</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Underwriting discount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0.105</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1,050,000</w:t>
            </w:r>
          </w:p>
        </w:tc>
        <w:tc>
          <w:tcPr>
            <w:tcW w:w="140" w:type="dxa"/>
            <w:vAlign w:val="bottom"/>
          </w:tcPr>
          <w:p>
            <w:pPr>
              <w:spacing w:after="0"/>
              <w:rPr>
                <w:sz w:val="19"/>
                <w:szCs w:val="19"/>
                <w:color w:val="auto"/>
              </w:rPr>
            </w:pPr>
          </w:p>
        </w:tc>
      </w:tr>
    </w:tbl>
    <w:p>
      <w:pPr>
        <w:spacing w:after="0" w:line="20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estimate that our total expenses of the offering, excluding the underwriting discount, will be approximately $340,000, which includes the costs and expenses for which we have agreed to reimburse the underwriters for certain expenses, including for fees and expenses of their legal counsel up to an amount of $125,000, provided that any such costs and expenses may not exceed $145,000 in the aggregate.</w:t>
      </w:r>
    </w:p>
    <w:p>
      <w:pPr>
        <w:spacing w:after="0" w:line="1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engaged Oppenheimer through September 30, 2018 to assist us in our evaluation of financing alternatives and to act as the sole underwriter, sole placement agent, sole selling agent, sole initial purchaser and/or sole dealer-manager, or other appropriate sole role as the case may be, on any capital-raising transaction, including the sole financial advisor on any negotiated exercise of our outstanding warrants, excluding any self-placed private placements by us of our securities to accredited individual investors. If during the term of Oppenheimer’s engagement, we complete a financing or enter into an agreement that subsequently results in a completed financing, we have agreed to pay Oppenheimer fees and commissions equal to 7% of the gross proceeds raised in the financing, subject to certain exceptions. We also agreed to reimburse Oppenheimer for all of its reasonable expenses (including reasonable fees and expenses of its legal counsel), subject to certain agreed upon caps.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and our officers and directors have agreed to a 90-day “lock-up” with respect to shares of our common stock and other of our securities that they beneficially own, including securities that are convertible into shares of common stock and securities that are exchangeable or exercisable for shares of common stock. This means that, subject to certain exceptions, for a period of 90 days following the date of this prospectus, we and such persons may not offer, sell, pledge or otherwise dispose of these securities without the prior written consent of Oppenheimer &amp; Co. Inc.</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have advised us that they do not intend to conduct any stabilization or over-allotment activities in connection with this offering.</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Electronic Delivery of Preliminary Prospectus</w:t>
      </w:r>
      <w:r>
        <w:rPr>
          <w:rFonts w:ascii="Arial" w:cs="Arial" w:eastAsia="Arial" w:hAnsi="Arial"/>
          <w:sz w:val="18"/>
          <w:szCs w:val="18"/>
          <w:color w:val="auto"/>
        </w:rPr>
        <w:t>: A prospectus in electronic format may be delivered to potential investors by the underwriters. The prospectus in</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format will be identical to the paper version of such preliminary prospectus. Other than the prospectus in electronic format, the information on any underwriter’s website and any information contained in any other website maintained by such underwriters is not part of this prospectus or the registration statement of which this prospectus forms a part.</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 The underwriters and their affiliates have provided in the past and may provide from time to time in the future certain commercial banking,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advisory, investment banking and other services for us and our affiliates in the ordinary course of their business, for which they may receive customary fees and commissions. Oppenheimer acted as the sole underwriter of the September 2017 Public Offering. In connection therewith, Oppenheimer received a discount of approximately $168,000 and reimbursement of expenses in the aggregate amount of $95,000. Pursuant to engagement letters, each dated September 24, 2017, we retained each of Oppenheimer and Chardan Capital Markets, LLC (</w:t>
      </w:r>
      <w:r>
        <w:rPr>
          <w:rFonts w:ascii="Arial" w:cs="Arial" w:eastAsia="Arial" w:hAnsi="Arial"/>
          <w:sz w:val="16"/>
          <w:szCs w:val="16"/>
          <w:i w:val="1"/>
          <w:iCs w:val="1"/>
          <w:color w:val="auto"/>
        </w:rPr>
        <w:t>Chardan</w:t>
      </w:r>
      <w:r>
        <w:rPr>
          <w:rFonts w:ascii="Arial" w:cs="Arial" w:eastAsia="Arial" w:hAnsi="Arial"/>
          <w:sz w:val="16"/>
          <w:szCs w:val="16"/>
          <w:color w:val="auto"/>
        </w:rPr>
        <w:t>) to assist us in our evaluation of certain financial and strategic alternatives and, in connection therewith, issued to each firm 75,000 unregistered shares of our common stock and agreed to reimburse each of them for their reasonable expenses incurred in connection therewith. In addition, from time to time, the underwriters and their affiliates may effect transactions for their own accounts or the accounts of customers, and hold on behalf of themselves or their customers, long or short positions in our debt or equity securities or loans, and may do so in the future. The 75,000 shares of common stock issued to Oppenheimer, and the 75,000 shares of common stock issued to Chardan are deemed to be compensation by the Financial Industry Regulatory Authority, Inc., or FINRA, and are therefore subject to FINRA Rule 5110(g)(1). In accordance with FINRA Rule 5110(g)(1), such shares may not be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or commencement of sales of the common stock in this offering, except the transfer of any shares:</w:t>
      </w:r>
    </w:p>
    <w:p>
      <w:pPr>
        <w:spacing w:after="0" w:line="17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by operation of law or by reason of our reorganization;</w:t>
      </w:r>
    </w:p>
    <w:p>
      <w:pPr>
        <w:spacing w:after="0" w:line="225" w:lineRule="exact"/>
        <w:rPr>
          <w:rFonts w:ascii="Arial" w:cs="Arial" w:eastAsia="Arial" w:hAnsi="Arial"/>
          <w:sz w:val="18"/>
          <w:szCs w:val="18"/>
          <w:color w:val="auto"/>
        </w:rPr>
      </w:pPr>
    </w:p>
    <w:p>
      <w:pPr>
        <w:ind w:left="660" w:right="320" w:hanging="328"/>
        <w:spacing w:after="0" w:line="268"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any FINRA member firm participating in this offering and the officers or partners thereof, if all shares so transferred remain subject to the lock-up restriction described above for the remainder of the time period;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aggregate amount of our securities held by either the underwriters or a related person do not exceed 1% of the securities being offered;</w:t>
      </w:r>
    </w:p>
    <w:p>
      <w:pPr>
        <w:spacing w:after="0" w:line="248" w:lineRule="exact"/>
        <w:rPr>
          <w:rFonts w:ascii="Arial" w:cs="Arial" w:eastAsia="Arial" w:hAnsi="Arial"/>
          <w:sz w:val="16"/>
          <w:szCs w:val="16"/>
          <w:color w:val="auto"/>
        </w:rPr>
      </w:pPr>
    </w:p>
    <w:p>
      <w:pPr>
        <w:ind w:left="660" w:right="200" w:hanging="328"/>
        <w:spacing w:after="0" w:line="33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39" w:lineRule="exact"/>
        <w:rPr>
          <w:rFonts w:ascii="Arial" w:cs="Arial" w:eastAsia="Arial" w:hAnsi="Arial"/>
          <w:sz w:val="16"/>
          <w:szCs w:val="16"/>
          <w:color w:val="auto"/>
        </w:rPr>
      </w:pPr>
    </w:p>
    <w:p>
      <w:pPr>
        <w:ind w:left="660" w:right="80" w:hanging="328"/>
        <w:spacing w:after="0" w:line="268"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exercise or conversion of any security, if all securities received remain subject to the lock-up restriction set forth above for the remainder of the time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Oppenheimer owns 75,000 shares of our common stock. Chardan owns 97,429 shares of our common stock.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TO INVESTORS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31"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 xml:space="preserve">In relation to each Member State of the European Economic Area which has implemented the Prospectus Directive (each, a </w:t>
      </w:r>
      <w:r>
        <w:rPr>
          <w:rFonts w:ascii="Arial" w:cs="Arial" w:eastAsia="Arial" w:hAnsi="Arial"/>
          <w:sz w:val="15"/>
          <w:szCs w:val="15"/>
          <w:i w:val="1"/>
          <w:iCs w:val="1"/>
          <w:color w:val="auto"/>
        </w:rPr>
        <w:t>Relevant Member State</w:t>
      </w:r>
      <w:r>
        <w:rPr>
          <w:rFonts w:ascii="Arial" w:cs="Arial" w:eastAsia="Arial" w:hAnsi="Arial"/>
          <w:sz w:val="15"/>
          <w:szCs w:val="15"/>
          <w:color w:val="auto"/>
        </w:rPr>
        <w:t>) an offer to the public of any securities which are the subject of the offering contemplated by this prospectus supplement may not be made in that Relevant Member State other than the offers contemplated in this prospectus in name(s) of Member State(s) where prospectus will be approved or passported for the purposes of a non-exempt offer once this prospectus has been approved by the competent authority in such Member State and published and passported in accordance with the Prospectus Directive as implemented in name(s) of relevant Member State(s) except that an offer to the public in that Relevant Member State of any securities may be made at any time under the following exemptions under the Prospectus Directive, if they have been implemented in that Relevant Member State:</w:t>
      </w:r>
    </w:p>
    <w:p>
      <w:pPr>
        <w:spacing w:after="0" w:line="159" w:lineRule="exact"/>
        <w:rPr>
          <w:sz w:val="20"/>
          <w:szCs w:val="20"/>
          <w:color w:val="auto"/>
        </w:rPr>
      </w:pPr>
    </w:p>
    <w:p>
      <w:pPr>
        <w:ind w:left="340" w:right="60" w:firstLine="316"/>
        <w:spacing w:after="0" w:line="268" w:lineRule="auto"/>
        <w:tabs>
          <w:tab w:leader="none" w:pos="9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85" w:lineRule="exact"/>
        <w:rPr>
          <w:rFonts w:ascii="Arial" w:cs="Arial" w:eastAsia="Arial" w:hAnsi="Arial"/>
          <w:sz w:val="18"/>
          <w:szCs w:val="18"/>
          <w:color w:val="auto"/>
        </w:rPr>
      </w:pPr>
    </w:p>
    <w:p>
      <w:pPr>
        <w:ind w:left="340" w:right="100" w:firstLine="316"/>
        <w:spacing w:after="0" w:line="332" w:lineRule="auto"/>
        <w:tabs>
          <w:tab w:leader="none" w:pos="913"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39" w:lineRule="exact"/>
        <w:rPr>
          <w:rFonts w:ascii="Arial" w:cs="Arial" w:eastAsia="Arial" w:hAnsi="Arial"/>
          <w:sz w:val="16"/>
          <w:szCs w:val="16"/>
          <w:color w:val="auto"/>
        </w:rPr>
      </w:pPr>
    </w:p>
    <w:p>
      <w:pPr>
        <w:ind w:left="900" w:hanging="244"/>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by the representative to fewer than 100 natural or legal persons (other than qualified investors as defined in the Prospectus Directive); or</w:t>
      </w:r>
    </w:p>
    <w:p>
      <w:pPr>
        <w:spacing w:after="0" w:line="248" w:lineRule="exact"/>
        <w:rPr>
          <w:rFonts w:ascii="Arial" w:cs="Arial" w:eastAsia="Arial" w:hAnsi="Arial"/>
          <w:sz w:val="16"/>
          <w:szCs w:val="16"/>
          <w:color w:val="auto"/>
        </w:rPr>
      </w:pPr>
    </w:p>
    <w:p>
      <w:pPr>
        <w:ind w:left="340" w:right="820" w:firstLine="316"/>
        <w:spacing w:after="0" w:line="332" w:lineRule="auto"/>
        <w:tabs>
          <w:tab w:leader="none" w:pos="91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securities shall result in a requirement for the publication by the Company or any underwriter of a prospectus pursuant to Article 3 of the Prospectus Directive.</w:t>
      </w:r>
    </w:p>
    <w:p>
      <w:pPr>
        <w:spacing w:after="0" w:line="13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have represented, warranted and agreed that:</w:t>
      </w:r>
    </w:p>
    <w:p>
      <w:pPr>
        <w:spacing w:after="0" w:line="225" w:lineRule="exact"/>
        <w:rPr>
          <w:sz w:val="20"/>
          <w:szCs w:val="20"/>
          <w:color w:val="auto"/>
        </w:rPr>
      </w:pPr>
    </w:p>
    <w:p>
      <w:pPr>
        <w:ind w:left="340" w:right="100" w:firstLine="316"/>
        <w:spacing w:after="0" w:line="306" w:lineRule="auto"/>
        <w:tabs>
          <w:tab w:leader="none" w:pos="903"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they have only communicated or caused to be communicated and will only communicate or cause to be communicated any invitation or inducement to engage in investment activity (within the meaning of section 21 of the Financial Services and Markets Act 2000 (the </w:t>
      </w:r>
      <w:r>
        <w:rPr>
          <w:rFonts w:ascii="Arial" w:cs="Arial" w:eastAsia="Arial" w:hAnsi="Arial"/>
          <w:sz w:val="16"/>
          <w:szCs w:val="16"/>
          <w:i w:val="1"/>
          <w:iCs w:val="1"/>
          <w:color w:val="auto"/>
        </w:rPr>
        <w:t>FSMA</w:t>
      </w:r>
      <w:r>
        <w:rPr>
          <w:rFonts w:ascii="Arial" w:cs="Arial" w:eastAsia="Arial" w:hAnsi="Arial"/>
          <w:sz w:val="16"/>
          <w:szCs w:val="16"/>
          <w:color w:val="auto"/>
        </w:rPr>
        <w:t>)) received by them in connection with the issue or sale of any securities in circumstances in which section 21(1) of the FSMA does not apply to the Company; and</w:t>
      </w:r>
    </w:p>
    <w:p>
      <w:pPr>
        <w:spacing w:after="0" w:line="160" w:lineRule="exact"/>
        <w:rPr>
          <w:rFonts w:ascii="Arial" w:cs="Arial" w:eastAsia="Arial" w:hAnsi="Arial"/>
          <w:sz w:val="16"/>
          <w:szCs w:val="16"/>
          <w:color w:val="auto"/>
        </w:rPr>
      </w:pPr>
    </w:p>
    <w:p>
      <w:pPr>
        <w:ind w:left="340" w:right="560" w:firstLine="316"/>
        <w:spacing w:after="0" w:line="268" w:lineRule="auto"/>
        <w:tabs>
          <w:tab w:leader="none" w:pos="91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they have complied with and will comply with all applicable provisions of the FSMA with respect to anything done by them in relation to the securities in, from or otherwise involving the United Kingdom.</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the State of Israel, the securities offered hereby may not be offered to any person or entity other than the following:</w:t>
      </w:r>
    </w:p>
    <w:p>
      <w:pPr>
        <w:spacing w:after="0" w:line="225" w:lineRule="exact"/>
        <w:rPr>
          <w:sz w:val="20"/>
          <w:szCs w:val="20"/>
          <w:color w:val="auto"/>
        </w:rPr>
      </w:pPr>
    </w:p>
    <w:p>
      <w:pPr>
        <w:ind w:left="340" w:right="900" w:firstLine="316"/>
        <w:spacing w:after="0" w:line="268" w:lineRule="auto"/>
        <w:tabs>
          <w:tab w:leader="none" w:pos="90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185" w:lineRule="exact"/>
        <w:rPr>
          <w:rFonts w:ascii="Arial" w:cs="Arial" w:eastAsia="Arial" w:hAnsi="Arial"/>
          <w:sz w:val="18"/>
          <w:szCs w:val="18"/>
          <w:color w:val="auto"/>
        </w:rPr>
      </w:pPr>
    </w:p>
    <w:p>
      <w:pPr>
        <w:ind w:left="900" w:hanging="244"/>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provident fund as defined in Section 47(a)(2) of the Income Tax Ordinance of the State of Israel, or a management company of such a fund;</w:t>
      </w:r>
    </w:p>
    <w:p>
      <w:pPr>
        <w:spacing w:after="0" w:line="248" w:lineRule="exact"/>
        <w:rPr>
          <w:rFonts w:ascii="Arial" w:cs="Arial" w:eastAsia="Arial" w:hAnsi="Arial"/>
          <w:sz w:val="16"/>
          <w:szCs w:val="16"/>
          <w:color w:val="auto"/>
        </w:rPr>
      </w:pPr>
    </w:p>
    <w:p>
      <w:pPr>
        <w:ind w:left="900" w:hanging="244"/>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insurer, as defined in the Law for Oversight of Insurance Transactions, 5741-1981;</w:t>
      </w:r>
    </w:p>
    <w:p>
      <w:pPr>
        <w:spacing w:after="0" w:line="225" w:lineRule="exact"/>
        <w:rPr>
          <w:rFonts w:ascii="Arial" w:cs="Arial" w:eastAsia="Arial" w:hAnsi="Arial"/>
          <w:sz w:val="18"/>
          <w:szCs w:val="18"/>
          <w:color w:val="auto"/>
        </w:rPr>
      </w:pPr>
    </w:p>
    <w:p>
      <w:pPr>
        <w:ind w:left="340" w:right="60" w:firstLine="316"/>
        <w:spacing w:after="0" w:line="268" w:lineRule="auto"/>
        <w:tabs>
          <w:tab w:leader="none" w:pos="9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185" w:lineRule="exact"/>
        <w:rPr>
          <w:rFonts w:ascii="Arial" w:cs="Arial" w:eastAsia="Arial" w:hAnsi="Arial"/>
          <w:sz w:val="18"/>
          <w:szCs w:val="18"/>
          <w:color w:val="auto"/>
        </w:rPr>
      </w:pPr>
    </w:p>
    <w:p>
      <w:pPr>
        <w:ind w:left="340" w:right="160" w:firstLine="316"/>
        <w:spacing w:after="0" w:line="370" w:lineRule="auto"/>
        <w:tabs>
          <w:tab w:leader="none" w:pos="903" w:val="left"/>
        </w:tabs>
        <w:numPr>
          <w:ilvl w:val="0"/>
          <w:numId w:val="63"/>
        </w:numPr>
        <w:rPr>
          <w:rFonts w:ascii="Arial" w:cs="Arial" w:eastAsia="Arial" w:hAnsi="Arial"/>
          <w:sz w:val="15"/>
          <w:szCs w:val="15"/>
          <w:color w:val="auto"/>
        </w:rPr>
      </w:pPr>
      <w:r>
        <w:rPr>
          <w:rFonts w:ascii="Arial" w:cs="Arial" w:eastAsia="Arial" w:hAnsi="Arial"/>
          <w:sz w:val="15"/>
          <w:szCs w:val="15"/>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116" w:lineRule="exact"/>
        <w:rPr>
          <w:rFonts w:ascii="Arial" w:cs="Arial" w:eastAsia="Arial" w:hAnsi="Arial"/>
          <w:sz w:val="15"/>
          <w:szCs w:val="15"/>
          <w:color w:val="auto"/>
        </w:rPr>
      </w:pPr>
    </w:p>
    <w:p>
      <w:pPr>
        <w:ind w:left="340" w:right="20" w:firstLine="316"/>
        <w:spacing w:after="0" w:line="268" w:lineRule="auto"/>
        <w:tabs>
          <w:tab w:leader="none" w:pos="88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company that is licensed as an investment advisor, as such term is defined in Section 7(c) of the Law for the Regulation of Investment Advisors and Portfolio Managers, 5755-1995, acting on its own account;</w:t>
      </w:r>
    </w:p>
    <w:p>
      <w:pPr>
        <w:spacing w:after="0" w:line="185" w:lineRule="exact"/>
        <w:rPr>
          <w:rFonts w:ascii="Arial" w:cs="Arial" w:eastAsia="Arial" w:hAnsi="Arial"/>
          <w:sz w:val="18"/>
          <w:szCs w:val="18"/>
          <w:color w:val="auto"/>
        </w:rPr>
      </w:pPr>
    </w:p>
    <w:p>
      <w:pPr>
        <w:ind w:left="340" w:right="240" w:firstLine="316"/>
        <w:spacing w:after="0" w:line="268" w:lineRule="auto"/>
        <w:tabs>
          <w:tab w:leader="none" w:pos="9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company that is a member of the Tel Aviv Stock Exchange, acting on its own account or for the account of investors of the type listed in Section 15A(b) of the Securities Law 1968;</w:t>
      </w:r>
    </w:p>
    <w:p>
      <w:pPr>
        <w:spacing w:after="0" w:line="185" w:lineRule="exact"/>
        <w:rPr>
          <w:rFonts w:ascii="Arial" w:cs="Arial" w:eastAsia="Arial" w:hAnsi="Arial"/>
          <w:sz w:val="18"/>
          <w:szCs w:val="18"/>
          <w:color w:val="auto"/>
        </w:rPr>
      </w:pPr>
    </w:p>
    <w:p>
      <w:pPr>
        <w:ind w:left="940" w:hanging="284"/>
        <w:spacing w:after="0"/>
        <w:tabs>
          <w:tab w:leader="none" w:pos="9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underwriter fulfilling the conditions of Section 56(c) of the Securities Law, 5728-1968;</w:t>
      </w:r>
    </w:p>
    <w:p>
      <w:pPr>
        <w:spacing w:after="0" w:line="225" w:lineRule="exact"/>
        <w:rPr>
          <w:rFonts w:ascii="Arial" w:cs="Arial" w:eastAsia="Arial" w:hAnsi="Arial"/>
          <w:sz w:val="18"/>
          <w:szCs w:val="18"/>
          <w:color w:val="auto"/>
        </w:rPr>
      </w:pPr>
    </w:p>
    <w:p>
      <w:pPr>
        <w:ind w:left="340" w:firstLine="316"/>
        <w:spacing w:after="0" w:line="332" w:lineRule="auto"/>
        <w:tabs>
          <w:tab w:leader="none" w:pos="874"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39" w:lineRule="exact"/>
        <w:rPr>
          <w:rFonts w:ascii="Arial" w:cs="Arial" w:eastAsia="Arial" w:hAnsi="Arial"/>
          <w:sz w:val="16"/>
          <w:szCs w:val="16"/>
          <w:color w:val="auto"/>
        </w:rPr>
      </w:pPr>
    </w:p>
    <w:p>
      <w:pPr>
        <w:ind w:left="860" w:hanging="204"/>
        <w:spacing w:after="0"/>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entity primarily engaged in capital markets activities in which all of the equity owners meet one or more of the above criteria; and</w:t>
      </w:r>
    </w:p>
    <w:p>
      <w:pPr>
        <w:spacing w:after="0" w:line="225" w:lineRule="exact"/>
        <w:rPr>
          <w:rFonts w:ascii="Arial" w:cs="Arial" w:eastAsia="Arial" w:hAnsi="Arial"/>
          <w:sz w:val="18"/>
          <w:szCs w:val="18"/>
          <w:color w:val="auto"/>
        </w:rPr>
      </w:pPr>
    </w:p>
    <w:p>
      <w:pPr>
        <w:ind w:left="340" w:right="40" w:firstLine="316"/>
        <w:spacing w:after="0" w:line="259" w:lineRule="auto"/>
        <w:tabs>
          <w:tab w:leader="none" w:pos="9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entity, other than an entity formed for the purpose of purchasing securities in this offering, in which the shareholders equity (including pursuant to foreign accounting rules, international accounting regulations and U.S. generally accepted accounting rules, as defined in the Securities Law Regulations (Preparation of Annual Financial Statements), 1993) is in excess of NIS 50 million.</w:t>
      </w:r>
    </w:p>
    <w:p>
      <w:pPr>
        <w:spacing w:after="0" w:line="19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Any offeree of the securities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Canada</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subject to this offering are not qualified for sale in Canada and may not be offered or sold in Canada, directly or indirectly, on our behalf.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LEGAL MATTERS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validity of the securities offered by this prospectus will be passed upon by Disclosure Law Group, a Professional Corporation, San Diego, California (</w:t>
      </w:r>
      <w:r>
        <w:rPr>
          <w:rFonts w:ascii="Arial" w:cs="Arial" w:eastAsia="Arial" w:hAnsi="Arial"/>
          <w:sz w:val="18"/>
          <w:szCs w:val="18"/>
          <w:i w:val="1"/>
          <w:iCs w:val="1"/>
          <w:color w:val="auto"/>
        </w:rPr>
        <w:t>DLG</w:t>
      </w:r>
      <w:r>
        <w:rPr>
          <w:rFonts w:ascii="Arial" w:cs="Arial" w:eastAsia="Arial" w:hAnsi="Arial"/>
          <w:sz w:val="18"/>
          <w:szCs w:val="18"/>
          <w:color w:val="auto"/>
        </w:rPr>
        <w:t>). Partners of DLG beneficially own an aggregate of 84,487 registered and/or restricted shares of our common stock. Lowenstein Sandler LLP, New York, NY, is acting as counsel for the underwriters in connection with this offering.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EXPERTS</w:t>
      </w:r>
    </w:p>
    <w:p>
      <w:pPr>
        <w:spacing w:after="0" w:line="225"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financial statements as of March 31, 2017 and 2016,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WHERE YOU CAN FIND MORE INFORMATION</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securities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4"/>
        </w:trPr>
        <w:tc>
          <w:tcPr>
            <w:tcW w:w="10280" w:type="dxa"/>
            <w:vAlign w:val="bottom"/>
            <w:gridSpan w:val="11"/>
          </w:tcPr>
          <w:p>
            <w:pPr>
              <w:spacing w:after="0"/>
              <w:rPr>
                <w:sz w:val="20"/>
                <w:szCs w:val="20"/>
                <w:color w:val="auto"/>
              </w:rPr>
            </w:pPr>
            <w:r>
              <w:rPr>
                <w:rFonts w:ascii="Arial" w:cs="Arial" w:eastAsia="Arial" w:hAnsi="Arial"/>
                <w:sz w:val="18"/>
                <w:szCs w:val="18"/>
                <w:b w:val="1"/>
                <w:bCs w:val="1"/>
                <w:color w:val="auto"/>
              </w:rPr>
              <w:t>Audited Financial Statements for the years ended March 31, 2017 and 2016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260" w:type="dxa"/>
            <w:vAlign w:val="bottom"/>
            <w:gridSpan w:val="10"/>
            <w:shd w:val="clear" w:color="auto" w:fill="CCEEFF"/>
          </w:tcPr>
          <w:p>
            <w:pPr>
              <w:spacing w:after="0" w:line="177" w:lineRule="exact"/>
              <w:rPr>
                <w:rFonts w:ascii="Arial" w:cs="Arial" w:eastAsia="Arial" w:hAnsi="Arial"/>
                <w:sz w:val="18"/>
                <w:szCs w:val="18"/>
                <w:color w:val="0000EE"/>
              </w:rPr>
            </w:pPr>
            <w:hyperlink w:anchor="page120">
              <w:r>
                <w:rPr>
                  <w:rFonts w:ascii="Arial" w:cs="Arial" w:eastAsia="Arial" w:hAnsi="Arial"/>
                  <w:sz w:val="18"/>
                  <w:szCs w:val="18"/>
                  <w:color w:val="0000EE"/>
                </w:rPr>
                <w:t>Report of Independent Registered Public Accounting Firm</w:t>
              </w:r>
            </w:hyperlink>
          </w:p>
        </w:tc>
        <w:tc>
          <w:tcPr>
            <w:tcW w:w="1140" w:type="dxa"/>
            <w:vAlign w:val="bottom"/>
            <w:shd w:val="clear" w:color="auto" w:fill="CCEEFF"/>
          </w:tcPr>
          <w:p>
            <w:pPr>
              <w:jc w:val="center"/>
              <w:ind w:left="12"/>
              <w:spacing w:after="0" w:line="177"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Consolidated Balance Sheets</w:t>
              </w:r>
            </w:hyperlink>
          </w:p>
        </w:tc>
        <w:tc>
          <w:tcPr>
            <w:tcW w:w="6120" w:type="dxa"/>
            <w:vAlign w:val="bottom"/>
            <w:tcBorders>
              <w:top w:val="single" w:sz="8" w:color="CCEEFF"/>
            </w:tcBorders>
            <w:gridSpan w:val="3"/>
          </w:tcPr>
          <w:p>
            <w:pPr>
              <w:spacing w:after="0"/>
              <w:rPr>
                <w:sz w:val="15"/>
                <w:szCs w:val="15"/>
                <w:color w:val="auto"/>
              </w:rPr>
            </w:pPr>
          </w:p>
        </w:tc>
        <w:tc>
          <w:tcPr>
            <w:tcW w:w="1140" w:type="dxa"/>
            <w:vAlign w:val="bottom"/>
            <w:tcBorders>
              <w:top w:val="single" w:sz="8" w:color="CCEEFF"/>
            </w:tcBorders>
          </w:tcPr>
          <w:p>
            <w:pPr>
              <w:jc w:val="center"/>
              <w:ind w:left="12"/>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6"/>
              </w:rPr>
            </w:pPr>
            <w:hyperlink w:anchor="page121">
              <w:r>
                <w:rPr>
                  <w:rFonts w:ascii="Arial" w:cs="Arial" w:eastAsia="Arial" w:hAnsi="Arial"/>
                  <w:sz w:val="18"/>
                  <w:szCs w:val="18"/>
                  <w:color w:val="0000EE"/>
                  <w:w w:val="86"/>
                </w:rPr>
                <w:t>Consolidated Statements of Operations and Comprehensive Loss</w:t>
              </w:r>
            </w:hyperlink>
          </w:p>
        </w:tc>
        <w:tc>
          <w:tcPr>
            <w:tcW w:w="5700" w:type="dxa"/>
            <w:vAlign w:val="bottom"/>
            <w:tcBorders>
              <w:bottom w:val="single" w:sz="8" w:color="CCEEFF"/>
            </w:tcBorders>
            <w:gridSpan w:val="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0"/>
          </w:tcPr>
          <w:p>
            <w:pPr>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Consolidated Statements of Cash Flows</w:t>
              </w:r>
            </w:hyperlink>
          </w:p>
        </w:tc>
        <w:tc>
          <w:tcPr>
            <w:tcW w:w="1140" w:type="dxa"/>
            <w:vAlign w:val="bottom"/>
          </w:tcPr>
          <w:p>
            <w:pPr>
              <w:jc w:val="center"/>
              <w:ind w:left="12"/>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Consolidated Statements of Stockholders' Equity (Deficit)</w:t>
              </w:r>
            </w:hyperlink>
          </w:p>
        </w:tc>
        <w:tc>
          <w:tcPr>
            <w:tcW w:w="6180" w:type="dxa"/>
            <w:vAlign w:val="bottom"/>
            <w:tcBorders>
              <w:bottom w:val="single" w:sz="8" w:color="CCEEFF"/>
            </w:tcBorders>
            <w:gridSpan w:val="4"/>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0"/>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Notes to Consolidated Financial Statements</w:t>
              </w:r>
            </w:hyperlink>
          </w:p>
        </w:tc>
        <w:tc>
          <w:tcPr>
            <w:tcW w:w="1140" w:type="dxa"/>
            <w:vAlign w:val="bottom"/>
          </w:tcPr>
          <w:p>
            <w:pPr>
              <w:jc w:val="center"/>
              <w:ind w:left="12"/>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statements for the three- and six-month periods ended September 30, 2017 and 2016 (Unaudited)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85"/>
              </w:rPr>
              <w:t>Condensed Consolidated Balance Sheets</w:t>
            </w:r>
          </w:p>
        </w:tc>
        <w:tc>
          <w:tcPr>
            <w:tcW w:w="7400" w:type="dxa"/>
            <w:vAlign w:val="bottom"/>
            <w:tcBorders>
              <w:bottom w:val="single" w:sz="8" w:color="CCEEFF"/>
            </w:tcBorders>
            <w:gridSpan w:val="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86"/>
              </w:rPr>
              <w:t>F-34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0"/>
          </w:tcPr>
          <w:p>
            <w:pPr>
              <w:spacing w:after="0" w:line="176" w:lineRule="exact"/>
              <w:rPr>
                <w:sz w:val="20"/>
                <w:szCs w:val="20"/>
                <w:color w:val="auto"/>
              </w:rPr>
            </w:pPr>
            <w:r>
              <w:rPr>
                <w:rFonts w:ascii="Arial" w:cs="Arial" w:eastAsia="Arial" w:hAnsi="Arial"/>
                <w:sz w:val="18"/>
                <w:szCs w:val="18"/>
                <w:color w:val="0000EE"/>
              </w:rPr>
              <w:t>Condensed Consolidated Statements of Operations and Comprehensive Loss</w:t>
            </w:r>
          </w:p>
        </w:tc>
        <w:tc>
          <w:tcPr>
            <w:tcW w:w="1140" w:type="dxa"/>
            <w:vAlign w:val="bottom"/>
          </w:tcPr>
          <w:p>
            <w:pPr>
              <w:jc w:val="center"/>
              <w:ind w:left="12"/>
              <w:spacing w:after="0" w:line="176" w:lineRule="exact"/>
              <w:rPr>
                <w:sz w:val="20"/>
                <w:szCs w:val="20"/>
                <w:color w:val="auto"/>
              </w:rPr>
            </w:pPr>
            <w:r>
              <w:rPr>
                <w:rFonts w:ascii="Arial" w:cs="Arial" w:eastAsia="Arial" w:hAnsi="Arial"/>
                <w:sz w:val="18"/>
                <w:szCs w:val="18"/>
                <w:color w:val="auto"/>
                <w:w w:val="86"/>
              </w:rPr>
              <w:t>F-35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86"/>
              </w:rPr>
              <w:t>Condensed Consolidated Statements of Cash Flows</w:t>
            </w:r>
          </w:p>
        </w:tc>
        <w:tc>
          <w:tcPr>
            <w:tcW w:w="6640" w:type="dxa"/>
            <w:vAlign w:val="bottom"/>
            <w:tcBorders>
              <w:bottom w:val="single" w:sz="8" w:color="CCEEFF"/>
            </w:tcBorders>
            <w:gridSpan w:val="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86"/>
              </w:rPr>
              <w:t>F-36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0"/>
          </w:tcPr>
          <w:p>
            <w:pPr>
              <w:spacing w:after="0" w:line="176" w:lineRule="exact"/>
              <w:rPr>
                <w:sz w:val="20"/>
                <w:szCs w:val="20"/>
                <w:color w:val="auto"/>
              </w:rPr>
            </w:pPr>
            <w:r>
              <w:rPr>
                <w:rFonts w:ascii="Arial" w:cs="Arial" w:eastAsia="Arial" w:hAnsi="Arial"/>
                <w:sz w:val="18"/>
                <w:szCs w:val="18"/>
                <w:color w:val="0000EE"/>
              </w:rPr>
              <w:t>Notes to the Condensed Consolidated Financial Statements</w:t>
            </w:r>
          </w:p>
        </w:tc>
        <w:tc>
          <w:tcPr>
            <w:tcW w:w="1140" w:type="dxa"/>
            <w:vAlign w:val="bottom"/>
          </w:tcPr>
          <w:p>
            <w:pPr>
              <w:jc w:val="center"/>
              <w:ind w:left="12"/>
              <w:spacing w:after="0" w:line="176" w:lineRule="exact"/>
              <w:rPr>
                <w:sz w:val="20"/>
                <w:szCs w:val="20"/>
                <w:color w:val="auto"/>
              </w:rPr>
            </w:pPr>
            <w:r>
              <w:rPr>
                <w:rFonts w:ascii="Arial" w:cs="Arial" w:eastAsia="Arial" w:hAnsi="Arial"/>
                <w:sz w:val="18"/>
                <w:szCs w:val="18"/>
                <w:color w:val="auto"/>
                <w:w w:val="88"/>
              </w:rPr>
              <w:t>F-3y</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1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audited the accompanying consolidated balance sheets of VistaGen Therapeutics, Inc. as of March 31, 2017 and 2016 and the related consolidated statements of operations and comprehensive loss, cash flows, and stockholders’ equity (deficit) for each of the two fiscal years in the period ended March 31, 2017. These financial statements are the responsibility of the Company's management. Our responsibility is to express an opinion on these consolidated financial statements based on our audits.</w:t>
      </w:r>
    </w:p>
    <w:p>
      <w:pPr>
        <w:spacing w:after="0" w:line="19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VistaGen Therapeutics, Inc. at March 31, 2017 and 2016, and the consolidated results of its operations and its cash flows for each of the two fiscal years in the period ended March 31, 2017, in conformity with U.S. generally accepted accounting principles.</w:t>
      </w:r>
    </w:p>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minimal stockholders’ equity, all of which raise substantial doubt about its ability to continue as a going concern. The consolidated financial statements do not include any adjustments that might result from the outcome of this uncertainty.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tbl>
      <w:tblPr>
        <w:tblLayout w:type="fixed"/>
        <w:tblInd w:w="0" w:type="dxa"/>
        <w:tblCellMar>
          <w:top w:w="0" w:type="dxa"/>
          <w:left w:w="0" w:type="dxa"/>
          <w:bottom w:w="0" w:type="dxa"/>
          <w:right w:w="0" w:type="dxa"/>
        </w:tblCellMar>
      </w:tblPr>
      <w:tr>
        <w:trPr>
          <w:trHeight w:val="193"/>
        </w:trPr>
        <w:tc>
          <w:tcPr>
            <w:tcW w:w="8820" w:type="dxa"/>
            <w:vAlign w:val="bottom"/>
            <w:gridSpan w:val="3"/>
          </w:tcPr>
          <w:p>
            <w:pPr>
              <w:spacing w:after="0" w:line="193" w:lineRule="exact"/>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98"/>
              </w:rPr>
              <w:t>VISTAGEN THERAPEUTICS,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96"/>
              </w:rPr>
              <w:t>CONSOLIDATED BALANCE SHEETS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w w:val="93"/>
              </w:rPr>
              <w:t>March 31,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8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Security deposits and other assets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56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3,712,200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989,800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80"/>
              <w:spacing w:after="0"/>
              <w:rPr>
                <w:sz w:val="20"/>
                <w:szCs w:val="20"/>
                <w:color w:val="auto"/>
              </w:rPr>
            </w:pPr>
            <w:r>
              <w:rPr>
                <w:rFonts w:ascii="Arial" w:cs="Arial" w:eastAsia="Arial" w:hAnsi="Arial"/>
                <w:sz w:val="18"/>
                <w:szCs w:val="18"/>
                <w:b w:val="1"/>
                <w:bCs w:val="1"/>
                <w:color w:val="auto"/>
              </w:rPr>
              <w:t>LIABILITIES AND STOCKHOLDERS’ EQUITY (DEFICIT)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867,300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936,000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Current portion of notes payable and accrued interest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Capital lease obligations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5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1,794,700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Notes payable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Accrued dividends on Series B Preferred Stock</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1,577,800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2,089,600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rent liability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Capital lease obligations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1,728,900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5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3,096,400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 (deficit):</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Preferred stock, $0.001 par value; 10,000,000 shares authorized at March 31, 2017 and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20" w:type="dxa"/>
            <w:vAlign w:val="bottom"/>
          </w:tcPr>
          <w:p>
            <w:pPr>
              <w:ind w:left="500"/>
              <w:spacing w:after="0"/>
              <w:rPr>
                <w:sz w:val="20"/>
                <w:szCs w:val="20"/>
                <w:color w:val="auto"/>
              </w:rPr>
            </w:pPr>
            <w:r>
              <w:rPr>
                <w:rFonts w:ascii="Arial" w:cs="Arial" w:eastAsia="Arial" w:hAnsi="Arial"/>
                <w:sz w:val="18"/>
                <w:szCs w:val="18"/>
                <w:color w:val="auto"/>
              </w:rPr>
              <w:t>Series A Preferred, 500,000 shares authorized and outstanding at March 31, 2017 and March 31, 2016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r>
      <w:tr>
        <w:trPr>
          <w:trHeight w:val="209"/>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Series B Preferred; 4,000,000 shares authorized at March 31, 2017 and March 31, 2016; 1,160,240 shares and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3,663,077 shares issued and outstanding at March 31, 2017 and March 31, 2016, respectively</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40" w:type="dxa"/>
            <w:vAlign w:val="bottom"/>
            <w:shd w:val="clear" w:color="auto" w:fill="CCEEFF"/>
          </w:tcPr>
          <w:p>
            <w:pPr>
              <w:spacing w:after="0"/>
              <w:rPr>
                <w:sz w:val="19"/>
                <w:szCs w:val="19"/>
                <w:color w:val="auto"/>
              </w:rPr>
            </w:pPr>
          </w:p>
        </w:tc>
      </w:tr>
      <w:tr>
        <w:trPr>
          <w:trHeight w:val="208"/>
        </w:trPr>
        <w:tc>
          <w:tcPr>
            <w:tcW w:w="8820" w:type="dxa"/>
            <w:vAlign w:val="bottom"/>
          </w:tcPr>
          <w:p>
            <w:pPr>
              <w:ind w:left="500"/>
              <w:spacing w:after="0"/>
              <w:rPr>
                <w:sz w:val="20"/>
                <w:szCs w:val="20"/>
                <w:color w:val="auto"/>
              </w:rPr>
            </w:pPr>
            <w:r>
              <w:rPr>
                <w:rFonts w:ascii="Arial" w:cs="Arial" w:eastAsia="Arial" w:hAnsi="Arial"/>
                <w:sz w:val="18"/>
                <w:szCs w:val="18"/>
                <w:color w:val="auto"/>
                <w:w w:val="87"/>
              </w:rPr>
              <w:t>Series C Preferred: 3,000,000 shares authorized at March 31, 2017 and March 31, 2017; 2,318,012 shares issued and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820" w:type="dxa"/>
            <w:vAlign w:val="bottom"/>
          </w:tcPr>
          <w:p>
            <w:pPr>
              <w:ind w:left="500"/>
              <w:spacing w:after="0"/>
              <w:rPr>
                <w:sz w:val="20"/>
                <w:szCs w:val="20"/>
                <w:color w:val="auto"/>
              </w:rPr>
            </w:pPr>
            <w:r>
              <w:rPr>
                <w:rFonts w:ascii="Arial" w:cs="Arial" w:eastAsia="Arial" w:hAnsi="Arial"/>
                <w:sz w:val="18"/>
                <w:szCs w:val="18"/>
                <w:color w:val="auto"/>
              </w:rPr>
              <w:t>outstanding at March 31, 2017 and March 31, 2016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9"/>
                <w:szCs w:val="19"/>
                <w:color w:val="auto"/>
              </w:rPr>
            </w:pPr>
          </w:p>
        </w:tc>
      </w:tr>
      <w:tr>
        <w:trPr>
          <w:trHeight w:val="223"/>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$0.001 par value; 30,000,000 shares authorized at March 31, 2017 and March 31, 2016;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0"/>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8,974,386 and 2,623,145 shares issued at March 31, 2017 and March 31, 2016, respectively</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146,569,600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132,725,000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Treasury stock, at cost, 135,665 shares of common stock held at March 31, 2017 and March 31, 2016</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(141,998,700)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(131,743,200)</w:t>
            </w:r>
          </w:p>
        </w:tc>
      </w:tr>
      <w:tr>
        <w:trPr>
          <w:trHeight w:val="27"/>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tcPr>
          <w:p>
            <w:pPr>
              <w:ind w:left="74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615,800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(2,977,200)</w:t>
            </w:r>
          </w:p>
        </w:tc>
      </w:tr>
      <w:tr>
        <w:trPr>
          <w:trHeight w:val="257"/>
        </w:trPr>
        <w:tc>
          <w:tcPr>
            <w:tcW w:w="88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Total liabilities and stockholders’ equity (deficit)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3,712,200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989,800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Fiscal Years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Sublicense fees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5,203,700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3,931,600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6,294,800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13,918,600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11,498,500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17,850,200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(10,248,500)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(17,850,200)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expenses, net: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Change in warrant liability</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(1,894,700)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(26,700,200)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(10,253,100)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(47,218,200)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(10,255,500)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(47,220,500)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dividend on Series B Preferred stock</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Deemed dividend on Series B Preferred Units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(2,058,000)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(11,623,600)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(51,419,000)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Basic and diluted net loss attributable to common stockholders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basic and diluted net loss attributable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 common stockholders per common share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7,531,642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1,767,957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ectPr>
          <w:pgSz w:w="11900" w:h="16838" w:orient="portrait"/>
          <w:cols w:equalWidth="0" w:num="1">
            <w:col w:w="11420"/>
          </w:cols>
          <w:pgMar w:left="240" w:top="131" w:right="239" w:bottom="0" w:gutter="0" w:footer="0" w:header="0"/>
        </w:sectPr>
      </w:pPr>
    </w:p>
    <w:bookmarkStart w:id="121" w:name="page122"/>
    <w:bookmarkEnd w:id="12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ind w:left="4940"/>
              <w:spacing w:after="0"/>
              <w:rPr>
                <w:sz w:val="20"/>
                <w:szCs w:val="20"/>
                <w:color w:val="auto"/>
              </w:rPr>
            </w:pPr>
            <w:r>
              <w:rPr>
                <w:rFonts w:ascii="Arial" w:cs="Arial" w:eastAsia="Arial" w:hAnsi="Arial"/>
                <w:sz w:val="18"/>
                <w:szCs w:val="18"/>
                <w:b w:val="1"/>
                <w:bCs w:val="1"/>
                <w:color w:val="auto"/>
              </w:rPr>
              <w:t>(Amounts in dollars)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8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Fiscal Years Ended</w:t>
            </w:r>
          </w:p>
        </w:tc>
      </w:tr>
      <w:tr>
        <w:trPr>
          <w:trHeight w:val="237"/>
        </w:trPr>
        <w:tc>
          <w:tcPr>
            <w:tcW w:w="8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8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r>
      <w:tr>
        <w:trPr>
          <w:trHeight w:val="215"/>
        </w:trPr>
        <w:tc>
          <w:tcPr>
            <w:tcW w:w="8820" w:type="dxa"/>
            <w:vAlign w:val="bottom"/>
          </w:tcPr>
          <w:p>
            <w:pPr>
              <w:ind w:left="6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8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(10,255,500)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(47,220,500)</w:t>
            </w: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Amortization of discounts on convertible and promissory notes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564,800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warrant liability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851,300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4,041,400</w:t>
            </w:r>
          </w:p>
        </w:tc>
        <w:tc>
          <w:tcPr>
            <w:tcW w:w="140" w:type="dxa"/>
            <w:vAlign w:val="bottom"/>
          </w:tcPr>
          <w:p>
            <w:pPr>
              <w:spacing w:after="0"/>
              <w:rPr>
                <w:sz w:val="18"/>
                <w:szCs w:val="18"/>
                <w:color w:val="auto"/>
              </w:rPr>
            </w:pPr>
          </w:p>
        </w:tc>
      </w:tr>
      <w:tr>
        <w:trPr>
          <w:trHeight w:val="208"/>
        </w:trPr>
        <w:tc>
          <w:tcPr>
            <w:tcW w:w="8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Expense related to modification of warrants, including exchange of warrants for Series C Preferred and common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427,500</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6,218,000</w:t>
            </w:r>
          </w:p>
        </w:tc>
        <w:tc>
          <w:tcPr>
            <w:tcW w:w="140" w:type="dxa"/>
            <w:vAlign w:val="bottom"/>
            <w:shd w:val="clear" w:color="auto" w:fill="CCEEFF"/>
          </w:tcPr>
          <w:p>
            <w:pPr>
              <w:spacing w:after="0"/>
              <w:rPr>
                <w:sz w:val="19"/>
                <w:szCs w:val="19"/>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Amortization of deferred rent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(27,500)</w:t>
            </w: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Fair value of common stock granted for services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Fair value of Series B Preferred stock granted for services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1,382,500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Fair value of warrants granted for services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Gain on currency fluctuation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(6,400)</w:t>
            </w: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26,700,200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Loss on disposition of fixed assets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60"/>
              <w:spacing w:after="0"/>
              <w:rPr>
                <w:sz w:val="20"/>
                <w:szCs w:val="20"/>
                <w:color w:val="auto"/>
              </w:rPr>
            </w:pPr>
            <w:r>
              <w:rPr>
                <w:rFonts w:ascii="Arial" w:cs="Arial" w:eastAsia="Arial" w:hAnsi="Arial"/>
                <w:sz w:val="18"/>
                <w:szCs w:val="18"/>
                <w:color w:val="auto"/>
              </w:rPr>
              <w:t>Prepaid expenses, security deposit and other current assets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(227,700)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accrued expenses, including accrued interest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(451,700)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(547,200)</w:t>
            </w:r>
          </w:p>
        </w:tc>
      </w:tr>
      <w:tr>
        <w:trPr>
          <w:trHeight w:val="27"/>
        </w:trPr>
        <w:tc>
          <w:tcPr>
            <w:tcW w:w="88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tcPr>
          <w:p>
            <w:pPr>
              <w:ind w:left="6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(7,262,100)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(4,808,500)</w:t>
            </w:r>
          </w:p>
        </w:tc>
      </w:tr>
      <w:tr>
        <w:trPr>
          <w:trHeight w:val="216"/>
        </w:trPr>
        <w:tc>
          <w:tcPr>
            <w:tcW w:w="88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equipment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(26,300)</w:t>
            </w:r>
          </w:p>
        </w:tc>
      </w:tr>
      <w:tr>
        <w:trPr>
          <w:trHeight w:val="27"/>
        </w:trPr>
        <w:tc>
          <w:tcPr>
            <w:tcW w:w="88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(26,300)</w:t>
            </w:r>
          </w:p>
        </w:tc>
      </w:tr>
      <w:tr>
        <w:trPr>
          <w:trHeight w:val="216"/>
        </w:trPr>
        <w:tc>
          <w:tcPr>
            <w:tcW w:w="88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9,899,500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Net proceeds from issuance of Series B Preferred Units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5,025,800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capital lease obligations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r>
      <w:tr>
        <w:trPr>
          <w:trHeight w:val="223"/>
        </w:trPr>
        <w:tc>
          <w:tcPr>
            <w:tcW w:w="8820" w:type="dxa"/>
            <w:vAlign w:val="bottom"/>
          </w:tcPr>
          <w:p>
            <w:pPr>
              <w:ind w:left="420"/>
              <w:spacing w:after="0"/>
              <w:rPr>
                <w:sz w:val="20"/>
                <w:szCs w:val="20"/>
                <w:color w:val="auto"/>
              </w:rPr>
            </w:pPr>
            <w:r>
              <w:rPr>
                <w:rFonts w:ascii="Arial" w:cs="Arial" w:eastAsia="Arial" w:hAnsi="Arial"/>
                <w:sz w:val="18"/>
                <w:szCs w:val="18"/>
                <w:color w:val="auto"/>
              </w:rPr>
              <w:t>Repayment of notes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(182,200)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(111,500)</w:t>
            </w:r>
          </w:p>
        </w:tc>
      </w:tr>
      <w:tr>
        <w:trPr>
          <w:trHeight w:val="223"/>
        </w:trPr>
        <w:tc>
          <w:tcPr>
            <w:tcW w:w="88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9,994,000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2,492,800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358,500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2,921,300</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Supplemental disclosure of cash flow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Senior Secured Notes, Subordinate Convertible Notes, Promissory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Notes, Accounts payable and other debt into Series B Preferred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18,891,400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Accrued dividends on Series B Preferred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1,257,000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2,140,500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 settled upon conversion by issuance of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1,768,800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50,900</w:t>
            </w:r>
          </w:p>
        </w:tc>
        <w:tc>
          <w:tcPr>
            <w:tcW w:w="140" w:type="dxa"/>
            <w:vAlign w:val="bottom"/>
            <w:shd w:val="clear" w:color="auto" w:fill="CCEEFF"/>
          </w:tcPr>
          <w:p>
            <w:pPr>
              <w:spacing w:after="0"/>
              <w:rPr>
                <w:sz w:val="18"/>
                <w:szCs w:val="18"/>
                <w:color w:val="auto"/>
              </w:rPr>
            </w:pPr>
          </w:p>
        </w:tc>
      </w:tr>
      <w:tr>
        <w:trPr>
          <w:trHeight w:val="222"/>
        </w:trPr>
        <w:tc>
          <w:tcPr>
            <w:tcW w:w="8820" w:type="dxa"/>
            <w:vAlign w:val="bottom"/>
          </w:tcPr>
          <w:p>
            <w:pPr>
              <w:ind w:left="180"/>
              <w:spacing w:after="0"/>
              <w:rPr>
                <w:sz w:val="20"/>
                <w:szCs w:val="20"/>
                <w:color w:val="auto"/>
              </w:rPr>
            </w:pPr>
            <w:r>
              <w:rPr>
                <w:rFonts w:ascii="Arial" w:cs="Arial" w:eastAsia="Arial" w:hAnsi="Arial"/>
                <w:sz w:val="18"/>
                <w:szCs w:val="18"/>
                <w:color w:val="auto"/>
              </w:rPr>
              <w:t>Acquisition of equipment under capital lease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14,700</w:t>
            </w:r>
          </w:p>
        </w:tc>
        <w:tc>
          <w:tcPr>
            <w:tcW w:w="2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bl>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F-4</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Fiscal Years Ended March 31, 2017 and 2016</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00" w:type="dxa"/>
            <w:vAlign w:val="bottom"/>
            <w:gridSpan w:val="5"/>
          </w:tcPr>
          <w:p>
            <w:pPr>
              <w:ind w:left="20"/>
              <w:spacing w:after="0"/>
              <w:rPr>
                <w:sz w:val="20"/>
                <w:szCs w:val="20"/>
                <w:color w:val="auto"/>
              </w:rPr>
            </w:pPr>
            <w:r>
              <w:rPr>
                <w:rFonts w:ascii="Arial" w:cs="Arial" w:eastAsia="Arial" w:hAnsi="Arial"/>
                <w:sz w:val="16"/>
                <w:szCs w:val="16"/>
                <w:b w:val="1"/>
                <w:bCs w:val="1"/>
                <w:color w:val="auto"/>
              </w:rPr>
              <w:t>Series A Preferred</w:t>
            </w: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Series B Preferred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Series C Preferred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w w:val="87"/>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80" w:type="dxa"/>
            <w:vAlign w:val="bottom"/>
            <w:gridSpan w:val="3"/>
          </w:tcPr>
          <w:p>
            <w:pPr>
              <w:ind w:left="480"/>
              <w:spacing w:after="0"/>
              <w:rPr>
                <w:sz w:val="20"/>
                <w:szCs w:val="20"/>
                <w:color w:val="auto"/>
              </w:rPr>
            </w:pPr>
            <w:r>
              <w:rPr>
                <w:rFonts w:ascii="Arial" w:cs="Arial" w:eastAsia="Arial" w:hAnsi="Arial"/>
                <w:sz w:val="16"/>
                <w:szCs w:val="16"/>
                <w:b w:val="1"/>
                <w:bCs w:val="1"/>
                <w:color w:val="auto"/>
              </w:rPr>
              <w:t>Stock</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7"/>
              </w:rPr>
              <w:t>Stock</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Stock</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5"/>
          </w:tcPr>
          <w:p>
            <w:pPr>
              <w:ind w:left="18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3"/>
              </w:rPr>
              <w:t>Paid-in</w:t>
            </w:r>
          </w:p>
        </w:tc>
        <w:tc>
          <w:tcPr>
            <w:tcW w:w="920" w:type="dxa"/>
            <w:vAlign w:val="bottom"/>
            <w:gridSpan w:val="3"/>
          </w:tcPr>
          <w:p>
            <w:pPr>
              <w:ind w:left="180"/>
              <w:spacing w:after="0"/>
              <w:rPr>
                <w:sz w:val="20"/>
                <w:szCs w:val="20"/>
                <w:color w:val="auto"/>
              </w:rPr>
            </w:pPr>
            <w:r>
              <w:rPr>
                <w:rFonts w:ascii="Arial" w:cs="Arial" w:eastAsia="Arial" w:hAnsi="Arial"/>
                <w:sz w:val="16"/>
                <w:szCs w:val="16"/>
                <w:b w:val="1"/>
                <w:bCs w:val="1"/>
                <w:color w:val="auto"/>
              </w:rPr>
              <w:t>Treasury</w:t>
            </w:r>
          </w:p>
        </w:tc>
        <w:tc>
          <w:tcPr>
            <w:tcW w:w="980" w:type="dxa"/>
            <w:vAlign w:val="bottom"/>
            <w:gridSpan w:val="3"/>
          </w:tcPr>
          <w:p>
            <w:pPr>
              <w:ind w:left="60"/>
              <w:spacing w:after="0"/>
              <w:rPr>
                <w:sz w:val="20"/>
                <w:szCs w:val="20"/>
                <w:color w:val="auto"/>
              </w:rPr>
            </w:pPr>
            <w:r>
              <w:rPr>
                <w:rFonts w:ascii="Arial" w:cs="Arial" w:eastAsia="Arial" w:hAnsi="Arial"/>
                <w:sz w:val="16"/>
                <w:szCs w:val="16"/>
                <w:b w:val="1"/>
                <w:bCs w:val="1"/>
                <w:color w:val="auto"/>
                <w:w w:val="89"/>
              </w:rPr>
              <w:t>Accumulated</w:t>
            </w:r>
          </w:p>
        </w:tc>
        <w:tc>
          <w:tcPr>
            <w:tcW w:w="9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w w:val="93"/>
              </w:rPr>
              <w:t>Shares</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7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8"/>
                <w:szCs w:val="18"/>
                <w:color w:val="auto"/>
              </w:rPr>
            </w:pPr>
          </w:p>
        </w:tc>
        <w:tc>
          <w:tcPr>
            <w:tcW w:w="7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8"/>
                <w:szCs w:val="18"/>
                <w:color w:val="auto"/>
              </w:rPr>
            </w:pPr>
          </w:p>
        </w:tc>
        <w:tc>
          <w:tcPr>
            <w:tcW w:w="7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Shares</w:t>
            </w: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89"/>
              </w:rPr>
              <w:t>Amount</w:t>
            </w: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Stock</w:t>
            </w: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Deficit</w:t>
            </w: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March 31,</w:t>
            </w: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2015</w:t>
            </w:r>
          </w:p>
        </w:tc>
        <w:tc>
          <w:tcPr>
            <w:tcW w:w="6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w w:val="89"/>
              </w:rPr>
              <w:t>500,000</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500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5"/>
              </w:rPr>
              <w:t>1,677,126</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  1,700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5"/>
              </w:rPr>
              <w:t>$67,945,800</w:t>
            </w:r>
          </w:p>
        </w:tc>
        <w:tc>
          <w:tcPr>
            <w:tcW w:w="920" w:type="dxa"/>
            <w:vAlign w:val="bottom"/>
            <w:gridSpan w:val="3"/>
            <w:shd w:val="clear" w:color="auto" w:fill="CCEEFF"/>
          </w:tcPr>
          <w:p>
            <w:pPr>
              <w:ind w:left="180"/>
              <w:spacing w:after="0"/>
              <w:rPr>
                <w:sz w:val="20"/>
                <w:szCs w:val="20"/>
                <w:color w:val="auto"/>
              </w:rPr>
            </w:pPr>
            <w:r>
              <w:rPr>
                <w:rFonts w:ascii="Arial" w:cs="Arial" w:eastAsia="Arial" w:hAnsi="Arial"/>
                <w:sz w:val="16"/>
                <w:szCs w:val="16"/>
                <w:b w:val="1"/>
                <w:bCs w:val="1"/>
                <w:color w:val="auto"/>
                <w:w w:val="79"/>
              </w:rPr>
              <w:t>$(3,968,100)</w:t>
            </w:r>
          </w:p>
        </w:tc>
        <w:tc>
          <w:tcPr>
            <w:tcW w:w="980" w:type="dxa"/>
            <w:vAlign w:val="bottom"/>
            <w:gridSpan w:val="3"/>
            <w:shd w:val="clear" w:color="auto" w:fill="CCEEFF"/>
          </w:tcPr>
          <w:p>
            <w:pPr>
              <w:ind w:left="60"/>
              <w:spacing w:after="0"/>
              <w:rPr>
                <w:sz w:val="20"/>
                <w:szCs w:val="20"/>
                <w:color w:val="auto"/>
              </w:rPr>
            </w:pPr>
            <w:r>
              <w:rPr>
                <w:rFonts w:ascii="Arial" w:cs="Arial" w:eastAsia="Arial" w:hAnsi="Arial"/>
                <w:sz w:val="16"/>
                <w:szCs w:val="16"/>
                <w:b w:val="1"/>
                <w:bCs w:val="1"/>
                <w:color w:val="auto"/>
                <w:w w:val="90"/>
              </w:rPr>
              <w:t>$(84,522,700)</w:t>
            </w:r>
          </w:p>
        </w:tc>
        <w:tc>
          <w:tcPr>
            <w:tcW w:w="8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84"/>
              </w:rPr>
              <w:t>$(20,542,800)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8"/>
              </w:rPr>
              <w:t>Allocated proceeds from</w:t>
            </w:r>
          </w:p>
        </w:tc>
        <w:tc>
          <w:tcPr>
            <w:tcW w:w="6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33,000</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277,200</w:t>
            </w: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500"/>
          </w:cols>
          <w:pgMar w:left="240" w:top="125" w:right="159" w:bottom="0" w:gutter="0" w:footer="0" w:header="0"/>
        </w:sectPr>
      </w:pPr>
    </w:p>
    <w:bookmarkStart w:id="122" w:name="page123"/>
    <w:bookmarkEnd w:id="122"/>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sale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7715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77152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Units for cash under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2014 Unit Private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Placement, including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beneficial conversion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feature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740" w:type="dxa"/>
            <w:vAlign w:val="bottom"/>
            <w:gridSpan w:val="2"/>
          </w:tcPr>
          <w:p>
            <w:pPr>
              <w:spacing w:after="0"/>
              <w:rPr>
                <w:sz w:val="20"/>
                <w:szCs w:val="20"/>
                <w:color w:val="auto"/>
              </w:rPr>
            </w:pPr>
            <w:r>
              <w:rPr>
                <w:rFonts w:ascii="Arial" w:cs="Arial" w:eastAsia="Arial" w:hAnsi="Arial"/>
                <w:sz w:val="16"/>
                <w:szCs w:val="16"/>
                <w:color w:val="auto"/>
              </w:rPr>
              <w:t>Proceeds from sale of</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9"/>
              </w:rPr>
              <w:t>Series B Preferred Units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for cash under Series B</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Preferred Unit Private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Placement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717,978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700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5,025,100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5,025,800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Share-based</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4,041,400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Conversion of Senior</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6"/>
              </w:rPr>
              <w:t>Secured and subordinate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promissory notes into</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6"/>
              </w:rPr>
              <w:t>Series B Preferred stock,</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including recapture of</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beneficial conversion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feature upon conversion</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3,018,917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3,100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42,577,100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9"/>
              </w:rPr>
              <w:t>42,580,200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Elimination of warrant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liability resulting from</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modification of PLTG</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Warrants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4,903,100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Exchange of common</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stock for Series B</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30,000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(30,000)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Accrued dividends 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8"/>
              </w:rPr>
              <w:t>Series B Preferred stock</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(2,140,500)</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(2,140,500)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Conversion of Series B</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Preferred stock into</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8"/>
              </w:rPr>
              <w:t>common stock, including</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common stock issued in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payment of accrued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dividends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(228,818)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235,655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200</w:t>
            </w:r>
          </w:p>
        </w:tc>
        <w:tc>
          <w:tcPr>
            <w:tcW w:w="780" w:type="dxa"/>
            <w:vAlign w:val="bottom"/>
          </w:tcPr>
          <w:p>
            <w:pPr>
              <w:jc w:val="right"/>
              <w:spacing w:after="0"/>
              <w:rPr>
                <w:sz w:val="20"/>
                <w:szCs w:val="20"/>
                <w:color w:val="auto"/>
              </w:rPr>
            </w:pPr>
            <w:r>
              <w:rPr>
                <w:rFonts w:ascii="Arial" w:cs="Arial" w:eastAsia="Arial" w:hAnsi="Arial"/>
                <w:sz w:val="16"/>
                <w:szCs w:val="16"/>
                <w:color w:val="auto"/>
              </w:rPr>
              <w:t>50,900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Exchange of common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stock for Series C</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(200,000)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w w:val="96"/>
              </w:rPr>
              <w:t>Exchange of outstanding</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warrants for Series C</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2,118,012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2,100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3,192,800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3,194,900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6"/>
              </w:rPr>
              <w:t>Exchange of outstanding</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warrants for common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stock and other warrant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modifications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814,989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3,022,300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Fair value of common</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6"/>
              </w:rPr>
              <w:t>stock, Series B Preferred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stock and warrants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granted for services</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125,000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92,375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780" w:type="dxa"/>
            <w:vAlign w:val="bottom"/>
          </w:tcPr>
          <w:p>
            <w:pPr>
              <w:jc w:val="right"/>
              <w:spacing w:after="0"/>
              <w:rPr>
                <w:sz w:val="20"/>
                <w:szCs w:val="20"/>
                <w:color w:val="auto"/>
              </w:rPr>
            </w:pPr>
            <w:r>
              <w:rPr>
                <w:rFonts w:ascii="Arial" w:cs="Arial" w:eastAsia="Arial" w:hAnsi="Arial"/>
                <w:sz w:val="16"/>
                <w:szCs w:val="16"/>
                <w:color w:val="auto"/>
              </w:rPr>
              <w:t>3,829,800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3,830,000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Net loss for fiscal year</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94"/>
              </w:rPr>
              <w:t>(47,220,500)</w:t>
            </w:r>
          </w:p>
        </w:tc>
        <w:tc>
          <w:tcPr>
            <w:tcW w:w="86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w w:val="88"/>
              </w:rPr>
              <w:t>(47,220,500)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ended March 31, 2016</w:t>
            </w:r>
          </w:p>
        </w:tc>
        <w:tc>
          <w:tcPr>
            <w:tcW w:w="6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March 31,</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2016</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500,000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2"/>
              </w:rPr>
              <w:t>3,663,077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3,700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5"/>
              </w:rPr>
              <w:t>2,318,012</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2,300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5"/>
              </w:rPr>
              <w:t>2,623,145</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2,600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5"/>
              </w:rPr>
              <w:t>$132,725,000</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7"/>
              </w:rPr>
              <w:t>$(3,968,100)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5"/>
              </w:rPr>
              <w:t>$(131,743,200)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8"/>
              </w:rPr>
              <w:t>$(2,977,200)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8"/>
              </w:rPr>
              <w:t>Series B Preferred Units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for cash under Series B</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Preferred Unit Private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Placement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39,714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Proceeds from sale of</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common stock and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8"/>
              </w:rPr>
              <w:t>warrants for cash in May</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2016 Public Offering</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2,570,040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2,600</w:t>
            </w:r>
          </w:p>
        </w:tc>
        <w:tc>
          <w:tcPr>
            <w:tcW w:w="780" w:type="dxa"/>
            <w:vAlign w:val="bottom"/>
          </w:tcPr>
          <w:p>
            <w:pPr>
              <w:jc w:val="right"/>
              <w:spacing w:after="0"/>
              <w:rPr>
                <w:sz w:val="20"/>
                <w:szCs w:val="20"/>
                <w:color w:val="auto"/>
              </w:rPr>
            </w:pPr>
            <w:r>
              <w:rPr>
                <w:rFonts w:ascii="Arial" w:cs="Arial" w:eastAsia="Arial" w:hAnsi="Arial"/>
                <w:sz w:val="16"/>
                <w:szCs w:val="16"/>
                <w:color w:val="auto"/>
              </w:rPr>
              <w:t>9,534,500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9,537,100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common stock and</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warrants for cash in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private placement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offerings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124,250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Series B Preferred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w w:val="99"/>
              </w:rPr>
              <w:t>converted to common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stock automatically</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w w:val="94"/>
              </w:rPr>
              <w:t>upon consummation of</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May 2016 Public</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Offering and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gridSpan w:val="2"/>
          </w:tcPr>
          <w:p>
            <w:pPr>
              <w:spacing w:after="0"/>
              <w:rPr>
                <w:sz w:val="20"/>
                <w:szCs w:val="20"/>
                <w:color w:val="auto"/>
              </w:rPr>
            </w:pPr>
            <w:r>
              <w:rPr>
                <w:rFonts w:ascii="Arial" w:cs="Arial" w:eastAsia="Arial" w:hAnsi="Arial"/>
                <w:sz w:val="18"/>
                <w:szCs w:val="18"/>
                <w:color w:val="auto"/>
              </w:rPr>
              <w:t>voluntarily</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80"/>
              </w:rPr>
              <w:t>(2,542,551)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(2,500)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2,542,551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2,500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Common stock issued</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for dividends upon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conversion of Series B</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Preferred</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453,154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1,768,300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Accrued dividends on</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(1,257,000)</w:t>
            </w: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(1,257,000)</w:t>
            </w:r>
          </w:p>
        </w:tc>
        <w:tc>
          <w:tcPr>
            <w:tcW w:w="0" w:type="dxa"/>
            <w:vAlign w:val="bottom"/>
          </w:tcPr>
          <w:p>
            <w:pPr>
              <w:spacing w:after="0"/>
              <w:rPr>
                <w:sz w:val="1"/>
                <w:szCs w:val="1"/>
                <w:color w:val="auto"/>
              </w:rPr>
            </w:pPr>
          </w:p>
        </w:tc>
      </w:tr>
    </w:tbl>
    <w:p>
      <w:pPr>
        <w:sectPr>
          <w:pgSz w:w="11900" w:h="16847" w:orient="portrait"/>
          <w:cols w:equalWidth="0" w:num="1">
            <w:col w:w="11420"/>
          </w:cols>
          <w:pgMar w:left="240" w:top="130" w:right="239" w:bottom="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t>Series B Preferred stock</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Share-based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2571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1740" w:type="dxa"/>
            <w:vAlign w:val="bottom"/>
            <w:gridSpan w:val="2"/>
          </w:tcPr>
          <w:p>
            <w:pPr>
              <w:spacing w:after="0"/>
              <w:rPr>
                <w:sz w:val="20"/>
                <w:szCs w:val="20"/>
                <w:color w:val="auto"/>
              </w:rPr>
            </w:pPr>
            <w:r>
              <w:rPr>
                <w:rFonts w:ascii="Arial" w:cs="Arial" w:eastAsia="Arial" w:hAnsi="Arial"/>
                <w:sz w:val="16"/>
                <w:szCs w:val="16"/>
                <w:color w:val="auto"/>
              </w:rPr>
              <w:t>compensation expense</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851,300</w:t>
            </w:r>
          </w:p>
        </w:tc>
        <w:tc>
          <w:tcPr>
            <w:tcW w:w="14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851,300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7"/>
              </w:rPr>
              <w:t>Exchange of outstanding</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warrants for common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stock and other warrant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modifications</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156,246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200</w:t>
            </w:r>
          </w:p>
        </w:tc>
        <w:tc>
          <w:tcPr>
            <w:tcW w:w="780" w:type="dxa"/>
            <w:vAlign w:val="bottom"/>
          </w:tcPr>
          <w:p>
            <w:pPr>
              <w:jc w:val="right"/>
              <w:spacing w:after="0"/>
              <w:rPr>
                <w:sz w:val="20"/>
                <w:szCs w:val="20"/>
                <w:color w:val="auto"/>
              </w:rPr>
            </w:pPr>
            <w:r>
              <w:rPr>
                <w:rFonts w:ascii="Arial" w:cs="Arial" w:eastAsia="Arial" w:hAnsi="Arial"/>
                <w:sz w:val="16"/>
                <w:szCs w:val="16"/>
                <w:color w:val="auto"/>
              </w:rPr>
              <w:t>427,300</w:t>
            </w:r>
          </w:p>
        </w:tc>
        <w:tc>
          <w:tcPr>
            <w:tcW w:w="14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427,500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Fair value of common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stock and warrants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granted for services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1,879,900</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Net loss for fiscal year</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w w:val="92"/>
              </w:rPr>
              <w:t>(10,255,500)</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88"/>
              </w:rPr>
              <w:t>(10,255,500)</w:t>
            </w:r>
          </w:p>
        </w:tc>
        <w:tc>
          <w:tcPr>
            <w:tcW w:w="0" w:type="dxa"/>
            <w:vAlign w:val="bottom"/>
          </w:tcPr>
          <w:p>
            <w:pPr>
              <w:spacing w:after="0"/>
              <w:rPr>
                <w:sz w:val="1"/>
                <w:szCs w:val="1"/>
                <w:color w:val="auto"/>
              </w:rPr>
            </w:pPr>
          </w:p>
        </w:tc>
      </w:tr>
      <w:tr>
        <w:trPr>
          <w:trHeight w:val="192"/>
        </w:trPr>
        <w:tc>
          <w:tcPr>
            <w:tcW w:w="1740" w:type="dxa"/>
            <w:vAlign w:val="bottom"/>
            <w:gridSpan w:val="2"/>
          </w:tcPr>
          <w:p>
            <w:pPr>
              <w:spacing w:after="0"/>
              <w:rPr>
                <w:sz w:val="20"/>
                <w:szCs w:val="20"/>
                <w:color w:val="auto"/>
              </w:rPr>
            </w:pPr>
            <w:r>
              <w:rPr>
                <w:rFonts w:ascii="Arial" w:cs="Arial" w:eastAsia="Arial" w:hAnsi="Arial"/>
                <w:sz w:val="16"/>
                <w:szCs w:val="16"/>
                <w:color w:val="auto"/>
              </w:rPr>
              <w:t>ended March 31, 2017</w:t>
            </w: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b w:val="1"/>
                <w:bCs w:val="1"/>
                <w:color w:val="auto"/>
              </w:rPr>
              <w:t>Balances at March 31,</w:t>
            </w: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500,000</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500</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92"/>
              </w:rPr>
              <w:t>1,160,240</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1,200</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95"/>
              </w:rPr>
              <w:t>2,318,012</w:t>
            </w: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2,300</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95"/>
              </w:rPr>
              <w:t>8,974,386</w:t>
            </w: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9,000</w:t>
            </w: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u w:val="single" w:color="auto"/>
                <w:color w:val="auto"/>
                <w:w w:val="85"/>
              </w:rPr>
              <w:t>$</w:t>
            </w:r>
            <w:r>
              <w:rPr>
                <w:rFonts w:ascii="Arial" w:cs="Arial" w:eastAsia="Arial" w:hAnsi="Arial"/>
                <w:sz w:val="16"/>
                <w:szCs w:val="16"/>
                <w:b w:val="1"/>
                <w:bCs w:val="1"/>
                <w:color w:val="auto"/>
                <w:w w:val="85"/>
              </w:rPr>
              <w:t>146,569,600</w:t>
            </w: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u w:val="single" w:color="auto"/>
                <w:color w:val="auto"/>
                <w:w w:val="83"/>
              </w:rPr>
              <w:t>$</w:t>
            </w:r>
            <w:r>
              <w:rPr>
                <w:rFonts w:ascii="Arial" w:cs="Arial" w:eastAsia="Arial" w:hAnsi="Arial"/>
                <w:sz w:val="16"/>
                <w:szCs w:val="16"/>
                <w:b w:val="1"/>
                <w:bCs w:val="1"/>
                <w:color w:val="auto"/>
                <w:w w:val="83"/>
              </w:rPr>
              <w:t>(3,968,100)</w:t>
            </w:r>
          </w:p>
        </w:tc>
        <w:tc>
          <w:tcPr>
            <w:tcW w:w="96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u w:val="single" w:color="auto"/>
                <w:color w:val="auto"/>
                <w:w w:val="84"/>
              </w:rPr>
              <w:t>$</w:t>
            </w:r>
            <w:r>
              <w:rPr>
                <w:rFonts w:ascii="Arial" w:cs="Arial" w:eastAsia="Arial" w:hAnsi="Arial"/>
                <w:sz w:val="16"/>
                <w:szCs w:val="16"/>
                <w:b w:val="1"/>
                <w:bCs w:val="1"/>
                <w:color w:val="auto"/>
                <w:w w:val="84"/>
              </w:rPr>
              <w:t>(141,998,700)</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7"/>
              </w:rPr>
              <w:t>$  615,800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40" w:type="dxa"/>
            <w:vAlign w:val="bottom"/>
            <w:gridSpan w:val="2"/>
          </w:tcPr>
          <w:p>
            <w:pPr>
              <w:spacing w:after="0" w:line="142" w:lineRule="exact"/>
              <w:rPr>
                <w:sz w:val="20"/>
                <w:szCs w:val="20"/>
                <w:color w:val="auto"/>
              </w:rPr>
            </w:pPr>
            <w:r>
              <w:rPr>
                <w:rFonts w:ascii="Arial" w:cs="Arial" w:eastAsia="Arial" w:hAnsi="Arial"/>
                <w:sz w:val="16"/>
                <w:szCs w:val="16"/>
                <w:b w:val="1"/>
                <w:bCs w:val="1"/>
                <w:color w:val="auto"/>
              </w:rPr>
              <w:t>2017</w:t>
            </w:r>
          </w:p>
        </w:tc>
        <w:tc>
          <w:tcPr>
            <w:tcW w:w="60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1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AV-101 is our oral CNS product candidate in Phase 2 clinical development in the United States, initially as a new generation adjunctive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in patients with an inadequate response to standard antidepressants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AV-101’s mechanism of action (</w:t>
      </w:r>
      <w:r>
        <w:rPr>
          <w:rFonts w:ascii="Arial" w:cs="Arial" w:eastAsia="Arial" w:hAnsi="Arial"/>
          <w:sz w:val="18"/>
          <w:szCs w:val="18"/>
          <w:i w:val="1"/>
          <w:iCs w:val="1"/>
          <w:color w:val="auto"/>
        </w:rPr>
        <w:t>MOA</w:t>
      </w:r>
      <w:r>
        <w:rPr>
          <w:rFonts w:ascii="Arial" w:cs="Arial" w:eastAsia="Arial" w:hAnsi="Arial"/>
          <w:sz w:val="18"/>
          <w:szCs w:val="18"/>
          <w:color w:val="auto"/>
        </w:rPr>
        <w:t>)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often used adjunctively to augment them. We believe AV-101 also has potential as a new treatment alternative for several additional indications involving the CNS, including epilepsy, Huntington’s disease, L-DOPA-induced dyskinesia associated with Parkinson’s disease, and neuropathic pain.</w:t>
      </w:r>
    </w:p>
    <w:p>
      <w:pPr>
        <w:spacing w:after="0" w:line="20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Clinical studies conducted at the U.S. National Institute of Mental Health (</w:t>
      </w:r>
      <w:r>
        <w:rPr>
          <w:rFonts w:ascii="Arial" w:cs="Arial" w:eastAsia="Arial" w:hAnsi="Arial"/>
          <w:sz w:val="18"/>
          <w:szCs w:val="18"/>
          <w:i w:val="1"/>
          <w:iCs w:val="1"/>
          <w:color w:val="auto"/>
        </w:rPr>
        <w:t>NIMH</w:t>
      </w:r>
      <w:r>
        <w:rPr>
          <w:rFonts w:ascii="Arial" w:cs="Arial" w:eastAsia="Arial" w:hAnsi="Arial"/>
          <w:sz w:val="18"/>
          <w:szCs w:val="18"/>
          <w:color w:val="auto"/>
        </w:rPr>
        <w:t>), part of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by Dr. Carlos Zarate, Jr., Chief of the NIMH’s Experimental Therapeutics &amp; Pathophysiology Branch and its Section on Neurobiology and Treatment of Mood and Anxiety Disorders, have focused on the antidepressant effects of low dose ketamine hydrochloride injection (</w:t>
      </w:r>
      <w:r>
        <w:rPr>
          <w:rFonts w:ascii="Arial" w:cs="Arial" w:eastAsia="Arial" w:hAnsi="Arial"/>
          <w:sz w:val="18"/>
          <w:szCs w:val="18"/>
          <w:i w:val="1"/>
          <w:iCs w:val="1"/>
          <w:color w:val="auto"/>
        </w:rPr>
        <w:t>ketamine</w:t>
      </w:r>
      <w:r>
        <w:rPr>
          <w:rFonts w:ascii="Arial" w:cs="Arial" w:eastAsia="Arial" w:hAnsi="Arial"/>
          <w:sz w:val="18"/>
          <w:szCs w:val="18"/>
          <w:color w:val="auto"/>
        </w:rPr>
        <w:t>), an NMDA receptor antagonist, in MDD patients with inadequate therapeutic responses to multiple standard antidepressants. These NIMH studies, as well as clinical research at Yale University and other academic institutions, have demonstrated robust antidepressant effects in these MDD patients within twenty-four hours of a single sub-anesthetic dose of ketamine administered by intravenous (</w:t>
      </w:r>
      <w:r>
        <w:rPr>
          <w:rFonts w:ascii="Arial" w:cs="Arial" w:eastAsia="Arial" w:hAnsi="Arial"/>
          <w:sz w:val="18"/>
          <w:szCs w:val="18"/>
          <w:i w:val="1"/>
          <w:iCs w:val="1"/>
          <w:color w:val="auto"/>
        </w:rPr>
        <w:t>IV</w:t>
      </w:r>
      <w:r>
        <w:rPr>
          <w:rFonts w:ascii="Arial" w:cs="Arial" w:eastAsia="Arial" w:hAnsi="Arial"/>
          <w:sz w:val="18"/>
          <w:szCs w:val="18"/>
          <w:color w:val="auto"/>
        </w:rPr>
        <w:t>) infusion.</w:t>
      </w:r>
    </w:p>
    <w:p>
      <w:pPr>
        <w:spacing w:after="0" w:line="19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We believe AV-101 may have potential to deliver ketamine-like antidepressant effects without the need for IV administration and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 prodrug 4-chlorokynurenine causes ketamine-like antidepressant effects, but not side effects, by NMDA/glycineB-site inhibition,</w:t>
      </w:r>
      <w:r>
        <w:rPr>
          <w:rFonts w:ascii="Arial" w:cs="Arial" w:eastAsia="Arial" w:hAnsi="Arial"/>
          <w:sz w:val="16"/>
          <w:szCs w:val="16"/>
          <w:color w:val="auto"/>
        </w:rPr>
        <w:t xml:space="preserve"> using well-established preclinical 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7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currently funding, and Dr. Zarate, as Principal Investigator, and his team are currently conducting, a small Phase 2 clinical study of AV-101 monotherapy in adult subjects with treatment-resistant MDD (the </w:t>
      </w:r>
      <w:r>
        <w:rPr>
          <w:rFonts w:ascii="Arial" w:cs="Arial" w:eastAsia="Arial" w:hAnsi="Arial"/>
          <w:sz w:val="16"/>
          <w:szCs w:val="16"/>
          <w:i w:val="1"/>
          <w:iCs w:val="1"/>
          <w:color w:val="auto"/>
        </w:rPr>
        <w:t>NIMH AV-101 MDD Phase 2 Monotherapy Study</w:t>
      </w:r>
      <w:r>
        <w:rPr>
          <w:rFonts w:ascii="Arial" w:cs="Arial" w:eastAsia="Arial" w:hAnsi="Arial"/>
          <w:sz w:val="16"/>
          <w:szCs w:val="16"/>
          <w:color w:val="auto"/>
        </w:rPr>
        <w:t>). In October 2017, we received FDA authorization to launch our 180-patient Phase 2 multi-center, multi-dose,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double blind, placebo-controlled efficacy and safety study of AV-101 as a new generation adjunctive treatment of MDD in adult patients with an inadequate therapeutic response to standard, FDA-approved antidepressants (the </w:t>
      </w:r>
      <w:r>
        <w:rPr>
          <w:rFonts w:ascii="Arial" w:cs="Arial" w:eastAsia="Arial" w:hAnsi="Arial"/>
          <w:sz w:val="16"/>
          <w:szCs w:val="16"/>
          <w:i w:val="1"/>
          <w:iCs w:val="1"/>
          <w:color w:val="auto"/>
        </w:rPr>
        <w:t>AV-101 MDD Phase 2 Adjunctive Treatment Study</w:t>
      </w:r>
      <w:r>
        <w:rPr>
          <w:rFonts w:ascii="Arial" w:cs="Arial" w:eastAsia="Arial" w:hAnsi="Arial"/>
          <w:sz w:val="16"/>
          <w:szCs w:val="16"/>
          <w:color w:val="auto"/>
        </w:rPr>
        <w:t>). Subject to completion of this offering, we intend to launch the AV-101 MDD Phase 2 Adjunctive Treatment Study in the first quarter of 2018, with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as the Principal Investigator. Dr. Fava was the co-Principal Investigator with Dr. A. John Rush of the STAR*D study, the largest clinical trial conducted in depression to date, whose findings were published in journals such as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NEJM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completing our AV-101 MDD Phase 2 Adjunctive Treatment Study by the end of 2018 with top line results available in the first quarter of 2019.</w:t>
      </w:r>
    </w:p>
    <w:p>
      <w:pPr>
        <w:spacing w:after="0" w:line="39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VistaGen Therapeutics, Inc., a California corporation dba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third-party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including small molecule NCEs with regenerative potential, for CNS and other diseases and (ii) cellular therapies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our customized cardiac bioassay system, to develop small molecule NCEs for our pipeline.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VistaStem may also pursue additional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applications, including using blood, cartilage, and/or liver cells derived from hPSCs for (A) cell-based therapy, (B) cell repair therapy, and/or (C) tissue engineering. In a manner similar to our exclusive sublicense agreement with BlueRock Therapeutics, VistaStem may pursue these additional RM applications in collaboration with third-parties.</w:t>
      </w:r>
    </w:p>
    <w:p>
      <w:pPr>
        <w:sectPr>
          <w:pgSz w:w="11900" w:h="16838" w:orient="portrait"/>
          <w:cols w:equalWidth="0" w:num="1">
            <w:col w:w="11420"/>
          </w:cols>
          <w:pgMar w:left="240" w:top="130" w:right="239" w:bottom="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Going Concern</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accompanying Consolidated Financial Statements have been prepared assuming that we will continue as a going concern. As a clinical-stage biopharmaceutical company having not yet developed commercial products or achieved sustainable revenues, we have experienced recurring losses and negative cash flows from operations resulting in a deficit of $142.0 million accumulated from inception through March 31, 2017. We expect losses and negative cash flows from operations to continue for the foreseeable future as we engage in further potential development of AV-101, initially as an adjunctive treatment for MDD, and subsequently as a new treatment alternative for other CNS conditions, execute our drug rescue programs, and pursue potential drug development and regenerative medicine opportunities.</w:t>
      </w:r>
    </w:p>
    <w:p>
      <w:pPr>
        <w:spacing w:after="0" w:line="198"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Since our inception in May 1998 through March 31, 2017, we have financed our operations and technology acquisitions primarily through the issuance and sale of equity and debt securities, including convertible promissory notes and short-term promissory notes, for cash proceeds of approximately $44.7 million, as well as from an aggregate of approximately $17.6 million of government research grant awards (excluding the fair market value of the NIMH AV-101 MDD Phase 2 Monotherapy Study), strategic collaboration payments, intellectual property sublicensing and other revenues. Additionally, we have issued equity securities with an approximate value at issuance of $30.8 million in non-cash settlements of certain liabilities, including liabilities for professional services rendered to us or as compensation for such services.</w:t>
      </w:r>
    </w:p>
    <w:p>
      <w:pPr>
        <w:spacing w:after="0" w:line="19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During the first quarter of our fiscal year ended March 31, 2017, we sold to accredited investors Series B Preferred Units consisting of 39,714 unregistered shares of our Series B 10% Convertible Preferred Stock, par value $0.001 per share (</w:t>
      </w:r>
      <w:r>
        <w:rPr>
          <w:rFonts w:ascii="Arial" w:cs="Arial" w:eastAsia="Arial" w:hAnsi="Arial"/>
          <w:sz w:val="16"/>
          <w:szCs w:val="16"/>
          <w:i w:val="1"/>
          <w:iCs w:val="1"/>
          <w:color w:val="auto"/>
        </w:rPr>
        <w:t>Series B Preferred</w:t>
      </w:r>
      <w:r>
        <w:rPr>
          <w:rFonts w:ascii="Arial" w:cs="Arial" w:eastAsia="Arial" w:hAnsi="Arial"/>
          <w:sz w:val="16"/>
          <w:szCs w:val="16"/>
          <w:color w:val="auto"/>
        </w:rPr>
        <w:t>), and five year warrants exercisable at $7.00 per share (</w:t>
      </w:r>
      <w:r>
        <w:rPr>
          <w:rFonts w:ascii="Arial" w:cs="Arial" w:eastAsia="Arial" w:hAnsi="Arial"/>
          <w:sz w:val="16"/>
          <w:szCs w:val="16"/>
          <w:i w:val="1"/>
          <w:iCs w:val="1"/>
          <w:color w:val="auto"/>
        </w:rPr>
        <w:t>Series B</w:t>
      </w:r>
      <w:r>
        <w:rPr>
          <w:rFonts w:ascii="Arial" w:cs="Arial" w:eastAsia="Arial" w:hAnsi="Arial"/>
          <w:sz w:val="16"/>
          <w:szCs w:val="16"/>
          <w:color w:val="auto"/>
        </w:rPr>
        <w:t xml:space="preserve"> </w:t>
      </w:r>
      <w:r>
        <w:rPr>
          <w:rFonts w:ascii="Arial" w:cs="Arial" w:eastAsia="Arial" w:hAnsi="Arial"/>
          <w:sz w:val="16"/>
          <w:szCs w:val="16"/>
          <w:i w:val="1"/>
          <w:iCs w:val="1"/>
          <w:color w:val="auto"/>
        </w:rPr>
        <w:t>Preferred Warrants</w:t>
      </w:r>
      <w:r>
        <w:rPr>
          <w:rFonts w:ascii="Arial" w:cs="Arial" w:eastAsia="Arial" w:hAnsi="Arial"/>
          <w:sz w:val="16"/>
          <w:szCs w:val="16"/>
          <w:color w:val="auto"/>
        </w:rPr>
        <w:t>) to purchase 39,714 shares of our common stock, from which we received cash proceeds of $278,000.</w:t>
      </w:r>
    </w:p>
    <w:p>
      <w:pPr>
        <w:spacing w:after="0" w:line="16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In May 2016, we consummated an underwritten public offering pursuant to which we received net cash proceeds of approximately $9.5 million, after deducting fees and expenses, and ..issued an aggregate of 2,570,040 registered shares of our common stock at the public offering price of $4.24 per share and five-year warrants to purchase up to 2,705,883 registered shares of common stock, with an exercise price of $5.30 per share, at the public offering price of $0.01 per warrant, including shares and warrants issued pursuant to the exercise of the underwriters' over-allotment option (the </w:t>
      </w:r>
      <w:r>
        <w:rPr>
          <w:rFonts w:ascii="Arial" w:cs="Arial" w:eastAsia="Arial" w:hAnsi="Arial"/>
          <w:sz w:val="16"/>
          <w:szCs w:val="16"/>
          <w:i w:val="1"/>
          <w:iCs w:val="1"/>
          <w:color w:val="auto"/>
        </w:rPr>
        <w:t>May 2016 Public Offering</w:t>
      </w:r>
      <w:r>
        <w:rPr>
          <w:rFonts w:ascii="Arial" w:cs="Arial" w:eastAsia="Arial" w:hAnsi="Arial"/>
          <w:sz w:val="16"/>
          <w:szCs w:val="16"/>
          <w:color w:val="auto"/>
        </w:rPr>
        <w:t>).</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last two quarters of our fiscal year ended March 31, 2017, we sold to accredited investors units consisting of an aggregate of 124,250 unregistered shares of our common stock and three-year and five-year warrants to purchase an aggregate of 45,375 shares of our unregistered common stock. We received cash proceeds of $342,400 from this self-placed private placement.</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At March 31, 2017, we had a cash and cash equivalents balance of $2.9 million. This amount was not sufficient to enable us to fund our planned operations, including expected cash expenditures of approximately $12 million for the twelve months following the issuance of these financial statements, including expenditures required to further prepare for, launch and satisfy a significant portion of the projected expenses associated with our proposed AV-101 MDD Phase 2 Adjunctive Treatment Study. However, during the first quarter of our fiscal year ending March 31, 2018 (</w:t>
      </w:r>
      <w:r>
        <w:rPr>
          <w:rFonts w:ascii="Arial" w:cs="Arial" w:eastAsia="Arial" w:hAnsi="Arial"/>
          <w:sz w:val="16"/>
          <w:szCs w:val="16"/>
          <w:i w:val="1"/>
          <w:iCs w:val="1"/>
          <w:color w:val="auto"/>
        </w:rPr>
        <w:t>Fiscal 2018</w:t>
      </w:r>
      <w:r>
        <w:rPr>
          <w:rFonts w:ascii="Arial" w:cs="Arial" w:eastAsia="Arial" w:hAnsi="Arial"/>
          <w:sz w:val="16"/>
          <w:szCs w:val="16"/>
          <w:color w:val="auto"/>
        </w:rPr>
        <w:t xml:space="preserve">), we sold to accredited investors in a self-placed private placement units consisting of an aggregate of 437,751 unregistered shares of our common stock and warrants to purchase an aggregate of 218,875 unregistered shares of our common stock pursuant to which we received $837,300 in cash proceeds, bringing total proceeds for the Spring 2017 Private Placement to approximately $1.0 million (the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w:t>
      </w:r>
    </w:p>
    <w:p>
      <w:pPr>
        <w:spacing w:after="0" w:line="172"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 xml:space="preserve">Our limited cash position at March 31, 2017 plus subsequent proceeds from the Spring 2017 Private Placement considered with our recurring and anticipated losses and negative cash flows from operations make it probable, in the absence of additional financing, that we will not be able to meet our obligations as they come due within one year from the date of this Report, raising substantial doubt that we can continue as a going concern. However, to alleviate that doubt, we plan, as we have in the past, to raise additional financing when needed, primarily through the sale of our equity securities in one or more public offerings or private placements. On January 23, 2017, we filed a Registration Statement on Form S-3 (Registration No. 333-215671) with the Securities and Exchange Commission (the </w:t>
      </w:r>
      <w:r>
        <w:rPr>
          <w:rFonts w:ascii="Arial" w:cs="Arial" w:eastAsia="Arial" w:hAnsi="Arial"/>
          <w:sz w:val="15"/>
          <w:szCs w:val="15"/>
          <w:i w:val="1"/>
          <w:iCs w:val="1"/>
          <w:color w:val="auto"/>
        </w:rPr>
        <w:t>Commission</w:t>
      </w:r>
      <w:r>
        <w:rPr>
          <w:rFonts w:ascii="Arial" w:cs="Arial" w:eastAsia="Arial" w:hAnsi="Arial"/>
          <w:sz w:val="15"/>
          <w:szCs w:val="15"/>
          <w:color w:val="auto"/>
        </w:rPr>
        <w:t xml:space="preserve">) covering the potential future sale of our equity securities. The Commission declared such Registration Statement effective on May 12, 2017 (the </w:t>
      </w:r>
      <w:r>
        <w:rPr>
          <w:rFonts w:ascii="Arial" w:cs="Arial" w:eastAsia="Arial" w:hAnsi="Arial"/>
          <w:sz w:val="15"/>
          <w:szCs w:val="15"/>
          <w:i w:val="1"/>
          <w:iCs w:val="1"/>
          <w:color w:val="auto"/>
        </w:rPr>
        <w:t>S-3 Registration Statement</w:t>
      </w:r>
      <w:r>
        <w:rPr>
          <w:rFonts w:ascii="Arial" w:cs="Arial" w:eastAsia="Arial" w:hAnsi="Arial"/>
          <w:sz w:val="15"/>
          <w:szCs w:val="15"/>
          <w:color w:val="auto"/>
        </w:rPr>
        <w:t>). As of the date of this Report, we have not yet sold any securities under the S-3 Registration Statement, nor do we have an obligation to do so. At March 31, 2017, we had a limited number of unallocated or unreserved shares of our common stock available for issuance in future offerings or for other purposes. To facilitate a substantial offering of our equity securities to sustain our operations and enable the launch and completion of our AV-101 MDD Phase 2 Adjunctive Treatment Study, our Board of Directors has approved an amendment to our Restated Articles of Incorporation to increase the number of shares of common stock available for issuance thereunder to 100 million shares. Before taking effect, this amendment must be approved by a majority of our stockholders. We plan to present this amendment to our stockholders at our 2017 annual meeting of stockholders to be held in the fall of 2017.</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addition to the sale of our equity securities, we may also seek to enter research and development collaborations that could generate revenue or provide funding for development of AV-101 and additional product candidates. We may also seek additional government grant awards or agreements similar to our current CRADA with the NIMH, which provides for the NIMH to fully fund the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w:t>
      </w:r>
    </w:p>
    <w:p>
      <w:pPr>
        <w:sectPr>
          <w:pgSz w:w="11900" w:h="16838" w:orient="portrait"/>
          <w:cols w:equalWidth="0" w:num="1">
            <w:col w:w="11420"/>
          </w:cols>
          <w:pgMar w:left="240" w:top="779" w:right="239" w:bottom="0" w:gutter="0" w:footer="0" w:header="0"/>
        </w:sectPr>
      </w:pPr>
    </w:p>
    <w:bookmarkStart w:id="125" w:name="page126"/>
    <w:bookmarkEnd w:id="125"/>
    <w:p>
      <w:pPr>
        <w:ind w:right="20"/>
        <w:spacing w:after="0" w:line="298" w:lineRule="auto"/>
        <w:rPr>
          <w:sz w:val="20"/>
          <w:szCs w:val="20"/>
          <w:color w:val="auto"/>
        </w:rPr>
      </w:pPr>
      <w:r>
        <w:rPr>
          <w:rFonts w:ascii="Arial" w:cs="Arial" w:eastAsia="Arial" w:hAnsi="Arial"/>
          <w:sz w:val="16"/>
          <w:szCs w:val="16"/>
          <w:color w:val="auto"/>
        </w:rPr>
        <w:t>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Notwithstanding the foregoing, there can be no assurance that our stockholders will authorize the issuance of additional shares of our common stock to facilitate further financing opportunities and for other purposes, or that future financing will be available in sufficient amounts, in a timely manner, or on terms acceptable to us, if at all. If we are unable to obtain substantial additional financing on a timely basis when needed later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Consolidated Financial Statements do not include any adjustments that might result from the negative outcome of this uncertainty.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w:t>
      </w:r>
      <w:r>
        <w:rPr>
          <w:rFonts w:ascii="Arial" w:cs="Arial" w:eastAsia="Arial" w:hAnsi="Arial"/>
          <w:sz w:val="18"/>
          <w:szCs w:val="18"/>
          <w:i w:val="1"/>
          <w:iCs w:val="1"/>
          <w:color w:val="auto"/>
        </w:rPr>
        <w:t>U.S. GAAP</w:t>
      </w:r>
      <w:r>
        <w:rPr>
          <w:rFonts w:ascii="Arial" w:cs="Arial" w:eastAsia="Arial" w:hAnsi="Arial"/>
          <w:sz w:val="18"/>
          <w:szCs w:val="18"/>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accompanying consolidated financial statements include the Company’s accounts, VistaStem’s accounts and the accounts of VistaStem’s two wholly-owned inactive subsidiaries, Artemis Neurosciences and VistaStem Canada.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considered to be highly liquid investments with maturities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long-lived assets consist of property and equipment. Long-lived assets to be held and used are tested for recoverability whenever events or changes in business circumstances indicate that the carrying amount of the assets may not be fully recoverable. Factors that we consider in deciding when to perform an impairment review include significant underperformance of the business in relation to expectations, significant negative industry or economic trends, and significant changes or planned changes in our use of the assets.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we have not recorded any impairment losses on long-lived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historically generated revenue principally from collaborative research and development arrangements, licensing and technology transfer agreements, including strategic licenses or sublicenses,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recognize revenue when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94" w:lineRule="exact"/>
        <w:rPr>
          <w:sz w:val="20"/>
          <w:szCs w:val="20"/>
          <w:color w:val="auto"/>
        </w:rPr>
      </w:pPr>
    </w:p>
    <w:p>
      <w:pPr>
        <w:jc w:val="both"/>
        <w:ind w:left="660" w:hanging="328"/>
        <w:spacing w:after="0" w:line="308" w:lineRule="auto"/>
        <w:tabs>
          <w:tab w:leader="none" w:pos="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Collaborative arrangements typically consist of non-refundable and/or exclusive up front technology access fees, cost reimbursements for specific research and development spending, and future product development milestone and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63" w:lineRule="exact"/>
        <w:rPr>
          <w:rFonts w:ascii="Arial" w:cs="Arial" w:eastAsia="Arial" w:hAnsi="Arial"/>
          <w:sz w:val="15"/>
          <w:szCs w:val="15"/>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Technology license agreements typically consist of non-refundable upfront license fees, annual minimum access fees, development and/or regulatory</w:t>
      </w:r>
    </w:p>
    <w:p>
      <w:pPr>
        <w:sectPr>
          <w:pgSz w:w="11900" w:h="16838" w:orient="portrait"/>
          <w:cols w:equalWidth="0" w:num="1">
            <w:col w:w="11420"/>
          </w:cols>
          <w:pgMar w:left="240" w:top="131" w:right="239" w:bottom="0" w:gutter="0" w:footer="0" w:header="0"/>
        </w:sectPr>
      </w:pPr>
    </w:p>
    <w:bookmarkStart w:id="126" w:name="page127"/>
    <w:bookmarkEnd w:id="126"/>
    <w:p>
      <w:pPr>
        <w:spacing w:after="0" w:line="106" w:lineRule="exact"/>
        <w:rPr>
          <w:sz w:val="20"/>
          <w:szCs w:val="20"/>
          <w:color w:val="auto"/>
        </w:rPr>
      </w:pPr>
    </w:p>
    <w:p>
      <w:pPr>
        <w:jc w:val="both"/>
        <w:ind w:left="660"/>
        <w:spacing w:after="0" w:line="298" w:lineRule="auto"/>
        <w:rPr>
          <w:sz w:val="20"/>
          <w:szCs w:val="20"/>
          <w:color w:val="auto"/>
        </w:rPr>
      </w:pPr>
      <w:r>
        <w:rPr>
          <w:rFonts w:ascii="Arial" w:cs="Arial" w:eastAsia="Arial" w:hAnsi="Arial"/>
          <w:sz w:val="16"/>
          <w:szCs w:val="16"/>
          <w:color w:val="auto"/>
        </w:rPr>
        <w:t>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167" w:lineRule="exact"/>
        <w:rPr>
          <w:sz w:val="20"/>
          <w:szCs w:val="20"/>
          <w:color w:val="auto"/>
        </w:rPr>
      </w:pPr>
    </w:p>
    <w:p>
      <w:pPr>
        <w:ind w:left="660" w:right="20" w:hanging="328"/>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in clinical development for MDD, sponsored stem cell research and development costs, and costs related to the application and prosecution of patents related to AV-101 and our stem cell technology platform. All such costs are charged to expense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to employees nor do we have any awards with market or performance conditions. For option grants to non-employees, we re-measure the fair value of the awards as they vest and the resulting value is recognized as an expense during the period over which the services are performed. Compensatory grants of stock to non-employees are generally treated as fully-earned at the time of the grant and the non-cash expense recognized is based on the quoted market price of the stock on the date of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Financial instruments, which potentially subject us to concentrations of credit risk, consist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did not have a warrant liability at March 31, 2017 or 2016, in conjunction with certain Senior Secured Convertible Promissory Notes that we issued to Platinum Long Term Growth VII, LLC (</w:t>
      </w:r>
      <w:r>
        <w:rPr>
          <w:rFonts w:ascii="Arial" w:cs="Arial" w:eastAsia="Arial" w:hAnsi="Arial"/>
          <w:sz w:val="16"/>
          <w:szCs w:val="16"/>
          <w:i w:val="1"/>
          <w:iCs w:val="1"/>
          <w:color w:val="auto"/>
        </w:rPr>
        <w:t>PLTG</w:t>
      </w:r>
      <w:r>
        <w:rPr>
          <w:rFonts w:ascii="Arial" w:cs="Arial" w:eastAsia="Arial" w:hAnsi="Arial"/>
          <w:sz w:val="16"/>
          <w:szCs w:val="16"/>
          <w:color w:val="auto"/>
        </w:rPr>
        <w:t xml:space="preserve">) between October 2012 and July 2013 and the related warrants, and the contingently issuable Series A Exchange Warrant (collectively, the </w:t>
      </w:r>
      <w:r>
        <w:rPr>
          <w:rFonts w:ascii="Arial" w:cs="Arial" w:eastAsia="Arial" w:hAnsi="Arial"/>
          <w:sz w:val="16"/>
          <w:szCs w:val="16"/>
          <w:i w:val="1"/>
          <w:iCs w:val="1"/>
          <w:color w:val="auto"/>
        </w:rPr>
        <w:t>PLTG Warrants</w:t>
      </w:r>
      <w:r>
        <w:rPr>
          <w:rFonts w:ascii="Arial" w:cs="Arial" w:eastAsia="Arial" w:hAnsi="Arial"/>
          <w:sz w:val="16"/>
          <w:szCs w:val="16"/>
          <w:color w:val="auto"/>
        </w:rPr>
        <w:t>), we determined that the PLTG Warrants included certain exercise price and other adjustment features requiring them to be treated as liabilities. Accordingly, the PLTG Warrants were recorded at their issuance-date estimated fair values and marked to market at each subsequent reporting period, recording the change in the fair value as non-cash expense or non-cash income. The key component in determining the fair value of the PLTG Warrants and the related liability was the market price of our common stock, which is subject to significant fluctuation and is not under our control. The resulting change in the fair value of the warrant liability on our net loss was therefore also subject to significant fluctuation and would have continued to be so until all of the PLTG Warrants were issued and exercised, amended or expired. Assuming all other fair value inputs remained generally constant, we recorded an increase in the warrant liability and non-cash losses when our stock price increased and a decrease in the warrant liability and non-cash income when our stock price decreased.</w:t>
      </w:r>
    </w:p>
    <w:p>
      <w:pPr>
        <w:spacing w:after="0" w:line="1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Notwithstanding the foregoing, and as disclosed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in May 2015, we entered into an agreement with PLTG pursuant to which PLTG agreed to amend the PLTG Warrants to (i) fix the exercise price thereof at $7.00 per share, (ii) eliminate the exercise price reset features and (iii) fix the number of shares of our common stock issuable thereunder. This agreement and the related amendments to the PLTG Warrants resulted in the elimination of the warrant liability with respect to the PLTG Warrants during the quarter ended June 30, 2015 and the recognition of a non-cash loss of $1,874,700 in that quarter, reflecting the change in the fair value of the PLTG Warrants between March 31, 2015 and the date of their amendment. As further disclosed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the PLTG Warrants, including the right to receive the Series A Exchange Warrant, were cancelled in exchange for our issuance of shares of our Series C Preferred stock to PLTG in January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 Attributable to Common Stockholders</w:t>
      </w:r>
    </w:p>
    <w:p>
      <w:pPr>
        <w:spacing w:after="0" w:line="22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Basic net income (loss) attributable to common stockholders per share of common stock excludes the effect of dilution and is computed by dividing net income (loss) less the accrual for dividends on our Series B Preferred and the deemed dividend attributable to the issuance of our Series B Preferred Units by the weighted-average number of shares of common stock outstanding for the period. Diluted net income (loss) attributable to common stockholders per share of</w:t>
      </w:r>
    </w:p>
    <w:p>
      <w:pPr>
        <w:sectPr>
          <w:pgSz w:w="11900" w:h="16945" w:orient="portrait"/>
          <w:cols w:equalWidth="0" w:num="1">
            <w:col w:w="11420"/>
          </w:cols>
          <w:pgMar w:left="240" w:top="131" w:right="239" w:bottom="0" w:gutter="0" w:footer="0" w:header="0"/>
        </w:sectPr>
      </w:pPr>
    </w:p>
    <w:bookmarkStart w:id="127" w:name="page128"/>
    <w:bookmarkEnd w:id="127"/>
    <w:p>
      <w:pPr>
        <w:ind w:right="20"/>
        <w:spacing w:after="0" w:line="254" w:lineRule="auto"/>
        <w:rPr>
          <w:sz w:val="20"/>
          <w:szCs w:val="20"/>
          <w:color w:val="auto"/>
        </w:rPr>
      </w:pPr>
      <w:r>
        <w:rPr>
          <w:rFonts w:ascii="Arial" w:cs="Arial" w:eastAsia="Arial" w:hAnsi="Arial"/>
          <w:sz w:val="18"/>
          <w:szCs w:val="18"/>
          <w:color w:val="auto"/>
        </w:rPr>
        <w:t>common stock reflects the potential dilution that could occur if securities or other contracts to issue shares of common stock were exercised or converted into shares of common stock. In calculating diluted net income (loss) attributable to common stockholders per share, we have historically adjusted the numerator for the change in the fair value of the warrant liability attributable to any outstanding PLTG Warrants, only if dilutive, and increased the denominator to include the number of potentially dilutive common shares assumed to be outstanding during the period using the treasury stock method. The change in the fair value of the warrant liability, which was last recognized in the first quarter of our fiscal year ended March 31, 2016, had no impact on the diluted net loss per share calculation for that fiscal year.</w:t>
      </w:r>
    </w:p>
    <w:p>
      <w:pPr>
        <w:spacing w:after="0" w:line="19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a result of our net loss for both years presented, potentially dilutive securities were excluded from the computation of diluted loss per share, as their effect would be antidilutive.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Basic and diluted net loss attributable to common stockholders per share was computed as follows: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8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tcPr>
          <w:p>
            <w:pPr>
              <w:ind w:left="6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common stockholders for basic and 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(11,623,600)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(51,419,000)</w:t>
            </w:r>
          </w:p>
        </w:tc>
        <w:tc>
          <w:tcPr>
            <w:tcW w:w="0" w:type="dxa"/>
            <w:vAlign w:val="bottom"/>
          </w:tcPr>
          <w:p>
            <w:pPr>
              <w:spacing w:after="0"/>
              <w:rPr>
                <w:sz w:val="1"/>
                <w:szCs w:val="1"/>
                <w:color w:val="auto"/>
              </w:rPr>
            </w:pPr>
          </w:p>
        </w:tc>
      </w:tr>
      <w:tr>
        <w:trPr>
          <w:trHeight w:val="210"/>
        </w:trPr>
        <w:tc>
          <w:tcPr>
            <w:tcW w:w="8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80"/>
              <w:spacing w:after="0"/>
              <w:rPr>
                <w:sz w:val="20"/>
                <w:szCs w:val="20"/>
                <w:color w:val="auto"/>
              </w:rPr>
            </w:pPr>
            <w:r>
              <w:rPr>
                <w:rFonts w:ascii="Arial" w:cs="Arial" w:eastAsia="Arial" w:hAnsi="Arial"/>
                <w:sz w:val="18"/>
                <w:szCs w:val="18"/>
                <w:color w:val="auto"/>
              </w:rPr>
              <w:t>Weighted average basic and diluted common shares outstanding</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7,531,642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1,767,957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Basic and diluted net loss attributable to common stockholders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
        </w:trPr>
        <w:tc>
          <w:tcPr>
            <w:tcW w:w="8820" w:type="dxa"/>
            <w:vAlign w:val="bottom"/>
            <w:vMerge w:val="restart"/>
          </w:tcPr>
          <w:p>
            <w:pPr>
              <w:ind w:left="5540"/>
              <w:spacing w:after="0"/>
              <w:rPr>
                <w:sz w:val="20"/>
                <w:szCs w:val="20"/>
                <w:color w:val="auto"/>
              </w:rPr>
            </w:pPr>
            <w:r>
              <w:rPr>
                <w:rFonts w:ascii="Arial" w:cs="Arial" w:eastAsia="Arial" w:hAnsi="Arial"/>
                <w:sz w:val="18"/>
                <w:szCs w:val="18"/>
                <w:color w:val="auto"/>
              </w:rPr>
              <w:t>F-10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8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128" w:name="page129"/>
    <w:bookmarkEnd w:id="128"/>
    <w:p>
      <w:pPr>
        <w:spacing w:after="0" w:line="79"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Potentially dilutive securities excluded in determining diluted net loss per common share for the fiscal years ended March 31, 2017 and 2016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640"/>
              <w:spacing w:after="0"/>
              <w:rPr>
                <w:sz w:val="20"/>
                <w:szCs w:val="20"/>
                <w:color w:val="auto"/>
              </w:rPr>
            </w:pPr>
            <w:r>
              <w:rPr>
                <w:rFonts w:ascii="Arial" w:cs="Arial" w:eastAsia="Arial" w:hAnsi="Arial"/>
                <w:sz w:val="18"/>
                <w:szCs w:val="18"/>
                <w:b w:val="1"/>
                <w:bCs w:val="1"/>
                <w:color w:val="auto"/>
              </w:rPr>
              <w:t>As of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3,663,077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under the 2016 (formerly 2008) and 1999 Stock Incentive Plans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4,577,631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1,907,221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10,465,207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8,975,297</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_______________</w:t>
            </w: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0" w:hanging="192"/>
        <w:spacing w:after="0"/>
        <w:tabs>
          <w:tab w:leader="none" w:pos="200" w:val="left"/>
        </w:tabs>
        <w:numPr>
          <w:ilvl w:val="0"/>
          <w:numId w:val="66"/>
        </w:numPr>
        <w:rPr>
          <w:rFonts w:ascii="Arial" w:cs="Arial" w:eastAsia="Arial" w:hAnsi="Arial"/>
          <w:sz w:val="12"/>
          <w:szCs w:val="12"/>
          <w:color w:val="auto"/>
        </w:rPr>
      </w:pPr>
      <w:r>
        <w:rPr>
          <w:rFonts w:ascii="Arial" w:cs="Arial" w:eastAsia="Arial" w:hAnsi="Arial"/>
          <w:sz w:val="18"/>
          <w:szCs w:val="18"/>
          <w:color w:val="auto"/>
        </w:rPr>
        <w:t>Assumes exchange under the terms of the October 11, 2012 Note Exchange and Purchase Agreement with PLTG, as amended</w:t>
      </w:r>
    </w:p>
    <w:p>
      <w:pPr>
        <w:spacing w:after="0" w:line="15" w:lineRule="exact"/>
        <w:rPr>
          <w:rFonts w:ascii="Arial" w:cs="Arial" w:eastAsia="Arial" w:hAnsi="Arial"/>
          <w:sz w:val="12"/>
          <w:szCs w:val="12"/>
          <w:color w:val="auto"/>
        </w:rPr>
      </w:pPr>
    </w:p>
    <w:p>
      <w:pPr>
        <w:ind w:left="340" w:right="180" w:hanging="332"/>
        <w:spacing w:after="0" w:line="250" w:lineRule="auto"/>
        <w:tabs>
          <w:tab w:leader="none" w:pos="203" w:val="left"/>
        </w:tabs>
        <w:numPr>
          <w:ilvl w:val="0"/>
          <w:numId w:val="66"/>
        </w:numPr>
        <w:rPr>
          <w:rFonts w:ascii="Arial" w:cs="Arial" w:eastAsia="Arial" w:hAnsi="Arial"/>
          <w:sz w:val="12"/>
          <w:szCs w:val="12"/>
          <w:color w:val="auto"/>
        </w:rPr>
      </w:pPr>
      <w:r>
        <w:rPr>
          <w:rFonts w:ascii="Arial" w:cs="Arial" w:eastAsia="Arial" w:hAnsi="Arial"/>
          <w:sz w:val="18"/>
          <w:szCs w:val="18"/>
          <w:color w:val="auto"/>
        </w:rPr>
        <w:t>Assumes exchange under the terms of the Certificate of Designation of the Relative Rights and Preferences of the Series B 10% Convertible Preferred Stock, effective May 5, 2015</w:t>
      </w:r>
    </w:p>
    <w:p>
      <w:pPr>
        <w:ind w:left="340" w:right="560" w:hanging="332"/>
        <w:spacing w:after="0" w:line="261" w:lineRule="auto"/>
        <w:tabs>
          <w:tab w:leader="none" w:pos="203" w:val="left"/>
        </w:tabs>
        <w:numPr>
          <w:ilvl w:val="0"/>
          <w:numId w:val="66"/>
        </w:numPr>
        <w:rPr>
          <w:rFonts w:ascii="Arial" w:cs="Arial" w:eastAsia="Arial" w:hAnsi="Arial"/>
          <w:sz w:val="12"/>
          <w:szCs w:val="12"/>
          <w:color w:val="auto"/>
        </w:rPr>
      </w:pPr>
      <w:r>
        <w:rPr>
          <w:rFonts w:ascii="Arial" w:cs="Arial" w:eastAsia="Arial" w:hAnsi="Arial"/>
          <w:sz w:val="18"/>
          <w:szCs w:val="18"/>
          <w:color w:val="auto"/>
        </w:rPr>
        <w:t>Assumes exchange under the terms of the Certificate of Designation of the Relative Rights and Preferences of the Series C Convertible Preferred Stock, effective January 25,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We believe the following recent accounting pronouncements or changes in accounting pronouncements are of significance or potential significance to the Company.</w:t>
      </w:r>
    </w:p>
    <w:p>
      <w:pPr>
        <w:spacing w:after="0" w:line="18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In May 2014, the Financial Accounting Standards Board (the </w:t>
      </w:r>
      <w:r>
        <w:rPr>
          <w:rFonts w:ascii="Arial" w:cs="Arial" w:eastAsia="Arial" w:hAnsi="Arial"/>
          <w:sz w:val="15"/>
          <w:szCs w:val="15"/>
          <w:i w:val="1"/>
          <w:iCs w:val="1"/>
          <w:color w:val="auto"/>
        </w:rPr>
        <w:t>FASB</w:t>
      </w:r>
      <w:r>
        <w:rPr>
          <w:rFonts w:ascii="Arial" w:cs="Arial" w:eastAsia="Arial" w:hAnsi="Arial"/>
          <w:sz w:val="15"/>
          <w:szCs w:val="15"/>
          <w:color w:val="auto"/>
        </w:rPr>
        <w:t xml:space="preserve">) issued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standard creates a five-step model that requires entities to exercise judgment when considering the recognition of revenue, including (1) identifying the contract(s) with the customer, (2) identifying the separate performance obligations in the contract, (3) determining the transaction price, (4) allocating the transaction price to the separate performance obligations, and (5) recognizing revenue as each performance obligation is satisfied. The standard also requires additional disclosure about the nature, amount, timing and uncertainty of revenue and cash flows arising from customer contracts, including qualitative and quantitative information about contracts with customers, significant judgments and changes in judgments and assets recognized with respect to costs incurred to obtain or fulfill a contract. The FASB has continued to issue accounting standards updates to clarify and provide implementation guidance related to Revenue from Contracts with Customers, including ASU 2016-08</w:t>
      </w:r>
      <w:r>
        <w:rPr>
          <w:rFonts w:ascii="Arial" w:cs="Arial" w:eastAsia="Arial" w:hAnsi="Arial"/>
          <w:sz w:val="15"/>
          <w:szCs w:val="15"/>
          <w:i w:val="1"/>
          <w:iCs w:val="1"/>
          <w:color w:val="auto"/>
        </w:rPr>
        <w:t>, Revenue from Contract with Customers: Principal versus Agent Considerations</w:t>
      </w:r>
      <w:r>
        <w:rPr>
          <w:rFonts w:ascii="Arial" w:cs="Arial" w:eastAsia="Arial" w:hAnsi="Arial"/>
          <w:sz w:val="15"/>
          <w:szCs w:val="15"/>
          <w:color w:val="auto"/>
        </w:rPr>
        <w:t xml:space="preserve">, ASU 2016-10, </w:t>
      </w:r>
      <w:r>
        <w:rPr>
          <w:rFonts w:ascii="Arial" w:cs="Arial" w:eastAsia="Arial" w:hAnsi="Arial"/>
          <w:sz w:val="15"/>
          <w:szCs w:val="15"/>
          <w:i w:val="1"/>
          <w:iCs w:val="1"/>
          <w:color w:val="auto"/>
        </w:rPr>
        <w:t>Revenue from Contracts</w:t>
      </w:r>
      <w:r>
        <w:rPr>
          <w:rFonts w:ascii="Arial" w:cs="Arial" w:eastAsia="Arial" w:hAnsi="Arial"/>
          <w:sz w:val="15"/>
          <w:szCs w:val="15"/>
          <w:color w:val="auto"/>
        </w:rPr>
        <w:t xml:space="preserve"> </w:t>
      </w:r>
      <w:r>
        <w:rPr>
          <w:rFonts w:ascii="Arial" w:cs="Arial" w:eastAsia="Arial" w:hAnsi="Arial"/>
          <w:sz w:val="15"/>
          <w:szCs w:val="15"/>
          <w:i w:val="1"/>
          <w:iCs w:val="1"/>
          <w:color w:val="auto"/>
        </w:rPr>
        <w:t>with Customers: Identifying Performance Obligations and Licensing</w:t>
      </w:r>
      <w:r>
        <w:rPr>
          <w:rFonts w:ascii="Arial" w:cs="Arial" w:eastAsia="Arial" w:hAnsi="Arial"/>
          <w:sz w:val="15"/>
          <w:szCs w:val="15"/>
          <w:color w:val="auto"/>
        </w:rPr>
        <w:t>, and ASU 2016-12,</w:t>
      </w:r>
      <w:r>
        <w:rPr>
          <w:rFonts w:ascii="Arial" w:cs="Arial" w:eastAsia="Arial" w:hAnsi="Arial"/>
          <w:sz w:val="15"/>
          <w:szCs w:val="15"/>
          <w:i w:val="1"/>
          <w:iCs w:val="1"/>
          <w:color w:val="auto"/>
        </w:rPr>
        <w:t xml:space="preserve"> Revenue from Contracts with Customers: Narrow-Scope Improvements and Practical Expedients. </w:t>
      </w:r>
      <w:r>
        <w:rPr>
          <w:rFonts w:ascii="Arial" w:cs="Arial" w:eastAsia="Arial" w:hAnsi="Arial"/>
          <w:sz w:val="15"/>
          <w:szCs w:val="15"/>
          <w:color w:val="auto"/>
        </w:rPr>
        <w:t>These amendments address a number of areas, including a company’s identification of its performance obligations in a contract,</w:t>
      </w:r>
      <w:r>
        <w:rPr>
          <w:rFonts w:ascii="Arial" w:cs="Arial" w:eastAsia="Arial" w:hAnsi="Arial"/>
          <w:sz w:val="15"/>
          <w:szCs w:val="15"/>
          <w:i w:val="1"/>
          <w:iCs w:val="1"/>
          <w:color w:val="auto"/>
        </w:rPr>
        <w:t xml:space="preserve"> </w:t>
      </w:r>
      <w:r>
        <w:rPr>
          <w:rFonts w:ascii="Arial" w:cs="Arial" w:eastAsia="Arial" w:hAnsi="Arial"/>
          <w:sz w:val="15"/>
          <w:szCs w:val="15"/>
          <w:color w:val="auto"/>
        </w:rPr>
        <w:t>collectability, non-cash consideration, presentation of sales tax and a company’s evaluation of the nature of its promise to grant a license of intellectual property and whether or not that revenue is recognized over time or at a point in time. These new standards will be effective for our fiscal year beginning April 1, 2018, with earlier adoption permitted. We have completed our initial assessment of the new guidance and will be developing an implementation plan to evaluate the accounting and disclosure requirements under the new standards. Based on our assessment to date, we do not believe that adoption of Topic 606 and the related standards will have a material impact on our consolidated financial statements. We have not yet finalized our transition method for adoption of the new standards.</w:t>
      </w:r>
    </w:p>
    <w:p>
      <w:pPr>
        <w:spacing w:after="0" w:line="38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 Uncertainties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 Entity’s Ability to Continue as a Going Concern </w:t>
      </w:r>
      <w:r>
        <w:rPr>
          <w:rFonts w:ascii="Arial" w:cs="Arial" w:eastAsia="Arial" w:hAnsi="Arial"/>
          <w:sz w:val="16"/>
          <w:szCs w:val="16"/>
          <w:color w:val="auto"/>
        </w:rPr>
        <w:t>(</w:t>
      </w:r>
      <w:r>
        <w:rPr>
          <w:rFonts w:ascii="Arial" w:cs="Arial" w:eastAsia="Arial" w:hAnsi="Arial"/>
          <w:sz w:val="16"/>
          <w:szCs w:val="16"/>
          <w:i w:val="1"/>
          <w:iCs w:val="1"/>
          <w:color w:val="auto"/>
        </w:rPr>
        <w:t>ASU 2014-15</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ASU sets forth a requirement for management to evaluate whether there are conditions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events that raise substantial doubt about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or other disclosures when substantial doubt is not alleviated; and (6) require an assessment for a period of one year after the date the financial statements are issued or available to be issued. Substantial doubt about an entity’s ability to continue as a going concern exists when relevant conditions and events, considered in the aggregate, indicate that it is probable (as defined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that the entity will be unable to meet its obligations as they become due within one year after the date that the financial statements are issued or are available to be issued. If substantial doubt exists, the extent of the required disclosures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We adopted ASU 2014-15 for our fiscal year ended March 31, 2017 and Note 2, </w:t>
      </w:r>
      <w:r>
        <w:rPr>
          <w:rFonts w:ascii="Arial" w:cs="Arial" w:eastAsia="Arial" w:hAnsi="Arial"/>
          <w:sz w:val="16"/>
          <w:szCs w:val="16"/>
          <w:i w:val="1"/>
          <w:iCs w:val="1"/>
          <w:color w:val="auto"/>
        </w:rPr>
        <w:t>Basis of Presentation and Going Concern</w:t>
      </w:r>
      <w:r>
        <w:rPr>
          <w:rFonts w:ascii="Arial" w:cs="Arial" w:eastAsia="Arial" w:hAnsi="Arial"/>
          <w:sz w:val="16"/>
          <w:szCs w:val="16"/>
          <w:color w:val="auto"/>
        </w:rPr>
        <w:t>, includes our disclosures regarding substantial doubt about our ability to continue as a going concern and the steps we have planned to alleviate such doubt for the twelve months following the date of the issuance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 - Imputation of Interest (Subtopic 835-30): Simplifying the Presentation of Debt Issuance Costs</w:t>
      </w:r>
      <w:r>
        <w:rPr>
          <w:rFonts w:ascii="Arial" w:cs="Arial" w:eastAsia="Arial" w:hAnsi="Arial"/>
          <w:sz w:val="16"/>
          <w:szCs w:val="16"/>
          <w:color w:val="auto"/>
        </w:rPr>
        <w:t>. The amendments in this ASU require that debt issuance costs related to a recognized debt liability be presented in the balance sheet as a direct deduction from the carrying amount of that debt liability, consistent with debt discounts. The amendments in this update are effective for financial statements issued for fiscal years</w:t>
      </w:r>
    </w:p>
    <w:p>
      <w:pPr>
        <w:sectPr>
          <w:pgSz w:w="11900" w:h="16917" w:orient="portrait"/>
          <w:cols w:equalWidth="0" w:num="1">
            <w:col w:w="11420"/>
          </w:cols>
          <w:pgMar w:left="240" w:top="131" w:right="239" w:bottom="0" w:gutter="0" w:footer="0" w:header="0"/>
        </w:sectPr>
      </w:pPr>
    </w:p>
    <w:bookmarkStart w:id="129" w:name="page130"/>
    <w:bookmarkEnd w:id="129"/>
    <w:p>
      <w:pPr>
        <w:spacing w:after="0" w:line="6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ending after December 31, 2015, and interim periods within those fiscal years. We have adopted this ASU effective with our fiscal year beginning April 1, 2016, but have incurred no debt issuance costs since that date.</w:t>
      </w:r>
    </w:p>
    <w:p>
      <w:pPr>
        <w:spacing w:after="0" w:line="186"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which amends existing guidance on income taxes to require the classification of all deferred tax assets and liabilities as non-current on the balance sheet. We have adopted this ASU effective with our fiscal year beginning April 1, 2017 on a prospective basis. We do not expect this ASU to have a material impact on our consolidated financial statements</w:t>
      </w:r>
    </w:p>
    <w:p>
      <w:pPr>
        <w:spacing w:after="0" w:line="16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Recognition and Measurement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w:t>
      </w:r>
      <w:r>
        <w:rPr>
          <w:rFonts w:ascii="Arial" w:cs="Arial" w:eastAsia="Arial" w:hAnsi="Arial"/>
          <w:sz w:val="16"/>
          <w:szCs w:val="16"/>
          <w:color w:val="auto"/>
        </w:rPr>
        <w:t>. The updated guidance enhances the reporting model for financial instruments, which includes amendments to address aspects of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presentation and disclosure. The amendment to the standard is effective for financial statements issued for our fiscal year beginning April 1, 2018. We do not believe that this ASU will have a material impact on our consolidated financial statements.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which will replace the existing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and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current guidance for operating leases. The standard is effective for financial statements issued for fiscal years beginning after December 15, 2018, and interim periods within those fiscal years, with early adoption permitted. We are in the process of evaluating the impact that this new guidance will have on our consolidated financial statements.</w:t>
      </w:r>
    </w:p>
    <w:p>
      <w:pPr>
        <w:spacing w:after="0" w:line="17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which includes multiple provisions intended to simplify several aspects of accounting for share-based payment transactions, including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classification of awards as either equity or liabilities, an option to recognize gross stock compensation expense with actual forfeitures recognized as they occur, as well as certain classifications on the statement of cash flows. The standard is effective for our fiscal year beginning April 1, 2017. We are evaluating the impact of this ASU on our consolidated financial statements.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The standard reduces the diversity in practice of how certain cash receipts and cash payments are presented and classified in the statement of cash flows. The guidance addresses the following eight specific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settlement of corporate-owned life insurance policies, including bank-owned life insurance policies, (6) distributions received from equity method investees, (7) beneficial interests in securitization transitions and (8) separately identifiable cash flows and application of predominance principle. The guidance will be effective for our fiscal year beginning April 1, 2018, and early adoption is permitted. The guidance requires retrospective adoption. We are evaluating the impact of this ASU on our consolidated financial statements and related disclosures.</w:t>
      </w:r>
    </w:p>
    <w:p>
      <w:pPr>
        <w:spacing w:after="0" w:line="17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that changes the presentation of restricted cash and cash equivalents on the statement of cash flows. Restricted cash and restricted cash equivalents must be included with cash and cash equivalents when reconciling the beginning-of-period and end-of-period total amounts shown on the statement of cash flows. This standard is effective for our fiscal year beginning April 1, 2018, but early adoption is permissible. As we do not currently have nor have we historically had restricted cash or restricted cash equivalents, we do not believe that this ASU will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instruments for hedging of market risks or for trading or speculative purposes.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74" w:lineRule="exact"/>
        <w:rPr>
          <w:sz w:val="20"/>
          <w:szCs w:val="20"/>
          <w:color w:val="auto"/>
        </w:rPr>
      </w:pPr>
    </w:p>
    <w:p>
      <w:pPr>
        <w:ind w:left="660" w:hanging="328"/>
        <w:spacing w:after="0" w:line="26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in active markets that are accessible at the measurement date for assets or liabilities. The fair value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gives the highest priority to Level 1 inputs.</w:t>
      </w:r>
    </w:p>
    <w:p>
      <w:pPr>
        <w:spacing w:after="0" w:line="18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or other inputs that are observable or can be corroborated by observable market data for substantially the full term of the assets or liabilities.</w:t>
      </w:r>
    </w:p>
    <w:p>
      <w:pPr>
        <w:spacing w:after="0" w:line="19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w:t>
      </w:r>
      <w:r>
        <w:rPr>
          <w:rFonts w:ascii="Arial" w:cs="Arial" w:eastAsia="Arial" w:hAnsi="Arial"/>
          <w:sz w:val="18"/>
          <w:szCs w:val="18"/>
          <w:i w:val="1"/>
          <w:iCs w:val="1"/>
          <w:color w:val="auto"/>
        </w:rPr>
        <w:t xml:space="preserve">i.e., </w:t>
      </w:r>
      <w:r>
        <w:rPr>
          <w:rFonts w:ascii="Arial" w:cs="Arial" w:eastAsia="Arial" w:hAnsi="Arial"/>
          <w:sz w:val="18"/>
          <w:szCs w:val="18"/>
          <w:color w:val="auto"/>
        </w:rPr>
        <w:t>inputs that reflect the reporting entity’s own assumptions about the assumptions that market participants would use</w:t>
      </w:r>
      <w:r>
        <w:rPr>
          <w:rFonts w:ascii="Arial" w:cs="Arial" w:eastAsia="Arial" w:hAnsi="Arial"/>
          <w:sz w:val="18"/>
          <w:szCs w:val="18"/>
          <w:i w:val="1"/>
          <w:iCs w:val="1"/>
          <w:color w:val="auto"/>
        </w:rPr>
        <w:t xml:space="preserve"> </w:t>
      </w:r>
      <w:r>
        <w:rPr>
          <w:rFonts w:ascii="Arial" w:cs="Arial" w:eastAsia="Arial" w:hAnsi="Arial"/>
          <w:sz w:val="18"/>
          <w:szCs w:val="18"/>
          <w:color w:val="auto"/>
        </w:rPr>
        <w:t>in estimating the fair value of an asset or liability) are used when little or no market data is available. The fair value hierarchy gives the lowest priority to Level 3 inputs.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ectPr>
          <w:pgSz w:w="11900" w:h="16907" w:orient="portrait"/>
          <w:cols w:equalWidth="0" w:num="1">
            <w:col w:w="11420"/>
          </w:cols>
          <w:pgMar w:left="240" w:top="131" w:right="239" w:bottom="0" w:gutter="0" w:footer="0" w:header="0"/>
        </w:sectPr>
      </w:pPr>
    </w:p>
    <w:bookmarkStart w:id="130" w:name="page131"/>
    <w:bookmarkEnd w:id="130"/>
    <w:p>
      <w:pPr>
        <w:ind w:right="40"/>
        <w:spacing w:after="0" w:line="288" w:lineRule="auto"/>
        <w:rPr>
          <w:sz w:val="20"/>
          <w:szCs w:val="20"/>
          <w:color w:val="auto"/>
        </w:rPr>
      </w:pPr>
      <w:r>
        <w:rPr>
          <w:rFonts w:ascii="Arial" w:cs="Arial" w:eastAsia="Arial" w:hAnsi="Arial"/>
          <w:sz w:val="16"/>
          <w:szCs w:val="16"/>
          <w:color w:val="auto"/>
        </w:rPr>
        <w:t>In conjunction with certain Senior Secured Convertible Promissory Notes that we issued to PLTG between October 2012 and July 2013 and the related PLTG Warrants, and the contingently issuable Series A Exchange Warrant, we determined that the warrants included certain exercise price and other adjustment features requiring the warrants to be treated as liabilities, which were recorded at their issuance-date estimated fair values and marked to market at each subsequent reporting period. We determined the fair value of the warrant liabilities using Level 3 (unobservable) inputs, since there was minimal comparable external market data available. Inputs used to determine fair value included the remaining contractual term of the warrants, risk-free interest rates, expected volatility of the price of the underlying common stock, and the probability of a financing transaction that would trigger a reset in the warrant exercise price, and, in the case of the Series A Exchange Warrant, the probability of PLTG’s exchange of the shares of Series A Preferred it holds into shares of common stock. The change in the fair value of these warrant liabilities between March 31, 2015 and their subsequent elimination (described below) was recognized as a non-cash expense in the Consolidated Statement of Operations and Comprehensive Loss for the fiscal year ended March 31, 2016.</w:t>
      </w:r>
    </w:p>
    <w:p>
      <w:pPr>
        <w:spacing w:after="0" w:line="1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May 2015, we entered into an agreement with PLTG pursuant to which PLTG agreed to amend the PLTG Warrants to (i) fix the exercise price thereof at $7.00 per share, (ii) eliminate the exercise price reset features and (iii) fix the number of shares of our common stock issuable thereunder. This agreement and the related modification of the PLTG Warrants resulted in the elimination of the warrant liability with respect to the PLTG Warrants during the quarter ended June 30, 2015.</w:t>
      </w:r>
    </w:p>
    <w:p>
      <w:pPr>
        <w:spacing w:after="0" w:line="197"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In January 2016, we entered into an Exchange Agreement with PLTG pursuant to which PLTG exchanged all outstanding PLTG Warrants plus the shares issuable pursuant to the Series A Preferred Exchange Warrant for unregistered shares of our Series C Convertible Preferred Stock (</w:t>
      </w:r>
      <w:r>
        <w:rPr>
          <w:rFonts w:ascii="Arial" w:cs="Arial" w:eastAsia="Arial" w:hAnsi="Arial"/>
          <w:sz w:val="15"/>
          <w:szCs w:val="15"/>
          <w:i w:val="1"/>
          <w:iCs w:val="1"/>
          <w:color w:val="auto"/>
        </w:rPr>
        <w:t>Series C Preferred</w:t>
      </w:r>
      <w:r>
        <w:rPr>
          <w:rFonts w:ascii="Arial" w:cs="Arial" w:eastAsia="Arial" w:hAnsi="Arial"/>
          <w:sz w:val="15"/>
          <w:szCs w:val="15"/>
          <w:color w:val="auto"/>
        </w:rPr>
        <w:t>) in the ratio of 0.75 share of Series C Preferred for each warrant share cancelled. As a result of the Exchange Agreement, all warrants previously issued to PLTG have been cancelled.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60" w:type="dxa"/>
            <w:vAlign w:val="bottom"/>
          </w:tcPr>
          <w:p>
            <w:pPr>
              <w:spacing w:after="0"/>
              <w:rPr>
                <w:sz w:val="20"/>
                <w:szCs w:val="20"/>
                <w:color w:val="auto"/>
              </w:rPr>
            </w:pPr>
            <w:r>
              <w:rPr>
                <w:rFonts w:ascii="Arial" w:cs="Arial" w:eastAsia="Arial" w:hAnsi="Arial"/>
                <w:sz w:val="18"/>
                <w:szCs w:val="18"/>
                <w:color w:val="auto"/>
                <w:w w:val="91"/>
              </w:rPr>
              <w:t>We carried no assets or liabilities at fair value at March 31, 2017 or 2016.</w:t>
            </w:r>
          </w:p>
        </w:tc>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Arial" w:cs="Arial" w:eastAsia="Arial" w:hAnsi="Arial"/>
                <w:sz w:val="18"/>
                <w:szCs w:val="18"/>
                <w:b w:val="1"/>
                <w:bCs w:val="1"/>
                <w:color w:val="auto"/>
              </w:rPr>
              <w:t>5. Prepaid Expenses and Other Current Assets</w:t>
            </w: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w w:val="99"/>
              </w:rPr>
              <w:t>Prepaid expenses and other current assets consist of the following:</w:t>
            </w: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March 31,</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3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3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40"/>
              <w:spacing w:after="0"/>
              <w:rPr>
                <w:sz w:val="20"/>
                <w:szCs w:val="20"/>
                <w:color w:val="auto"/>
              </w:rPr>
            </w:pPr>
            <w:r>
              <w:rPr>
                <w:rFonts w:ascii="Arial" w:cs="Arial" w:eastAsia="Arial" w:hAnsi="Arial"/>
                <w:sz w:val="18"/>
                <w:szCs w:val="18"/>
                <w:color w:val="auto"/>
              </w:rPr>
              <w:t>AV-101 materials and services</w:t>
            </w: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352,800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Prepaid compensation under financial advisory</w:t>
            </w: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and other consulting agreements</w:t>
            </w: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Public offering expenses</w:t>
            </w: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456,600</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426,800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53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2"/>
          </w:tcPr>
          <w:p>
            <w:pPr>
              <w:jc w:val="right"/>
              <w:ind w:right="3092"/>
              <w:spacing w:after="0"/>
              <w:rPr>
                <w:sz w:val="20"/>
                <w:szCs w:val="20"/>
                <w:color w:val="auto"/>
              </w:rPr>
            </w:pPr>
            <w:r>
              <w:rPr>
                <w:rFonts w:ascii="Arial" w:cs="Arial" w:eastAsia="Arial" w:hAnsi="Arial"/>
                <w:sz w:val="18"/>
                <w:szCs w:val="18"/>
                <w:color w:val="auto"/>
              </w:rPr>
              <w:t>F-13</w:t>
            </w: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7" w:right="239" w:bottom="1440" w:gutter="0" w:footer="0" w:header="0"/>
        </w:sectPr>
      </w:pPr>
    </w:p>
    <w:bookmarkStart w:id="131" w:name="page132"/>
    <w:bookmarkEnd w:id="131"/>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6. Property and Equipment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w:t>
            </w:r>
          </w:p>
        </w:tc>
        <w:tc>
          <w:tcPr>
            <w:tcW w:w="240" w:type="dxa"/>
            <w:vAlign w:val="bottom"/>
          </w:tcPr>
          <w:p>
            <w:pPr>
              <w:spacing w:after="0"/>
              <w:rPr>
                <w:sz w:val="24"/>
                <w:szCs w:val="24"/>
                <w:color w:val="auto"/>
              </w:rPr>
            </w:pPr>
          </w:p>
        </w:tc>
        <w:tc>
          <w:tcPr>
            <w:tcW w:w="1460" w:type="dxa"/>
            <w:vAlign w:val="bottom"/>
            <w:gridSpan w:val="3"/>
            <w:vMerge w:val="restart"/>
          </w:tcPr>
          <w:p>
            <w:pPr>
              <w:jc w:val="right"/>
              <w:ind w:right="3"/>
              <w:spacing w:after="0"/>
              <w:rPr>
                <w:sz w:val="20"/>
                <w:szCs w:val="20"/>
                <w:color w:val="auto"/>
              </w:rPr>
            </w:pPr>
            <w:r>
              <w:rPr>
                <w:rFonts w:ascii="Arial" w:cs="Arial" w:eastAsia="Arial" w:hAnsi="Arial"/>
                <w:sz w:val="18"/>
                <w:szCs w:val="18"/>
                <w:color w:val="auto"/>
              </w:rPr>
              <w:t>March 31,</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Tenant improvements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Computers and network equipment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Office furniture and equipment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79,700</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(761,400)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(711,000)</w:t>
            </w: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7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286,500</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Other than certain leased office equipment, none of our assets were subject to third party security interests at March 31, 2017 or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7. Accrued 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Accrued expenses consist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March 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37,000</w:t>
            </w: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Accrued AV-101 development and related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402,400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443,000</w:t>
            </w:r>
          </w:p>
        </w:tc>
        <w:tc>
          <w:tcPr>
            <w:tcW w:w="2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Notes Payable</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The following table summarizes our notes payable: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0"/>
              </w:rPr>
              <w:t>March 31, 2017</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90"/>
              </w:rPr>
              <w:t>March 31, 2016</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Principal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Accrued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Accrued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Balance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Interest</w:t>
            </w:r>
          </w:p>
        </w:tc>
        <w:tc>
          <w:tcPr>
            <w:tcW w:w="180" w:type="dxa"/>
            <w:vAlign w:val="bottom"/>
          </w:tcPr>
          <w:p>
            <w:pPr>
              <w:spacing w:after="0"/>
              <w:rPr>
                <w:sz w:val="20"/>
                <w:szCs w:val="20"/>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Balance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Interest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8.25% Note payable to insurance</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premium financing company (current)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7.0% Note payable to Progressive Medical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(31,600)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72"/>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7.0% Note payable - non-current portion</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notes payable to unrelated parties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(54,800)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(54,800)</w:t>
            </w:r>
          </w:p>
        </w:tc>
        <w:tc>
          <w:tcPr>
            <w:tcW w:w="1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(31,600)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72"/>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portion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June 2016, we paid in full the $71,600 then-outstanding balance (principal and accrued but unpaid interest) of the promissory note we issued to Progressive Medical Research (</w:t>
      </w:r>
      <w:r>
        <w:rPr>
          <w:rFonts w:ascii="Arial" w:cs="Arial" w:eastAsia="Arial" w:hAnsi="Arial"/>
          <w:sz w:val="18"/>
          <w:szCs w:val="18"/>
          <w:i w:val="1"/>
          <w:iCs w:val="1"/>
          <w:color w:val="auto"/>
        </w:rPr>
        <w:t>PMR</w:t>
      </w:r>
      <w:r>
        <w:rPr>
          <w:rFonts w:ascii="Arial" w:cs="Arial" w:eastAsia="Arial" w:hAnsi="Arial"/>
          <w:sz w:val="18"/>
          <w:szCs w:val="18"/>
          <w:color w:val="auto"/>
        </w:rPr>
        <w:t>) in connection with our clinical development relationship with PMR.</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May 2016, we executed a promissory note in the face amount of $117,500 in connection with certain insurance policy premiums. The note was payable in monthly installments of $12,100, including principal and interest, through March 2017. In February 2017, we executed a promissory note in the face amount of $60,700 in connection with other insurance policy premiums. The note is payable in monthly installments of $6,300, including principal and interest, and has an outstanding balance of $54,800 at March 31, 2017.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and Promissory Notes and Other Indebtedness Converted into Series B Preferred</w:t>
      </w:r>
    </w:p>
    <w:p>
      <w:pPr>
        <w:spacing w:after="0" w:line="225"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 xml:space="preserve">Between May 2015 and September 2015, we extinguished outstanding indebtedness having a carrying value of approximately $15.9 million (principal plus unpaid accrued interest less unamortized debt discount), including all of our senior secured promissory notes, all except $58,800 principal of our unsecured promissory notes, and a substantial portion of other indebtedness, and certain adjustments thereto, that were either due and payable or would have become due and payable prior to March 31, 2016, by converting all such indebtedness into shares of our Series B Preferred (as described more completely in Note 9, </w:t>
      </w:r>
      <w:r>
        <w:rPr>
          <w:rFonts w:ascii="Arial" w:cs="Arial" w:eastAsia="Arial" w:hAnsi="Arial"/>
          <w:sz w:val="15"/>
          <w:szCs w:val="15"/>
          <w:i w:val="1"/>
          <w:iCs w:val="1"/>
          <w:color w:val="auto"/>
        </w:rPr>
        <w:t>Capital</w:t>
      </w:r>
      <w:r>
        <w:rPr>
          <w:rFonts w:ascii="Arial" w:cs="Arial" w:eastAsia="Arial" w:hAnsi="Arial"/>
          <w:sz w:val="15"/>
          <w:szCs w:val="15"/>
          <w:color w:val="auto"/>
        </w:rPr>
        <w:t xml:space="preserve"> </w:t>
      </w:r>
      <w:r>
        <w:rPr>
          <w:rFonts w:ascii="Arial" w:cs="Arial" w:eastAsia="Arial" w:hAnsi="Arial"/>
          <w:sz w:val="15"/>
          <w:szCs w:val="15"/>
          <w:i w:val="1"/>
          <w:iCs w:val="1"/>
          <w:color w:val="auto"/>
        </w:rPr>
        <w:t>Stock</w:t>
      </w:r>
      <w:r>
        <w:rPr>
          <w:rFonts w:ascii="Arial" w:cs="Arial" w:eastAsia="Arial" w:hAnsi="Arial"/>
          <w:sz w:val="15"/>
          <w:szCs w:val="15"/>
          <w:color w:val="auto"/>
        </w:rPr>
        <w:t>, under the caption</w:t>
      </w:r>
      <w:r>
        <w:rPr>
          <w:rFonts w:ascii="Arial" w:cs="Arial" w:eastAsia="Arial" w:hAnsi="Arial"/>
          <w:sz w:val="15"/>
          <w:szCs w:val="15"/>
          <w:i w:val="1"/>
          <w:iCs w:val="1"/>
          <w:color w:val="auto"/>
        </w:rPr>
        <w:t xml:space="preserve"> Series B Preferred Stock). </w:t>
      </w:r>
      <w:r>
        <w:rPr>
          <w:rFonts w:ascii="Arial" w:cs="Arial" w:eastAsia="Arial" w:hAnsi="Arial"/>
          <w:sz w:val="15"/>
          <w:szCs w:val="15"/>
          <w:color w:val="auto"/>
        </w:rPr>
        <w:t>Evaluating each note or debt class separately, we determined that the conversion of each of the notes or other</w:t>
      </w:r>
    </w:p>
    <w:p>
      <w:pPr>
        <w:sectPr>
          <w:pgSz w:w="11900" w:h="16843" w:orient="portrait"/>
          <w:cols w:equalWidth="0" w:num="1">
            <w:col w:w="11420"/>
          </w:cols>
          <w:pgMar w:left="240" w:top="108" w:right="239" w:bottom="0" w:gutter="0" w:footer="0" w:header="0"/>
        </w:sectPr>
      </w:pPr>
    </w:p>
    <w:bookmarkStart w:id="132" w:name="page133"/>
    <w:bookmarkEnd w:id="132"/>
    <w:p>
      <w:pPr>
        <w:ind w:right="20"/>
        <w:spacing w:after="0" w:line="288" w:lineRule="auto"/>
        <w:rPr>
          <w:sz w:val="20"/>
          <w:szCs w:val="20"/>
          <w:color w:val="auto"/>
        </w:rPr>
      </w:pPr>
      <w:r>
        <w:rPr>
          <w:rFonts w:ascii="Arial" w:cs="Arial" w:eastAsia="Arial" w:hAnsi="Arial"/>
          <w:sz w:val="16"/>
          <w:szCs w:val="16"/>
          <w:color w:val="auto"/>
        </w:rPr>
        <w:t xml:space="preserve">debt instruments into Series B Preferred should be accounted for as an extinguishment of debt. Further, considering the direct exchangeability of the Series B Preferred shares into shares of our common stock, the 10% dividend applicable to the Series B Preferred prior to such exchange, and other factors, we determined that the fair value of a share of Series B Preferred issued pursuant to the conversion of each of the notes or other debt instruments was equal to the market value of a share of our common stock on the conversion date. Because the fair value of the Series B Preferred into which the debt instruments were converted in all cases exceeded the carrying value of the debt, we recorded an aggregate loss on extinguishment of debt of $26,700,200, in the first and second quarters of the fiscal year ended March 31, 2016, as reflected in the accompanying Consolidated Statement of Operations and Comprehensive Loss for that period. The carrying values and components of the loss on extinguishment of our notes and other indebtedness converted into Series B Preferred during our fiscal year ended March 31, 2016 are summarized in a table presented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under the caption </w:t>
      </w:r>
      <w:r>
        <w:rPr>
          <w:rFonts w:ascii="Arial" w:cs="Arial" w:eastAsia="Arial" w:hAnsi="Arial"/>
          <w:sz w:val="16"/>
          <w:szCs w:val="16"/>
          <w:i w:val="1"/>
          <w:iCs w:val="1"/>
          <w:color w:val="auto"/>
        </w:rPr>
        <w:t>Conversion of Debt Securities into Series B Preferred and Loss on</w:t>
      </w:r>
      <w:r>
        <w:rPr>
          <w:rFonts w:ascii="Arial" w:cs="Arial" w:eastAsia="Arial" w:hAnsi="Arial"/>
          <w:sz w:val="16"/>
          <w:szCs w:val="16"/>
          <w:color w:val="auto"/>
        </w:rPr>
        <w:t xml:space="preserve"> </w:t>
      </w:r>
      <w:r>
        <w:rPr>
          <w:rFonts w:ascii="Arial" w:cs="Arial" w:eastAsia="Arial" w:hAnsi="Arial"/>
          <w:sz w:val="16"/>
          <w:szCs w:val="16"/>
          <w:i w:val="1"/>
          <w:iCs w:val="1"/>
          <w:color w:val="auto"/>
        </w:rPr>
        <w:t>Extinguishment of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December 2011, our Board of Directors authorized the creation of a series of up to 500,000 shares of Series A Preferred, par value $0.001 (</w:t>
      </w:r>
      <w:r>
        <w:rPr>
          <w:rFonts w:ascii="Arial" w:cs="Arial" w:eastAsia="Arial" w:hAnsi="Arial"/>
          <w:sz w:val="18"/>
          <w:szCs w:val="18"/>
          <w:i w:val="1"/>
          <w:iCs w:val="1"/>
          <w:color w:val="auto"/>
        </w:rPr>
        <w:t>Series A</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Each restricted share of Series A Preferred was initially convertible at the option of the holder into one-half of one restricted share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Series A Preferred ranks prior to the common stock for purposes of liquidation preference.</w:t>
      </w:r>
    </w:p>
    <w:p>
      <w:pPr>
        <w:spacing w:after="0" w:line="194"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6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94"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In the event of the liquidation, dissolution or winding up of the affairs of the Company, after payment or provision for payment of our debts and other liabilities, the holders of Series A Preferred then outstanding shall be entitled to receive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5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At March 31, 2017 and 2016, there were 500,000 restricted shares of Series A Preferred outstanding, convertible into 750,000 shares of our common stock at the option of the holder, all held by PLTG or its affiliates and a third party to whom PLTG transferred certain of the shares. PLTG initially acquired the Series A Preferred pursuant to certain transactions with us that occurred between December 2011 and June 2012, the latter of which involved, among other considerations, the exchange of common stock then owned by PLTG for shares of Series A Preferred. The common shares exchanged for shares of Series A Preferred are treated as treasury stock in the accompanying Consolidated Balance Sheets at March 31,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July 2014, our Board of Directors authorized the creation of a class of Series B Preferred Stock. In May 2015, we filed a Certificate of Designation of the Relative Rights and Preferences of the Series B 10% Preferred Stock of VistaGen Therapeutics, Inc. (</w:t>
      </w:r>
      <w:r>
        <w:rPr>
          <w:rFonts w:ascii="Arial" w:cs="Arial" w:eastAsia="Arial" w:hAnsi="Arial"/>
          <w:sz w:val="18"/>
          <w:szCs w:val="18"/>
          <w:i w:val="1"/>
          <w:iCs w:val="1"/>
          <w:color w:val="auto"/>
        </w:rPr>
        <w:t>Certificate of Designation</w:t>
      </w:r>
      <w:r>
        <w:rPr>
          <w:rFonts w:ascii="Arial" w:cs="Arial" w:eastAsia="Arial" w:hAnsi="Arial"/>
          <w:sz w:val="18"/>
          <w:szCs w:val="18"/>
          <w:color w:val="auto"/>
        </w:rPr>
        <w:t>) with the Nevada Secretary of State to designate 4.0 million shares of our authorized preferred stock as Series B Preferred.</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our Common Stock, subject to adjustment only for customary stock dividends, reclassifications, splits and similar transactions set forth in the Certificate of Designation. All outstanding shares of Series B Preferred are also convertible automatically on a one-to-one basis into shares of our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6"/>
          <w:szCs w:val="16"/>
          <w:i w:val="1"/>
          <w:iCs w:val="1"/>
          <w:color w:val="auto"/>
        </w:rPr>
        <w:t>Conversion</w:t>
      </w:r>
      <w:r>
        <w:rPr>
          <w:rFonts w:ascii="Arial" w:cs="Arial" w:eastAsia="Arial" w:hAnsi="Arial"/>
          <w:sz w:val="16"/>
          <w:szCs w:val="16"/>
          <w:color w:val="auto"/>
        </w:rPr>
        <w:t>) are subject to certain beneficial ownership blockers as set forth in the Certificate of Designation and/or securities purchase agreements.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Prior to Conversion, shares of Series B Preferred accrue in-kind dividends (payable only in unregistered shares of our common stock) at a rate of 10% per annum (</w:t>
      </w:r>
      <w:r>
        <w:rPr>
          <w:rFonts w:ascii="Arial" w:cs="Arial" w:eastAsia="Arial" w:hAnsi="Arial"/>
          <w:sz w:val="16"/>
          <w:szCs w:val="16"/>
          <w:i w:val="1"/>
          <w:iCs w:val="1"/>
          <w:color w:val="auto"/>
        </w:rPr>
        <w:t>Accrued Dividends</w:t>
      </w:r>
      <w:r>
        <w:rPr>
          <w:rFonts w:ascii="Arial" w:cs="Arial" w:eastAsia="Arial" w:hAnsi="Arial"/>
          <w:sz w:val="16"/>
          <w:szCs w:val="16"/>
          <w:color w:val="auto"/>
        </w:rPr>
        <w:t>). The Accrued Dividends are payable on the date of either a Voluntary Conversion or Automatic Conversion solely in that number of shares of common stock equal to the Accrued Dividends. At March 31, 2017, we have recognized a liability in the amount of $1,577,800 for Accrued Dividends in the accompanying Consolidated Balance Sheet at March 31, 2017, based on the Series B Preferred issued and outstanding, net of conversions to common stock, through that date. We have recognized a deduction from net loss of $1,257,000 and $2,140,500 related to dividends on Series B Preferred in arriving at net loss attributable to common stockholders in the accompanying Consolidated Statement of Operations and Comprehensive Loss for the fiscal years ended March 31, 2017 and 2016, respectively. The liquidation value of the Series B Preferred at March 31, 2017 is approximately $9,699,500.</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Following the completion of the May 2016 Public Offering, which occurred concurrently with and facilitated the listing of our common stock on the NASDAQ Capital Market, approximately 2.4 million shares of Series B Preferred were converted automatically into approximately 2.4 million shares of our common stock pursuant to the Automatic Conversion provision. At March 31, 2017,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w:t>
      </w:r>
    </w:p>
    <w:p>
      <w:pPr>
        <w:sectPr>
          <w:pgSz w:w="11900" w:h="16838" w:orient="portrait"/>
          <w:cols w:equalWidth="0" w:num="1">
            <w:col w:w="11400"/>
          </w:cols>
          <w:pgMar w:left="240" w:top="131" w:right="259" w:bottom="53" w:gutter="0" w:footer="0" w:header="0"/>
        </w:sectPr>
      </w:pPr>
    </w:p>
    <w:bookmarkStart w:id="133" w:name="page134"/>
    <w:bookmarkEnd w:id="133"/>
    <w:p>
      <w:pPr>
        <w:spacing w:after="0" w:line="1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Arial" w:cs="Arial" w:eastAsia="Arial" w:hAnsi="Arial"/>
          <w:sz w:val="16"/>
          <w:szCs w:val="16"/>
          <w:i w:val="1"/>
          <w:iCs w:val="1"/>
          <w:color w:val="auto"/>
        </w:rPr>
        <w:t>Series C Preferred Certificate of Designation</w:t>
      </w:r>
      <w:r>
        <w:rPr>
          <w:rFonts w:ascii="Arial" w:cs="Arial" w:eastAsia="Arial" w:hAnsi="Arial"/>
          <w:sz w:val="16"/>
          <w:szCs w:val="16"/>
          <w:color w:val="auto"/>
        </w:rPr>
        <w:t>) with the Nevada Secretary of State to designate 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 Upon liquidation, each share of Series C Preferred ranks pari-passu with our Series B Preferred and our Series A Preferred, and is convertible, at the option of the holder into one share of our common stock, subject to certain beneficial ownership limitations as set forth in the Series C Preferred Certificate of Designation. Shares of the Series C Preferred do not accrue dividends, and holders of the Series C Preferred have no voting rights. Each share of Series C Preferred is convertible into one (1) share of our common stock. At March 31, 2017, PLTG or its affiliates held all 2,318,012 outstanding shares of Series C Preferred.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Unit Private Placement</w:t>
      </w:r>
    </w:p>
    <w:p>
      <w:pPr>
        <w:spacing w:after="0" w:line="225"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Between late-March 2014 and May 14, 2015, we entered into securities purchase agreements with accredited investors for the self-placed 2014 Unit Private Placement pursuant to which we sold 2014 Units consisting of (i) promissory notes (</w:t>
      </w:r>
      <w:r>
        <w:rPr>
          <w:rFonts w:ascii="Arial" w:cs="Arial" w:eastAsia="Arial" w:hAnsi="Arial"/>
          <w:sz w:val="16"/>
          <w:szCs w:val="16"/>
          <w:i w:val="1"/>
          <w:iCs w:val="1"/>
          <w:color w:val="auto"/>
        </w:rPr>
        <w:t>2014 Unit Notes</w:t>
      </w:r>
      <w:r>
        <w:rPr>
          <w:rFonts w:ascii="Arial" w:cs="Arial" w:eastAsia="Arial" w:hAnsi="Arial"/>
          <w:sz w:val="16"/>
          <w:szCs w:val="16"/>
          <w:color w:val="auto"/>
        </w:rPr>
        <w:t>) in the aggregate face amount of $3,413,500 due between March 31, 2015 and May 15, 2015 or automatically convertible into securities issuable upon our consummation of a Qualified Financing, as defined in the note;</w:t>
      </w:r>
    </w:p>
    <w:p>
      <w:pPr>
        <w:spacing w:after="0" w:line="1" w:lineRule="exact"/>
        <w:rPr>
          <w:sz w:val="20"/>
          <w:szCs w:val="20"/>
          <w:color w:val="auto"/>
        </w:rPr>
      </w:pPr>
    </w:p>
    <w:p>
      <w:pPr>
        <w:ind w:right="200" w:firstLine="8"/>
        <w:spacing w:after="0" w:line="302" w:lineRule="auto"/>
        <w:tabs>
          <w:tab w:leader="none" w:pos="258"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 aggregate of 315,850 restricted shares of our common stock; and (iii) warrants exercisable through December 31, 2016 to purchase an aggregate of 307,100 restricted shares of our common stock at an exercise price of $10.00 per share. We received aggregate cash proceeds of $3,413,500 from the 2014 Unit Private Placement. We sold 2014 Units resulting in $280,000 of cash proceeds during our fiscal year ended March 31,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2015 Agreement with PLTG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May 2015, we entered into an Agreement with PLTG (the </w:t>
      </w:r>
      <w:r>
        <w:rPr>
          <w:rFonts w:ascii="Arial" w:cs="Arial" w:eastAsia="Arial" w:hAnsi="Arial"/>
          <w:sz w:val="18"/>
          <w:szCs w:val="18"/>
          <w:i w:val="1"/>
          <w:iCs w:val="1"/>
          <w:color w:val="auto"/>
        </w:rPr>
        <w:t>PLTG Agreement</w:t>
      </w:r>
      <w:r>
        <w:rPr>
          <w:rFonts w:ascii="Arial" w:cs="Arial" w:eastAsia="Arial" w:hAnsi="Arial"/>
          <w:sz w:val="18"/>
          <w:szCs w:val="18"/>
          <w:color w:val="auto"/>
        </w:rPr>
        <w:t>) pursuant to which PLTG:</w:t>
      </w:r>
    </w:p>
    <w:p>
      <w:pPr>
        <w:spacing w:after="0" w:line="225" w:lineRule="exact"/>
        <w:rPr>
          <w:sz w:val="20"/>
          <w:szCs w:val="20"/>
          <w:color w:val="auto"/>
        </w:rPr>
      </w:pPr>
    </w:p>
    <w:p>
      <w:pPr>
        <w:ind w:left="660" w:hanging="328"/>
        <w:spacing w:after="0" w:line="25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Converted into 641,335 shares of Series B Preferred all of the approximately $4.5 million outstanding balance (principal and accrued but unpaid interest) of the Senior Secured Notes we had previously issued to PLTG;</w:t>
      </w:r>
    </w:p>
    <w:p>
      <w:pPr>
        <w:ind w:left="660" w:hanging="328"/>
        <w:spacing w:after="0" w:line="250"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Released in their entirety its security interests in our assets and those of our subsidiaries by terminating the Amended and Restated Security Agreement, IP Security Agreement and Negative Covenant, each of which had been executed in October 2012;</w:t>
      </w:r>
    </w:p>
    <w:p>
      <w:pPr>
        <w:jc w:val="both"/>
        <w:ind w:left="660" w:hanging="328"/>
        <w:spacing w:after="0" w:line="250"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Converted into 240,305 shares of Series B Preferred and five-year warrants to purchase 240,305 shares of our common stock at a fixed exercise price of $7.00 per share (</w:t>
      </w:r>
      <w:r>
        <w:rPr>
          <w:rFonts w:ascii="Arial" w:cs="Arial" w:eastAsia="Arial" w:hAnsi="Arial"/>
          <w:sz w:val="18"/>
          <w:szCs w:val="18"/>
          <w:i w:val="1"/>
          <w:iCs w:val="1"/>
          <w:color w:val="auto"/>
        </w:rPr>
        <w:t>Series B Warrants</w:t>
      </w:r>
      <w:r>
        <w:rPr>
          <w:rFonts w:ascii="Arial" w:cs="Arial" w:eastAsia="Arial" w:hAnsi="Arial"/>
          <w:sz w:val="18"/>
          <w:szCs w:val="18"/>
          <w:color w:val="auto"/>
        </w:rPr>
        <w:t>) all of the approximately $1.3 million outstanding balance (principal and accrued but unpaid interest) of the 2014 Unit Notes that we issued to PLTG;</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Purchased approximately $1.5 million (including accrued but unpaid interest thereon) of outstanding 2014 Unit Notes we had previously issued to various accredited investors from the respective holders thereof (</w:t>
      </w:r>
      <w:r>
        <w:rPr>
          <w:rFonts w:ascii="Arial" w:cs="Arial" w:eastAsia="Arial" w:hAnsi="Arial"/>
          <w:sz w:val="16"/>
          <w:szCs w:val="16"/>
          <w:i w:val="1"/>
          <w:iCs w:val="1"/>
          <w:color w:val="auto"/>
        </w:rPr>
        <w:t>Acquired Unit Notes</w:t>
      </w:r>
      <w:r>
        <w:rPr>
          <w:rFonts w:ascii="Arial" w:cs="Arial" w:eastAsia="Arial" w:hAnsi="Arial"/>
          <w:sz w:val="16"/>
          <w:szCs w:val="16"/>
          <w:color w:val="auto"/>
        </w:rPr>
        <w:t>) and converted the entire approximately $1.5 million outstanding balance of the Acquired Unit Notes into 265,699 shares of Series B Preferred and Series B Warrants to purchase 265,699 shares of our common stock;</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Entered into a Securities Purchase Agreement (</w:t>
      </w:r>
      <w:r>
        <w:rPr>
          <w:rFonts w:ascii="Arial" w:cs="Arial" w:eastAsia="Arial" w:hAnsi="Arial"/>
          <w:sz w:val="18"/>
          <w:szCs w:val="18"/>
          <w:i w:val="1"/>
          <w:iCs w:val="1"/>
          <w:color w:val="auto"/>
        </w:rPr>
        <w:t>SPA</w:t>
      </w:r>
      <w:r>
        <w:rPr>
          <w:rFonts w:ascii="Arial" w:cs="Arial" w:eastAsia="Arial" w:hAnsi="Arial"/>
          <w:sz w:val="18"/>
          <w:szCs w:val="18"/>
          <w:color w:val="auto"/>
        </w:rPr>
        <w:t>) to purchase from us, in our self-placed private placement, for $1.0 million, a total of 142,857 shares of Series B Preferred and a Series B Warrant to purchase 142,857 shares of our common stock, which purchase was consummated and the shares and warrants issued;</w:t>
      </w:r>
    </w:p>
    <w:p>
      <w:pPr>
        <w:spacing w:after="0" w:line="1" w:lineRule="exact"/>
        <w:rPr>
          <w:rFonts w:ascii="Arial" w:cs="Arial" w:eastAsia="Arial" w:hAnsi="Arial"/>
          <w:sz w:val="18"/>
          <w:szCs w:val="18"/>
          <w:color w:val="auto"/>
        </w:rPr>
      </w:pPr>
    </w:p>
    <w:p>
      <w:pPr>
        <w:jc w:val="both"/>
        <w:ind w:left="660" w:right="20" w:hanging="328"/>
        <w:spacing w:after="0" w:line="281"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Amended the PLTG Warrants previously issued to PLTG in connection with the Senior Secured Notes and the Series A Exchange Warrant to (i) fix the exercise price thereof, (ii) eliminate the exercise price reset features; (iii) fix the number of shares of our common stock issuable thereunder, and (iv) eliminate the cashless exercise provisions from the PLTG Warrants, as described in Note 4.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Agreed to refrain from the sale of any shares of our common stock held by PLTG or its affiliates until the earlier to occur of an effective registration statement under the Securities Act of 1933, as amended, relating to resale of certain shares of common stock issuable upon conversion of shares of Series B Preferred held by PLTG, or the closing price of our common stock is at least $15.00 per share.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As additional consideration under the PLTG Agreement, we issued to PLTG 400,000 shares of Series B Preferred (</w:t>
      </w:r>
      <w:r>
        <w:rPr>
          <w:rFonts w:ascii="Arial" w:cs="Arial" w:eastAsia="Arial" w:hAnsi="Arial"/>
          <w:sz w:val="16"/>
          <w:szCs w:val="16"/>
          <w:i w:val="1"/>
          <w:iCs w:val="1"/>
          <w:color w:val="auto"/>
        </w:rPr>
        <w:t>Additional Consideration Shares</w:t>
      </w:r>
      <w:r>
        <w:rPr>
          <w:rFonts w:ascii="Arial" w:cs="Arial" w:eastAsia="Arial" w:hAnsi="Arial"/>
          <w:sz w:val="16"/>
          <w:szCs w:val="16"/>
          <w:color w:val="auto"/>
        </w:rPr>
        <w:t>) and Series B Warrants (</w:t>
      </w:r>
      <w:r>
        <w:rPr>
          <w:rFonts w:ascii="Arial" w:cs="Arial" w:eastAsia="Arial" w:hAnsi="Arial"/>
          <w:sz w:val="16"/>
          <w:szCs w:val="16"/>
          <w:i w:val="1"/>
          <w:iCs w:val="1"/>
          <w:color w:val="auto"/>
        </w:rPr>
        <w:t>Additional Consideration Warrants</w:t>
      </w:r>
      <w:r>
        <w:rPr>
          <w:rFonts w:ascii="Arial" w:cs="Arial" w:eastAsia="Arial" w:hAnsi="Arial"/>
          <w:sz w:val="16"/>
          <w:szCs w:val="16"/>
          <w:color w:val="auto"/>
        </w:rPr>
        <w:t>) to purchase 1.2 million shares of our common stock, and exchanged 30,000 shares of our common stock then beneficially owned or controlled by PLTG for 30,000 shares of Series B Preferred. Considering the exchangeability of the Series B Preferred into our common stock, the dividend applicable to the Series B Preferred prior to such exchange, and other factors, we determined that the fair value of a share of Series B Preferred issued to PLTG pursuant to the PLTG Agreement was equal to the market value of a share of our common stock on the effective date of the PLTG Agreement. Based on the $10.00 per share fair value of the Series B Preferred at the effective date of the PLTG Agreement, we issued Additional Consideration Shares having an aggregate fair value of $4.0 million to PLTG. We valued the Additional Consideration Warrants at an aggregate of $8,270,900 using the Black Scholes option pricing model and the following assumptions: market price per share: $10.00; exercise price per share: $7.00; risk-free interest rate: 1.58%; contractual term: 5.00 years; volatility: 76.5%; expected dividend rate: 0%. We recognized the aggregate fair value of the Additional Consideration Shares and Additional Consideration Warrants, $12,270,900, as a component of loss on debt extinguishment in the second quarter of our fiscal year ended March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Debt Securities into Series B Preferred and Loss on Extinguishment of Debt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As described in Note 8, </w:t>
      </w:r>
      <w:r>
        <w:rPr>
          <w:rFonts w:ascii="Arial" w:cs="Arial" w:eastAsia="Arial" w:hAnsi="Arial"/>
          <w:sz w:val="16"/>
          <w:szCs w:val="16"/>
          <w:i w:val="1"/>
          <w:iCs w:val="1"/>
          <w:color w:val="auto"/>
        </w:rPr>
        <w:t>Notes Payable</w:t>
      </w:r>
      <w:r>
        <w:rPr>
          <w:rFonts w:ascii="Arial" w:cs="Arial" w:eastAsia="Arial" w:hAnsi="Arial"/>
          <w:sz w:val="16"/>
          <w:szCs w:val="16"/>
          <w:color w:val="auto"/>
        </w:rPr>
        <w:t>, during the first and second quarters of our fiscal year ended March 31, 2016, we extinguished a substantial portion of our outstanding indebtedness, including all of our senior secured promissory notes issued to PLTG, all except $58,800 principal of our unsecured promissory notes, and a significant portion of outstanding accounts payable and accrued expenses, by converting such indebtedness into shares of our Series B Preferred. In most instances, the consideration given upon conversion was limited to shares of Series B Preferred. In certain instances, as in the case of the Additional Consideration Warrants noted previously, we agreed to issue new warrants or modify outstanding warrants as additional incentive provided to our counterparty to accept the equity for debt settlement offer. Further, with respect to the 2014 Unit Notes, we determined that the Series B Preferred Unit Offering (described below) would be treated as a Qualified Financing with respect to such notes, entitling the 2014 Unit Note holders at the time of conversion to the 25% Qualified Financing conversion premium under the terms of the 2014 Unit Notes. Evaluating each note or debt class separately, we determined that the conversion of each of the notes or other debt instruments into Series B Preferred should be accounted for as an extinguishment of debt. Because, in each instance, the fair value of the consideration given exceeded the carrying value of the debt, we incurred a loss on extinguishment in the settlement of each debt instrument or agreement. Nearly all of the 2014 Unit Notes contained a beneficial conversion feature at the time they were originally issued. We accounted for the repurchase of the beneficial conversion feature at the time of the extinguishment and conversion of the 2014 Unit Notes, an aggregate of $2,237,200, as a reduction to the loss on extinguishment of debt, with a corresponding reduction to additional paid-in capital.</w:t>
      </w:r>
    </w:p>
    <w:p>
      <w:pPr>
        <w:spacing w:after="0" w:line="175"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The following table summarizes the carrying value of the debt instruments at the date they were converted into Series B Preferred, the components of the consideration given and the resulting loss on debt extinguishment attributable to each settlement and the number of shares and warrants, if any, issued in the</w:t>
      </w:r>
    </w:p>
    <w:p>
      <w:pPr>
        <w:sectPr>
          <w:pgSz w:w="11900" w:h="16962" w:orient="portrait"/>
          <w:cols w:equalWidth="0" w:num="1">
            <w:col w:w="11420"/>
          </w:cols>
          <w:pgMar w:left="240" w:top="131" w:right="239" w:bottom="0" w:gutter="0" w:footer="0" w:header="0"/>
        </w:sectPr>
      </w:pPr>
    </w:p>
    <w:bookmarkStart w:id="134" w:name="page135"/>
    <w:bookmarkEnd w:id="134"/>
    <w:p>
      <w:pPr>
        <w:ind w:right="40"/>
        <w:spacing w:after="0" w:line="259" w:lineRule="auto"/>
        <w:rPr>
          <w:sz w:val="20"/>
          <w:szCs w:val="20"/>
          <w:color w:val="auto"/>
        </w:rPr>
      </w:pPr>
      <w:r>
        <w:rPr>
          <w:rFonts w:ascii="Arial" w:cs="Arial" w:eastAsia="Arial" w:hAnsi="Arial"/>
          <w:sz w:val="18"/>
          <w:szCs w:val="18"/>
          <w:color w:val="auto"/>
        </w:rPr>
        <w:t>settlement for each debt instrument or class. We recorded the aggregate loss on debt extinguishment, $26,700,200, in the first and second quarters of our fiscal year ended March 31, 2016, as reflected in the accompanying Consolidated Statement of Operations and Comprehensive Loss for the fiscal year ended March 31,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4"/>
              </w:rPr>
              <w:t>Carrying</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Borders>
              <w:bottom w:val="single" w:sz="8" w:color="auto"/>
            </w:tcBorders>
            <w:gridSpan w:val="6"/>
          </w:tcPr>
          <w:p>
            <w:pPr>
              <w:jc w:val="center"/>
              <w:ind w:left="512"/>
              <w:spacing w:after="0"/>
              <w:rPr>
                <w:sz w:val="20"/>
                <w:szCs w:val="20"/>
                <w:color w:val="auto"/>
              </w:rPr>
            </w:pPr>
            <w:r>
              <w:rPr>
                <w:rFonts w:ascii="Arial" w:cs="Arial" w:eastAsia="Arial" w:hAnsi="Arial"/>
                <w:sz w:val="18"/>
                <w:szCs w:val="18"/>
                <w:color w:val="auto"/>
                <w:w w:val="89"/>
              </w:rPr>
              <w:t>Consideration Given</w:t>
            </w:r>
          </w:p>
        </w:tc>
        <w:tc>
          <w:tcPr>
            <w:tcW w:w="5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0"/>
              </w:rPr>
              <w:t>(Principal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4"/>
              </w:rPr>
              <w:t>Repurchase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4"/>
              </w:rPr>
              <w:t>plus</w:t>
            </w:r>
          </w:p>
        </w:tc>
        <w:tc>
          <w:tcPr>
            <w:tcW w:w="1160" w:type="dxa"/>
            <w:vAlign w:val="bottom"/>
            <w:gridSpan w:val="3"/>
          </w:tcPr>
          <w:p>
            <w:pPr>
              <w:jc w:val="center"/>
              <w:ind w:left="112"/>
              <w:spacing w:after="0"/>
              <w:rPr>
                <w:sz w:val="20"/>
                <w:szCs w:val="20"/>
                <w:color w:val="auto"/>
              </w:rPr>
            </w:pPr>
            <w:r>
              <w:rPr>
                <w:rFonts w:ascii="Arial" w:cs="Arial" w:eastAsia="Arial" w:hAnsi="Arial"/>
                <w:sz w:val="18"/>
                <w:szCs w:val="18"/>
                <w:color w:val="auto"/>
                <w:w w:val="90"/>
              </w:rPr>
              <w:t>Fair Value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8"/>
                <w:szCs w:val="18"/>
                <w:color w:val="auto"/>
                <w:w w:val="89"/>
              </w:rPr>
              <w:t>Incremental</w:t>
            </w: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Series B</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0"/>
              </w:rPr>
              <w:t>Accrued</w:t>
            </w:r>
          </w:p>
        </w:tc>
        <w:tc>
          <w:tcPr>
            <w:tcW w:w="2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5"/>
              </w:rPr>
              <w:t>Series B</w:t>
            </w:r>
          </w:p>
        </w:tc>
        <w:tc>
          <w:tcPr>
            <w:tcW w:w="1140" w:type="dxa"/>
            <w:vAlign w:val="bottom"/>
            <w:gridSpan w:val="3"/>
          </w:tcPr>
          <w:p>
            <w:pPr>
              <w:jc w:val="center"/>
              <w:ind w:left="132"/>
              <w:spacing w:after="0"/>
              <w:rPr>
                <w:sz w:val="20"/>
                <w:szCs w:val="20"/>
                <w:color w:val="auto"/>
              </w:rPr>
            </w:pPr>
            <w:r>
              <w:rPr>
                <w:rFonts w:ascii="Arial" w:cs="Arial" w:eastAsia="Arial" w:hAnsi="Arial"/>
                <w:sz w:val="18"/>
                <w:szCs w:val="18"/>
                <w:color w:val="auto"/>
                <w:w w:val="90"/>
              </w:rPr>
              <w:t>Fair Value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Fair Value</w:t>
            </w: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Beneficial</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Loss on</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Preferred</w:t>
            </w:r>
          </w:p>
        </w:tc>
        <w:tc>
          <w:tcPr>
            <w:tcW w:w="2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New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6"/>
              </w:rPr>
              <w:t>Interest less</w:t>
            </w:r>
          </w:p>
        </w:tc>
        <w:tc>
          <w:tcPr>
            <w:tcW w:w="2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6"/>
              </w:rPr>
              <w:t>Preferred at</w:t>
            </w:r>
          </w:p>
        </w:tc>
        <w:tc>
          <w:tcPr>
            <w:tcW w:w="2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5"/>
              </w:rPr>
              <w:t>Warrants at</w:t>
            </w:r>
          </w:p>
        </w:tc>
        <w:tc>
          <w:tcPr>
            <w:tcW w:w="220" w:type="dxa"/>
            <w:vAlign w:val="bottom"/>
          </w:tcPr>
          <w:p>
            <w:pPr>
              <w:spacing w:after="0"/>
              <w:rPr>
                <w:sz w:val="18"/>
                <w:szCs w:val="18"/>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of Warrant</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Conversion</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Extinguishment</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Warrants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9"/>
              </w:rPr>
              <w:t>Discount)</w:t>
            </w:r>
          </w:p>
        </w:tc>
        <w:tc>
          <w:tcPr>
            <w:tcW w:w="24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3"/>
              </w:rPr>
              <w:t>Issuance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3"/>
              </w:rPr>
              <w:t>Issuance</w:t>
            </w:r>
          </w:p>
        </w:tc>
        <w:tc>
          <w:tcPr>
            <w:tcW w:w="22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Modifications</w:t>
            </w:r>
          </w:p>
        </w:tc>
        <w:tc>
          <w:tcPr>
            <w:tcW w:w="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Feature</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of Debt</w:t>
            </w:r>
          </w:p>
        </w:tc>
        <w:tc>
          <w:tcPr>
            <w:tcW w:w="920" w:type="dxa"/>
            <w:vAlign w:val="bottom"/>
          </w:tcPr>
          <w:p>
            <w:pPr>
              <w:jc w:val="center"/>
              <w:spacing w:after="0"/>
              <w:rPr>
                <w:sz w:val="20"/>
                <w:szCs w:val="20"/>
                <w:color w:val="auto"/>
              </w:rPr>
            </w:pPr>
            <w:r>
              <w:rPr>
                <w:rFonts w:ascii="Arial" w:cs="Arial" w:eastAsia="Arial" w:hAnsi="Arial"/>
                <w:sz w:val="18"/>
                <w:szCs w:val="18"/>
                <w:color w:val="auto"/>
                <w:w w:val="82"/>
              </w:rPr>
              <w:t>Issued</w:t>
            </w:r>
          </w:p>
        </w:tc>
        <w:tc>
          <w:tcPr>
            <w:tcW w:w="2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Convertible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Notes (1)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4,489,300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$ 10,413,400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8,270,800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$(14,194,900)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PLTG Unit Notes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1,345,700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2,403,100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1,656,300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(2,713,700)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Acquired Unit Notes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1,487,900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2,657,000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1,827,200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(514,900)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(2,481,400)</w:t>
            </w:r>
          </w:p>
        </w:tc>
        <w:tc>
          <w:tcPr>
            <w:tcW w:w="920" w:type="dxa"/>
            <w:vAlign w:val="bottom"/>
          </w:tcPr>
          <w:p>
            <w:pPr>
              <w:jc w:val="right"/>
              <w:spacing w:after="0"/>
              <w:rPr>
                <w:sz w:val="20"/>
                <w:szCs w:val="20"/>
                <w:color w:val="auto"/>
              </w:rPr>
            </w:pPr>
            <w:r>
              <w:rPr>
                <w:rFonts w:ascii="Arial" w:cs="Arial" w:eastAsia="Arial" w:hAnsi="Arial"/>
                <w:sz w:val="18"/>
                <w:szCs w:val="18"/>
                <w:color w:val="auto"/>
              </w:rPr>
              <w:t>265,699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265,699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Investor Unit Notes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1,831,200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2,616,100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1,684,900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(1,722,300)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3"/>
              </w:rPr>
              <w:t>University Health Network note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628,900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937,800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(308,900)</w:t>
            </w:r>
          </w:p>
        </w:tc>
        <w:tc>
          <w:tcPr>
            <w:tcW w:w="920" w:type="dxa"/>
            <w:vAlign w:val="bottom"/>
          </w:tcPr>
          <w:p>
            <w:pPr>
              <w:jc w:val="right"/>
              <w:spacing w:after="0"/>
              <w:rPr>
                <w:sz w:val="20"/>
                <w:szCs w:val="20"/>
                <w:color w:val="auto"/>
              </w:rPr>
            </w:pPr>
            <w:r>
              <w:rPr>
                <w:rFonts w:ascii="Arial" w:cs="Arial" w:eastAsia="Arial" w:hAnsi="Arial"/>
                <w:sz w:val="18"/>
                <w:szCs w:val="18"/>
                <w:color w:val="auto"/>
              </w:rPr>
              <w:t>93,775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Cato Holding Company and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6"/>
              </w:rPr>
              <w:t>Cato Research Ltd. notes and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1,708,300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3,285,700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222,700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(1,800,100)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328,571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Morrison &amp; Foerster Note 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1,191,700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2,359,700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(1,168,000)</w:t>
            </w:r>
          </w:p>
        </w:tc>
        <w:tc>
          <w:tcPr>
            <w:tcW w:w="920" w:type="dxa"/>
            <w:vAlign w:val="bottom"/>
          </w:tcPr>
          <w:p>
            <w:pPr>
              <w:jc w:val="right"/>
              <w:spacing w:after="0"/>
              <w:rPr>
                <w:sz w:val="20"/>
                <w:szCs w:val="20"/>
                <w:color w:val="auto"/>
              </w:rPr>
            </w:pPr>
            <w:r>
              <w:rPr>
                <w:rFonts w:ascii="Arial" w:cs="Arial" w:eastAsia="Arial" w:hAnsi="Arial"/>
                <w:sz w:val="18"/>
                <w:szCs w:val="18"/>
                <w:color w:val="auto"/>
              </w:rPr>
              <w:t>192,628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Morrison &amp; Foerster Note B</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and accounts payable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1,510,000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2,571,400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244,200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(1,305,600)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McCarthy Tetrault note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381,700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829,200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(447,500)</w:t>
            </w:r>
          </w:p>
        </w:tc>
        <w:tc>
          <w:tcPr>
            <w:tcW w:w="920" w:type="dxa"/>
            <w:vAlign w:val="bottom"/>
          </w:tcPr>
          <w:p>
            <w:pPr>
              <w:jc w:val="right"/>
              <w:spacing w:after="0"/>
              <w:rPr>
                <w:sz w:val="20"/>
                <w:szCs w:val="20"/>
                <w:color w:val="auto"/>
              </w:rPr>
            </w:pPr>
            <w:r>
              <w:rPr>
                <w:rFonts w:ascii="Arial" w:cs="Arial" w:eastAsia="Arial" w:hAnsi="Arial"/>
                <w:sz w:val="18"/>
                <w:szCs w:val="18"/>
                <w:color w:val="auto"/>
              </w:rPr>
              <w:t>59,230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9"/>
              </w:rPr>
              <w:t>Burr Pilger &amp; Mayer note and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353,600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Icahn School of Medicine at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w w:val="93"/>
              </w:rPr>
              <w:t>Mount Sinai note and accounts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40" w:type="dxa"/>
            <w:vAlign w:val="bottom"/>
            <w:gridSpan w:val="2"/>
          </w:tcPr>
          <w:p>
            <w:pPr>
              <w:spacing w:after="0"/>
              <w:rPr>
                <w:sz w:val="20"/>
                <w:szCs w:val="20"/>
                <w:color w:val="auto"/>
              </w:rPr>
            </w:pPr>
            <w:r>
              <w:rPr>
                <w:rFonts w:ascii="Arial" w:cs="Arial" w:eastAsia="Arial" w:hAnsi="Arial"/>
                <w:sz w:val="18"/>
                <w:szCs w:val="18"/>
                <w:color w:val="auto"/>
              </w:rPr>
              <w:t>payable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289,500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676,000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16,600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(403,100)</w:t>
            </w:r>
          </w:p>
        </w:tc>
        <w:tc>
          <w:tcPr>
            <w:tcW w:w="920" w:type="dxa"/>
            <w:vAlign w:val="bottom"/>
          </w:tcPr>
          <w:p>
            <w:pPr>
              <w:jc w:val="right"/>
              <w:spacing w:after="0"/>
              <w:rPr>
                <w:sz w:val="20"/>
                <w:szCs w:val="20"/>
                <w:color w:val="auto"/>
              </w:rPr>
            </w:pPr>
            <w:r>
              <w:rPr>
                <w:rFonts w:ascii="Arial" w:cs="Arial" w:eastAsia="Arial" w:hAnsi="Arial"/>
                <w:sz w:val="18"/>
                <w:szCs w:val="18"/>
                <w:color w:val="auto"/>
              </w:rPr>
              <w:t>43,000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National Jewish Health note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267,900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(152,900)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Desjardins Securities note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187,400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450,000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(262,600)</w:t>
            </w:r>
          </w:p>
        </w:tc>
        <w:tc>
          <w:tcPr>
            <w:tcW w:w="920" w:type="dxa"/>
            <w:vAlign w:val="bottom"/>
          </w:tcPr>
          <w:p>
            <w:pPr>
              <w:jc w:val="right"/>
              <w:spacing w:after="0"/>
              <w:rPr>
                <w:sz w:val="20"/>
                <w:szCs w:val="20"/>
                <w:color w:val="auto"/>
              </w:rPr>
            </w:pPr>
            <w:r>
              <w:rPr>
                <w:rFonts w:ascii="Arial" w:cs="Arial" w:eastAsia="Arial" w:hAnsi="Arial"/>
                <w:sz w:val="18"/>
                <w:szCs w:val="18"/>
                <w:color w:val="auto"/>
              </w:rPr>
              <w:t>32,143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MicroConstants note and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(157,600)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0"/>
              </w:rPr>
              <w:t>Other service provider accounts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8"/>
                <w:szCs w:val="18"/>
                <w:color w:val="auto"/>
              </w:rPr>
              <w:t>payable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497,900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823,800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(325,900)</w:t>
            </w:r>
          </w:p>
        </w:tc>
        <w:tc>
          <w:tcPr>
            <w:tcW w:w="920" w:type="dxa"/>
            <w:vAlign w:val="bottom"/>
          </w:tcPr>
          <w:p>
            <w:pPr>
              <w:jc w:val="right"/>
              <w:spacing w:after="0"/>
              <w:rPr>
                <w:sz w:val="20"/>
                <w:szCs w:val="20"/>
                <w:color w:val="auto"/>
              </w:rPr>
            </w:pPr>
            <w:r>
              <w:rPr>
                <w:rFonts w:ascii="Arial" w:cs="Arial" w:eastAsia="Arial" w:hAnsi="Arial"/>
                <w:sz w:val="18"/>
                <w:szCs w:val="18"/>
                <w:color w:val="auto"/>
              </w:rPr>
              <w:t>80,929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15,880,000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$ 30,894,700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13,439,200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483,500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(2,237,200)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(26,700,200)</w:t>
            </w:r>
          </w:p>
        </w:tc>
        <w:tc>
          <w:tcPr>
            <w:tcW w:w="920" w:type="dxa"/>
            <w:vAlign w:val="bottom"/>
          </w:tcPr>
          <w:p>
            <w:pPr>
              <w:jc w:val="right"/>
              <w:spacing w:after="0"/>
              <w:rPr>
                <w:sz w:val="20"/>
                <w:szCs w:val="20"/>
                <w:color w:val="auto"/>
              </w:rPr>
            </w:pPr>
            <w:r>
              <w:rPr>
                <w:rFonts w:ascii="Arial" w:cs="Arial" w:eastAsia="Arial" w:hAnsi="Arial"/>
                <w:sz w:val="18"/>
                <w:szCs w:val="18"/>
                <w:color w:val="auto"/>
              </w:rPr>
              <w:t>3,018,917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2,033,020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4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3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340" w:hanging="332"/>
        <w:spacing w:after="0" w:line="259"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400,000 Series B Preferred shares with fair value of $4,000,000 issued as Additional Consideration Shares and warrants to purchase 1,200,000 shares of common stock with fair value of $8,270,800 issued as Additional Consideration Warrants for the various agreements of PLTG pursuant to the PLTG Agreement in May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Unit Offering</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Between May 2015 and May 2016, in self-placed private placement transactions, we sold to accredited investors an aggregate of $5,303,800 of units in our Series B Preferred Unit offering, which units consisted of Series B Preferred and Series B Warrants (together </w:t>
      </w:r>
      <w:r>
        <w:rPr>
          <w:rFonts w:ascii="Arial" w:cs="Arial" w:eastAsia="Arial" w:hAnsi="Arial"/>
          <w:sz w:val="16"/>
          <w:szCs w:val="16"/>
          <w:i w:val="1"/>
          <w:iCs w:val="1"/>
          <w:color w:val="auto"/>
        </w:rPr>
        <w:t>Series B Preferred Units</w:t>
      </w:r>
      <w:r>
        <w:rPr>
          <w:rFonts w:ascii="Arial" w:cs="Arial" w:eastAsia="Arial" w:hAnsi="Arial"/>
          <w:sz w:val="16"/>
          <w:szCs w:val="16"/>
          <w:color w:val="auto"/>
        </w:rPr>
        <w:t>), including $2,650,000 to PLTG. We issued 757,692 shares of Series B Preferred and Series B Warrants to purchase 757,692 shares of our common stock. During our fiscal year ended March 31, 2017, we received an aggregate of $278,000 in cash proceeds from our self-placed private placement and sale of the Series B Preferred Units.</w:t>
      </w:r>
    </w:p>
    <w:p>
      <w:pPr>
        <w:spacing w:after="0" w:line="16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allocated the proceeds from the sale of the Series B Preferred Units to the Series B Preferred and the Series B Warrants based on their relative fair values on the dates of the sales.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$4.14 per share, and its Conversion Price (or stated value) of $7.00 per share represents a deemed dividend to the purchasers of the Series B Preferred Units. Accordingly, we have recognized a deemed dividend in the aggregate amount of $111,100 and $2,058,000 in arriving at net loss attributable to common stockholders in the accompanying Consolidated Statement of Operations and Comprehensive Loss for the fiscal years ended March 31, 2017 and 2016, respectively.</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31"/>
        </w:trPr>
        <w:tc>
          <w:tcPr>
            <w:tcW w:w="7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Unit Warrants</w:t>
            </w:r>
          </w:p>
        </w:tc>
        <w:tc>
          <w:tcPr>
            <w:tcW w:w="1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80" w:type="dxa"/>
            <w:vAlign w:val="bottom"/>
          </w:tcPr>
          <w:p>
            <w:pPr>
              <w:jc w:val="center"/>
              <w:ind w:left="12"/>
              <w:spacing w:after="0"/>
              <w:rPr>
                <w:sz w:val="20"/>
                <w:szCs w:val="20"/>
                <w:color w:val="auto"/>
              </w:rPr>
            </w:pPr>
            <w:r>
              <w:rPr>
                <w:rFonts w:ascii="Arial" w:cs="Arial" w:eastAsia="Arial" w:hAnsi="Arial"/>
                <w:sz w:val="18"/>
                <w:szCs w:val="18"/>
                <w:color w:val="auto"/>
                <w:w w:val="91"/>
              </w:rPr>
              <w:t>Aggregate Allocation of</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20" w:type="dxa"/>
            <w:vAlign w:val="bottom"/>
            <w:vMerge w:val="restart"/>
          </w:tcPr>
          <w:p>
            <w:pPr>
              <w:ind w:left="300"/>
              <w:spacing w:after="0"/>
              <w:rPr>
                <w:sz w:val="20"/>
                <w:szCs w:val="20"/>
                <w:color w:val="auto"/>
              </w:rPr>
            </w:pPr>
            <w:r>
              <w:rPr>
                <w:rFonts w:ascii="Arial" w:cs="Arial" w:eastAsia="Arial" w:hAnsi="Arial"/>
                <w:sz w:val="18"/>
                <w:szCs w:val="18"/>
                <w:color w:val="auto"/>
                <w:w w:val="94"/>
              </w:rPr>
              <w:t>Weighted Average Issuance Date Valuation Assumptions</w:t>
            </w: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80" w:type="dxa"/>
            <w:vAlign w:val="bottom"/>
          </w:tcPr>
          <w:p>
            <w:pPr>
              <w:jc w:val="center"/>
              <w:ind w:left="32"/>
              <w:spacing w:after="0"/>
              <w:rPr>
                <w:sz w:val="20"/>
                <w:szCs w:val="20"/>
                <w:color w:val="auto"/>
              </w:rPr>
            </w:pPr>
            <w:r>
              <w:rPr>
                <w:rFonts w:ascii="Arial" w:cs="Arial" w:eastAsia="Arial" w:hAnsi="Arial"/>
                <w:sz w:val="18"/>
                <w:szCs w:val="18"/>
                <w:color w:val="auto"/>
                <w:w w:val="83"/>
              </w:rPr>
              <w:t>Proceeds Based on</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20" w:type="dxa"/>
            <w:vAlign w:val="bottom"/>
            <w:tcBorders>
              <w:bottom w:val="single" w:sz="8" w:color="auto"/>
            </w:tcBorders>
            <w:vMerge w:val="continue"/>
          </w:tcPr>
          <w:p>
            <w:pPr>
              <w:spacing w:after="0"/>
              <w:rPr>
                <w:sz w:val="17"/>
                <w:szCs w:val="17"/>
                <w:color w:val="auto"/>
              </w:rPr>
            </w:pPr>
          </w:p>
        </w:tc>
        <w:tc>
          <w:tcPr>
            <w:tcW w:w="1100" w:type="dxa"/>
            <w:vAlign w:val="bottom"/>
          </w:tcPr>
          <w:p>
            <w:pPr>
              <w:jc w:val="center"/>
              <w:ind w:left="32"/>
              <w:spacing w:after="0" w:line="197" w:lineRule="exact"/>
              <w:rPr>
                <w:sz w:val="20"/>
                <w:szCs w:val="20"/>
                <w:color w:val="auto"/>
              </w:rPr>
            </w:pPr>
            <w:r>
              <w:rPr>
                <w:rFonts w:ascii="Arial" w:cs="Arial" w:eastAsia="Arial" w:hAnsi="Arial"/>
                <w:sz w:val="18"/>
                <w:szCs w:val="18"/>
                <w:color w:val="auto"/>
                <w:w w:val="81"/>
              </w:rPr>
              <w:t>Per Share</w:t>
            </w:r>
          </w:p>
        </w:tc>
        <w:tc>
          <w:tcPr>
            <w:tcW w:w="920" w:type="dxa"/>
            <w:vAlign w:val="bottom"/>
          </w:tcPr>
          <w:p>
            <w:pPr>
              <w:ind w:left="160"/>
              <w:spacing w:after="0" w:line="197" w:lineRule="exact"/>
              <w:rPr>
                <w:sz w:val="20"/>
                <w:szCs w:val="20"/>
                <w:color w:val="auto"/>
              </w:rPr>
            </w:pPr>
            <w:r>
              <w:rPr>
                <w:rFonts w:ascii="Arial" w:cs="Arial" w:eastAsia="Arial" w:hAnsi="Arial"/>
                <w:sz w:val="18"/>
                <w:szCs w:val="18"/>
                <w:color w:val="auto"/>
                <w:w w:val="89"/>
              </w:rPr>
              <w:t>Aggregate</w:t>
            </w:r>
          </w:p>
        </w:tc>
        <w:tc>
          <w:tcPr>
            <w:tcW w:w="1120" w:type="dxa"/>
            <w:vAlign w:val="bottom"/>
          </w:tcPr>
          <w:p>
            <w:pPr>
              <w:jc w:val="right"/>
              <w:ind w:right="52"/>
              <w:spacing w:after="0" w:line="197" w:lineRule="exact"/>
              <w:rPr>
                <w:sz w:val="20"/>
                <w:szCs w:val="20"/>
                <w:color w:val="auto"/>
              </w:rPr>
            </w:pPr>
            <w:r>
              <w:rPr>
                <w:rFonts w:ascii="Arial" w:cs="Arial" w:eastAsia="Arial" w:hAnsi="Arial"/>
                <w:sz w:val="18"/>
                <w:szCs w:val="18"/>
                <w:color w:val="auto"/>
              </w:rPr>
              <w:t>Aggregate</w:t>
            </w:r>
          </w:p>
        </w:tc>
        <w:tc>
          <w:tcPr>
            <w:tcW w:w="1880" w:type="dxa"/>
            <w:vAlign w:val="bottom"/>
          </w:tcPr>
          <w:p>
            <w:pPr>
              <w:jc w:val="center"/>
              <w:ind w:left="12"/>
              <w:spacing w:after="0" w:line="197" w:lineRule="exact"/>
              <w:rPr>
                <w:sz w:val="20"/>
                <w:szCs w:val="20"/>
                <w:color w:val="auto"/>
              </w:rPr>
            </w:pPr>
            <w:r>
              <w:rPr>
                <w:rFonts w:ascii="Arial" w:cs="Arial" w:eastAsia="Arial" w:hAnsi="Arial"/>
                <w:sz w:val="18"/>
                <w:szCs w:val="18"/>
                <w:color w:val="auto"/>
                <w:w w:val="89"/>
              </w:rPr>
              <w:t>Relative</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Warrant</w:t>
            </w:r>
          </w:p>
        </w:tc>
        <w:tc>
          <w:tcPr>
            <w:tcW w:w="900" w:type="dxa"/>
            <w:vAlign w:val="bottom"/>
          </w:tcPr>
          <w:p>
            <w:pPr>
              <w:spacing w:after="0"/>
              <w:rPr>
                <w:sz w:val="19"/>
                <w:szCs w:val="19"/>
                <w:color w:val="auto"/>
              </w:rPr>
            </w:pPr>
          </w:p>
        </w:tc>
        <w:tc>
          <w:tcPr>
            <w:tcW w:w="4620" w:type="dxa"/>
            <w:vAlign w:val="bottom"/>
          </w:tcPr>
          <w:p>
            <w:pPr>
              <w:ind w:left="2080"/>
              <w:spacing w:after="0"/>
              <w:rPr>
                <w:sz w:val="20"/>
                <w:szCs w:val="20"/>
                <w:color w:val="auto"/>
              </w:rPr>
            </w:pPr>
            <w:r>
              <w:rPr>
                <w:rFonts w:ascii="Arial" w:cs="Arial" w:eastAsia="Arial" w:hAnsi="Arial"/>
                <w:sz w:val="18"/>
                <w:szCs w:val="18"/>
                <w:color w:val="auto"/>
              </w:rPr>
              <w:t>Risk free</w:t>
            </w:r>
          </w:p>
        </w:tc>
        <w:tc>
          <w:tcPr>
            <w:tcW w:w="1100" w:type="dxa"/>
            <w:vAlign w:val="bottom"/>
          </w:tcPr>
          <w:p>
            <w:pPr>
              <w:jc w:val="center"/>
              <w:ind w:left="32"/>
              <w:spacing w:after="0"/>
              <w:rPr>
                <w:sz w:val="20"/>
                <w:szCs w:val="20"/>
                <w:color w:val="auto"/>
              </w:rPr>
            </w:pPr>
            <w:r>
              <w:rPr>
                <w:rFonts w:ascii="Arial" w:cs="Arial" w:eastAsia="Arial" w:hAnsi="Arial"/>
                <w:sz w:val="18"/>
                <w:szCs w:val="18"/>
                <w:color w:val="auto"/>
                <w:w w:val="96"/>
              </w:rPr>
              <w:t>Fair</w:t>
            </w:r>
          </w:p>
        </w:tc>
        <w:tc>
          <w:tcPr>
            <w:tcW w:w="920" w:type="dxa"/>
            <w:vAlign w:val="bottom"/>
          </w:tcPr>
          <w:p>
            <w:pPr>
              <w:ind w:left="160"/>
              <w:spacing w:after="0"/>
              <w:rPr>
                <w:sz w:val="20"/>
                <w:szCs w:val="20"/>
                <w:color w:val="auto"/>
              </w:rPr>
            </w:pPr>
            <w:r>
              <w:rPr>
                <w:rFonts w:ascii="Arial" w:cs="Arial" w:eastAsia="Arial" w:hAnsi="Arial"/>
                <w:sz w:val="18"/>
                <w:szCs w:val="18"/>
                <w:color w:val="auto"/>
                <w:w w:val="90"/>
              </w:rPr>
              <w:t>Fair Value</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Proceeds</w:t>
            </w:r>
          </w:p>
        </w:tc>
        <w:tc>
          <w:tcPr>
            <w:tcW w:w="188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89"/>
              </w:rPr>
              <w:t>Fair Value of:</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ind w:left="16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Market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Exercise</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Term</w:t>
            </w: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Interest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Dividend</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Value of</w:t>
            </w:r>
          </w:p>
        </w:tc>
        <w:tc>
          <w:tcPr>
            <w:tcW w:w="14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of Unit</w:t>
            </w:r>
          </w:p>
        </w:tc>
        <w:tc>
          <w:tcPr>
            <w:tcW w:w="920" w:type="dxa"/>
            <w:vAlign w:val="bottom"/>
          </w:tcPr>
          <w:p>
            <w:pPr>
              <w:jc w:val="center"/>
              <w:ind w:left="12"/>
              <w:spacing w:after="0"/>
              <w:rPr>
                <w:sz w:val="20"/>
                <w:szCs w:val="20"/>
                <w:color w:val="auto"/>
              </w:rPr>
            </w:pPr>
            <w:r>
              <w:rPr>
                <w:rFonts w:ascii="Arial" w:cs="Arial" w:eastAsia="Arial" w:hAnsi="Arial"/>
                <w:sz w:val="18"/>
                <w:szCs w:val="18"/>
                <w:color w:val="auto"/>
                <w:w w:val="96"/>
              </w:rPr>
              <w:t>of Unit</w:t>
            </w:r>
          </w:p>
        </w:tc>
        <w:tc>
          <w:tcPr>
            <w:tcW w:w="1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3"/>
              </w:rPr>
              <w:t>Unit</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Unit</w:t>
            </w:r>
          </w:p>
        </w:tc>
        <w:tc>
          <w:tcPr>
            <w:tcW w:w="0" w:type="dxa"/>
            <w:vAlign w:val="bottom"/>
          </w:tcPr>
          <w:p>
            <w:pPr>
              <w:spacing w:after="0"/>
              <w:rPr>
                <w:sz w:val="1"/>
                <w:szCs w:val="1"/>
                <w:color w:val="auto"/>
              </w:rPr>
            </w:pPr>
          </w:p>
        </w:tc>
      </w:tr>
      <w:tr>
        <w:trPr>
          <w:trHeight w:val="231"/>
        </w:trPr>
        <w:tc>
          <w:tcPr>
            <w:tcW w:w="780" w:type="dxa"/>
            <w:vAlign w:val="bottom"/>
          </w:tcPr>
          <w:p>
            <w:pPr>
              <w:ind w:left="160"/>
              <w:spacing w:after="0"/>
              <w:rPr>
                <w:sz w:val="20"/>
                <w:szCs w:val="20"/>
                <w:color w:val="auto"/>
              </w:rPr>
            </w:pPr>
            <w:r>
              <w:rPr>
                <w:rFonts w:ascii="Arial" w:cs="Arial" w:eastAsia="Arial" w:hAnsi="Arial"/>
                <w:sz w:val="18"/>
                <w:szCs w:val="18"/>
                <w:color w:val="auto"/>
              </w:rPr>
              <w:t>Issued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Price</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(Years)</w:t>
            </w:r>
          </w:p>
        </w:tc>
        <w:tc>
          <w:tcPr>
            <w:tcW w:w="10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Rate</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Volatility</w:t>
            </w: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84"/>
              </w:rPr>
              <w:t>Rate</w:t>
            </w: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Warrant</w:t>
            </w:r>
          </w:p>
        </w:tc>
        <w:tc>
          <w:tcPr>
            <w:tcW w:w="14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Warrants</w:t>
            </w:r>
          </w:p>
        </w:tc>
        <w:tc>
          <w:tcPr>
            <w:tcW w:w="920" w:type="dxa"/>
            <w:vAlign w:val="bottom"/>
          </w:tcPr>
          <w:p>
            <w:pPr>
              <w:jc w:val="center"/>
              <w:ind w:left="32"/>
              <w:spacing w:after="0"/>
              <w:rPr>
                <w:sz w:val="20"/>
                <w:szCs w:val="20"/>
                <w:color w:val="auto"/>
              </w:rPr>
            </w:pPr>
            <w:r>
              <w:rPr>
                <w:rFonts w:ascii="Arial" w:cs="Arial" w:eastAsia="Arial" w:hAnsi="Arial"/>
                <w:sz w:val="18"/>
                <w:szCs w:val="18"/>
                <w:color w:val="auto"/>
                <w:w w:val="79"/>
              </w:rPr>
              <w:t>Sales</w:t>
            </w:r>
          </w:p>
        </w:tc>
        <w:tc>
          <w:tcPr>
            <w:tcW w:w="100" w:type="dxa"/>
            <w:vAlign w:val="bottom"/>
          </w:tcPr>
          <w:p>
            <w:pPr>
              <w:spacing w:after="0"/>
              <w:rPr>
                <w:sz w:val="20"/>
                <w:szCs w:val="20"/>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Stock</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7"/>
              </w:rPr>
              <w:t>Warrant</w:t>
            </w:r>
          </w:p>
        </w:tc>
        <w:tc>
          <w:tcPr>
            <w:tcW w:w="0" w:type="dxa"/>
            <w:vAlign w:val="bottom"/>
          </w:tcPr>
          <w:p>
            <w:pPr>
              <w:spacing w:after="0"/>
              <w:rPr>
                <w:sz w:val="1"/>
                <w:szCs w:val="1"/>
                <w:color w:val="auto"/>
              </w:rPr>
            </w:pPr>
          </w:p>
        </w:tc>
      </w:tr>
      <w:tr>
        <w:trPr>
          <w:trHeight w:val="216"/>
        </w:trPr>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757,692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  $</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$ 5,512,100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$ 5,303,800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$ 3,134,800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$ 2,169,000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Statement for Common Stock underlying Series B Preferred and Series B Warrants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securities purchase agreements for the Series B Preferred and Series B Preferred Units executed with PLTG, the holders of the Investor Unit Notes, the holders of our promissory notes and other indebtedness converted into shares of Series B Preferred, initial investors in Series B Preferred Units, and certain others to whom we issued Series B Preferred, contained registration rights requiring that a Registration Statement on Form S-1 (</w:t>
      </w:r>
      <w:r>
        <w:rPr>
          <w:rFonts w:ascii="Arial" w:cs="Arial" w:eastAsia="Arial" w:hAnsi="Arial"/>
          <w:sz w:val="16"/>
          <w:szCs w:val="16"/>
          <w:i w:val="1"/>
          <w:iCs w:val="1"/>
          <w:color w:val="auto"/>
        </w:rPr>
        <w:t>Secondary Registration Statement</w:t>
      </w:r>
      <w:r>
        <w:rPr>
          <w:rFonts w:ascii="Arial" w:cs="Arial" w:eastAsia="Arial" w:hAnsi="Arial"/>
          <w:sz w:val="16"/>
          <w:szCs w:val="16"/>
          <w:color w:val="auto"/>
        </w:rPr>
        <w:t xml:space="preserve">) registering,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certain shares of common stock underlying the Series B Preferred and the Series B Warrants be declared effective on or before August 30, 2015. We filed the initial Secondary Registration Statement with the SEC on July 21, 2015, which we later amended on August 25, 2015, and which was declared effective by the SEC on August 28, 2015. The Secondary Registration Statement registered an aggregate of 3,992,479 shares of our common stock underlying outstanding Series B Preferred and Series B Warrants. Accordingly, we incurred no cash or in kind penalties under the securities purchase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B Preferred into Common Stock</w:t>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Between September 2015 and March 2016, holders of an aggregate of 228,818 shares of Series B Preferred voluntarily converted such shares into an equivalent number of registered shares of our common stock. In connection with these conversions, we issued an aggregate of 6,837 shares of our restricted common stock in payment of $50,900 in accrued dividends on the Series B Preferred that was converted.</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April 2016, holders of an aggregate of 7,500 shares of Series B Preferred voluntarily converted such shares into an equivalent number of registered shares of our common stock. In connection with these conversions, we issued an aggregate of 510 shares of our unregistered common stock as payment in full of $4,000 in accrued dividends on the Series B Preferred that was voluntarily converted.</w:t>
      </w:r>
    </w:p>
    <w:p>
      <w:pPr>
        <w:spacing w:after="0" w:line="19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May 19, 2016, following the consummation of the May 2016 Public Offering, an aggregate of 2,403,051 shares of Series B Preferred were automatically converted into an aggregate of 2,192,847 registered shares of our common stock and an aggregate of 210,204 shares of our unregistered common stock. Additionally, we issued an aggregate of 416,806 shares of our unregistered common stock as payment in full of $1,642,100 in accrued dividends on the Series B Preferred that was automatically converted on May 19, 2016, at the rate of one share of common stock for each $3.94 of Series B Preferred accrued dividends. On June 15, 2016, pursuant to the underwriters’ exercise of their over-allotment option, an additional 44,500 shares of Series B Preferred were converted into 44,500 shares of our registered common stock. We issued an additional 9,580 shares of our unregistered common stock as payment in full of $37,400 of accrued dividends on the Series B Preferred that was automatically converted on June 15, 2016, at the rate of one share of common stock for each $3.90 in accrued dividends.</w:t>
      </w:r>
    </w:p>
    <w:p>
      <w:pPr>
        <w:spacing w:after="0" w:line="19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August 2016, one of the remaining holders of our Series B Preferred voluntarily converted 87,500 shares of Series B Preferred into an equivalent number of registered shares of our common stock. In connection with this conversion, we issued 26,258 shares of our unregistered common stock as payment in full of $85,300 in accrued dividends on the Series B Preferred that was voluntarily converted, at the rate of one share of common stock for each $3.25 in accrued dividends.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2016 Public Offering and Listing of our Common Stock on the NASDAQ Capital Market</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Effective on May 16, 2016, we consummated an underwritten public offering of our securities, pursuant to which we issued units consisting of an aggregate of 2,570,040 registered shares of our common stock at a public sales price of $4.24 per share and five-year warrants exercisable at $5.30 per share to purchase an aggregate of 2,705,883 shares of our common stock at a public sales price of $0.01 per warrant share, including shares and warrants issued in June 2016 pursuant to the exercise of the underwriters’ over-allotment option. We received gross proceeds of approximately $10.9 million and net proceeds of approximately $9.5 million from the May 2016 Public Offering, after deducting underwriters’ commissions and other offering expenses. The warrants issued in the May 2016 Public Offering have no anti-dilution or other exercise price or share reset features, except as is customary with respect to a change in our capital structure in the event of a stock split or dividend, and, accordingly, we have accounted for them as equity warrants.</w:t>
      </w:r>
    </w:p>
    <w:p>
      <w:pPr>
        <w:spacing w:after="0" w:line="172"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securities included in the May 2016 Public Offering were offered, issued and sold under a prospectus filed with the Commission pursuant to an effective registration statement (</w:t>
      </w:r>
      <w:r>
        <w:rPr>
          <w:rFonts w:ascii="Arial" w:cs="Arial" w:eastAsia="Arial" w:hAnsi="Arial"/>
          <w:sz w:val="16"/>
          <w:szCs w:val="16"/>
          <w:i w:val="1"/>
          <w:iCs w:val="1"/>
          <w:color w:val="auto"/>
        </w:rPr>
        <w:t>Primary Registration Statement</w:t>
      </w:r>
      <w:r>
        <w:rPr>
          <w:rFonts w:ascii="Arial" w:cs="Arial" w:eastAsia="Arial" w:hAnsi="Arial"/>
          <w:sz w:val="16"/>
          <w:szCs w:val="16"/>
          <w:color w:val="auto"/>
        </w:rPr>
        <w:t>) filed with the Commission on Form S-1 (File No. 333-210152) pursuant to the Securities Act. The Primary Registration Statement was first filed with the Commission on March 14, 2016, and was declared effective on May 10, 2016.</w:t>
      </w:r>
    </w:p>
    <w:p>
      <w:pPr>
        <w:spacing w:after="0" w:line="16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connection with the completion of our May 2016 Public Offering, NASDAQ approved our common stock for listing on the NASDAQ Capital Market. Our common stock began trading on the NASDAQ Capital Market under the symbol “VTGN” on May 11,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Private Placement</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December 2016, in self-placed private transactions, we sold to two individual accredited investors units, at a purchase price of $3.70 per unit, consisting of an aggregate of 67,000 unregistered shares of our common stock and warrants, exercisable through November 30, 2019, to purchase an aggregate of 16,750 unregistered shares of our common stock at an exercise price of $6.00 per share. The purchasers of the units have no registration rights with respect to the shares of common stock, warrants or the shares of common stock issuable upon exercise of the warrants comprising the units sold. We received aggregate cash proceeds of $247,900 in connection with this private placement, the entire amount of which was credited to stockholders’ equity.</w:t>
      </w:r>
    </w:p>
    <w:p>
      <w:pPr>
        <w:spacing w:after="0" w:line="17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March 2017, in a self-placed private transaction, we sold to an accredited investor units, at a purchase price of $2.00 per unit, consisting of an aggregate of 57,250 unregistered shares of our common stock and warrants, exercisable through April 2021, to purchase an aggregate of 28,625 unregistered shares of our common stock at an exercise price of $4.00 per share. The purchaser of the units has no registration rights with respect to the shares of common stock, warrants or the shares of common stock issuable upon exercise of the warrants comprising the units sold. We received aggregate cash proceeds of $114,500 in connection</w:t>
      </w:r>
    </w:p>
    <w:p>
      <w:pPr>
        <w:sectPr>
          <w:pgSz w:w="11900" w:h="16838" w:orient="portrait"/>
          <w:cols w:equalWidth="0" w:num="1">
            <w:col w:w="11420"/>
          </w:cols>
          <w:pgMar w:left="240" w:top="131" w:right="239" w:bottom="0" w:gutter="0" w:footer="0" w:header="0"/>
        </w:sectPr>
      </w:pPr>
    </w:p>
    <w:bookmarkStart w:id="136" w:name="page137"/>
    <w:bookmarkEnd w:id="136"/>
    <w:p>
      <w:pPr>
        <w:ind w:right="60"/>
        <w:spacing w:after="0" w:line="268" w:lineRule="auto"/>
        <w:rPr>
          <w:sz w:val="20"/>
          <w:szCs w:val="20"/>
          <w:color w:val="auto"/>
        </w:rPr>
      </w:pPr>
      <w:r>
        <w:rPr>
          <w:rFonts w:ascii="Arial" w:cs="Arial" w:eastAsia="Arial" w:hAnsi="Arial"/>
          <w:sz w:val="18"/>
          <w:szCs w:val="18"/>
          <w:color w:val="auto"/>
        </w:rPr>
        <w:t xml:space="preserve">with this private placement, the entire amount of which was credited to stockholders’ equity. See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for disclosure of additional sales of our securities in private placement offerings.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Series B Preferred Stock and Warrants to Professional Services Providers</w:t>
      </w:r>
    </w:p>
    <w:p>
      <w:pPr>
        <w:spacing w:after="0" w:line="225" w:lineRule="exact"/>
        <w:rPr>
          <w:sz w:val="20"/>
          <w:szCs w:val="20"/>
          <w:color w:val="auto"/>
        </w:rPr>
      </w:pPr>
    </w:p>
    <w:p>
      <w:pPr>
        <w:ind w:right="640"/>
        <w:spacing w:after="0" w:line="306" w:lineRule="auto"/>
        <w:rPr>
          <w:sz w:val="20"/>
          <w:szCs w:val="20"/>
          <w:color w:val="auto"/>
        </w:rPr>
      </w:pPr>
      <w:r>
        <w:rPr>
          <w:rFonts w:ascii="Arial" w:cs="Arial" w:eastAsia="Arial" w:hAnsi="Arial"/>
          <w:sz w:val="16"/>
          <w:szCs w:val="16"/>
          <w:color w:val="auto"/>
        </w:rPr>
        <w:t>During our fiscal years ended March 31, 2017 and 2016, we issued the following securities in private placement transactions as compensation for various professional services. Unless otherwise noted, we recorded the related non-cash expense as a component of general and administrative expense in the Consolidated Statement of Operations and Comprehensive Loss for the fiscal years ended March 31, 2017 and 2016, as appropriate.</w:t>
      </w:r>
    </w:p>
    <w:p>
      <w:pPr>
        <w:spacing w:after="0" w:line="161" w:lineRule="exact"/>
        <w:rPr>
          <w:sz w:val="20"/>
          <w:szCs w:val="20"/>
          <w:color w:val="auto"/>
        </w:rPr>
      </w:pPr>
    </w:p>
    <w:p>
      <w:pPr>
        <w:ind w:left="660" w:right="120" w:hanging="328"/>
        <w:spacing w:after="0" w:line="332"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During the quarter ended June 30, 2015, we issued an aggregate of 25,000 unregistered shares of our Series B Preferred having a fair value of $250,000 on the date of issuance as compensation for legal services related to our debt restructuring and other corporate finance matters.</w:t>
      </w:r>
    </w:p>
    <w:p>
      <w:pPr>
        <w:spacing w:after="0" w:line="139" w:lineRule="exact"/>
        <w:rPr>
          <w:rFonts w:ascii="Arial" w:cs="Arial" w:eastAsia="Arial" w:hAnsi="Arial"/>
          <w:sz w:val="16"/>
          <w:szCs w:val="16"/>
          <w:color w:val="auto"/>
        </w:rPr>
      </w:pPr>
    </w:p>
    <w:p>
      <w:pPr>
        <w:ind w:left="660" w:right="20" w:hanging="328"/>
        <w:spacing w:after="0" w:line="255"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During the quarter ended June 30, 2015, we issued an aggregate of 90,000 unregistered shares of our Series B Preferred having an aggregate value on the date of issuance of $1,350,000 as compensation for financial advisory and corporate development service contracts with two independent contractors for services to be performed through June 2016. The value of the Series B Preferred grants was recorded as a prepaid expense at the date of the grant and was expensed ratably over the twelve months ending June 2016, with $337,500 and $1,012,500 expensed during the fiscal years ended March 31, 2017 and 2016, respectively.</w:t>
      </w:r>
    </w:p>
    <w:p>
      <w:pPr>
        <w:spacing w:after="0" w:line="196" w:lineRule="exact"/>
        <w:rPr>
          <w:rFonts w:ascii="Arial" w:cs="Arial" w:eastAsia="Arial" w:hAnsi="Arial"/>
          <w:sz w:val="18"/>
          <w:szCs w:val="18"/>
          <w:color w:val="auto"/>
        </w:rPr>
      </w:pPr>
    </w:p>
    <w:p>
      <w:pPr>
        <w:ind w:left="660" w:right="120" w:hanging="328"/>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During the quarter ended June 30, 2015, we also issued an aggregate of 50,000 shares of our unregistered common stock having an aggregate fair value on the date of issuance of $500,000, as compensation under two corporate development service contracts.</w:t>
      </w:r>
    </w:p>
    <w:p>
      <w:pPr>
        <w:spacing w:after="0" w:line="185" w:lineRule="exact"/>
        <w:rPr>
          <w:rFonts w:ascii="Arial" w:cs="Arial" w:eastAsia="Arial" w:hAnsi="Arial"/>
          <w:sz w:val="18"/>
          <w:szCs w:val="18"/>
          <w:color w:val="auto"/>
        </w:rPr>
      </w:pPr>
    </w:p>
    <w:p>
      <w:pPr>
        <w:ind w:left="660" w:right="780" w:hanging="328"/>
        <w:spacing w:after="0" w:line="332"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During the quarter ended September 30, 2015 we issued to two providers of intellectual property-related legal services an aggregate of 10,000 unregistered shares of our Series B Preferred having an aggregate fair value on the date of issuance of $120,000.</w:t>
      </w:r>
    </w:p>
    <w:p>
      <w:pPr>
        <w:spacing w:after="0" w:line="139" w:lineRule="exact"/>
        <w:rPr>
          <w:rFonts w:ascii="Arial" w:cs="Arial" w:eastAsia="Arial" w:hAnsi="Arial"/>
          <w:sz w:val="16"/>
          <w:szCs w:val="16"/>
          <w:color w:val="auto"/>
        </w:rPr>
      </w:pPr>
    </w:p>
    <w:p>
      <w:pPr>
        <w:ind w:left="660" w:right="200" w:hanging="328"/>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During the quarter ended December 31, 2015 we issued 15,750 unregistered shares of our common stock having a fair value on the date of issuance of $106,300 as partial compensation for investment banking services.</w:t>
      </w:r>
    </w:p>
    <w:p>
      <w:pPr>
        <w:spacing w:after="0" w:line="185" w:lineRule="exact"/>
        <w:rPr>
          <w:rFonts w:ascii="Arial" w:cs="Arial" w:eastAsia="Arial" w:hAnsi="Arial"/>
          <w:sz w:val="18"/>
          <w:szCs w:val="18"/>
          <w:color w:val="auto"/>
        </w:rPr>
      </w:pPr>
    </w:p>
    <w:p>
      <w:pPr>
        <w:ind w:left="660" w:right="100" w:hanging="328"/>
        <w:spacing w:after="0" w:line="332"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During the quarter ended March 31, 2016, we issued an aggregate of 26,625 shares of our unregistered common stock having an aggregate fair value on the dates of issuance of $223,000 in connection with legal ($140,000) and investor relations ($83,000) services.</w:t>
      </w:r>
    </w:p>
    <w:p>
      <w:pPr>
        <w:spacing w:after="0" w:line="139" w:lineRule="exact"/>
        <w:rPr>
          <w:rFonts w:ascii="Arial" w:cs="Arial" w:eastAsia="Arial" w:hAnsi="Arial"/>
          <w:sz w:val="16"/>
          <w:szCs w:val="16"/>
          <w:color w:val="auto"/>
        </w:rPr>
      </w:pPr>
    </w:p>
    <w:p>
      <w:pPr>
        <w:ind w:left="660" w:right="20" w:hanging="328"/>
        <w:spacing w:after="0" w:line="306"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During the quarter ended September 30, 2016, we issued an aggregate of 170,000 shares of our unregistered common stock having an aggregate fair value on the date of issuance of $737,800 as compensation to various professional services providers. Of that amount, we issued 120,000 shares having a fair value of $520,800 on the date of issuance for services to be rendered from October 2016 to December 2016.</w:t>
      </w:r>
    </w:p>
    <w:p>
      <w:pPr>
        <w:spacing w:after="0" w:line="160" w:lineRule="exact"/>
        <w:rPr>
          <w:rFonts w:ascii="Arial" w:cs="Arial" w:eastAsia="Arial" w:hAnsi="Arial"/>
          <w:sz w:val="16"/>
          <w:szCs w:val="16"/>
          <w:color w:val="auto"/>
        </w:rPr>
      </w:pPr>
    </w:p>
    <w:p>
      <w:pPr>
        <w:ind w:left="660" w:right="380" w:hanging="328"/>
        <w:spacing w:after="0" w:line="332"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During the quarter ended December 31, 2016, we issued an aggregate of 135,000 shares of our unregistered common stock having an aggregate fair value on the respective dates of issuance of $479,800 as compensation to various professional services providers.</w:t>
      </w:r>
    </w:p>
    <w:p>
      <w:pPr>
        <w:spacing w:after="0" w:line="139" w:lineRule="exact"/>
        <w:rPr>
          <w:rFonts w:ascii="Arial" w:cs="Arial" w:eastAsia="Arial" w:hAnsi="Arial"/>
          <w:sz w:val="16"/>
          <w:szCs w:val="16"/>
          <w:color w:val="auto"/>
        </w:rPr>
      </w:pPr>
    </w:p>
    <w:p>
      <w:pPr>
        <w:ind w:left="660" w:right="160" w:hanging="328"/>
        <w:spacing w:after="0" w:line="25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During the quarter ended March 31, 2017, we issued an aggregate of 200,000 unregistered shares of our common stock, of which 150,000 unregistered shares were issued from our 2016 Stock Plan (defined below), having an aggregate fair value of $422,500 on the dates of issuance to various professional services providers.</w:t>
      </w:r>
    </w:p>
    <w:p>
      <w:pPr>
        <w:spacing w:after="0" w:line="19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During the quarter ended December 31, 2015, we issued warrants to purchase an aggregate of 45,000 shares of our unregistered common stock to four parties as compensation under certain investment banking agreements. In connection with one of the warrant grants, we also issued 15,750 shares of unregistered common stock valued at $106,300 and, in connection with another warrant grant, we made a cash payment of $20,000. In March 2016, we issued warrants to purchase an aggregate of 230,000 shares of our common stock to eleven professional service providers in connection with investment banking, strategic planning and financing, tax, legal and research and development consulting services. We recognized $1,042,400 of general and administrative expense and $127,100 of research and development expense attributable to the March 2016 grants. We valued the warrants granted on the dates indicated using the Black Scholes Option Pricing Model and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November</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December</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40" w:type="dxa"/>
            <w:vAlign w:val="bottom"/>
          </w:tcPr>
          <w:p>
            <w:pPr>
              <w:spacing w:after="0"/>
              <w:rPr>
                <w:sz w:val="20"/>
                <w:szCs w:val="20"/>
                <w:color w:val="auto"/>
              </w:rPr>
            </w:pPr>
          </w:p>
        </w:tc>
        <w:tc>
          <w:tcPr>
            <w:tcW w:w="980" w:type="dxa"/>
            <w:vAlign w:val="bottom"/>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March 2016</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78.96%</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Fair Value per share</w:t>
            </w:r>
          </w:p>
        </w:tc>
        <w:tc>
          <w:tcPr>
            <w:tcW w:w="326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4.22</w:t>
            </w:r>
          </w:p>
        </w:tc>
        <w:tc>
          <w:tcPr>
            <w:tcW w:w="48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2.12</w:t>
            </w:r>
          </w:p>
        </w:tc>
        <w:tc>
          <w:tcPr>
            <w:tcW w:w="38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5.08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Warrant shares granted</w:t>
            </w:r>
          </w:p>
        </w:tc>
        <w:tc>
          <w:tcPr>
            <w:tcW w:w="3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7,500</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37,500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230,000</w:t>
            </w: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Expense recognized</w:t>
            </w:r>
          </w:p>
        </w:tc>
        <w:tc>
          <w:tcPr>
            <w:tcW w:w="32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31,700</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79,600</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1,169,500</w:t>
            </w:r>
          </w:p>
        </w:tc>
      </w:tr>
    </w:tbl>
    <w:p>
      <w:pPr>
        <w:spacing w:after="0" w:line="200" w:lineRule="exact"/>
        <w:rPr>
          <w:sz w:val="20"/>
          <w:szCs w:val="20"/>
          <w:color w:val="auto"/>
        </w:rPr>
      </w:pPr>
    </w:p>
    <w:p>
      <w:pPr>
        <w:sectPr>
          <w:pgSz w:w="11900" w:h="16838" w:orient="portrait"/>
          <w:cols w:equalWidth="0" w:num="1">
            <w:col w:w="11420"/>
          </w:cols>
          <w:pgMar w:left="240" w:top="131" w:right="239" w:bottom="67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670" w:gutter="0" w:footer="0" w:header="0"/>
          <w:type w:val="continuous"/>
        </w:sectPr>
      </w:pPr>
    </w:p>
    <w:bookmarkStart w:id="137" w:name="page138"/>
    <w:bookmarkEnd w:id="137"/>
    <w:p>
      <w:pPr>
        <w:spacing w:after="0" w:line="6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Exchanges into Series C Preferred and Common Stock</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In January 2016, we entered into an Exchange Agreement (the </w:t>
      </w:r>
      <w:r>
        <w:rPr>
          <w:rFonts w:ascii="Arial" w:cs="Arial" w:eastAsia="Arial" w:hAnsi="Arial"/>
          <w:sz w:val="16"/>
          <w:szCs w:val="16"/>
          <w:i w:val="1"/>
          <w:iCs w:val="1"/>
          <w:color w:val="auto"/>
        </w:rPr>
        <w:t>Exchange Agreement</w:t>
      </w:r>
      <w:r>
        <w:rPr>
          <w:rFonts w:ascii="Arial" w:cs="Arial" w:eastAsia="Arial" w:hAnsi="Arial"/>
          <w:sz w:val="16"/>
          <w:szCs w:val="16"/>
          <w:color w:val="auto"/>
        </w:rPr>
        <w:t>) with PLTG and Montsant Partners, LLC, an organization affiliated with PLTG (</w:t>
      </w:r>
      <w:r>
        <w:rPr>
          <w:rFonts w:ascii="Arial" w:cs="Arial" w:eastAsia="Arial" w:hAnsi="Arial"/>
          <w:sz w:val="16"/>
          <w:szCs w:val="16"/>
          <w:i w:val="1"/>
          <w:iCs w:val="1"/>
          <w:color w:val="auto"/>
        </w:rPr>
        <w:t>Montsant</w:t>
      </w:r>
      <w:r>
        <w:rPr>
          <w:rFonts w:ascii="Arial" w:cs="Arial" w:eastAsia="Arial" w:hAnsi="Arial"/>
          <w:sz w:val="16"/>
          <w:szCs w:val="16"/>
          <w:color w:val="auto"/>
        </w:rPr>
        <w:t xml:space="preserve"> and, together with PLTG, the </w:t>
      </w:r>
      <w:r>
        <w:rPr>
          <w:rFonts w:ascii="Arial" w:cs="Arial" w:eastAsia="Arial" w:hAnsi="Arial"/>
          <w:sz w:val="16"/>
          <w:szCs w:val="16"/>
          <w:i w:val="1"/>
          <w:iCs w:val="1"/>
          <w:color w:val="auto"/>
        </w:rPr>
        <w:t>Holders</w:t>
      </w:r>
      <w:r>
        <w:rPr>
          <w:rFonts w:ascii="Arial" w:cs="Arial" w:eastAsia="Arial" w:hAnsi="Arial"/>
          <w:sz w:val="16"/>
          <w:szCs w:val="16"/>
          <w:color w:val="auto"/>
        </w:rPr>
        <w:t xml:space="preserve">), pursuant to which (i) 200,000 shares of our common stock held by the Holders were exchanged for 200,000 shares of Series C Preferred; and (ii) the Holders canceled outstanding warrants to purchase an aggregate of 2,368,658 shares of our unregistered common stock (the </w:t>
      </w:r>
      <w:r>
        <w:rPr>
          <w:rFonts w:ascii="Arial" w:cs="Arial" w:eastAsia="Arial" w:hAnsi="Arial"/>
          <w:sz w:val="16"/>
          <w:szCs w:val="16"/>
          <w:i w:val="1"/>
          <w:iCs w:val="1"/>
          <w:color w:val="auto"/>
        </w:rPr>
        <w:t>Outstanding PLTG Warrants</w:t>
      </w:r>
      <w:r>
        <w:rPr>
          <w:rFonts w:ascii="Arial" w:cs="Arial" w:eastAsia="Arial" w:hAnsi="Arial"/>
          <w:sz w:val="16"/>
          <w:szCs w:val="16"/>
          <w:color w:val="auto"/>
        </w:rPr>
        <w:t xml:space="preserve">) in exchange for a total of 1,776,494 shares of Series C Preferred. In addition, PLTG terminated its right under the October 2012 Note Exchange and Purchase Agreement, as amended (the </w:t>
      </w:r>
      <w:r>
        <w:rPr>
          <w:rFonts w:ascii="Arial" w:cs="Arial" w:eastAsia="Arial" w:hAnsi="Arial"/>
          <w:sz w:val="16"/>
          <w:szCs w:val="16"/>
          <w:i w:val="1"/>
          <w:iCs w:val="1"/>
          <w:color w:val="auto"/>
        </w:rPr>
        <w:t>NEPA</w:t>
      </w:r>
      <w:r>
        <w:rPr>
          <w:rFonts w:ascii="Arial" w:cs="Arial" w:eastAsia="Arial" w:hAnsi="Arial"/>
          <w:sz w:val="16"/>
          <w:szCs w:val="16"/>
          <w:color w:val="auto"/>
        </w:rPr>
        <w:t>), to receive the Series A Exchange Warrant to purchase a total of 455,358 shares of our common stock upon conversion of all of its shares of our Series A Preferred, and, as consideration, we issued to PLTG 341,518 shares of Series C Preferred. Upon execution of the Exchange Agreement and the termination of PLTG’s right to receive Series A Exchange Warrants under the NEPA, we issued a Series A Exchange Warrant to purchase a total of 80,357 shares of our common stock to the current holder of shares of Series A Preferred previously held, but subsequently assigned, by PLTG.</w:t>
      </w:r>
    </w:p>
    <w:p>
      <w:pPr>
        <w:spacing w:after="0" w:line="17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quarter ended March 31, 2016, we entered into Warrant Exchange Agreements with certain holders of other outstanding warrants (</w:t>
      </w:r>
      <w:r>
        <w:rPr>
          <w:rFonts w:ascii="Arial" w:cs="Arial" w:eastAsia="Arial" w:hAnsi="Arial"/>
          <w:sz w:val="18"/>
          <w:szCs w:val="18"/>
          <w:i w:val="1"/>
          <w:iCs w:val="1"/>
          <w:color w:val="auto"/>
        </w:rPr>
        <w:t>Other Warrants</w:t>
      </w:r>
      <w:r>
        <w:rPr>
          <w:rFonts w:ascii="Arial" w:cs="Arial" w:eastAsia="Arial" w:hAnsi="Arial"/>
          <w:sz w:val="18"/>
          <w:szCs w:val="18"/>
          <w:color w:val="auto"/>
        </w:rPr>
        <w:t>) to purchase an aggregate of 1,086,610 shares of our common stock pursuant to which the holders agreed to the cancellation of such warrants in exchange for our issuance to them of an aggregate of 814,989 shares of our unregistered common stock. In connection with these exchanges, we extended the expiration date of certain warrants by three months.</w:t>
      </w:r>
    </w:p>
    <w:p>
      <w:pPr>
        <w:spacing w:after="0" w:line="19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accounted for the exchange of the Outstanding PLTG Warrants, the Series A Preferred Exchange Warrant, and the Other Warrants as warrant modifications, determining the fair value of the Outstanding PLTG Warrants and the Other Warrants, and the Series A Preferred Exchange Warrant as if issued on the Exchange Agreement date, as of the respective exchange agreement dates, and comparing that to the fair value of the Series C Preferred or common stock issued. Considering the direct exchangeability of the Series C Preferred shares into shares of our common stock, we determined that the fair value of a share of Series C Preferred issued pursuant to the Exchange Agreement with PLTG was equal to the market value of a share of our common stock on the date of the Exchange Agreement. We calculated the weighted average fair value of the warrants prior to the respective exchanges using the Black Scholes Option Pricing Model and the weighted average assumptions indicated in the table below. We determined the post-modification fair value based on the quoted market price of our common stock on the effective date of each exchange and the number of unregistered shares issued in each exchange, as also indicated in the table below. We recognized the amount of the incremental fair value of the unregistered Series C Preferred or common stock issued in excess of the fair value of the warrants cancelled, $5,608,300, as a component of warrant modification expense, which is included in general and administrative expenses in our accompanying Consolidated Statement of Operations and Comprehensive Loss for the fiscal year ended March 31, 2016.</w:t>
      </w:r>
    </w:p>
    <w:p>
      <w:pPr>
        <w:spacing w:after="0" w:line="18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Warrant Exchanges - FY 2016</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160" w:type="dxa"/>
            <w:vAlign w:val="bottom"/>
            <w:tcBorders>
              <w:top w:val="single" w:sz="8" w:color="auto"/>
              <w:bottom w:val="single" w:sz="8" w:color="auto"/>
            </w:tcBorders>
            <w:gridSpan w:val="5"/>
          </w:tcPr>
          <w:p>
            <w:pPr>
              <w:jc w:val="right"/>
              <w:ind w:right="780"/>
              <w:spacing w:after="0"/>
              <w:rPr>
                <w:sz w:val="20"/>
                <w:szCs w:val="20"/>
                <w:color w:val="auto"/>
              </w:rPr>
            </w:pPr>
            <w:r>
              <w:rPr>
                <w:rFonts w:ascii="Arial" w:cs="Arial" w:eastAsia="Arial" w:hAnsi="Arial"/>
                <w:sz w:val="18"/>
                <w:szCs w:val="18"/>
                <w:color w:val="auto"/>
              </w:rPr>
              <w:t>January 2016</w:t>
            </w: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gridSpan w:val="4"/>
          </w:tcPr>
          <w:p>
            <w:pPr>
              <w:jc w:val="center"/>
              <w:ind w:right="72"/>
              <w:spacing w:after="0"/>
              <w:rPr>
                <w:sz w:val="20"/>
                <w:szCs w:val="20"/>
                <w:color w:val="auto"/>
              </w:rPr>
            </w:pPr>
            <w:r>
              <w:rPr>
                <w:rFonts w:ascii="Arial" w:cs="Arial" w:eastAsia="Arial" w:hAnsi="Arial"/>
                <w:sz w:val="18"/>
                <w:szCs w:val="18"/>
                <w:color w:val="auto"/>
                <w:w w:val="87"/>
              </w:rPr>
              <w:t>January - March 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700"/>
              <w:spacing w:after="0"/>
              <w:rPr>
                <w:sz w:val="20"/>
                <w:szCs w:val="20"/>
                <w:color w:val="auto"/>
              </w:rPr>
            </w:pPr>
            <w:r>
              <w:rPr>
                <w:rFonts w:ascii="Arial" w:cs="Arial" w:eastAsia="Arial" w:hAnsi="Arial"/>
                <w:sz w:val="18"/>
                <w:szCs w:val="18"/>
                <w:color w:val="auto"/>
                <w:w w:val="89"/>
              </w:rPr>
              <w:t>PLTG</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8"/>
                <w:szCs w:val="18"/>
                <w:color w:val="auto"/>
                <w:w w:val="88"/>
              </w:rPr>
              <w:t>PLTG Series 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5"/>
          </w:tcPr>
          <w:p>
            <w:pPr>
              <w:jc w:val="right"/>
              <w:ind w:right="192"/>
              <w:spacing w:after="0"/>
              <w:rPr>
                <w:sz w:val="20"/>
                <w:szCs w:val="20"/>
                <w:color w:val="auto"/>
              </w:rPr>
            </w:pPr>
            <w:r>
              <w:rPr>
                <w:rFonts w:ascii="Arial" w:cs="Arial" w:eastAsia="Arial" w:hAnsi="Arial"/>
                <w:sz w:val="18"/>
                <w:szCs w:val="18"/>
                <w:color w:val="auto"/>
                <w:w w:val="94"/>
              </w:rPr>
              <w:t>Outstanding Warrants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8"/>
                <w:szCs w:val="18"/>
                <w:color w:val="auto"/>
                <w:w w:val="87"/>
              </w:rPr>
              <w:t>Exchange Warrant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5"/>
          </w:tcPr>
          <w:p>
            <w:pPr>
              <w:jc w:val="center"/>
              <w:ind w:right="260"/>
              <w:spacing w:after="0"/>
              <w:rPr>
                <w:sz w:val="20"/>
                <w:szCs w:val="20"/>
                <w:color w:val="auto"/>
              </w:rPr>
            </w:pPr>
            <w:r>
              <w:rPr>
                <w:rFonts w:ascii="Arial" w:cs="Arial" w:eastAsia="Arial" w:hAnsi="Arial"/>
                <w:sz w:val="18"/>
                <w:szCs w:val="18"/>
                <w:color w:val="auto"/>
                <w:w w:val="87"/>
              </w:rPr>
              <w:t>outstanding warrants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Pre-</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Post-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Pre-</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Post-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Pre-</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Post-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modification</w:t>
            </w:r>
          </w:p>
        </w:tc>
        <w:tc>
          <w:tcPr>
            <w:tcW w:w="6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modification</w:t>
            </w:r>
          </w:p>
        </w:tc>
        <w:tc>
          <w:tcPr>
            <w:tcW w:w="940" w:type="dxa"/>
            <w:vAlign w:val="bottom"/>
            <w:gridSpan w:val="3"/>
          </w:tcPr>
          <w:p>
            <w:pPr>
              <w:ind w:left="20"/>
              <w:spacing w:after="0"/>
              <w:rPr>
                <w:sz w:val="20"/>
                <w:szCs w:val="20"/>
                <w:color w:val="auto"/>
              </w:rPr>
            </w:pPr>
            <w:r>
              <w:rPr>
                <w:rFonts w:ascii="Arial" w:cs="Arial" w:eastAsia="Arial" w:hAnsi="Arial"/>
                <w:sz w:val="18"/>
                <w:szCs w:val="18"/>
                <w:color w:val="auto"/>
                <w:w w:val="93"/>
              </w:rPr>
              <w:t>modification</w:t>
            </w:r>
          </w:p>
        </w:tc>
        <w:tc>
          <w:tcPr>
            <w:tcW w:w="20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modification</w:t>
            </w:r>
          </w:p>
        </w:tc>
        <w:tc>
          <w:tcPr>
            <w:tcW w:w="1020" w:type="dxa"/>
            <w:vAlign w:val="bottom"/>
            <w:gridSpan w:val="3"/>
          </w:tcPr>
          <w:p>
            <w:pPr>
              <w:spacing w:after="0"/>
              <w:rPr>
                <w:sz w:val="20"/>
                <w:szCs w:val="20"/>
                <w:color w:val="auto"/>
              </w:rPr>
            </w:pPr>
            <w:r>
              <w:rPr>
                <w:rFonts w:ascii="Arial" w:cs="Arial" w:eastAsia="Arial" w:hAnsi="Arial"/>
                <w:sz w:val="18"/>
                <w:szCs w:val="18"/>
                <w:color w:val="auto"/>
              </w:rPr>
              <w:t>modification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Contractual term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Dividend Rate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Weighted average fair value per share</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Warrant shares cancelled and exchanged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2,368,658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455,358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1,986,610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0"/>
              </w:rPr>
              <w:t>Common (Series C Preferred for PLTG Warrants) shares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3"/>
          </w:tcPr>
          <w:p>
            <w:pPr>
              <w:spacing w:after="0"/>
              <w:rPr>
                <w:sz w:val="20"/>
                <w:szCs w:val="20"/>
                <w:color w:val="auto"/>
              </w:rPr>
            </w:pPr>
            <w:r>
              <w:rPr>
                <w:rFonts w:ascii="Arial" w:cs="Arial" w:eastAsia="Arial" w:hAnsi="Arial"/>
                <w:sz w:val="18"/>
                <w:szCs w:val="18"/>
                <w:color w:val="auto"/>
              </w:rPr>
              <w:t>in exchange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1,776,494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341,518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11,797,400</w:t>
            </w:r>
          </w:p>
        </w:tc>
        <w:tc>
          <w:tcPr>
            <w:tcW w:w="18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14,656,100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2,481,300</w:t>
            </w:r>
          </w:p>
        </w:tc>
        <w:tc>
          <w:tcPr>
            <w:tcW w:w="2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2,817,500</w:t>
            </w:r>
          </w:p>
        </w:tc>
        <w:tc>
          <w:tcPr>
            <w:tcW w:w="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4,081,600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6,495,000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Incremental fair value recognized as warrant modification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gridSpan w:val="3"/>
          </w:tcPr>
          <w:p>
            <w:pPr>
              <w:spacing w:after="0"/>
              <w:rPr>
                <w:sz w:val="20"/>
                <w:szCs w:val="20"/>
                <w:color w:val="auto"/>
              </w:rPr>
            </w:pPr>
            <w:r>
              <w:rPr>
                <w:rFonts w:ascii="Arial" w:cs="Arial" w:eastAsia="Arial" w:hAnsi="Arial"/>
                <w:sz w:val="18"/>
                <w:szCs w:val="18"/>
                <w:color w:val="auto"/>
              </w:rPr>
              <w:t>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2,858,700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336,200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2,413,400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During our fiscal year ended March 31, 2017, we entered into additional Warrant Exchange Agreements with certain other holders of outstanding warrants to purchase an aggregate of 224,693 shares of our common stock pursuant to which the holders agreed to cancel such warrants in exchange for the issuance of an aggregate of 156,246 unregistered shares of common stock.</w:t>
      </w:r>
    </w:p>
    <w:p>
      <w:pPr>
        <w:spacing w:after="0" w:line="194"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also accounted for the exchanges of these warrants as warrant modifications, comparing the fair value of the warrants immediately prior to the exchanges with the fair value of the unregistered common stock issued, using the same procedures as described previously. We calculated the weighted average fair value of the warrants prior to the respective exchanges using the Black Scholes Option Pricing Model and the weighted average assumptions indicated in the table below. We determined the post-modification fair value based on the quoted market price of our common stock on the effective date of each exchange and the number of unregistered shares issued in the exchange, as also indicated in the table below. We recognized the incremental fair value of the unregistered common stock issued in excess of the fair value of the warrants cancelled, $350,700, as a component of warrant modification expense which is included in general and administrative expenses in our accompanying Consolidated Statement of Operations and Comprehensive Loss for the fiscal year ended March 31, 2017.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Exchanges - FY 2017</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20" w:type="dxa"/>
            <w:vAlign w:val="bottom"/>
          </w:tcPr>
          <w:p>
            <w:pPr>
              <w:spacing w:after="0"/>
              <w:rPr>
                <w:sz w:val="20"/>
                <w:szCs w:val="20"/>
                <w:color w:val="auto"/>
              </w:rPr>
            </w:pPr>
          </w:p>
        </w:tc>
        <w:tc>
          <w:tcPr>
            <w:tcW w:w="2300" w:type="dxa"/>
            <w:vAlign w:val="bottom"/>
            <w:tcBorders>
              <w:top w:val="single" w:sz="8" w:color="auto"/>
            </w:tcBorders>
          </w:tcPr>
          <w:p>
            <w:pPr>
              <w:spacing w:after="0"/>
              <w:rPr>
                <w:sz w:val="20"/>
                <w:szCs w:val="20"/>
                <w:color w:val="auto"/>
              </w:rPr>
            </w:pPr>
          </w:p>
        </w:tc>
        <w:tc>
          <w:tcPr>
            <w:tcW w:w="2080" w:type="dxa"/>
            <w:vAlign w:val="bottom"/>
            <w:tcBorders>
              <w:top w:val="single" w:sz="8" w:color="auto"/>
              <w:bottom w:val="single" w:sz="8" w:color="auto"/>
            </w:tcBorders>
            <w:gridSpan w:val="3"/>
          </w:tcPr>
          <w:p>
            <w:pPr>
              <w:ind w:left="420"/>
              <w:spacing w:after="0"/>
              <w:rPr>
                <w:sz w:val="20"/>
                <w:szCs w:val="20"/>
                <w:color w:val="auto"/>
              </w:rPr>
            </w:pPr>
            <w:r>
              <w:rPr>
                <w:rFonts w:ascii="Arial" w:cs="Arial" w:eastAsia="Arial" w:hAnsi="Arial"/>
                <w:sz w:val="18"/>
                <w:szCs w:val="18"/>
                <w:color w:val="auto"/>
              </w:rPr>
              <w:t>April - May 2016</w:t>
            </w: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60" w:type="dxa"/>
            <w:vAlign w:val="bottom"/>
            <w:tcBorders>
              <w:top w:val="single" w:sz="8" w:color="auto"/>
              <w:bottom w:val="single" w:sz="8" w:color="auto"/>
            </w:tcBorders>
            <w:gridSpan w:val="3"/>
          </w:tcPr>
          <w:p>
            <w:pPr>
              <w:ind w:left="560"/>
              <w:spacing w:after="0"/>
              <w:rPr>
                <w:sz w:val="20"/>
                <w:szCs w:val="20"/>
                <w:color w:val="auto"/>
              </w:rPr>
            </w:pPr>
            <w:r>
              <w:rPr>
                <w:rFonts w:ascii="Arial" w:cs="Arial" w:eastAsia="Arial" w:hAnsi="Arial"/>
                <w:sz w:val="18"/>
                <w:szCs w:val="18"/>
                <w:color w:val="auto"/>
              </w:rPr>
              <w:t>August 2016</w:t>
            </w:r>
          </w:p>
        </w:tc>
        <w:tc>
          <w:tcPr>
            <w:tcW w:w="220" w:type="dxa"/>
            <w:vAlign w:val="bottom"/>
            <w:tcBorders>
              <w:top w:val="single" w:sz="8" w:color="auto"/>
            </w:tcBorders>
          </w:tcPr>
          <w:p>
            <w:pPr>
              <w:spacing w:after="0"/>
              <w:rPr>
                <w:sz w:val="20"/>
                <w:szCs w:val="20"/>
                <w:color w:val="auto"/>
              </w:rPr>
            </w:pPr>
          </w:p>
        </w:tc>
        <w:tc>
          <w:tcPr>
            <w:tcW w:w="2040" w:type="dxa"/>
            <w:vAlign w:val="bottom"/>
            <w:tcBorders>
              <w:top w:val="single" w:sz="8" w:color="auto"/>
              <w:bottom w:val="single" w:sz="8" w:color="auto"/>
            </w:tcBorders>
            <w:gridSpan w:val="3"/>
          </w:tcPr>
          <w:p>
            <w:pPr>
              <w:ind w:left="540"/>
              <w:spacing w:after="0"/>
              <w:rPr>
                <w:sz w:val="20"/>
                <w:szCs w:val="20"/>
                <w:color w:val="auto"/>
              </w:rPr>
            </w:pPr>
            <w:r>
              <w:rPr>
                <w:rFonts w:ascii="Arial" w:cs="Arial" w:eastAsia="Arial" w:hAnsi="Arial"/>
                <w:sz w:val="18"/>
                <w:szCs w:val="18"/>
                <w:color w:val="auto"/>
              </w:rPr>
              <w:t>October 2016</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bottom w:val="single" w:sz="8" w:color="auto"/>
            </w:tcBorders>
            <w:gridSpan w:val="3"/>
          </w:tcPr>
          <w:p>
            <w:pPr>
              <w:ind w:left="460"/>
              <w:spacing w:after="0"/>
              <w:rPr>
                <w:sz w:val="20"/>
                <w:szCs w:val="20"/>
                <w:color w:val="auto"/>
              </w:rPr>
            </w:pPr>
            <w:r>
              <w:rPr>
                <w:rFonts w:ascii="Arial" w:cs="Arial" w:eastAsia="Arial" w:hAnsi="Arial"/>
                <w:sz w:val="18"/>
                <w:szCs w:val="18"/>
                <w:color w:val="auto"/>
              </w:rPr>
              <w:t>December 2016</w:t>
            </w:r>
          </w:p>
        </w:tc>
        <w:tc>
          <w:tcPr>
            <w:tcW w:w="100" w:type="dxa"/>
            <w:vAlign w:val="bottom"/>
          </w:tcPr>
          <w:p>
            <w:pPr>
              <w:spacing w:after="0"/>
              <w:rPr>
                <w:sz w:val="20"/>
                <w:szCs w:val="20"/>
                <w:color w:val="auto"/>
              </w:rPr>
            </w:pPr>
          </w:p>
        </w:tc>
      </w:tr>
      <w:tr>
        <w:trPr>
          <w:trHeight w:val="208"/>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2"/>
              </w:rPr>
              <w:t>Pre-</w:t>
            </w: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Post-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Pre-</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Post-</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Pre-</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Post-</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2"/>
              </w:rPr>
              <w:t>Pre-</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Post-</w:t>
            </w:r>
          </w:p>
        </w:tc>
        <w:tc>
          <w:tcPr>
            <w:tcW w:w="100" w:type="dxa"/>
            <w:vAlign w:val="bottom"/>
          </w:tcPr>
          <w:p>
            <w:pPr>
              <w:spacing w:after="0"/>
              <w:rPr>
                <w:sz w:val="18"/>
                <w:szCs w:val="18"/>
                <w:color w:val="auto"/>
              </w:rPr>
            </w:pPr>
          </w:p>
        </w:tc>
      </w:tr>
      <w:tr>
        <w:trPr>
          <w:trHeight w:val="231"/>
        </w:trPr>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modification</w:t>
            </w:r>
          </w:p>
        </w:tc>
        <w:tc>
          <w:tcPr>
            <w:tcW w:w="2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modification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modification</w:t>
            </w:r>
          </w:p>
        </w:tc>
      </w:tr>
      <w:tr>
        <w:trPr>
          <w:trHeight w:val="216"/>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131" w:right="239" w:bottom="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8.44</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3.33</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3.33</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4.05</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4.05</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3.73</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7.37</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3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4.77</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0.003</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Dividend Rate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0"/>
              </w:rPr>
              <w:t>Weighted average fair value per</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8"/>
                <w:szCs w:val="18"/>
                <w:color w:val="auto"/>
              </w:rPr>
              <w:t>share</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5.37</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6"/>
              </w:rPr>
              <w:t>Warrant shares cancelled and</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8"/>
                <w:szCs w:val="18"/>
                <w:color w:val="auto"/>
              </w:rPr>
              <w:t>exchanged</w:t>
            </w:r>
          </w:p>
        </w:tc>
        <w:tc>
          <w:tcPr>
            <w:tcW w:w="30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41,649</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20,000</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113,944</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49,100</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Common shares issued in</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8"/>
                <w:szCs w:val="18"/>
                <w:color w:val="auto"/>
              </w:rPr>
              <w:t>exchange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31,238</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85,458</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24,550</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Fair Value</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223,700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264,000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32,900</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50,000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144,400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346,100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91,600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Incremental fair value</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recognized as warrant</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40" w:type="dxa"/>
            <w:vAlign w:val="bottom"/>
            <w:gridSpan w:val="2"/>
          </w:tcPr>
          <w:p>
            <w:pPr>
              <w:spacing w:after="0"/>
              <w:rPr>
                <w:sz w:val="20"/>
                <w:szCs w:val="20"/>
                <w:color w:val="auto"/>
              </w:rPr>
            </w:pPr>
            <w:r>
              <w:rPr>
                <w:rFonts w:ascii="Arial" w:cs="Arial" w:eastAsia="Arial" w:hAnsi="Arial"/>
                <w:sz w:val="18"/>
                <w:szCs w:val="18"/>
                <w:color w:val="auto"/>
              </w:rPr>
              <w:t>modification expense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40,300</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17,100</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201,700</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91,600</w:t>
            </w:r>
          </w:p>
        </w:tc>
        <w:tc>
          <w:tcPr>
            <w:tcW w:w="0" w:type="dxa"/>
            <w:vAlign w:val="bottom"/>
          </w:tcPr>
          <w:p>
            <w:pPr>
              <w:spacing w:after="0"/>
              <w:rPr>
                <w:sz w:val="1"/>
                <w:szCs w:val="1"/>
                <w:color w:val="auto"/>
              </w:rPr>
            </w:pPr>
          </w:p>
        </w:tc>
      </w:tr>
      <w:tr>
        <w:trPr>
          <w:trHeight w:val="900"/>
        </w:trPr>
        <w:tc>
          <w:tcPr>
            <w:tcW w:w="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rPr>
              <w:t>F-21</w:t>
            </w: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39" w:name="page140"/>
    <w:bookmarkEnd w:id="1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Warrant Modifications</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addition to warrants modified in connection with conversions of certain of our outstanding promissory notes into Series B Preferred during the first and second quarters of our fiscal year ended March 31, 2016, as described earlier in this note, the incremental fair value of which modifications was included in the determination of loss on extinguishment of debt, and the warrants modified in connection with the various warrant exchange transactions described immediately above, we modified other outstanding warrants during our fiscal years ended March 31, 2017 and 2016.</w:t>
      </w:r>
    </w:p>
    <w:p>
      <w:pPr>
        <w:spacing w:after="0" w:line="16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June 2015, we modified certain outstanding warrants to purchase an aggregate of 54,576 shares of our common stock to reduce their exercise price. We calculated the fair value of the modified warrants immediately before and after the modifications and determined that the fair value of the warrants increased by an aggregate of $122,300, which we recognized as a component of warrant modification expense which is included in general and administrative expense in the accompanying Consolidated Statement of Operations and Comprehensive Loss for the fiscal year ended March 31, 2016. The warrants subject to the exercise price modifications were valued using the Black-Scholes Option Pricing Model and the following assumptions: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30.23</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 (weighted average)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Fair Value per share (weighted average)</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280" w:type="dxa"/>
            <w:vAlign w:val="bottom"/>
          </w:tcPr>
          <w:p>
            <w:pPr>
              <w:spacing w:after="0"/>
              <w:rPr>
                <w:sz w:val="19"/>
                <w:szCs w:val="19"/>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In November 2015, our Board of Directors (the </w:t>
      </w:r>
      <w:r>
        <w:rPr>
          <w:rFonts w:ascii="Arial" w:cs="Arial" w:eastAsia="Arial" w:hAnsi="Arial"/>
          <w:sz w:val="16"/>
          <w:szCs w:val="16"/>
          <w:i w:val="1"/>
          <w:iCs w:val="1"/>
          <w:color w:val="auto"/>
        </w:rPr>
        <w:t>Board</w:t>
      </w:r>
      <w:r>
        <w:rPr>
          <w:rFonts w:ascii="Arial" w:cs="Arial" w:eastAsia="Arial" w:hAnsi="Arial"/>
          <w:sz w:val="16"/>
          <w:szCs w:val="16"/>
          <w:color w:val="auto"/>
        </w:rPr>
        <w:t>) authorized the modification of outstanding warrants to purchase an aggregate of 1,123,533 shares of our common stock, including warrants to purchase an aggregate of 600,000 shares granted in September 2015 to company officers, independent members of the Board and a key scientific advisor to reduce the exercise prices thereof to $7.00 per share and to extend through March 19, 2019 the expiration date of such warrants to purchase an aggregate of 10,803 shares of our unregistered common stock otherwise scheduled to expire during calendar 2016. We calculated the fair value of the modified warrants immediately before and after the modifications and determined that the fair value of the warrants increased by an aggregate of $492,600. We recognized $357,500 of such increase as a component of general and administrative expense in the accompanying Consolidated Statement of Operations and Comprehensive Loss for the fiscal year ended March 31, 2016, and the remaining $135,100 as a component of research and development expense in the same period. The warrants subject to the exercise price modifications were valued using the Black-Scholes Option Pricing Model and the following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9.97</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 (weighted average)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Fair Value per share (weighted average)</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280" w:type="dxa"/>
            <w:vAlign w:val="bottom"/>
          </w:tcPr>
          <w:p>
            <w:pPr>
              <w:spacing w:after="0"/>
              <w:rPr>
                <w:sz w:val="19"/>
                <w:szCs w:val="19"/>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noted with respect to the exchange of the Other Warrants into shares of our common stock, in January 2016, we extended the term of certain warrants to purchase an aggregate of 91,230 unregistered shares of our common stock otherwise due to expire between January 31, 2016 and June 11, 2016 by three months. We calculated the fair value of the extended warrants immediately before and after the extension and determined that the fair value of the warrants increased by an aggregate of $45,700, which we treated as an additional component of warrant modification expense for the fiscal year ended March 31, 2016 in the accompanying Consolidated Statement of Operations and Comprehensive Loss. The warrants subject to the term extension were valued using the Black-Scholes Option Pricing Model and the following weighted average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b w:val="1"/>
                <w:bCs w:val="1"/>
                <w:color w:val="auto"/>
              </w:rPr>
              <w:t>Pre-</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Post-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modification</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12.99</w:t>
            </w:r>
          </w:p>
        </w:tc>
        <w:tc>
          <w:tcPr>
            <w:tcW w:w="2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5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Fair Value per share</w:t>
            </w:r>
          </w:p>
        </w:tc>
        <w:tc>
          <w:tcPr>
            <w:tcW w:w="52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0.30</w:t>
            </w:r>
          </w:p>
        </w:tc>
        <w:tc>
          <w:tcPr>
            <w:tcW w:w="2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For warrants which were extended and subsequently exchanged, the pre-modification fair value used in the warrant exchange calculation was the post-modification term extension fair value, since those warrants were treated as having been modified twice in a twelve-month period.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131" w:right="239" w:bottom="188" w:gutter="0" w:footer="0" w:header="0"/>
        </w:sectPr>
      </w:pPr>
    </w:p>
    <w:bookmarkStart w:id="140" w:name="page141"/>
    <w:bookmarkEnd w:id="140"/>
    <w:p>
      <w:pPr>
        <w:ind w:right="140"/>
        <w:spacing w:after="0" w:line="255" w:lineRule="auto"/>
        <w:rPr>
          <w:sz w:val="20"/>
          <w:szCs w:val="20"/>
          <w:color w:val="auto"/>
        </w:rPr>
      </w:pPr>
      <w:r>
        <w:rPr>
          <w:rFonts w:ascii="Arial" w:cs="Arial" w:eastAsia="Arial" w:hAnsi="Arial"/>
          <w:sz w:val="18"/>
          <w:szCs w:val="18"/>
          <w:color w:val="auto"/>
        </w:rPr>
        <w:t>In December 2016, the Board authorized the modification of an outstanding warrant to both alter the exercise terms and increase the number of shares for which the warrant was exercisable. We calculated the fair value of the warrant immediately before and after the modification using the Black Scholes Option Pricing Model and the assumptions indicated in the table below. We recognized the additional fair value, $76,900, as warrant modification expense, included as a component of general and administrative expenses, in our Consolidated Statement of Operations and Comprehensive Loss for the fiscal year ended March 31,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Outstanding</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summarizes outstanding warrants to purchase shares of our common stock as of March 31, 2017. The weighted average exercise price of outstanding warrants at March 31, 2017 was $6.29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center"/>
              <w:ind w:right="472"/>
              <w:spacing w:after="0"/>
              <w:rPr>
                <w:sz w:val="20"/>
                <w:szCs w:val="20"/>
                <w:color w:val="auto"/>
              </w:rPr>
            </w:pPr>
            <w:r>
              <w:rPr>
                <w:rFonts w:ascii="Arial" w:cs="Arial" w:eastAsia="Arial" w:hAnsi="Arial"/>
                <w:sz w:val="18"/>
                <w:szCs w:val="18"/>
                <w:b w:val="1"/>
                <w:bCs w:val="1"/>
                <w:color w:val="auto"/>
                <w:w w:val="88"/>
              </w:rPr>
              <w:t>Weighted</w:t>
            </w:r>
          </w:p>
        </w:tc>
        <w:tc>
          <w:tcPr>
            <w:tcW w:w="580" w:type="dxa"/>
            <w:vAlign w:val="bottom"/>
          </w:tcPr>
          <w:p>
            <w:pPr>
              <w:spacing w:after="0"/>
              <w:rPr>
                <w:sz w:val="18"/>
                <w:szCs w:val="18"/>
                <w:color w:val="auto"/>
              </w:rPr>
            </w:pPr>
          </w:p>
        </w:tc>
        <w:tc>
          <w:tcPr>
            <w:tcW w:w="25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6"/>
              </w:rPr>
              <w:t>Shares Subject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center"/>
              <w:ind w:left="492"/>
              <w:spacing w:after="0"/>
              <w:rPr>
                <w:sz w:val="20"/>
                <w:szCs w:val="20"/>
                <w:color w:val="auto"/>
              </w:rPr>
            </w:pPr>
            <w:r>
              <w:rPr>
                <w:rFonts w:ascii="Arial" w:cs="Arial" w:eastAsia="Arial" w:hAnsi="Arial"/>
                <w:sz w:val="18"/>
                <w:szCs w:val="18"/>
                <w:b w:val="1"/>
                <w:bCs w:val="1"/>
                <w:color w:val="auto"/>
                <w:w w:val="86"/>
              </w:rPr>
              <w:t>Exercise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center"/>
              <w:ind w:right="452"/>
              <w:spacing w:after="0"/>
              <w:rPr>
                <w:sz w:val="20"/>
                <w:szCs w:val="20"/>
                <w:color w:val="auto"/>
              </w:rPr>
            </w:pPr>
            <w:r>
              <w:rPr>
                <w:rFonts w:ascii="Arial" w:cs="Arial" w:eastAsia="Arial" w:hAnsi="Arial"/>
                <w:sz w:val="18"/>
                <w:szCs w:val="18"/>
                <w:b w:val="1"/>
                <w:bCs w:val="1"/>
                <w:color w:val="auto"/>
                <w:w w:val="87"/>
              </w:rPr>
              <w:t>Average</w:t>
            </w:r>
          </w:p>
        </w:tc>
        <w:tc>
          <w:tcPr>
            <w:tcW w:w="580" w:type="dxa"/>
            <w:vAlign w:val="bottom"/>
          </w:tcPr>
          <w:p>
            <w:pPr>
              <w:spacing w:after="0"/>
              <w:rPr>
                <w:sz w:val="18"/>
                <w:szCs w:val="18"/>
                <w:color w:val="auto"/>
              </w:rPr>
            </w:pPr>
          </w:p>
        </w:tc>
        <w:tc>
          <w:tcPr>
            <w:tcW w:w="25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5"/>
              </w:rPr>
              <w:t>to Purchase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center"/>
              <w:ind w:left="492"/>
              <w:spacing w:after="0"/>
              <w:rPr>
                <w:sz w:val="20"/>
                <w:szCs w:val="20"/>
                <w:color w:val="auto"/>
              </w:rPr>
            </w:pPr>
            <w:r>
              <w:rPr>
                <w:rFonts w:ascii="Arial" w:cs="Arial" w:eastAsia="Arial" w:hAnsi="Arial"/>
                <w:sz w:val="18"/>
                <w:szCs w:val="18"/>
                <w:b w:val="1"/>
                <w:bCs w:val="1"/>
                <w:color w:val="auto"/>
                <w:w w:val="90"/>
              </w:rPr>
              <w:t>Price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90"/>
              </w:rPr>
              <w:t>Expiration</w:t>
            </w:r>
          </w:p>
        </w:tc>
        <w:tc>
          <w:tcPr>
            <w:tcW w:w="1720" w:type="dxa"/>
            <w:vAlign w:val="bottom"/>
          </w:tcPr>
          <w:p>
            <w:pPr>
              <w:jc w:val="center"/>
              <w:ind w:right="452"/>
              <w:spacing w:after="0"/>
              <w:rPr>
                <w:sz w:val="20"/>
                <w:szCs w:val="20"/>
                <w:color w:val="auto"/>
              </w:rPr>
            </w:pPr>
            <w:r>
              <w:rPr>
                <w:rFonts w:ascii="Arial" w:cs="Arial" w:eastAsia="Arial" w:hAnsi="Arial"/>
                <w:sz w:val="18"/>
                <w:szCs w:val="18"/>
                <w:b w:val="1"/>
                <w:bCs w:val="1"/>
                <w:color w:val="auto"/>
                <w:w w:val="89"/>
              </w:rPr>
              <w:t>Remaining</w:t>
            </w:r>
          </w:p>
        </w:tc>
        <w:tc>
          <w:tcPr>
            <w:tcW w:w="580" w:type="dxa"/>
            <w:vAlign w:val="bottom"/>
          </w:tcPr>
          <w:p>
            <w:pPr>
              <w:spacing w:after="0"/>
              <w:rPr>
                <w:sz w:val="18"/>
                <w:szCs w:val="18"/>
                <w:color w:val="auto"/>
              </w:rPr>
            </w:pPr>
          </w:p>
        </w:tc>
        <w:tc>
          <w:tcPr>
            <w:tcW w:w="25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center"/>
              <w:ind w:left="492"/>
              <w:spacing w:after="0"/>
              <w:rPr>
                <w:sz w:val="20"/>
                <w:szCs w:val="20"/>
                <w:color w:val="auto"/>
              </w:rPr>
            </w:pPr>
            <w:r>
              <w:rPr>
                <w:rFonts w:ascii="Arial" w:cs="Arial" w:eastAsia="Arial" w:hAnsi="Arial"/>
                <w:sz w:val="18"/>
                <w:szCs w:val="18"/>
                <w:b w:val="1"/>
                <w:bCs w:val="1"/>
                <w:color w:val="auto"/>
                <w:w w:val="86"/>
              </w:rPr>
              <w:t>per Share</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4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92"/>
              </w:rPr>
              <w:t>Date</w:t>
            </w:r>
          </w:p>
        </w:tc>
        <w:tc>
          <w:tcPr>
            <w:tcW w:w="1720" w:type="dxa"/>
            <w:vAlign w:val="bottom"/>
          </w:tcPr>
          <w:p>
            <w:pPr>
              <w:jc w:val="center"/>
              <w:ind w:right="452"/>
              <w:spacing w:after="0"/>
              <w:rPr>
                <w:sz w:val="20"/>
                <w:szCs w:val="20"/>
                <w:color w:val="auto"/>
              </w:rPr>
            </w:pPr>
            <w:r>
              <w:rPr>
                <w:rFonts w:ascii="Arial" w:cs="Arial" w:eastAsia="Arial" w:hAnsi="Arial"/>
                <w:sz w:val="18"/>
                <w:szCs w:val="18"/>
                <w:b w:val="1"/>
                <w:bCs w:val="1"/>
                <w:color w:val="auto"/>
                <w:w w:val="89"/>
              </w:rPr>
              <w:t>Term (Years)</w:t>
            </w:r>
          </w:p>
        </w:tc>
        <w:tc>
          <w:tcPr>
            <w:tcW w:w="1920" w:type="dxa"/>
            <w:vAlign w:val="bottom"/>
            <w:gridSpan w:val="2"/>
          </w:tcPr>
          <w:p>
            <w:pPr>
              <w:jc w:val="center"/>
              <w:ind w:left="1432"/>
              <w:spacing w:after="0"/>
              <w:rPr>
                <w:sz w:val="20"/>
                <w:szCs w:val="20"/>
                <w:color w:val="auto"/>
              </w:rPr>
            </w:pPr>
            <w:r>
              <w:rPr>
                <w:rFonts w:ascii="Arial" w:cs="Arial" w:eastAsia="Arial" w:hAnsi="Arial"/>
                <w:sz w:val="18"/>
                <w:szCs w:val="18"/>
                <w:b w:val="1"/>
                <w:bCs w:val="1"/>
                <w:color w:val="auto"/>
                <w:w w:val="89"/>
              </w:rPr>
              <w:t>2017</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Arial" w:cs="Arial" w:eastAsia="Arial" w:hAnsi="Arial"/>
                <w:sz w:val="18"/>
                <w:szCs w:val="18"/>
                <w:color w:val="auto"/>
                <w:w w:val="88"/>
              </w:rPr>
              <w:t>12/31/2021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center"/>
              <w:ind w:right="452"/>
              <w:spacing w:after="0"/>
              <w:rPr>
                <w:sz w:val="20"/>
                <w:szCs w:val="20"/>
                <w:color w:val="auto"/>
              </w:rPr>
            </w:pPr>
            <w:r>
              <w:rPr>
                <w:rFonts w:ascii="Arial" w:cs="Arial" w:eastAsia="Arial" w:hAnsi="Arial"/>
                <w:sz w:val="18"/>
                <w:szCs w:val="18"/>
                <w:color w:val="auto"/>
                <w:w w:val="89"/>
              </w:rPr>
              <w:t>4/30/2021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4.08</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28,625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Arial" w:cs="Arial" w:eastAsia="Arial" w:hAnsi="Arial"/>
                <w:sz w:val="18"/>
                <w:szCs w:val="18"/>
                <w:color w:val="auto"/>
                <w:w w:val="89"/>
              </w:rPr>
              <w:t>9/26/2019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center"/>
              <w:ind w:right="452"/>
              <w:spacing w:after="0"/>
              <w:rPr>
                <w:sz w:val="20"/>
                <w:szCs w:val="20"/>
                <w:color w:val="auto"/>
              </w:rPr>
            </w:pPr>
            <w:r>
              <w:rPr>
                <w:rFonts w:ascii="Arial" w:cs="Arial" w:eastAsia="Arial" w:hAnsi="Arial"/>
                <w:sz w:val="18"/>
                <w:szCs w:val="18"/>
                <w:color w:val="auto"/>
                <w:w w:val="89"/>
              </w:rPr>
              <w:t>5/16/2021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4.13</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2,705,883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jc w:val="center"/>
              <w:ind w:right="1380"/>
              <w:spacing w:after="0"/>
              <w:rPr>
                <w:sz w:val="20"/>
                <w:szCs w:val="20"/>
                <w:color w:val="auto"/>
              </w:rPr>
            </w:pPr>
            <w:r>
              <w:rPr>
                <w:rFonts w:ascii="Arial" w:cs="Arial" w:eastAsia="Arial" w:hAnsi="Arial"/>
                <w:sz w:val="18"/>
                <w:szCs w:val="18"/>
                <w:color w:val="auto"/>
                <w:w w:val="88"/>
              </w:rPr>
              <w:t>9/26/2019 to 11/30/2019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97,750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gridSpan w:val="3"/>
          </w:tcPr>
          <w:p>
            <w:pPr>
              <w:jc w:val="center"/>
              <w:ind w:right="1380"/>
              <w:spacing w:after="0"/>
              <w:rPr>
                <w:sz w:val="20"/>
                <w:szCs w:val="20"/>
                <w:color w:val="auto"/>
              </w:rPr>
            </w:pPr>
            <w:r>
              <w:rPr>
                <w:rFonts w:ascii="Arial" w:cs="Arial" w:eastAsia="Arial" w:hAnsi="Arial"/>
                <w:sz w:val="18"/>
                <w:szCs w:val="18"/>
                <w:color w:val="auto"/>
                <w:w w:val="88"/>
              </w:rPr>
              <w:t>12/11/2018 to 3/3/2023</w:t>
            </w:r>
          </w:p>
        </w:tc>
        <w:tc>
          <w:tcPr>
            <w:tcW w:w="1720" w:type="dxa"/>
            <w:vAlign w:val="bottom"/>
          </w:tcPr>
          <w:p>
            <w:pPr>
              <w:jc w:val="right"/>
              <w:spacing w:after="0"/>
              <w:rPr>
                <w:sz w:val="20"/>
                <w:szCs w:val="20"/>
                <w:color w:val="auto"/>
              </w:rPr>
            </w:pPr>
            <w:r>
              <w:rPr>
                <w:rFonts w:ascii="Arial" w:cs="Arial" w:eastAsia="Arial" w:hAnsi="Arial"/>
                <w:sz w:val="18"/>
                <w:szCs w:val="18"/>
                <w:color w:val="auto"/>
              </w:rPr>
              <w:t>3.41</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1,346,931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Arial" w:cs="Arial" w:eastAsia="Arial" w:hAnsi="Arial"/>
                <w:sz w:val="18"/>
                <w:szCs w:val="18"/>
                <w:color w:val="auto"/>
                <w:w w:val="89"/>
              </w:rPr>
              <w:t>3/25/2021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gridSpan w:val="3"/>
          </w:tcPr>
          <w:p>
            <w:pPr>
              <w:jc w:val="center"/>
              <w:ind w:right="1380"/>
              <w:spacing w:after="0"/>
              <w:rPr>
                <w:sz w:val="20"/>
                <w:szCs w:val="20"/>
                <w:color w:val="auto"/>
              </w:rPr>
            </w:pPr>
            <w:r>
              <w:rPr>
                <w:rFonts w:ascii="Arial" w:cs="Arial" w:eastAsia="Arial" w:hAnsi="Arial"/>
                <w:sz w:val="18"/>
                <w:szCs w:val="18"/>
                <w:color w:val="auto"/>
                <w:w w:val="88"/>
              </w:rPr>
              <w:t>11/15/2017 to 1/11/2020</w:t>
            </w:r>
          </w:p>
        </w:tc>
        <w:tc>
          <w:tcPr>
            <w:tcW w:w="1720" w:type="dxa"/>
            <w:vAlign w:val="bottom"/>
          </w:tcPr>
          <w:p>
            <w:pPr>
              <w:jc w:val="right"/>
              <w:spacing w:after="0"/>
              <w:rPr>
                <w:sz w:val="20"/>
                <w:szCs w:val="20"/>
                <w:color w:val="auto"/>
              </w:rPr>
            </w:pPr>
            <w:r>
              <w:rPr>
                <w:rFonts w:ascii="Arial" w:cs="Arial" w:eastAsia="Arial" w:hAnsi="Arial"/>
                <w:sz w:val="18"/>
                <w:szCs w:val="18"/>
                <w:color w:val="auto"/>
              </w:rPr>
              <w:t>2.39</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24,394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Arial" w:cs="Arial" w:eastAsia="Arial" w:hAnsi="Arial"/>
                <w:sz w:val="18"/>
                <w:szCs w:val="18"/>
                <w:color w:val="auto"/>
                <w:w w:val="89"/>
              </w:rPr>
              <w:t>9/15/2019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center"/>
              <w:ind w:right="452"/>
              <w:spacing w:after="0"/>
              <w:rPr>
                <w:sz w:val="20"/>
                <w:szCs w:val="20"/>
                <w:color w:val="auto"/>
              </w:rPr>
            </w:pPr>
            <w:r>
              <w:rPr>
                <w:rFonts w:ascii="Arial" w:cs="Arial" w:eastAsia="Arial" w:hAnsi="Arial"/>
                <w:sz w:val="18"/>
                <w:szCs w:val="18"/>
                <w:color w:val="auto"/>
                <w:w w:val="88"/>
              </w:rPr>
              <w:t>11/20/2017</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0.64</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3.82</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4,577,631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Reserved Shares</w:t>
            </w: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0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10"/>
          </w:tcPr>
          <w:p>
            <w:pPr>
              <w:spacing w:after="0"/>
              <w:rPr>
                <w:sz w:val="20"/>
                <w:szCs w:val="20"/>
                <w:color w:val="auto"/>
              </w:rPr>
            </w:pPr>
            <w:r>
              <w:rPr>
                <w:rFonts w:ascii="Arial" w:cs="Arial" w:eastAsia="Arial" w:hAnsi="Arial"/>
                <w:sz w:val="18"/>
                <w:szCs w:val="18"/>
                <w:color w:val="auto"/>
              </w:rPr>
              <w:t>At March 31, 2017, we have reserved shares of our common stock for future issuance as follows:</w:t>
            </w: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342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8"/>
            <w:shd w:val="clear" w:color="auto" w:fill="CCEEFF"/>
          </w:tcPr>
          <w:p>
            <w:pPr>
              <w:spacing w:after="0" w:line="216" w:lineRule="exact"/>
              <w:rPr>
                <w:sz w:val="20"/>
                <w:szCs w:val="20"/>
                <w:color w:val="auto"/>
              </w:rPr>
            </w:pPr>
            <w:r>
              <w:rPr>
                <w:rFonts w:ascii="Arial" w:cs="Arial" w:eastAsia="Arial" w:hAnsi="Arial"/>
                <w:sz w:val="18"/>
                <w:szCs w:val="18"/>
                <w:color w:val="auto"/>
                <w:w w:val="88"/>
              </w:rPr>
              <w:t xml:space="preserve">Upon exchange of all shares of Series A Preferred Stock currently issued and outstanding </w:t>
            </w:r>
            <w:r>
              <w:rPr>
                <w:rFonts w:ascii="Arial" w:cs="Arial" w:eastAsia="Arial" w:hAnsi="Arial"/>
                <w:sz w:val="24"/>
                <w:szCs w:val="24"/>
                <w:color w:val="auto"/>
                <w:w w:val="88"/>
                <w:vertAlign w:val="superscript"/>
              </w:rPr>
              <w:t>(1)</w:t>
            </w: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342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8"/>
            <w:shd w:val="clear" w:color="auto" w:fill="CCEEFF"/>
          </w:tcPr>
          <w:p>
            <w:pPr>
              <w:spacing w:after="0" w:line="216" w:lineRule="exact"/>
              <w:rPr>
                <w:sz w:val="20"/>
                <w:szCs w:val="20"/>
                <w:color w:val="auto"/>
              </w:rPr>
            </w:pPr>
            <w:r>
              <w:rPr>
                <w:rFonts w:ascii="Arial" w:cs="Arial" w:eastAsia="Arial" w:hAnsi="Arial"/>
                <w:sz w:val="18"/>
                <w:szCs w:val="18"/>
                <w:color w:val="auto"/>
                <w:w w:val="88"/>
              </w:rPr>
              <w:t xml:space="preserve">Upon exchange of all shares of Series B Preferred Stock currently issued and outstanding </w:t>
            </w:r>
            <w:r>
              <w:rPr>
                <w:rFonts w:ascii="Arial" w:cs="Arial" w:eastAsia="Arial" w:hAnsi="Arial"/>
                <w:sz w:val="24"/>
                <w:szCs w:val="24"/>
                <w:color w:val="auto"/>
                <w:w w:val="88"/>
                <w:vertAlign w:val="superscript"/>
              </w:rPr>
              <w:t>(2)</w:t>
            </w: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1,823,700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342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1"/>
              </w:rPr>
              <w:t>Upon exchange of all shares of Series C Preferred Stock currently issued and outstanding</w:t>
            </w: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86"/>
              </w:rPr>
              <w:t>Pursuant to warrants to purchase common stock:</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160"/>
              <w:spacing w:after="0"/>
              <w:rPr>
                <w:sz w:val="20"/>
                <w:szCs w:val="20"/>
                <w:color w:val="auto"/>
              </w:rPr>
            </w:pPr>
            <w:r>
              <w:rPr>
                <w:rFonts w:ascii="Arial" w:cs="Arial" w:eastAsia="Arial" w:hAnsi="Arial"/>
                <w:sz w:val="18"/>
                <w:szCs w:val="18"/>
                <w:color w:val="auto"/>
              </w:rPr>
              <w:t>Subject to outstanding warrants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color w:val="auto"/>
              </w:rPr>
              <w:t>4,577,631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5"/>
          </w:tcPr>
          <w:p>
            <w:pPr>
              <w:spacing w:after="0"/>
              <w:rPr>
                <w:sz w:val="20"/>
                <w:szCs w:val="20"/>
                <w:color w:val="auto"/>
              </w:rPr>
            </w:pPr>
            <w:r>
              <w:rPr>
                <w:rFonts w:ascii="Arial" w:cs="Arial" w:eastAsia="Arial" w:hAnsi="Arial"/>
                <w:sz w:val="18"/>
                <w:szCs w:val="18"/>
                <w:color w:val="auto"/>
              </w:rPr>
              <w:t>Pursuant to stock incentive plans: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w w:val="98"/>
              </w:rPr>
              <w:t>Subject to outstanding options under the Amended and Restated 2016 and 1999 Stock Incentive Plans</w:t>
            </w: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8"/>
          </w:tcPr>
          <w:p>
            <w:pPr>
              <w:ind w:left="160"/>
              <w:spacing w:after="0"/>
              <w:rPr>
                <w:sz w:val="20"/>
                <w:szCs w:val="20"/>
                <w:color w:val="auto"/>
              </w:rPr>
            </w:pPr>
            <w:r>
              <w:rPr>
                <w:rFonts w:ascii="Arial" w:cs="Arial" w:eastAsia="Arial" w:hAnsi="Arial"/>
                <w:sz w:val="18"/>
                <w:szCs w:val="18"/>
                <w:color w:val="auto"/>
                <w:w w:val="91"/>
              </w:rPr>
              <w:t>Available for future grants under the Amended and Restated 2016 Stock Incentive Plan</w:t>
            </w:r>
          </w:p>
        </w:tc>
        <w:tc>
          <w:tcPr>
            <w:tcW w:w="1720" w:type="dxa"/>
            <w:vAlign w:val="bottom"/>
          </w:tcPr>
          <w:p>
            <w:pPr>
              <w:spacing w:after="0"/>
              <w:rPr>
                <w:sz w:val="19"/>
                <w:szCs w:val="19"/>
                <w:color w:val="auto"/>
              </w:rPr>
            </w:pPr>
          </w:p>
        </w:tc>
        <w:tc>
          <w:tcPr>
            <w:tcW w:w="1920" w:type="dxa"/>
            <w:vAlign w:val="bottom"/>
            <w:gridSpan w:val="2"/>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1,134,911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2,794,235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gridSpan w:val="2"/>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color w:val="auto"/>
              </w:rPr>
              <w:t>12,263,578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0" w:type="dxa"/>
            <w:vAlign w:val="bottom"/>
            <w:gridSpan w:val="3"/>
            <w:vMerge w:val="restart"/>
          </w:tcPr>
          <w:p>
            <w:pPr>
              <w:spacing w:after="0"/>
              <w:rPr>
                <w:sz w:val="20"/>
                <w:szCs w:val="20"/>
                <w:color w:val="auto"/>
              </w:rPr>
            </w:pPr>
            <w:r>
              <w:rPr>
                <w:rFonts w:ascii="Arial" w:cs="Arial" w:eastAsia="Arial" w:hAnsi="Arial"/>
                <w:sz w:val="18"/>
                <w:szCs w:val="18"/>
                <w:color w:val="auto"/>
              </w:rPr>
              <w:t>_______________</w:t>
            </w: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0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400" w:hanging="392"/>
        <w:spacing w:after="0"/>
        <w:tabs>
          <w:tab w:leader="none" w:pos="400" w:val="left"/>
        </w:tabs>
        <w:numPr>
          <w:ilvl w:val="0"/>
          <w:numId w:val="72"/>
        </w:numPr>
        <w:rPr>
          <w:rFonts w:ascii="Arial" w:cs="Arial" w:eastAsia="Arial" w:hAnsi="Arial"/>
          <w:sz w:val="25"/>
          <w:szCs w:val="25"/>
          <w:color w:val="auto"/>
          <w:vertAlign w:val="superscript"/>
        </w:rPr>
      </w:pPr>
      <w:r>
        <w:rPr>
          <w:rFonts w:ascii="Arial" w:cs="Arial" w:eastAsia="Arial" w:hAnsi="Arial"/>
          <w:sz w:val="18"/>
          <w:szCs w:val="18"/>
          <w:color w:val="auto"/>
        </w:rPr>
        <w:t>assumes exchange under the terms of the October 11, 2012 Note Exchange and Purchase Agreement with PLTG</w:t>
      </w:r>
    </w:p>
    <w:p>
      <w:pPr>
        <w:spacing w:after="0" w:line="7" w:lineRule="exact"/>
        <w:rPr>
          <w:rFonts w:ascii="Arial" w:cs="Arial" w:eastAsia="Arial" w:hAnsi="Arial"/>
          <w:sz w:val="25"/>
          <w:szCs w:val="25"/>
          <w:color w:val="auto"/>
          <w:vertAlign w:val="superscript"/>
        </w:rPr>
      </w:pPr>
    </w:p>
    <w:p>
      <w:pPr>
        <w:ind w:left="400" w:hanging="392"/>
        <w:spacing w:after="0" w:line="181" w:lineRule="auto"/>
        <w:tabs>
          <w:tab w:leader="none" w:pos="400" w:val="left"/>
        </w:tabs>
        <w:numPr>
          <w:ilvl w:val="0"/>
          <w:numId w:val="72"/>
        </w:numPr>
        <w:rPr>
          <w:rFonts w:ascii="Arial" w:cs="Arial" w:eastAsia="Arial" w:hAnsi="Arial"/>
          <w:sz w:val="24"/>
          <w:szCs w:val="24"/>
          <w:color w:val="auto"/>
          <w:vertAlign w:val="superscript"/>
        </w:rPr>
      </w:pPr>
      <w:r>
        <w:rPr>
          <w:rFonts w:ascii="Arial" w:cs="Arial" w:eastAsia="Arial" w:hAnsi="Arial"/>
          <w:sz w:val="17"/>
          <w:szCs w:val="17"/>
          <w:color w:val="auto"/>
        </w:rPr>
        <w:t>includes 663,460 common shares issuable in payment of an estimated $1,658,600 in accrued dividends through April 30, 2017 at $2.50 per share</w:t>
      </w:r>
    </w:p>
    <w:p>
      <w:pPr>
        <w:sectPr>
          <w:pgSz w:w="11900" w:h="16838" w:orient="portrait"/>
          <w:cols w:equalWidth="0" w:num="1">
            <w:col w:w="11420"/>
          </w:cols>
          <w:pgMar w:left="240" w:top="131" w:right="239" w:bottom="1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157" w:gutter="0" w:footer="0" w:header="0"/>
          <w:type w:val="continuous"/>
        </w:sectPr>
      </w:pPr>
    </w:p>
    <w:bookmarkStart w:id="141" w:name="page142"/>
    <w:bookmarkEnd w:id="1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Research and Development Expenses</w:t>
      </w:r>
    </w:p>
    <w:p>
      <w:pPr>
        <w:spacing w:after="0" w:line="23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recorded research and development expenses of approximately $5.2 million and $3.9 million in the fiscal years ended March 31, 2017 and 2016, respectively. Research and development expense is composed primarily of employee compensation expenses, including stock–based compensation, direct project expenses, particularly in Fiscal 2017 related to our preparations for our AV-101 MDD Phase 2 Adjunctive Treatment Study, and costs to maintain and prosecute our intellectual property suite, including new patent applications for AV-101 for various indications.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provision for income taxes for the periods presented in the Consolidated Statements of Operations and Comprehensive Loss represents minimum California franchise taxes. Income tax expense differed from the amounts computed by applying the U.S. federal income tax rate of 34% to pretax losses as a result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60" w:type="dxa"/>
            <w:vAlign w:val="bottom"/>
            <w:gridSpan w:val="5"/>
          </w:tcPr>
          <w:p>
            <w:pPr>
              <w:ind w:left="180"/>
              <w:spacing w:after="0"/>
              <w:rPr>
                <w:sz w:val="20"/>
                <w:szCs w:val="20"/>
                <w:color w:val="auto"/>
              </w:rPr>
            </w:pPr>
            <w:r>
              <w:rPr>
                <w:rFonts w:ascii="Arial" w:cs="Arial" w:eastAsia="Arial" w:hAnsi="Arial"/>
                <w:sz w:val="18"/>
                <w:szCs w:val="18"/>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Tax effect of loss on debt extinguishment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warrant modifications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Tax effect of Warrant Liability mark to market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losses not benefitted</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 expense</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Deferred income taxes reflect the net tax effect of temporary differences between the carrying amounts of assets and liabilities for financial reporting purposes and the amounts used for income tax purposes. Significant components of our deferred tax assets are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operating loss carryovers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Basis differences in fixed assets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Accruals and reserves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34,782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(34,782)</w:t>
            </w: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Realization of deferred tax assets is dependent upon future earnings, if any, the timing and amount of which are uncertain. Accordingly, the deferred tax assets have been fully offset by a valuation allowance. The valuation allowance increased by $3,567,000 and $5,443,000 during the fiscal years ended March 31, 2017 and 2016, respectively. When realized, deferred tax assets related to employee stock options will be credited to additional paid-in capital.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2017, we had U.S. federal net operating loss carryforwards of approximately $77.1 million, which will expire in fiscal years 2020 through 2037.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2017, we had state net operating loss carryforwards of approximately $67.6 million, which will expire in fiscal years 2018 through 2037.</w:t>
      </w:r>
    </w:p>
    <w:p>
      <w:pPr>
        <w:spacing w:after="0" w:line="242"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file income tax returns in the U.S. federal and Canadian jurisdictions and California and Maryland state jurisdictions. We are subject to U.S. federal and state income tax examinations by tax authorities for tax years 2000 through 2017 due to net operating losses that are being carried forward for tax purposes, but we are not currently under examination by tax authorities in any jurisdiction.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Our unrecognized tax benefits at March 31, 2017 and 2016 relate entirely to research and development tax credits. The total amount of unrecognized tax benefits at March 31, 2017 and 2016 is $290,500 and $142,400, respectively. If recognized, none of the unrecognized tax benefits would impact our effective tax rate. The following table summarizes the activity related to our unrecognized tax benefits.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40"/>
              <w:spacing w:after="0"/>
              <w:rPr>
                <w:sz w:val="20"/>
                <w:szCs w:val="20"/>
                <w:color w:val="auto"/>
              </w:rPr>
            </w:pPr>
            <w:r>
              <w:rPr>
                <w:rFonts w:ascii="Arial" w:cs="Arial" w:eastAsia="Arial" w:hAnsi="Arial"/>
                <w:sz w:val="18"/>
                <w:szCs w:val="18"/>
                <w:color w:val="auto"/>
                <w:w w:val="99"/>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period tax position increases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Prior period tax position increases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80"/>
          </w:cols>
          <w:pgMar w:left="240" w:top="131" w:right="179" w:bottom="0" w:gutter="0" w:footer="0" w:header="0"/>
        </w:sectPr>
      </w:pPr>
    </w:p>
    <w:bookmarkStart w:id="142" w:name="page143"/>
    <w:bookmarkEnd w:id="142"/>
    <w:p>
      <w:pPr>
        <w:ind w:right="40"/>
        <w:spacing w:after="0" w:line="259" w:lineRule="auto"/>
        <w:rPr>
          <w:sz w:val="20"/>
          <w:szCs w:val="20"/>
          <w:color w:val="auto"/>
        </w:rPr>
      </w:pPr>
      <w:r>
        <w:rPr>
          <w:rFonts w:ascii="Arial" w:cs="Arial" w:eastAsia="Arial" w:hAnsi="Arial"/>
          <w:sz w:val="18"/>
          <w:szCs w:val="18"/>
          <w:color w:val="auto"/>
        </w:rPr>
        <w:t>Our policy is to recognize interest and penalties related to income taxes as components of interest expense and other expense, respectively. We incurred no interest or penalties related to unrecognized tax benefits in the years ended March 31, 2017 or 2016. We do not anticipate any significant changes of our uncertain tax positions within twelve months of this reporting date.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Licensing, Sublicensing and Collaborative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BlueRock Therapeutics Sublicense Agreement</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December 2016, we entered into an Exclusive License and Sublicense Agreement (</w:t>
      </w:r>
      <w:r>
        <w:rPr>
          <w:rFonts w:ascii="Arial" w:cs="Arial" w:eastAsia="Arial" w:hAnsi="Arial"/>
          <w:sz w:val="18"/>
          <w:szCs w:val="18"/>
          <w:i w:val="1"/>
          <w:iCs w:val="1"/>
          <w:color w:val="auto"/>
        </w:rPr>
        <w:t>BlueRock Therapeutics Agreement</w:t>
      </w:r>
      <w:r>
        <w:rPr>
          <w:rFonts w:ascii="Arial" w:cs="Arial" w:eastAsia="Arial" w:hAnsi="Arial"/>
          <w:sz w:val="18"/>
          <w:szCs w:val="18"/>
          <w:color w:val="auto"/>
        </w:rPr>
        <w:t>) with BlueRock Therapeutics, LP, a next generation regenerative medicine company established in December 2016 by Bayer AG and Versant Ventures (</w:t>
      </w:r>
      <w:r>
        <w:rPr>
          <w:rFonts w:ascii="Arial" w:cs="Arial" w:eastAsia="Arial" w:hAnsi="Arial"/>
          <w:sz w:val="18"/>
          <w:szCs w:val="18"/>
          <w:i w:val="1"/>
          <w:iCs w:val="1"/>
          <w:color w:val="auto"/>
        </w:rPr>
        <w:t>BlueRock Therapeutics</w:t>
      </w:r>
      <w:r>
        <w:rPr>
          <w:rFonts w:ascii="Arial" w:cs="Arial" w:eastAsia="Arial" w:hAnsi="Arial"/>
          <w:sz w:val="18"/>
          <w:szCs w:val="18"/>
          <w:color w:val="auto"/>
        </w:rPr>
        <w:t>), pursuant to which BlueRock received exclusive rights to utilize certain technologies exclusively licensed by us from University Health Network (</w:t>
      </w:r>
      <w:r>
        <w:rPr>
          <w:rFonts w:ascii="Arial" w:cs="Arial" w:eastAsia="Arial" w:hAnsi="Arial"/>
          <w:sz w:val="18"/>
          <w:szCs w:val="18"/>
          <w:i w:val="1"/>
          <w:iCs w:val="1"/>
          <w:color w:val="auto"/>
        </w:rPr>
        <w:t>UHN</w:t>
      </w:r>
      <w:r>
        <w:rPr>
          <w:rFonts w:ascii="Arial" w:cs="Arial" w:eastAsia="Arial" w:hAnsi="Arial"/>
          <w:sz w:val="18"/>
          <w:szCs w:val="18"/>
          <w:color w:val="auto"/>
        </w:rPr>
        <w:t>) for the production of cardiac stem cells for the treatment of heart disease. We retained rights to cardiac stem cell technology licensed from UHN related to small molecule, protein and antibody drug discovery, drug rescue and drug development, including small molecules with cardiac regenerative potential, as well as small molecule, protein and antibody testing involving cardiac cells.</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BlueRock Therapeutics Agreement, we received an upfront payment of $1.25 million and we have the potential to receive additional milestone payments and royalties in the future, in the event certain performance-based milestones and commercial sales are achieved. At December 31, 2016, we had no further obligations under the BlueRock Therapeutics Agreement and, accordingly, we recorded a receivable for the $1.25 million upfront payment with a corresponding recognition of the sublicense revenue. We received the $1.25 million cash payment due under the BlueRock Therapeutics Agreement in January 2017 and have recognized $1.25 million in sublicense revenue in the accompanying Consolidated Statement of Operations and Comprehensive Loss for the fiscal year ended March 31,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National Institutes of Health</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During fiscal years 2006 through 2008, the NIH awarded a $4.2 million grant to the Company to support preclinical development of AV-101 for pain. In June 2009, the NIH further awarded the Company a $4.2 million grant to support the Phase I clinical development of AV-101, which amount was subsequently increased to a total of $4.6 million in July 2010. The grant expired in the ordinary course on June 30, 2012 and all funds had been expended. AV-101, our orally available prodrug candidate is currently in Phase 2 development, initially for the adjunctive treatment of MDD in patients with an inadequate response to standard antidepressants. In February 2015, we entered into the CRADA with the NIMH to collaborate on an NIH-sponsored Phase 2 clinical study of the efficacy and safety of AV-101 in subjects with MDD. The first patient in the NIMH AV-101 MDD Phase 2 Monotherapy Study was dosed in November 2015 and we currently anticipate that the NIMH will complete the study in 2017, with top line results in the first half of 2018. We believe AV-101 may also have broad therapeutic utility with multiple near term central nervous system pipeline expansion opportunities, including chronic neuropathic pain, epilepsy, Huntington’s disease and Parkinson’s disease.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Research Ltd.</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built a strategic development relationship with Cato Research Ltd. (</w:t>
      </w:r>
      <w:r>
        <w:rPr>
          <w:rFonts w:ascii="Arial" w:cs="Arial" w:eastAsia="Arial" w:hAnsi="Arial"/>
          <w:sz w:val="16"/>
          <w:szCs w:val="16"/>
          <w:i w:val="1"/>
          <w:iCs w:val="1"/>
          <w:color w:val="auto"/>
        </w:rPr>
        <w:t>CRL</w:t>
      </w:r>
      <w:r>
        <w:rPr>
          <w:rFonts w:ascii="Arial" w:cs="Arial" w:eastAsia="Arial" w:hAnsi="Arial"/>
          <w:sz w:val="16"/>
          <w:szCs w:val="16"/>
          <w:color w:val="auto"/>
        </w:rPr>
        <w:t>), a global contract research and development organization, or CRO, and an affiliate of one of our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$254,600 and $52,600 for the fiscal years ended March 31, 2017 and 2016,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Health Network</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September 2007, we entered into a Sponsored Research Collaboration Agreement (</w:t>
      </w:r>
      <w:r>
        <w:rPr>
          <w:rFonts w:ascii="Arial" w:cs="Arial" w:eastAsia="Arial" w:hAnsi="Arial"/>
          <w:sz w:val="16"/>
          <w:szCs w:val="16"/>
          <w:i w:val="1"/>
          <w:iCs w:val="1"/>
          <w:color w:val="auto"/>
        </w:rPr>
        <w:t>SRCA</w:t>
      </w:r>
      <w:r>
        <w:rPr>
          <w:rFonts w:ascii="Arial" w:cs="Arial" w:eastAsia="Arial" w:hAnsi="Arial"/>
          <w:sz w:val="16"/>
          <w:szCs w:val="16"/>
          <w:color w:val="auto"/>
        </w:rPr>
        <w:t>) with University Health Network to develop certain stem cell technologies for drug discovery, development and rescue technologies. Under the terms of the SRCA, we have acquired exclusive worldwide rights to patent applications in the U.S. and foreign countries on multiple inventions arising from studies we have sponsored, under pre-negotiated license terms. Those license terms provide for royalty payments based on product sales that incorporate the licensed technology and milestone payments based on the achievement of certain events. Any drug rescue new chemical entity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 The SRCA with UHN, as amended, had a term of ten years, ending in September 2017, but was terminated in December 2016, as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2016, we entered into a series of agreements with UHN pursuant to which we (i) executed two new exclusive patent license agreements related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certain cardiac stem cell technologies discovered by Dr. Gordon Keller, Director of UHN's McEwen Centre for Regenerative Medicine, under the SRCA; (ii)</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amended two exclusive cardiac stem cell technology patent license agreements previously entered into between us and UHN under the SRCA; (iii) terminated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SRCA to facilitate the BlueRock Therapeutics Agreement, described above; and (iv) agreed to make a sublicense consideration payment to UHN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upfront payment we received under the BlueRock Therapeutics Agreement. All financial obligations related to these agreements with UHN, aggregating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$233,400, are reflected in research and development expense in the accompanying Consolidated Statement of Operations and Comprehensive Loss for the fiscal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year ended March 31, 2017.</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347" w:right="239" w:bottom="161"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13. Stock Option Plans and 401(k)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share-based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2016 Stock Incentive Plan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Board unanimously approved the Company’s Amended and Restated 2016 Equity Incentive Plan (“</w:t>
      </w:r>
      <w:r>
        <w:rPr>
          <w:rFonts w:ascii="Arial" w:cs="Arial" w:eastAsia="Arial" w:hAnsi="Arial"/>
          <w:sz w:val="18"/>
          <w:szCs w:val="18"/>
          <w:i w:val="1"/>
          <w:iCs w:val="1"/>
          <w:color w:val="auto"/>
        </w:rPr>
        <w:t>2016 Plan</w:t>
      </w:r>
      <w:r>
        <w:rPr>
          <w:rFonts w:ascii="Arial" w:cs="Arial" w:eastAsia="Arial" w:hAnsi="Arial"/>
          <w:sz w:val="18"/>
          <w:szCs w:val="18"/>
          <w:color w:val="auto"/>
        </w:rPr>
        <w:t xml:space="preserve">”), formerly titled the 2008 Equity Incentive Plan, on July 26, 2016. Our stockholders approved the 2016 Plan on September 26, 2016. The 2008 Stock Incentive Plan (the </w:t>
      </w:r>
      <w:r>
        <w:rPr>
          <w:rFonts w:ascii="Arial" w:cs="Arial" w:eastAsia="Arial" w:hAnsi="Arial"/>
          <w:sz w:val="18"/>
          <w:szCs w:val="18"/>
          <w:i w:val="1"/>
          <w:iCs w:val="1"/>
          <w:color w:val="auto"/>
        </w:rPr>
        <w:t>2008 Plan</w:t>
      </w:r>
      <w:r>
        <w:rPr>
          <w:rFonts w:ascii="Arial" w:cs="Arial" w:eastAsia="Arial" w:hAnsi="Arial"/>
          <w:sz w:val="18"/>
          <w:szCs w:val="18"/>
          <w:color w:val="auto"/>
        </w:rPr>
        <w:t>) was adopted by the shareholders of VistaGen California in December 2018 and we assumed it in connection with our going-public transaction. The maximum number of shares of common stock issuable under the 2016 Plan is 3.0 million shares, subject to adjustments for stock splits, stock dividends or other similar changes in our common stock or our capital structure.</w:t>
      </w:r>
    </w:p>
    <w:p>
      <w:pPr>
        <w:spacing w:after="0" w:line="197"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 xml:space="preserve">Board-approved amendments to the 2016 Plan included increasing the number of shares of our common stock authorized for issuance from 1.0 million to 3.0 million, increasing the maximum number of shares of common stock that may be granted to a Grantee (as such term is defined in the 2016 Plan) in any calendar year from 125,000 to 300,000 shares (350,000 shares if the grant is issued in connection with the commencement of service to the Company), extending the expiration date of the 2016 Plan to July 26, 2026, and removing certain provisions that only pertained to the Company or the plan before the Company became a publicly traded entity. The 2016 Plan delegates the authority to administer the plan to the Board’s Compensation Committee (the </w:t>
      </w:r>
      <w:r>
        <w:rPr>
          <w:rFonts w:ascii="Arial" w:cs="Arial" w:eastAsia="Arial" w:hAnsi="Arial"/>
          <w:sz w:val="15"/>
          <w:szCs w:val="15"/>
          <w:i w:val="1"/>
          <w:iCs w:val="1"/>
          <w:color w:val="auto"/>
        </w:rPr>
        <w:t>Committee</w:t>
      </w:r>
      <w:r>
        <w:rPr>
          <w:rFonts w:ascii="Arial" w:cs="Arial" w:eastAsia="Arial" w:hAnsi="Arial"/>
          <w:sz w:val="15"/>
          <w:szCs w:val="15"/>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Incentive Plan</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Our 1999 Stock Incentive Plan (the </w:t>
      </w:r>
      <w:r>
        <w:rPr>
          <w:rFonts w:ascii="Arial" w:cs="Arial" w:eastAsia="Arial" w:hAnsi="Arial"/>
          <w:sz w:val="18"/>
          <w:szCs w:val="18"/>
          <w:i w:val="1"/>
          <w:iCs w:val="1"/>
          <w:color w:val="auto"/>
        </w:rPr>
        <w:t>1999 Plan</w:t>
      </w:r>
      <w:r>
        <w:rPr>
          <w:rFonts w:ascii="Arial" w:cs="Arial" w:eastAsia="Arial" w:hAnsi="Arial"/>
          <w:sz w:val="18"/>
          <w:szCs w:val="18"/>
          <w:color w:val="auto"/>
        </w:rPr>
        <w:t>) was adopted by the shareholders of VistaStem on December 6, 1999 and we assumed it in connection with our going-public transaction. We initially reserved 45,000 shares for the issuance of awards under the 1999 Plan. The 1999 Plan has terminated under its own terms and, as a result, no awards may currently be granted under the 1999 Plan. The unexpired options and awards that have already been granted pursuant to the 1999 Plan remain operative.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2016 Plan</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or non-qualified stock options. We may grant incentive stock options only to employees of the Company or any parent or subsidiary of the Company. Awards other than incentive stock options may be granted to employees, directors and consultants.</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Committee administers the 2016 Plan, including selecting the Award recipients, determining the number of shares to be subject to each Award, the exercise or purchase price of each Award and the vesting and exercise periods of each Award.</w:t>
      </w:r>
    </w:p>
    <w:p>
      <w:pPr>
        <w:spacing w:after="0" w:line="18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exercise price of all incentive stock options granted under the 2016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10 years. The Committee determines the term and exercise or purchase price of all other Awards granted under the 2016 Plan.</w:t>
      </w:r>
    </w:p>
    <w:p>
      <w:pPr>
        <w:spacing w:after="0" w:line="17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39"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25" w:lineRule="exact"/>
        <w:rPr>
          <w:rFonts w:ascii="Arial" w:cs="Arial" w:eastAsia="Arial" w:hAnsi="Arial"/>
          <w:sz w:val="18"/>
          <w:szCs w:val="18"/>
          <w:color w:val="auto"/>
        </w:rPr>
      </w:pPr>
    </w:p>
    <w:p>
      <w:pPr>
        <w:ind w:left="660" w:right="300" w:hanging="328"/>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18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maximum number of shares with respect to which options, restricted stock, restricted shares of common stock or stock appreciation rights may be granted to any participant in any calendar year will be 300,000 shares of common stock. In connection with a participant’s commencement of service with the Company, a participant may be granted options, restricted stock or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will be 300,000 shares of common stock. The limits described in this paragraph are subject to adjustment in the event of any change in our capital structure as described below.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combination of, a number of financial measurements.</w:t>
      </w:r>
    </w:p>
    <w:p>
      <w:pPr>
        <w:spacing w:after="0" w:line="142"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Award’s vesting and exercisability or release from such limitations upon the subsequent termination of the service of the grantee within a specified period</w:t>
      </w:r>
    </w:p>
    <w:p>
      <w:pPr>
        <w:sectPr>
          <w:pgSz w:w="11900" w:h="16838" w:orient="portrait"/>
          <w:cols w:equalWidth="0" w:num="1">
            <w:col w:w="11420"/>
          </w:cols>
          <w:pgMar w:left="240" w:top="125" w:right="239" w:bottom="0" w:gutter="0" w:footer="0" w:header="0"/>
        </w:sectPr>
      </w:pPr>
    </w:p>
    <w:bookmarkStart w:id="144" w:name="page145"/>
    <w:bookmarkEnd w:id="144"/>
    <w:p>
      <w:pPr>
        <w:spacing w:after="0" w:line="6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Under the 2016 Plan, a Corporate Transaction is generally defined as:</w:t>
      </w:r>
    </w:p>
    <w:p>
      <w:pPr>
        <w:spacing w:after="0" w:line="225" w:lineRule="exact"/>
        <w:rPr>
          <w:sz w:val="20"/>
          <w:szCs w:val="20"/>
          <w:color w:val="auto"/>
        </w:rPr>
      </w:pPr>
    </w:p>
    <w:p>
      <w:pPr>
        <w:ind w:left="660" w:right="100" w:hanging="328"/>
        <w:spacing w:after="0" w:line="332"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39" w:lineRule="exact"/>
        <w:rPr>
          <w:rFonts w:ascii="Arial" w:cs="Arial" w:eastAsia="Arial" w:hAnsi="Arial"/>
          <w:sz w:val="16"/>
          <w:szCs w:val="16"/>
          <w:color w:val="auto"/>
        </w:rPr>
      </w:pPr>
    </w:p>
    <w:p>
      <w:pPr>
        <w:ind w:left="660" w:right="20" w:hanging="328"/>
        <w:spacing w:after="0" w:line="256"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2016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9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Unless terminated sooner, the 2016 Plan will automatically terminate in 2026. Our Board of Directors may at any time amend, suspend or terminate the 2016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During our fiscal year ended March 31, 2017, we granted from the 2016 Plan:</w:t>
      </w:r>
    </w:p>
    <w:p>
      <w:pPr>
        <w:spacing w:after="0" w:line="225" w:lineRule="exact"/>
        <w:rPr>
          <w:sz w:val="20"/>
          <w:szCs w:val="20"/>
          <w:color w:val="auto"/>
        </w:rPr>
      </w:pPr>
    </w:p>
    <w:p>
      <w:pPr>
        <w:ind w:left="660" w:right="440" w:hanging="328"/>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options to purchase an aggregate of 655,000 shares of our common stock at an exercise price of $3.49 per share to the independent members of our Board and to our officers, including one newly-employed officer, in June 2016;</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options to purchase 125,000 shares of our common stock at an exercise price of $4.27 per share to a newly-employed officer in September 2016</w:t>
      </w:r>
    </w:p>
    <w:p>
      <w:pPr>
        <w:spacing w:after="0" w:line="248" w:lineRule="exact"/>
        <w:rPr>
          <w:rFonts w:ascii="Arial" w:cs="Arial" w:eastAsia="Arial" w:hAnsi="Arial"/>
          <w:sz w:val="16"/>
          <w:szCs w:val="16"/>
          <w:color w:val="auto"/>
        </w:rPr>
      </w:pPr>
    </w:p>
    <w:p>
      <w:pPr>
        <w:ind w:left="660" w:right="440" w:hanging="328"/>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options to purchase an aggregate of 560,000 shares of our common stock at an exercise price of $3.80 per share to the independent members of our Board, officers, non-officer employees and a consultant in November 2016;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aggregate of 150,000 unregistered shares of our common stock pursuant to four consulting agreements in March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our fiscal year ended March 31, 2016, we granted from the 2008 Plan:</w:t>
      </w:r>
    </w:p>
    <w:p>
      <w:pPr>
        <w:spacing w:after="0" w:line="225" w:lineRule="exact"/>
        <w:rPr>
          <w:sz w:val="20"/>
          <w:szCs w:val="20"/>
          <w:color w:val="auto"/>
        </w:rPr>
      </w:pPr>
    </w:p>
    <w:p>
      <w:pPr>
        <w:ind w:left="660" w:right="120" w:hanging="328"/>
        <w:spacing w:after="0" w:line="26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options to purchase an aggregate of 90,000 shares of our common stock at an exercise price of $9.25 per share to our non-officer employees and certain strategic consultants in September 2015;</w:t>
      </w:r>
    </w:p>
    <w:p>
      <w:pPr>
        <w:spacing w:after="0" w:line="185" w:lineRule="exact"/>
        <w:rPr>
          <w:rFonts w:ascii="Arial" w:cs="Arial" w:eastAsia="Arial" w:hAnsi="Arial"/>
          <w:sz w:val="18"/>
          <w:szCs w:val="18"/>
          <w:color w:val="auto"/>
        </w:rPr>
      </w:pPr>
    </w:p>
    <w:p>
      <w:pPr>
        <w:ind w:left="660" w:right="460" w:hanging="328"/>
        <w:spacing w:after="0" w:line="26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options to purchase an aggregate of 30,000 shares of our common stock at an exercise price of $8.00 per share to two parties in connection with an investor relations agreement in February 2016; and</w:t>
      </w:r>
    </w:p>
    <w:p>
      <w:pPr>
        <w:spacing w:after="0" w:line="185" w:lineRule="exact"/>
        <w:rPr>
          <w:rFonts w:ascii="Arial" w:cs="Arial" w:eastAsia="Arial" w:hAnsi="Arial"/>
          <w:sz w:val="18"/>
          <w:szCs w:val="18"/>
          <w:color w:val="auto"/>
        </w:rPr>
      </w:pPr>
    </w:p>
    <w:p>
      <w:pPr>
        <w:ind w:left="660" w:right="160" w:hanging="328"/>
        <w:spacing w:after="0" w:line="26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options to purchase 25,000 shares of our common stock at an exercise price of $8.00 per share to a new independent member of our Board of Directors in March 2016.</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summarizes share-based compensation expense, including share-based expense related to grants of warrants in prior years to certain of our officers, independent directors, consultants and service providers, included in the accompanying Consolidated Statement of Operations and Comprehensive Loss for the years ended March 31, 2017 and 2016.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Fiscal Years Ended March 31,</w:t>
            </w:r>
          </w:p>
        </w:tc>
      </w:tr>
      <w:tr>
        <w:trPr>
          <w:trHeight w:val="223"/>
        </w:trPr>
        <w:tc>
          <w:tcPr>
            <w:tcW w:w="8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r>
      <w:tr>
        <w:trPr>
          <w:trHeight w:val="214"/>
        </w:trPr>
        <w:tc>
          <w:tcPr>
            <w:tcW w:w="882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8"/>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grants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Warrants granted to officer in March 2014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Fully-vested warrants granted to officer in September 2015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Stock option grants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476,200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 granted to officers and directors in March 2014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260"/>
              <w:spacing w:after="0"/>
              <w:rPr>
                <w:sz w:val="20"/>
                <w:szCs w:val="20"/>
                <w:color w:val="auto"/>
              </w:rPr>
            </w:pPr>
            <w:r>
              <w:rPr>
                <w:rFonts w:ascii="Arial" w:cs="Arial" w:eastAsia="Arial" w:hAnsi="Arial"/>
                <w:sz w:val="18"/>
                <w:szCs w:val="18"/>
                <w:color w:val="auto"/>
              </w:rPr>
              <w:t>Fully-vested warrants granted to officers, directors and consultants in September 2015</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2,840,700</w:t>
            </w:r>
          </w:p>
        </w:tc>
        <w:tc>
          <w:tcPr>
            <w:tcW w:w="140" w:type="dxa"/>
            <w:vAlign w:val="bottom"/>
          </w:tcPr>
          <w:p>
            <w:pPr>
              <w:spacing w:after="0"/>
              <w:rPr>
                <w:sz w:val="19"/>
                <w:szCs w:val="19"/>
                <w:color w:val="auto"/>
              </w:rPr>
            </w:pPr>
          </w:p>
        </w:tc>
      </w:tr>
      <w:tr>
        <w:trPr>
          <w:trHeight w:val="111"/>
        </w:trPr>
        <w:tc>
          <w:tcPr>
            <w:tcW w:w="8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131" w:right="239" w:bottom="0" w:gutter="0" w:footer="0" w:header="0"/>
        </w:sectPr>
      </w:pPr>
    </w:p>
    <w:bookmarkStart w:id="145" w:name="page146"/>
    <w:bookmarkEnd w:id="145"/>
    <w:p>
      <w:pPr>
        <w:spacing w:after="0" w:line="30" w:lineRule="exact"/>
        <w:rPr>
          <w:sz w:val="20"/>
          <w:szCs w:val="20"/>
          <w:color w:val="auto"/>
        </w:rPr>
      </w:pPr>
    </w:p>
    <w:p>
      <w:pPr>
        <w:ind w:left="9340"/>
        <w:spacing w:after="0"/>
        <w:tabs>
          <w:tab w:leader="none" w:pos="10560" w:val="left"/>
        </w:tabs>
        <w:rPr>
          <w:sz w:val="20"/>
          <w:szCs w:val="20"/>
          <w:color w:val="auto"/>
        </w:rPr>
      </w:pPr>
      <w:r>
        <w:rPr>
          <w:rFonts w:ascii="Arial" w:cs="Arial" w:eastAsia="Arial" w:hAnsi="Arial"/>
          <w:sz w:val="18"/>
          <w:szCs w:val="18"/>
          <w:color w:val="auto"/>
        </w:rPr>
        <w:t>476,200</w:t>
      </w:r>
      <w:r>
        <w:rPr>
          <w:sz w:val="20"/>
          <w:szCs w:val="20"/>
          <w:color w:val="auto"/>
        </w:rPr>
        <w:tab/>
      </w:r>
      <w:r>
        <w:rPr>
          <w:rFonts w:ascii="Arial" w:cs="Arial" w:eastAsia="Arial" w:hAnsi="Arial"/>
          <w:sz w:val="18"/>
          <w:szCs w:val="18"/>
          <w:color w:val="auto"/>
        </w:rPr>
        <w:t>2,950,100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left="40"/>
        <w:spacing w:after="0"/>
        <w:tabs>
          <w:tab w:leader="none" w:pos="8800" w:val="left"/>
          <w:tab w:leader="none" w:pos="9320" w:val="left"/>
          <w:tab w:leader="none" w:pos="10180" w:val="left"/>
          <w:tab w:leader="none" w:pos="10560" w:val="left"/>
        </w:tabs>
        <w:rPr>
          <w:sz w:val="20"/>
          <w:szCs w:val="20"/>
          <w:color w:val="auto"/>
        </w:rPr>
      </w:pPr>
      <w:r>
        <w:rPr>
          <w:rFonts w:ascii="Arial" w:cs="Arial" w:eastAsia="Arial" w:hAnsi="Arial"/>
          <w:sz w:val="18"/>
          <w:szCs w:val="18"/>
          <w:color w:val="auto"/>
        </w:rPr>
        <w:t>Total stock-based compensation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851,300</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4,041,400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2015, when the market price of our common stock was $9.11 per share, our Board of Directors (</w:t>
      </w:r>
      <w:r>
        <w:rPr>
          <w:rFonts w:ascii="Arial" w:cs="Arial" w:eastAsia="Arial" w:hAnsi="Arial"/>
          <w:sz w:val="16"/>
          <w:szCs w:val="16"/>
          <w:i w:val="1"/>
          <w:iCs w:val="1"/>
          <w:color w:val="auto"/>
        </w:rPr>
        <w:t>Board</w:t>
      </w:r>
      <w:r>
        <w:rPr>
          <w:rFonts w:ascii="Arial" w:cs="Arial" w:eastAsia="Arial" w:hAnsi="Arial"/>
          <w:sz w:val="16"/>
          <w:szCs w:val="16"/>
          <w:color w:val="auto"/>
        </w:rPr>
        <w:t>) authorized the grant of fully-vested five-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year warrants to purchase an aggregate of 650,000 restricted shares of our common stock at an exercise price of $9.25 per share, including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600,000 of such shares to company officers and independent members of the Board. We valued the new warrant grants at $5.68 per share, or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$3,692,900, using the Black Scholes Option Pricing Model and the following assumptions: market price per share: $9.11; exercise price per share: $9.25; risk-free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interest rate: 1.52%; contractual term: 5.0 years; volatility: 77.2%; expected dividend rate: 0%. As indicated in the table above, we recognized non-cash research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development and general and administrative stock compensation expense in the amounts of $852,200 and $2,840,700, respectively, in the accompanying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and Comprehensive Loss for the fiscal year ended March 31, 2016.</w:t>
      </w:r>
    </w:p>
    <w:p>
      <w:pPr>
        <w:spacing w:after="0" w:line="21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fair value of the 150,000 unregistered shares of common stock granted from the 2016 Plan in March 2017, an aggregate of $442,500, is reflected as an additional component of general and administrative expense in the accompanying Consolidated Statement of Operations and Comprehensive Loss for the year ended March 31, 2017.</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used the Black-Scholes Option Pricing model with the following weighted average assumptions to determine share-based compensation expense related to option grants during the fiscal years ended March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color w:val="auto"/>
                <w:w w:val="89"/>
              </w:rPr>
              <w:t>(weighted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average)</w:t>
            </w: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average)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Market price on date of grant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Fair value per share at grant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w:t>
      </w:r>
      <w:r>
        <w:rPr>
          <w:rFonts w:ascii="Arial" w:cs="Arial" w:eastAsia="Arial" w:hAnsi="Arial"/>
          <w:sz w:val="16"/>
          <w:szCs w:val="16"/>
          <w:i w:val="1"/>
          <w:iCs w:val="1"/>
          <w:color w:val="auto"/>
        </w:rPr>
        <w:t>SAB No. 107 and 110</w:t>
      </w:r>
      <w:r>
        <w:rPr>
          <w:rFonts w:ascii="Arial" w:cs="Arial" w:eastAsia="Arial" w:hAnsi="Arial"/>
          <w:sz w:val="16"/>
          <w:szCs w:val="16"/>
          <w:color w:val="auto"/>
        </w:rPr>
        <w:t>). The utilization of SAB No. 107 and 110 is based on the lack of relevant historical data due to both our limited historical experience as a publicly traded company as well as the historical lack of liquidity resulting from the limited number of freely-tradable shares of our common stock. Those factors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U.S. Treasury yield curve in effect at the time of grant. The expected dividend yield is zero, as we have not paid any dividends and do not anticipate paying dividends in the near future. We calculated the forfeiture rate based on an analysis of historical data, as it reasonably approximates the currently anticipated rate of forfeitures for granted and outstanding options that have not vested.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the fiscal years ended March 31, 2017 and 2016 under our stock option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color w:val="auto"/>
                <w:w w:val="88"/>
              </w:rPr>
              <w:t>Fiscal Years Ended March 31,</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6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2017</w:t>
            </w:r>
          </w:p>
        </w:tc>
        <w:tc>
          <w:tcPr>
            <w:tcW w:w="960" w:type="dxa"/>
            <w:vAlign w:val="bottom"/>
          </w:tcPr>
          <w:p>
            <w:pPr>
              <w:spacing w:after="0"/>
              <w:rPr>
                <w:sz w:val="19"/>
                <w:szCs w:val="19"/>
                <w:color w:val="auto"/>
              </w:rPr>
            </w:pPr>
          </w:p>
        </w:tc>
        <w:tc>
          <w:tcPr>
            <w:tcW w:w="1800" w:type="dxa"/>
            <w:vAlign w:val="bottom"/>
            <w:gridSpan w:val="4"/>
          </w:tcPr>
          <w:p>
            <w:pPr>
              <w:jc w:val="right"/>
              <w:ind w:right="3"/>
              <w:spacing w:after="0"/>
              <w:rPr>
                <w:sz w:val="20"/>
                <w:szCs w:val="20"/>
                <w:color w:val="auto"/>
              </w:rPr>
            </w:pPr>
            <w:r>
              <w:rPr>
                <w:rFonts w:ascii="Arial" w:cs="Arial" w:eastAsia="Arial" w:hAnsi="Arial"/>
                <w:sz w:val="18"/>
                <w:szCs w:val="18"/>
                <w:color w:val="auto"/>
              </w:rPr>
              <w:t>2016</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2"/>
              <w:spacing w:after="0"/>
              <w:rPr>
                <w:sz w:val="20"/>
                <w:szCs w:val="20"/>
                <w:color w:val="auto"/>
              </w:rPr>
            </w:pPr>
            <w:r>
              <w:rPr>
                <w:rFonts w:ascii="Arial" w:cs="Arial" w:eastAsia="Arial" w:hAnsi="Arial"/>
                <w:sz w:val="18"/>
                <w:szCs w:val="18"/>
                <w:color w:val="auto"/>
                <w:w w:val="86"/>
              </w:rPr>
              <w:t>Weighted</w:t>
            </w: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ind w:right="32"/>
              <w:spacing w:after="0"/>
              <w:rPr>
                <w:sz w:val="20"/>
                <w:szCs w:val="20"/>
                <w:color w:val="auto"/>
              </w:rPr>
            </w:pPr>
            <w:r>
              <w:rPr>
                <w:rFonts w:ascii="Arial" w:cs="Arial" w:eastAsia="Arial" w:hAnsi="Arial"/>
                <w:sz w:val="18"/>
                <w:szCs w:val="18"/>
                <w:color w:val="auto"/>
                <w:w w:val="89"/>
              </w:rPr>
              <w:t>Weighted</w:t>
            </w:r>
          </w:p>
        </w:tc>
        <w:tc>
          <w:tcPr>
            <w:tcW w:w="140" w:type="dxa"/>
            <w:vAlign w:val="bottom"/>
            <w:gridSpan w:val="2"/>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color w:val="auto"/>
                <w:w w:val="86"/>
              </w:rPr>
              <w:t>Average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Average</w:t>
            </w: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color w:val="auto"/>
                <w:w w:val="89"/>
              </w:rPr>
              <w:t>Exercise</w:t>
            </w:r>
          </w:p>
        </w:tc>
        <w:tc>
          <w:tcPr>
            <w:tcW w:w="2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Exercise</w:t>
            </w:r>
          </w:p>
        </w:tc>
      </w:tr>
      <w:tr>
        <w:trPr>
          <w:trHeight w:val="231"/>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26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Price</w:t>
            </w: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Options outstanding at beginning of period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336,987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207,638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540"/>
              <w:spacing w:after="0"/>
              <w:rPr>
                <w:sz w:val="20"/>
                <w:szCs w:val="20"/>
                <w:color w:val="auto"/>
              </w:rPr>
            </w:pPr>
            <w:r>
              <w:rPr>
                <w:rFonts w:ascii="Arial" w:cs="Arial" w:eastAsia="Arial" w:hAnsi="Arial"/>
                <w:sz w:val="18"/>
                <w:szCs w:val="18"/>
                <w:color w:val="auto"/>
              </w:rPr>
              <w:t>Options granted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1,340,000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540"/>
              <w:spacing w:after="0"/>
              <w:rPr>
                <w:sz w:val="20"/>
                <w:szCs w:val="20"/>
                <w:color w:val="auto"/>
              </w:rPr>
            </w:pPr>
            <w:r>
              <w:rPr>
                <w:rFonts w:ascii="Arial" w:cs="Arial" w:eastAsia="Arial" w:hAnsi="Arial"/>
                <w:sz w:val="18"/>
                <w:szCs w:val="18"/>
                <w:color w:val="auto"/>
              </w:rPr>
              <w:t>Options forfeited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(10,359)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 expired</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(17,663)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(5,292)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Options outstanding at end of period</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336,987</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060" w:type="dxa"/>
            <w:vAlign w:val="bottom"/>
          </w:tcPr>
          <w:p>
            <w:pPr>
              <w:ind w:left="60"/>
              <w:spacing w:after="0"/>
              <w:rPr>
                <w:sz w:val="20"/>
                <w:szCs w:val="20"/>
                <w:color w:val="auto"/>
              </w:rPr>
            </w:pPr>
            <w:r>
              <w:rPr>
                <w:rFonts w:ascii="Arial" w:cs="Arial" w:eastAsia="Arial" w:hAnsi="Arial"/>
                <w:sz w:val="18"/>
                <w:szCs w:val="18"/>
                <w:color w:val="auto"/>
              </w:rPr>
              <w:t>Options exercisable at end of period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351,532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201,779</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grant-date fair value of</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options granted during the period</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on stock options outstanding and exercisable under our stock option plans as of March 31, 2017:</w:t>
      </w:r>
    </w:p>
    <w:p>
      <w:pPr>
        <w:spacing w:after="0" w:line="225" w:lineRule="exact"/>
        <w:rPr>
          <w:sz w:val="20"/>
          <w:szCs w:val="20"/>
          <w:color w:val="auto"/>
        </w:rPr>
      </w:pPr>
    </w:p>
    <w:tbl>
      <w:tblPr>
        <w:tblLayout w:type="fixed"/>
        <w:tblInd w:w="2080" w:type="dxa"/>
        <w:tblCellMar>
          <w:top w:w="0" w:type="dxa"/>
          <w:left w:w="0" w:type="dxa"/>
          <w:bottom w:w="0" w:type="dxa"/>
          <w:right w:w="0" w:type="dxa"/>
        </w:tblCellMar>
      </w:tblPr>
      <w:tr>
        <w:trPr>
          <w:trHeight w:val="231"/>
        </w:trPr>
        <w:tc>
          <w:tcPr>
            <w:tcW w:w="3840" w:type="dxa"/>
            <w:vAlign w:val="bottom"/>
            <w:tcBorders>
              <w:bottom w:val="single" w:sz="8" w:color="auto"/>
            </w:tcBorders>
          </w:tcPr>
          <w:p>
            <w:pPr>
              <w:jc w:val="center"/>
              <w:ind w:left="1412"/>
              <w:spacing w:after="0"/>
              <w:rPr>
                <w:sz w:val="20"/>
                <w:szCs w:val="20"/>
                <w:color w:val="auto"/>
              </w:rPr>
            </w:pPr>
            <w:r>
              <w:rPr>
                <w:rFonts w:ascii="Arial" w:cs="Arial" w:eastAsia="Arial" w:hAnsi="Arial"/>
                <w:sz w:val="18"/>
                <w:szCs w:val="18"/>
                <w:color w:val="auto"/>
                <w:w w:val="88"/>
              </w:rPr>
              <w:t>Options Outstanding</w:t>
            </w:r>
          </w:p>
        </w:tc>
        <w:tc>
          <w:tcPr>
            <w:tcW w:w="15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4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Options Exercisable</w:t>
            </w:r>
          </w:p>
        </w:tc>
      </w:tr>
      <w:tr>
        <w:trPr>
          <w:trHeight w:val="208"/>
        </w:trPr>
        <w:tc>
          <w:tcPr>
            <w:tcW w:w="3840" w:type="dxa"/>
            <w:vAlign w:val="bottom"/>
          </w:tcPr>
          <w:p>
            <w:pPr>
              <w:jc w:val="center"/>
              <w:ind w:left="1452"/>
              <w:spacing w:after="0"/>
              <w:rPr>
                <w:sz w:val="20"/>
                <w:szCs w:val="20"/>
                <w:color w:val="auto"/>
              </w:rPr>
            </w:pPr>
            <w:r>
              <w:rPr>
                <w:rFonts w:ascii="Arial" w:cs="Arial" w:eastAsia="Arial" w:hAnsi="Arial"/>
                <w:sz w:val="18"/>
                <w:szCs w:val="18"/>
                <w:color w:val="auto"/>
                <w:w w:val="86"/>
              </w:rPr>
              <w:t>Weighted</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22"/>
        </w:trPr>
        <w:tc>
          <w:tcPr>
            <w:tcW w:w="3840" w:type="dxa"/>
            <w:vAlign w:val="bottom"/>
          </w:tcPr>
          <w:p>
            <w:pPr>
              <w:jc w:val="center"/>
              <w:ind w:left="1452"/>
              <w:spacing w:after="0"/>
              <w:rPr>
                <w:sz w:val="20"/>
                <w:szCs w:val="20"/>
                <w:color w:val="auto"/>
              </w:rPr>
            </w:pPr>
            <w:r>
              <w:rPr>
                <w:rFonts w:ascii="Arial" w:cs="Arial" w:eastAsia="Arial" w:hAnsi="Arial"/>
                <w:sz w:val="18"/>
                <w:szCs w:val="18"/>
                <w:color w:val="auto"/>
                <w:w w:val="86"/>
              </w:rPr>
              <w:t>Average</w:t>
            </w:r>
          </w:p>
        </w:tc>
        <w:tc>
          <w:tcPr>
            <w:tcW w:w="1520" w:type="dxa"/>
            <w:vAlign w:val="bottom"/>
          </w:tcPr>
          <w:p>
            <w:pPr>
              <w:ind w:left="420"/>
              <w:spacing w:after="0"/>
              <w:rPr>
                <w:sz w:val="20"/>
                <w:szCs w:val="20"/>
                <w:color w:val="auto"/>
              </w:rPr>
            </w:pPr>
            <w:r>
              <w:rPr>
                <w:rFonts w:ascii="Arial" w:cs="Arial" w:eastAsia="Arial" w:hAnsi="Arial"/>
                <w:sz w:val="18"/>
                <w:szCs w:val="18"/>
                <w:color w:val="auto"/>
              </w:rPr>
              <w:t>Weighted</w:t>
            </w:r>
          </w:p>
        </w:tc>
        <w:tc>
          <w:tcPr>
            <w:tcW w:w="360" w:type="dxa"/>
            <w:vAlign w:val="bottom"/>
          </w:tcPr>
          <w:p>
            <w:pPr>
              <w:spacing w:after="0"/>
              <w:rPr>
                <w:sz w:val="19"/>
                <w:szCs w:val="19"/>
                <w:color w:val="auto"/>
              </w:rPr>
            </w:pPr>
          </w:p>
        </w:tc>
        <w:tc>
          <w:tcPr>
            <w:tcW w:w="3440" w:type="dxa"/>
            <w:vAlign w:val="bottom"/>
          </w:tcPr>
          <w:p>
            <w:pPr>
              <w:ind w:left="2360"/>
              <w:spacing w:after="0"/>
              <w:rPr>
                <w:sz w:val="20"/>
                <w:szCs w:val="20"/>
                <w:color w:val="auto"/>
              </w:rPr>
            </w:pPr>
            <w:r>
              <w:rPr>
                <w:rFonts w:ascii="Arial" w:cs="Arial" w:eastAsia="Arial" w:hAnsi="Arial"/>
                <w:sz w:val="18"/>
                <w:szCs w:val="18"/>
                <w:color w:val="auto"/>
              </w:rPr>
              <w:t>Weighted</w:t>
            </w:r>
          </w:p>
        </w:tc>
      </w:tr>
    </w:tbl>
    <w:p>
      <w:pPr>
        <w:sectPr>
          <w:pgSz w:w="11900" w:h="16868" w:orient="portrait"/>
          <w:cols w:equalWidth="0" w:num="1">
            <w:col w:w="11420"/>
          </w:cols>
          <w:pgMar w:left="240" w:top="131" w:right="239" w:bottom="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Arial" w:cs="Arial" w:eastAsia="Arial" w:hAnsi="Arial"/>
                <w:sz w:val="18"/>
                <w:szCs w:val="18"/>
                <w:color w:val="auto"/>
                <w:w w:val="88"/>
              </w:rPr>
              <w:t>Remaining</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ind w:right="172"/>
              <w:spacing w:after="0"/>
              <w:rPr>
                <w:sz w:val="20"/>
                <w:szCs w:val="20"/>
                <w:color w:val="auto"/>
              </w:rPr>
            </w:pPr>
            <w:r>
              <w:rPr>
                <w:rFonts w:ascii="Arial" w:cs="Arial" w:eastAsia="Arial" w:hAnsi="Arial"/>
                <w:sz w:val="18"/>
                <w:szCs w:val="18"/>
                <w:color w:val="auto"/>
                <w:w w:val="86"/>
              </w:rPr>
              <w:t>Average</w:t>
            </w: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Average</w:t>
            </w: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Exercise</w:t>
            </w:r>
          </w:p>
        </w:tc>
        <w:tc>
          <w:tcPr>
            <w:tcW w:w="1540" w:type="dxa"/>
            <w:vAlign w:val="bottom"/>
          </w:tcPr>
          <w:p>
            <w:pPr>
              <w:jc w:val="right"/>
              <w:ind w:right="372"/>
              <w:spacing w:after="0"/>
              <w:rPr>
                <w:sz w:val="20"/>
                <w:szCs w:val="20"/>
                <w:color w:val="auto"/>
              </w:rPr>
            </w:pPr>
            <w:r>
              <w:rPr>
                <w:rFonts w:ascii="Arial" w:cs="Arial" w:eastAsia="Arial" w:hAnsi="Arial"/>
                <w:sz w:val="18"/>
                <w:szCs w:val="18"/>
                <w:color w:val="auto"/>
              </w:rPr>
              <w:t>Number</w:t>
            </w:r>
          </w:p>
        </w:tc>
        <w:tc>
          <w:tcPr>
            <w:tcW w:w="38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Arial" w:cs="Arial" w:eastAsia="Arial" w:hAnsi="Arial"/>
                <w:sz w:val="18"/>
                <w:szCs w:val="18"/>
                <w:color w:val="auto"/>
                <w:w w:val="89"/>
              </w:rPr>
              <w:t>Years until</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ind w:right="152"/>
              <w:spacing w:after="0"/>
              <w:rPr>
                <w:sz w:val="20"/>
                <w:szCs w:val="20"/>
                <w:color w:val="auto"/>
              </w:rPr>
            </w:pPr>
            <w:r>
              <w:rPr>
                <w:rFonts w:ascii="Arial" w:cs="Arial" w:eastAsia="Arial" w:hAnsi="Arial"/>
                <w:sz w:val="18"/>
                <w:szCs w:val="18"/>
                <w:color w:val="auto"/>
                <w:w w:val="86"/>
              </w:rPr>
              <w:t>Exercise</w:t>
            </w:r>
          </w:p>
        </w:tc>
        <w:tc>
          <w:tcPr>
            <w:tcW w:w="380" w:type="dxa"/>
            <w:vAlign w:val="bottom"/>
          </w:tcPr>
          <w:p>
            <w:pPr>
              <w:spacing w:after="0"/>
              <w:rPr>
                <w:sz w:val="18"/>
                <w:szCs w:val="18"/>
                <w:color w:val="auto"/>
              </w:rPr>
            </w:pPr>
          </w:p>
        </w:tc>
        <w:tc>
          <w:tcPr>
            <w:tcW w:w="1520" w:type="dxa"/>
            <w:vAlign w:val="bottom"/>
          </w:tcPr>
          <w:p>
            <w:pPr>
              <w:jc w:val="right"/>
              <w:ind w:right="352"/>
              <w:spacing w:after="0"/>
              <w:rPr>
                <w:sz w:val="20"/>
                <w:szCs w:val="20"/>
                <w:color w:val="auto"/>
              </w:rPr>
            </w:pPr>
            <w:r>
              <w:rPr>
                <w:rFonts w:ascii="Arial" w:cs="Arial" w:eastAsia="Arial" w:hAnsi="Arial"/>
                <w:sz w:val="18"/>
                <w:szCs w:val="18"/>
                <w:color w:val="auto"/>
              </w:rPr>
              <w:t>Number</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Exercise</w:t>
            </w:r>
          </w:p>
        </w:tc>
      </w:tr>
      <w:tr>
        <w:trPr>
          <w:trHeight w:val="231"/>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Price</w:t>
            </w:r>
          </w:p>
        </w:tc>
        <w:tc>
          <w:tcPr>
            <w:tcW w:w="1540" w:type="dxa"/>
            <w:vAlign w:val="bottom"/>
          </w:tcPr>
          <w:p>
            <w:pPr>
              <w:jc w:val="right"/>
              <w:ind w:right="232"/>
              <w:spacing w:after="0"/>
              <w:rPr>
                <w:sz w:val="20"/>
                <w:szCs w:val="20"/>
                <w:color w:val="auto"/>
              </w:rPr>
            </w:pPr>
            <w:r>
              <w:rPr>
                <w:rFonts w:ascii="Arial" w:cs="Arial" w:eastAsia="Arial" w:hAnsi="Arial"/>
                <w:sz w:val="18"/>
                <w:szCs w:val="18"/>
                <w:color w:val="auto"/>
              </w:rPr>
              <w:t>Outstanding</w:t>
            </w:r>
          </w:p>
        </w:tc>
        <w:tc>
          <w:tcPr>
            <w:tcW w:w="380" w:type="dxa"/>
            <w:vAlign w:val="bottom"/>
          </w:tcPr>
          <w:p>
            <w:pPr>
              <w:spacing w:after="0"/>
              <w:rPr>
                <w:sz w:val="20"/>
                <w:szCs w:val="20"/>
                <w:color w:val="auto"/>
              </w:rPr>
            </w:pPr>
          </w:p>
        </w:tc>
        <w:tc>
          <w:tcPr>
            <w:tcW w:w="1180" w:type="dxa"/>
            <w:vAlign w:val="bottom"/>
          </w:tcPr>
          <w:p>
            <w:pPr>
              <w:ind w:left="400"/>
              <w:spacing w:after="0"/>
              <w:rPr>
                <w:sz w:val="20"/>
                <w:szCs w:val="20"/>
                <w:color w:val="auto"/>
              </w:rPr>
            </w:pPr>
            <w:r>
              <w:rPr>
                <w:rFonts w:ascii="Arial" w:cs="Arial" w:eastAsia="Arial" w:hAnsi="Arial"/>
                <w:sz w:val="18"/>
                <w:szCs w:val="18"/>
                <w:color w:val="auto"/>
                <w:w w:val="94"/>
              </w:rPr>
              <w:t>Expiration</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center"/>
              <w:ind w:right="152"/>
              <w:spacing w:after="0"/>
              <w:rPr>
                <w:sz w:val="20"/>
                <w:szCs w:val="20"/>
                <w:color w:val="auto"/>
              </w:rPr>
            </w:pPr>
            <w:r>
              <w:rPr>
                <w:rFonts w:ascii="Arial" w:cs="Arial" w:eastAsia="Arial" w:hAnsi="Arial"/>
                <w:sz w:val="18"/>
                <w:szCs w:val="18"/>
                <w:color w:val="auto"/>
                <w:w w:val="87"/>
              </w:rPr>
              <w:t>Price</w:t>
            </w:r>
          </w:p>
        </w:tc>
        <w:tc>
          <w:tcPr>
            <w:tcW w:w="380" w:type="dxa"/>
            <w:vAlign w:val="bottom"/>
          </w:tcPr>
          <w:p>
            <w:pPr>
              <w:spacing w:after="0"/>
              <w:rPr>
                <w:sz w:val="20"/>
                <w:szCs w:val="20"/>
                <w:color w:val="auto"/>
              </w:rPr>
            </w:pPr>
          </w:p>
        </w:tc>
        <w:tc>
          <w:tcPr>
            <w:tcW w:w="1520" w:type="dxa"/>
            <w:vAlign w:val="bottom"/>
          </w:tcPr>
          <w:p>
            <w:pPr>
              <w:jc w:val="right"/>
              <w:ind w:right="232"/>
              <w:spacing w:after="0"/>
              <w:rPr>
                <w:sz w:val="20"/>
                <w:szCs w:val="20"/>
                <w:color w:val="auto"/>
              </w:rPr>
            </w:pPr>
            <w:r>
              <w:rPr>
                <w:rFonts w:ascii="Arial" w:cs="Arial" w:eastAsia="Arial" w:hAnsi="Arial"/>
                <w:sz w:val="18"/>
                <w:szCs w:val="18"/>
                <w:color w:val="auto"/>
              </w:rPr>
              <w:t>Exercisable</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Price</w:t>
            </w:r>
          </w:p>
        </w:tc>
      </w:tr>
      <w:tr>
        <w:trPr>
          <w:trHeight w:val="216"/>
        </w:trPr>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9.22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r>
      <w:tr>
        <w:trPr>
          <w:trHeight w:val="216"/>
        </w:trPr>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3.80</w:t>
            </w:r>
          </w:p>
        </w:tc>
        <w:tc>
          <w:tcPr>
            <w:tcW w:w="1540" w:type="dxa"/>
            <w:vAlign w:val="bottom"/>
          </w:tcPr>
          <w:p>
            <w:pPr>
              <w:jc w:val="right"/>
              <w:spacing w:after="0"/>
              <w:rPr>
                <w:sz w:val="20"/>
                <w:szCs w:val="20"/>
                <w:color w:val="auto"/>
              </w:rPr>
            </w:pPr>
            <w:r>
              <w:rPr>
                <w:rFonts w:ascii="Arial" w:cs="Arial" w:eastAsia="Arial" w:hAnsi="Arial"/>
                <w:sz w:val="18"/>
                <w:szCs w:val="18"/>
                <w:color w:val="auto"/>
              </w:rPr>
              <w:t>560,000</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9.61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62,215</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18"/>
                <w:szCs w:val="18"/>
                <w:color w:val="auto"/>
              </w:rPr>
            </w:pPr>
          </w:p>
        </w:tc>
      </w:tr>
      <w:tr>
        <w:trPr>
          <w:trHeight w:val="216"/>
        </w:trPr>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9.50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CEEFF"/>
          </w:tcPr>
          <w:p>
            <w:pPr>
              <w:spacing w:after="0"/>
              <w:rPr>
                <w:sz w:val="18"/>
                <w:szCs w:val="18"/>
                <w:color w:val="auto"/>
              </w:rPr>
            </w:pPr>
          </w:p>
        </w:tc>
      </w:tr>
      <w:tr>
        <w:trPr>
          <w:trHeight w:val="216"/>
        </w:trPr>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8.00</w:t>
            </w:r>
          </w:p>
        </w:tc>
        <w:tc>
          <w:tcPr>
            <w:tcW w:w="1540" w:type="dxa"/>
            <w:vAlign w:val="bottom"/>
          </w:tcPr>
          <w:p>
            <w:pPr>
              <w:jc w:val="right"/>
              <w:spacing w:after="0"/>
              <w:rPr>
                <w:sz w:val="20"/>
                <w:szCs w:val="20"/>
                <w:color w:val="auto"/>
              </w:rPr>
            </w:pPr>
            <w:r>
              <w:rPr>
                <w:rFonts w:ascii="Arial" w:cs="Arial" w:eastAsia="Arial" w:hAnsi="Arial"/>
                <w:sz w:val="18"/>
                <w:szCs w:val="18"/>
                <w:color w:val="auto"/>
              </w:rPr>
              <w:t>98,335</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7.47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98,335</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r>
      <w:tr>
        <w:trPr>
          <w:trHeight w:val="216"/>
        </w:trPr>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8.42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49,993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CEEFF"/>
          </w:tcPr>
          <w:p>
            <w:pPr>
              <w:spacing w:after="0"/>
              <w:rPr>
                <w:sz w:val="18"/>
                <w:szCs w:val="18"/>
                <w:color w:val="auto"/>
              </w:rPr>
            </w:pPr>
          </w:p>
        </w:tc>
      </w:tr>
      <w:tr>
        <w:trPr>
          <w:trHeight w:val="216"/>
        </w:trPr>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1540" w:type="dxa"/>
            <w:vAlign w:val="bottom"/>
          </w:tcPr>
          <w:p>
            <w:pPr>
              <w:jc w:val="right"/>
              <w:spacing w:after="0"/>
              <w:rPr>
                <w:sz w:val="20"/>
                <w:szCs w:val="20"/>
                <w:color w:val="auto"/>
              </w:rPr>
            </w:pPr>
            <w:r>
              <w:rPr>
                <w:rFonts w:ascii="Arial" w:cs="Arial" w:eastAsia="Arial" w:hAnsi="Arial"/>
                <w:sz w:val="18"/>
                <w:szCs w:val="18"/>
                <w:color w:val="auto"/>
              </w:rPr>
              <w:t>138,488</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3.00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138,488</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r>
      <w:tr>
        <w:trPr>
          <w:trHeight w:val="250"/>
        </w:trPr>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14.40 to $15.00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80" w:type="dxa"/>
            <w:vAlign w:val="bottom"/>
            <w:shd w:val="clear" w:color="auto" w:fill="CCEEFF"/>
          </w:tcPr>
          <w:p>
            <w:pPr>
              <w:spacing w:after="0"/>
              <w:rPr>
                <w:sz w:val="21"/>
                <w:szCs w:val="21"/>
                <w:color w:val="auto"/>
              </w:rPr>
            </w:pPr>
          </w:p>
        </w:tc>
      </w:tr>
      <w:tr>
        <w:trPr>
          <w:trHeight w:val="216"/>
        </w:trPr>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57"/>
        </w:trPr>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8.70</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351,532</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80" w:type="dxa"/>
            <w:vAlign w:val="bottom"/>
            <w:tcBorders>
              <w:bottom w:val="single" w:sz="8" w:color="CCEEFF"/>
            </w:tcBorders>
            <w:shd w:val="clear" w:color="auto" w:fill="CCEEFF"/>
          </w:tcPr>
          <w:p>
            <w:pPr>
              <w:spacing w:after="0"/>
              <w:rPr>
                <w:sz w:val="22"/>
                <w:szCs w:val="22"/>
                <w:color w:val="auto"/>
              </w:rPr>
            </w:pPr>
          </w:p>
        </w:tc>
      </w:tr>
    </w:tbl>
    <w:p>
      <w:pPr>
        <w:spacing w:after="0" w:line="23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March 31, 2017, there were 1,184,911 shares of our common stock remaining available for grant under the 2016 Plan. There were no option exercises during the years ended March 31, 2017 or 2016.</w:t>
      </w:r>
    </w:p>
    <w:p>
      <w:pPr>
        <w:spacing w:after="0" w:line="1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Aggregate intrinsic value is the sum of the amount by which the fair value of the underlying common stock exceeds the aggregate exercise price of the outstanding options (</w:t>
      </w:r>
      <w:r>
        <w:rPr>
          <w:rFonts w:ascii="Arial" w:cs="Arial" w:eastAsia="Arial" w:hAnsi="Arial"/>
          <w:sz w:val="18"/>
          <w:szCs w:val="18"/>
          <w:i w:val="1"/>
          <w:iCs w:val="1"/>
          <w:color w:val="auto"/>
        </w:rPr>
        <w:t>in-the-money-options</w:t>
      </w:r>
      <w:r>
        <w:rPr>
          <w:rFonts w:ascii="Arial" w:cs="Arial" w:eastAsia="Arial" w:hAnsi="Arial"/>
          <w:sz w:val="18"/>
          <w:szCs w:val="18"/>
          <w:color w:val="auto"/>
        </w:rPr>
        <w:t>). Based on the $1.96 per share quoted market price of our common stock on March 31, 2017, there was no intrinsic value in any of our outstanding options at that date.</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March 31, 2017, there was approximately $3,004,900 of unrecognized compensation cost related to non-vested share-based compensation awards from the 2016 Plan, which is expected to be recognized through September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Cato Holding Company (</w:t>
      </w:r>
      <w:r>
        <w:rPr>
          <w:rFonts w:ascii="Arial" w:cs="Arial" w:eastAsia="Arial" w:hAnsi="Arial"/>
          <w:sz w:val="18"/>
          <w:szCs w:val="18"/>
          <w:i w:val="1"/>
          <w:iCs w:val="1"/>
          <w:color w:val="auto"/>
        </w:rPr>
        <w:t>CHC</w:t>
      </w:r>
      <w:r>
        <w:rPr>
          <w:rFonts w:ascii="Arial" w:cs="Arial" w:eastAsia="Arial" w:hAnsi="Arial"/>
          <w:sz w:val="18"/>
          <w:szCs w:val="18"/>
          <w:color w:val="auto"/>
        </w:rPr>
        <w:t>), doing business as Cato BioVentures (</w:t>
      </w:r>
      <w:r>
        <w:rPr>
          <w:rFonts w:ascii="Arial" w:cs="Arial" w:eastAsia="Arial" w:hAnsi="Arial"/>
          <w:sz w:val="18"/>
          <w:szCs w:val="18"/>
          <w:i w:val="1"/>
          <w:iCs w:val="1"/>
          <w:color w:val="auto"/>
        </w:rPr>
        <w:t>CBV</w:t>
      </w:r>
      <w:r>
        <w:rPr>
          <w:rFonts w:ascii="Arial" w:cs="Arial" w:eastAsia="Arial" w:hAnsi="Arial"/>
          <w:sz w:val="18"/>
          <w:szCs w:val="18"/>
          <w:color w:val="auto"/>
        </w:rPr>
        <w:t>), is the parent of CRL. CRL is a contract research, development and regulatory services organization (</w:t>
      </w:r>
      <w:r>
        <w:rPr>
          <w:rFonts w:ascii="Arial" w:cs="Arial" w:eastAsia="Arial" w:hAnsi="Arial"/>
          <w:sz w:val="18"/>
          <w:szCs w:val="18"/>
          <w:i w:val="1"/>
          <w:iCs w:val="1"/>
          <w:color w:val="auto"/>
        </w:rPr>
        <w:t>CRO</w:t>
      </w:r>
      <w:r>
        <w:rPr>
          <w:rFonts w:ascii="Arial" w:cs="Arial" w:eastAsia="Arial" w:hAnsi="Arial"/>
          <w:sz w:val="18"/>
          <w:szCs w:val="18"/>
          <w:color w:val="auto"/>
        </w:rPr>
        <w:t xml:space="preserve">) engaged by us for certain aspects of the development and regulatory affairs associated with AV-101. CBV is among our largest institutional stockholders at March 31, 2017, holding approximately 6.9% of our outstanding common stock. In October 2012, we issued certain unsecured promissory notes in the aggregate face amount of approximately $1.3 million to CBV and CRL (the </w:t>
      </w:r>
      <w:r>
        <w:rPr>
          <w:rFonts w:ascii="Arial" w:cs="Arial" w:eastAsia="Arial" w:hAnsi="Arial"/>
          <w:sz w:val="18"/>
          <w:szCs w:val="18"/>
          <w:i w:val="1"/>
          <w:iCs w:val="1"/>
          <w:color w:val="auto"/>
        </w:rPr>
        <w:t>Cato Notes</w:t>
      </w:r>
      <w:r>
        <w:rPr>
          <w:rFonts w:ascii="Arial" w:cs="Arial" w:eastAsia="Arial" w:hAnsi="Arial"/>
          <w:sz w:val="18"/>
          <w:szCs w:val="18"/>
          <w:color w:val="auto"/>
        </w:rPr>
        <w:t xml:space="preserve">) as payment in full for all contract research and development services and regulatory advice previously rendered to us by CRL. As described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the Cato Notes and additional amounts payable to CRL for CRO services were extinguished in June 2015 in exchange for our issuance of an aggregate of 328,571 shares of Series B Preferred to CBV, which shares of Series B Preferred were automatically converted into an equal number of registered shares of our common stock in connection with the May 2016 Public Offering.</w:t>
      </w:r>
    </w:p>
    <w:p>
      <w:pPr>
        <w:spacing w:after="0" w:line="199"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Under the terms of our contract research arrangement with CRL related to the development of AV-101, we incurred expenses of $254,600 and $52,600 for the fiscal years ended March 31, 2017 and 2016, respectively. Total interest expense on the Cato Notes was $28,200 for the fiscal year ended March 31, 2016.</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Contingencies, Guarantees and Indemnifications</w:t>
      </w:r>
    </w:p>
    <w:p>
      <w:pPr>
        <w:spacing w:after="0" w:line="23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3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2017 or 2016.</w:t>
      </w:r>
    </w:p>
    <w:p>
      <w:pPr>
        <w:spacing w:after="0" w:line="17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2017 or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ectPr>
          <w:pgSz w:w="11900" w:h="16838" w:orient="portrait"/>
          <w:cols w:equalWidth="0" w:num="1">
            <w:col w:w="11420"/>
          </w:cols>
          <w:pgMar w:left="240" w:top="131" w:right="239" w:bottom="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As of March 31, 2017 and 2016, the following assets are subject to capital lease obligations and included in property and equipment: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book value</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Amortization expense for assets recorded under capital leases is included in depreciation expense. Future minimum payments, by year and in the aggregate, required under capital leases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Capital</w:t>
            </w:r>
          </w:p>
        </w:tc>
        <w:tc>
          <w:tcPr>
            <w:tcW w:w="0" w:type="dxa"/>
            <w:vAlign w:val="bottom"/>
          </w:tcPr>
          <w:p>
            <w:pPr>
              <w:spacing w:after="0"/>
              <w:rPr>
                <w:sz w:val="1"/>
                <w:szCs w:val="1"/>
                <w:color w:val="auto"/>
              </w:rPr>
            </w:pPr>
          </w:p>
        </w:tc>
      </w:tr>
      <w:tr>
        <w:trPr>
          <w:trHeight w:val="231"/>
        </w:trPr>
        <w:tc>
          <w:tcPr>
            <w:tcW w:w="5020" w:type="dxa"/>
            <w:vAlign w:val="bottom"/>
            <w:gridSpan w:val="3"/>
          </w:tcPr>
          <w:p>
            <w:pPr>
              <w:spacing w:after="0"/>
              <w:rPr>
                <w:sz w:val="20"/>
                <w:szCs w:val="20"/>
                <w:color w:val="auto"/>
              </w:rPr>
            </w:pPr>
            <w:r>
              <w:rPr>
                <w:rFonts w:ascii="Arial" w:cs="Arial" w:eastAsia="Arial" w:hAnsi="Arial"/>
                <w:sz w:val="18"/>
                <w:szCs w:val="18"/>
                <w:color w:val="auto"/>
              </w:rPr>
              <w:t>Fiscal Years Ending March 31,</w:t>
            </w:r>
          </w:p>
        </w:tc>
        <w:tc>
          <w:tcPr>
            <w:tcW w:w="5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Leases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2018</w:t>
            </w:r>
          </w:p>
        </w:tc>
        <w:tc>
          <w:tcPr>
            <w:tcW w:w="378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2019</w:t>
            </w:r>
          </w:p>
        </w:tc>
        <w:tc>
          <w:tcPr>
            <w:tcW w:w="37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37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2021</w:t>
            </w:r>
          </w:p>
        </w:tc>
        <w:tc>
          <w:tcPr>
            <w:tcW w:w="37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2022</w:t>
            </w:r>
          </w:p>
        </w:tc>
        <w:tc>
          <w:tcPr>
            <w:tcW w:w="3780" w:type="dxa"/>
            <w:vAlign w:val="bottom"/>
            <w:tcBorders>
              <w:bottom w:val="single" w:sz="8" w:color="CCEEFF"/>
            </w:tcBorders>
            <w:shd w:val="clear" w:color="auto" w:fill="CCEEFF"/>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Future minimum lease payments</w:t>
            </w: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tcPr>
          <w:p>
            <w:pPr>
              <w:ind w:left="320"/>
              <w:spacing w:after="0"/>
              <w:rPr>
                <w:sz w:val="20"/>
                <w:szCs w:val="20"/>
                <w:color w:val="auto"/>
              </w:rPr>
            </w:pPr>
            <w:r>
              <w:rPr>
                <w:rFonts w:ascii="Arial" w:cs="Arial" w:eastAsia="Arial" w:hAnsi="Arial"/>
                <w:sz w:val="18"/>
                <w:szCs w:val="18"/>
                <w:color w:val="auto"/>
                <w:w w:val="98"/>
              </w:rPr>
              <w:t>Less imputed interest included in minimum lease payments</w:t>
            </w:r>
          </w:p>
        </w:tc>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Present value of minimum lease payments</w:t>
            </w: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tcPr>
          <w:p>
            <w:pPr>
              <w:ind w:left="320"/>
              <w:spacing w:after="0"/>
              <w:rPr>
                <w:sz w:val="20"/>
                <w:szCs w:val="20"/>
                <w:color w:val="auto"/>
              </w:rPr>
            </w:pPr>
            <w:r>
              <w:rPr>
                <w:rFonts w:ascii="Arial" w:cs="Arial" w:eastAsia="Arial" w:hAnsi="Arial"/>
                <w:sz w:val="18"/>
                <w:szCs w:val="18"/>
                <w:color w:val="auto"/>
              </w:rPr>
              <w:t>Less current portion</w:t>
            </w:r>
          </w:p>
        </w:tc>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Non-current capital lease obligation</w:t>
            </w:r>
          </w:p>
        </w:tc>
        <w:tc>
          <w:tcPr>
            <w:tcW w:w="5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jc w:val="right"/>
              <w:ind w:right="4500"/>
              <w:spacing w:after="0"/>
              <w:rPr>
                <w:sz w:val="20"/>
                <w:szCs w:val="20"/>
                <w:color w:val="auto"/>
              </w:rPr>
            </w:pPr>
            <w:r>
              <w:rPr>
                <w:rFonts w:ascii="Arial" w:cs="Arial" w:eastAsia="Arial" w:hAnsi="Arial"/>
                <w:sz w:val="18"/>
                <w:szCs w:val="18"/>
                <w:color w:val="auto"/>
              </w:rPr>
              <w:t>F-30</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5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At March 31, 2017, future minimum payments under operating leases relate to our facility lease in South San Francisco, California through July 31, 2022 and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200" w:type="dxa"/>
            <w:vAlign w:val="bottom"/>
            <w:gridSpan w:val="2"/>
          </w:tcPr>
          <w:p>
            <w:pPr>
              <w:jc w:val="right"/>
              <w:ind w:right="7932"/>
              <w:spacing w:after="0"/>
              <w:rPr>
                <w:sz w:val="20"/>
                <w:szCs w:val="20"/>
                <w:color w:val="auto"/>
              </w:rPr>
            </w:pPr>
            <w:r>
              <w:rPr>
                <w:rFonts w:ascii="Arial" w:cs="Arial" w:eastAsia="Arial" w:hAnsi="Arial"/>
                <w:sz w:val="18"/>
                <w:szCs w:val="18"/>
                <w:color w:val="auto"/>
                <w:w w:val="88"/>
              </w:rPr>
              <w:t>Fiscal Years Ending March 31,</w:t>
            </w:r>
          </w:p>
        </w:tc>
        <w:tc>
          <w:tcPr>
            <w:tcW w:w="16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Amount</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jc w:val="right"/>
              <w:ind w:right="9432"/>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jc w:val="right"/>
              <w:ind w:right="9432"/>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602,800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jc w:val="right"/>
              <w:ind w:right="9432"/>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jc w:val="right"/>
              <w:ind w:right="9432"/>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645,800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jc w:val="right"/>
              <w:ind w:right="9432"/>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668,400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Pr>
          <w:p>
            <w:pPr>
              <w:jc w:val="right"/>
              <w:ind w:right="9432"/>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225,300</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3,154,600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incurred total facility rent expense for the fiscal years ended March 31, 2017 and 2016 of $482,100 and $337,200,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Repayment</w:t>
      </w:r>
    </w:p>
    <w:p>
      <w:pPr>
        <w:spacing w:after="0" w:line="225"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At March 31, 2017, future minimum principal payments on outstanding notes related only to our insurance premium financing arrangement in the principal amount of $54,800, which will be repaid in monthly principal and interest installments of $6,300 through December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have evaluated subsequent events through the date of this report and have identified the following material events and transactions that occurred after March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Common Stock and Warrants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Between April 1 and June 27, 2017, in self-placed private placement transactions, we sold to accredited investors units consisting of (i) an aggregate of 437,751 shares of our unregistered common stock and (ii) warrants to purchase an aggregate of 218,875 shares of our common stock at an exercise price of $4.00 per share. We received cash proceeds of $873,300 from these sales of our securities, bringing total proceeds from the Spring 2017 Private Placement to approximately $1.0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Grants</w:t>
      </w:r>
    </w:p>
    <w:p>
      <w:pPr>
        <w:spacing w:after="0" w:line="225"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On April 27, 2017, when the quoted market price of our common stock was $1.96 per share, the Board granted options to purchase an aggregate of 880,000 shares of our common stock at an exercise price of $1.96 per share to all officers, employees and independent members of the Board pursuant to the 2016 Plan.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Financial Information (Unaudited)</w:t>
      </w:r>
    </w:p>
    <w:p>
      <w:pPr>
        <w:sectPr>
          <w:pgSz w:w="11900" w:h="16838" w:orient="portrait"/>
          <w:cols w:equalWidth="0" w:num="1">
            <w:col w:w="11420"/>
          </w:cols>
          <w:pgMar w:left="240" w:top="131" w:right="239" w:bottom="0" w:gutter="0" w:footer="0" w:header="0"/>
        </w:sectPr>
      </w:pPr>
    </w:p>
    <w:bookmarkStart w:id="148" w:name="page149"/>
    <w:bookmarkEnd w:id="148"/>
    <w:p>
      <w:pPr>
        <w:jc w:val="both"/>
        <w:ind w:right="200"/>
        <w:spacing w:after="0" w:line="298" w:lineRule="auto"/>
        <w:rPr>
          <w:sz w:val="20"/>
          <w:szCs w:val="20"/>
          <w:color w:val="auto"/>
        </w:rPr>
      </w:pPr>
      <w:r>
        <w:rPr>
          <w:rFonts w:ascii="Arial" w:cs="Arial" w:eastAsia="Arial" w:hAnsi="Arial"/>
          <w:sz w:val="16"/>
          <w:szCs w:val="16"/>
          <w:color w:val="auto"/>
        </w:rPr>
        <w:t>The following table presents the unaudited statements of operations data for each of the eight quarters in the period ended March 31, 2017.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right"/>
              <w:ind w:right="280"/>
              <w:spacing w:after="0" w:line="201" w:lineRule="exact"/>
              <w:rPr>
                <w:sz w:val="20"/>
                <w:szCs w:val="20"/>
                <w:color w:val="auto"/>
              </w:rPr>
            </w:pPr>
            <w:r>
              <w:rPr>
                <w:rFonts w:ascii="Arial" w:cs="Arial" w:eastAsia="Arial" w:hAnsi="Arial"/>
                <w:sz w:val="18"/>
                <w:szCs w:val="18"/>
                <w:b w:val="1"/>
                <w:bCs w:val="1"/>
                <w:color w:val="auto"/>
                <w:w w:val="88"/>
              </w:rPr>
              <w:t>September</w:t>
            </w:r>
          </w:p>
        </w:tc>
        <w:tc>
          <w:tcPr>
            <w:tcW w:w="1140" w:type="dxa"/>
            <w:vAlign w:val="bottom"/>
            <w:tcBorders>
              <w:top w:val="single" w:sz="8" w:color="auto"/>
            </w:tcBorders>
            <w:gridSpan w:val="3"/>
          </w:tcPr>
          <w:p>
            <w:pPr>
              <w:jc w:val="right"/>
              <w:ind w:right="300"/>
              <w:spacing w:after="0" w:line="201" w:lineRule="exact"/>
              <w:rPr>
                <w:sz w:val="20"/>
                <w:szCs w:val="20"/>
                <w:color w:val="auto"/>
              </w:rPr>
            </w:pPr>
            <w:r>
              <w:rPr>
                <w:rFonts w:ascii="Arial" w:cs="Arial" w:eastAsia="Arial" w:hAnsi="Arial"/>
                <w:sz w:val="18"/>
                <w:szCs w:val="18"/>
                <w:b w:val="1"/>
                <w:bCs w:val="1"/>
                <w:color w:val="auto"/>
                <w:w w:val="94"/>
              </w:rPr>
              <w:t>December</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8"/>
              </w:rPr>
              <w:t>March 31,</w:t>
            </w: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Fiscal Year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Total revenue</w:t>
            </w:r>
          </w:p>
        </w:tc>
        <w:tc>
          <w:tcPr>
            <w:tcW w:w="12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2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Loss from operations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(2,637)</w:t>
            </w:r>
          </w:p>
        </w:tc>
        <w:tc>
          <w:tcPr>
            <w:tcW w:w="1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(2,548)</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expenses, net:</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(2,638)</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(2,549)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taxes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(2,638)</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(2,549)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dividend on Series B Preferred stock</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Deemed dividend on Series B Preferred stock</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(3,342)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(2,787)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(11,624)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Basic and diluted net loss per common share</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attributable to common stockholders</w:t>
            </w:r>
          </w:p>
        </w:tc>
        <w:tc>
          <w:tcPr>
            <w:tcW w:w="12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5,097,832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8,047,619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8,381,824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8,602,107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7,531,642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F-32</w:t>
            </w: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right"/>
              <w:ind w:right="280"/>
              <w:spacing w:after="0" w:line="201" w:lineRule="exact"/>
              <w:rPr>
                <w:sz w:val="20"/>
                <w:szCs w:val="20"/>
                <w:color w:val="auto"/>
              </w:rPr>
            </w:pPr>
            <w:r>
              <w:rPr>
                <w:rFonts w:ascii="Arial" w:cs="Arial" w:eastAsia="Arial" w:hAnsi="Arial"/>
                <w:sz w:val="18"/>
                <w:szCs w:val="18"/>
                <w:b w:val="1"/>
                <w:bCs w:val="1"/>
                <w:color w:val="auto"/>
                <w:w w:val="88"/>
              </w:rPr>
              <w:t>September</w:t>
            </w:r>
          </w:p>
        </w:tc>
        <w:tc>
          <w:tcPr>
            <w:tcW w:w="1040" w:type="dxa"/>
            <w:vAlign w:val="bottom"/>
            <w:tcBorders>
              <w:top w:val="single" w:sz="8" w:color="auto"/>
            </w:tcBorders>
            <w:gridSpan w:val="4"/>
          </w:tcPr>
          <w:p>
            <w:pPr>
              <w:jc w:val="right"/>
              <w:ind w:right="200"/>
              <w:spacing w:after="0" w:line="201" w:lineRule="exact"/>
              <w:rPr>
                <w:sz w:val="20"/>
                <w:szCs w:val="20"/>
                <w:color w:val="auto"/>
              </w:rPr>
            </w:pPr>
            <w:r>
              <w:rPr>
                <w:rFonts w:ascii="Arial" w:cs="Arial" w:eastAsia="Arial" w:hAnsi="Arial"/>
                <w:sz w:val="18"/>
                <w:szCs w:val="18"/>
                <w:b w:val="1"/>
                <w:bCs w:val="1"/>
                <w:color w:val="auto"/>
                <w:w w:val="94"/>
              </w:rPr>
              <w:t>December</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Fiscal Year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2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(5,387)</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
              <w:spacing w:after="0"/>
              <w:rPr>
                <w:sz w:val="20"/>
                <w:szCs w:val="20"/>
                <w:color w:val="auto"/>
              </w:rPr>
            </w:pPr>
            <w:r>
              <w:rPr>
                <w:rFonts w:ascii="Arial" w:cs="Arial" w:eastAsia="Arial" w:hAnsi="Arial"/>
                <w:sz w:val="18"/>
                <w:szCs w:val="18"/>
                <w:color w:val="auto"/>
              </w:rPr>
              <w:t>(8,501)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Other expenses, net:</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60"/>
              <w:spacing w:after="0"/>
              <w:rPr>
                <w:sz w:val="20"/>
                <w:szCs w:val="20"/>
                <w:color w:val="auto"/>
              </w:rPr>
            </w:pPr>
            <w:r>
              <w:rPr>
                <w:rFonts w:ascii="Arial" w:cs="Arial" w:eastAsia="Arial" w:hAnsi="Arial"/>
                <w:sz w:val="18"/>
                <w:szCs w:val="18"/>
                <w:color w:val="auto"/>
              </w:rPr>
              <w:t>Change in warrant liabilities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ind w:left="360"/>
              <w:spacing w:after="0"/>
              <w:rPr>
                <w:sz w:val="20"/>
                <w:szCs w:val="20"/>
                <w:color w:val="auto"/>
              </w:rPr>
            </w:pPr>
            <w:r>
              <w:rPr>
                <w:rFonts w:ascii="Arial" w:cs="Arial" w:eastAsia="Arial" w:hAnsi="Arial"/>
                <w:sz w:val="18"/>
                <w:szCs w:val="18"/>
                <w:color w:val="auto"/>
              </w:rPr>
              <w:t>Other expense, net</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(29,522)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(7,048)</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
              <w:spacing w:after="0"/>
              <w:rPr>
                <w:sz w:val="20"/>
                <w:szCs w:val="20"/>
                <w:color w:val="auto"/>
              </w:rPr>
            </w:pPr>
            <w:r>
              <w:rPr>
                <w:rFonts w:ascii="Arial" w:cs="Arial" w:eastAsia="Arial" w:hAnsi="Arial"/>
                <w:sz w:val="18"/>
                <w:szCs w:val="18"/>
                <w:color w:val="auto"/>
              </w:rPr>
              <w:t>(8,502)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(29,524)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(7,048)</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
              <w:spacing w:after="0"/>
              <w:rPr>
                <w:sz w:val="20"/>
                <w:szCs w:val="20"/>
                <w:color w:val="auto"/>
              </w:rPr>
            </w:pPr>
            <w:r>
              <w:rPr>
                <w:rFonts w:ascii="Arial" w:cs="Arial" w:eastAsia="Arial" w:hAnsi="Arial"/>
                <w:sz w:val="18"/>
                <w:szCs w:val="18"/>
                <w:color w:val="auto"/>
              </w:rPr>
              <w:t>(8,502)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w w:val="91"/>
              </w:rPr>
              <w:t>Accrued dividend on Series B Preferred stock</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Deemed dividend on Series B Preferred stock</w:t>
            </w:r>
          </w:p>
        </w:tc>
        <w:tc>
          <w:tcPr>
            <w:tcW w:w="22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3"/>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Net loss attributable to common stockholders</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
              <w:spacing w:after="0"/>
              <w:rPr>
                <w:sz w:val="20"/>
                <w:szCs w:val="20"/>
                <w:color w:val="auto"/>
              </w:rPr>
            </w:pPr>
            <w:r>
              <w:rPr>
                <w:rFonts w:ascii="Arial" w:cs="Arial" w:eastAsia="Arial" w:hAnsi="Arial"/>
                <w:sz w:val="18"/>
                <w:szCs w:val="18"/>
                <w:color w:val="auto"/>
              </w:rPr>
              <w:t>(9,429)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Basic and diluted net loss per common share</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
              <w:spacing w:after="0"/>
              <w:rPr>
                <w:sz w:val="20"/>
                <w:szCs w:val="20"/>
                <w:color w:val="auto"/>
              </w:rPr>
            </w:pPr>
            <w:r>
              <w:rPr>
                <w:rFonts w:ascii="Arial" w:cs="Arial" w:eastAsia="Arial" w:hAnsi="Arial"/>
                <w:sz w:val="18"/>
                <w:szCs w:val="18"/>
                <w:color w:val="auto"/>
              </w:rPr>
              <w:t>(4.44)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Weighted average shares used in computing:</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60"/>
              <w:spacing w:after="0"/>
              <w:rPr>
                <w:sz w:val="20"/>
                <w:szCs w:val="20"/>
                <w:color w:val="auto"/>
              </w:rPr>
            </w:pPr>
            <w:r>
              <w:rPr>
                <w:rFonts w:ascii="Arial" w:cs="Arial" w:eastAsia="Arial" w:hAnsi="Arial"/>
                <w:sz w:val="18"/>
                <w:szCs w:val="18"/>
                <w:color w:val="auto"/>
                <w:w w:val="88"/>
              </w:rPr>
              <w:t>Basic and diluted net loss per common share</w:t>
            </w:r>
          </w:p>
        </w:tc>
        <w:tc>
          <w:tcPr>
            <w:tcW w:w="2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1,559,483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1,624,371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1,765,641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2,123,936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1,767,957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center"/>
              <w:ind w:left="1792"/>
              <w:spacing w:after="0"/>
              <w:rPr>
                <w:sz w:val="20"/>
                <w:szCs w:val="20"/>
                <w:color w:val="auto"/>
              </w:rPr>
            </w:pPr>
            <w:r>
              <w:rPr>
                <w:rFonts w:ascii="Arial" w:cs="Arial" w:eastAsia="Arial" w:hAnsi="Arial"/>
                <w:sz w:val="18"/>
                <w:szCs w:val="18"/>
                <w:color w:val="auto"/>
                <w:w w:val="91"/>
              </w:rPr>
              <w:t>F-33</w:t>
            </w: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8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3580" w:type="dxa"/>
            <w:vAlign w:val="bottom"/>
            <w:gridSpan w:val="6"/>
          </w:tcPr>
          <w:p>
            <w:pPr>
              <w:jc w:val="center"/>
              <w:ind w:left="592"/>
              <w:spacing w:after="0"/>
              <w:rPr>
                <w:sz w:val="20"/>
                <w:szCs w:val="20"/>
                <w:color w:val="auto"/>
              </w:rPr>
            </w:pPr>
            <w:r>
              <w:rPr>
                <w:rFonts w:ascii="Arial" w:cs="Arial" w:eastAsia="Arial" w:hAnsi="Arial"/>
                <w:sz w:val="18"/>
                <w:szCs w:val="18"/>
                <w:b w:val="1"/>
                <w:bCs w:val="1"/>
                <w:color w:val="auto"/>
                <w:w w:val="98"/>
              </w:rPr>
              <w:t>VISTAGEN THERAPEUTICS, INC.</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54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54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24"/>
                <w:szCs w:val="24"/>
                <w:color w:val="auto"/>
              </w:rPr>
            </w:pPr>
          </w:p>
        </w:tc>
        <w:tc>
          <w:tcPr>
            <w:tcW w:w="11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center"/>
              <w:ind w:right="192"/>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1,764,400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2,921,300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w w:val="97"/>
              </w:rPr>
              <w:t>Prepaid expenses and other current assets</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563,300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2,327,700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3,377,900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242,000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 and other assets</w:t>
            </w:r>
          </w:p>
        </w:tc>
        <w:tc>
          <w:tcPr>
            <w:tcW w:w="22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47,800</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2"/>
              </w:rPr>
              <w:t>2,617,500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3,712,200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4"/>
          </w:tcPr>
          <w:p>
            <w:pPr>
              <w:ind w:left="40"/>
              <w:spacing w:after="0"/>
              <w:rPr>
                <w:sz w:val="20"/>
                <w:szCs w:val="20"/>
                <w:color w:val="auto"/>
              </w:rPr>
            </w:pPr>
            <w:r>
              <w:rPr>
                <w:rFonts w:ascii="Arial" w:cs="Arial" w:eastAsia="Arial" w:hAnsi="Arial"/>
                <w:sz w:val="18"/>
                <w:szCs w:val="18"/>
                <w:b w:val="1"/>
                <w:bCs w:val="1"/>
                <w:color w:val="auto"/>
              </w:rPr>
              <w:t>LIABILITIES AND STOCKHOLDERS’ EQUITY (DEFICIT)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2"/>
              </w:rPr>
              <w:t>1,151,000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867,300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625,600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rPr>
              <w:t>Current notes payable</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105,200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Capital lease obligations</w:t>
            </w:r>
          </w:p>
        </w:tc>
        <w:tc>
          <w:tcPr>
            <w:tcW w:w="22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ind w:left="360"/>
              <w:spacing w:after="0"/>
              <w:rPr>
                <w:sz w:val="20"/>
                <w:szCs w:val="20"/>
                <w:color w:val="auto"/>
              </w:rPr>
            </w:pPr>
            <w:r>
              <w:rPr>
                <w:rFonts w:ascii="Arial" w:cs="Arial" w:eastAsia="Arial" w:hAnsi="Arial"/>
                <w:sz w:val="18"/>
                <w:szCs w:val="18"/>
                <w:color w:val="auto"/>
              </w:rPr>
              <w:t>Total current liabilities</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1,884,300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1,367,500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Non-current liabilities: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Accrued dividends on Series B Preferred Stock</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2,081,400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1,577,800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rPr>
              <w:t>Deferred rent liability</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312,700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Capital lease obligations</w:t>
            </w:r>
          </w:p>
        </w:tc>
        <w:tc>
          <w:tcPr>
            <w:tcW w:w="22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10,700</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ind w:left="360"/>
              <w:spacing w:after="0"/>
              <w:rPr>
                <w:sz w:val="20"/>
                <w:szCs w:val="20"/>
                <w:color w:val="auto"/>
              </w:rPr>
            </w:pPr>
            <w:r>
              <w:rPr>
                <w:rFonts w:ascii="Arial" w:cs="Arial" w:eastAsia="Arial" w:hAnsi="Arial"/>
                <w:sz w:val="18"/>
                <w:szCs w:val="18"/>
                <w:color w:val="auto"/>
              </w:rPr>
              <w:t>Total non-current liabilities</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2,404,800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1,728,900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2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4,289,100</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3,096,400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719" w:right="239" w:bottom="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w w:val="97"/>
              </w:rPr>
              <w:t>Preferred stock, $0.001 par value; 10,000,000 shares authorized at September 30, 2017 and March 31, 2017: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Series A Preferred, 500,000 shares authorized, issued and outstanding at September 30, 2017 and March 31, 2017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500</w:t>
            </w:r>
          </w:p>
        </w:tc>
      </w:tr>
      <w:tr>
        <w:trPr>
          <w:trHeight w:val="208"/>
        </w:trPr>
        <w:tc>
          <w:tcPr>
            <w:tcW w:w="8700" w:type="dxa"/>
            <w:vAlign w:val="bottom"/>
          </w:tcPr>
          <w:p>
            <w:pPr>
              <w:ind w:left="340"/>
              <w:spacing w:after="0"/>
              <w:rPr>
                <w:sz w:val="20"/>
                <w:szCs w:val="20"/>
                <w:color w:val="auto"/>
              </w:rPr>
            </w:pPr>
            <w:r>
              <w:rPr>
                <w:rFonts w:ascii="Arial" w:cs="Arial" w:eastAsia="Arial" w:hAnsi="Arial"/>
                <w:sz w:val="18"/>
                <w:szCs w:val="18"/>
                <w:color w:val="auto"/>
                <w:w w:val="88"/>
              </w:rPr>
              <w:t>Series B Preferred; 4,000,000 shares authorized at September 30, 2017 and March 31, 2017; 1,160,240 shares issued</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8700" w:type="dxa"/>
            <w:vAlign w:val="bottom"/>
          </w:tcPr>
          <w:p>
            <w:pPr>
              <w:ind w:left="500"/>
              <w:spacing w:after="0"/>
              <w:rPr>
                <w:sz w:val="20"/>
                <w:szCs w:val="20"/>
                <w:color w:val="auto"/>
              </w:rPr>
            </w:pPr>
            <w:r>
              <w:rPr>
                <w:rFonts w:ascii="Arial" w:cs="Arial" w:eastAsia="Arial" w:hAnsi="Arial"/>
                <w:sz w:val="18"/>
                <w:szCs w:val="18"/>
                <w:color w:val="auto"/>
              </w:rPr>
              <w:t>and outstanding at September 30, 2017 and March 31, 2017</w:t>
            </w:r>
          </w:p>
        </w:tc>
        <w:tc>
          <w:tcPr>
            <w:tcW w:w="2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1,200</w:t>
            </w:r>
          </w:p>
        </w:tc>
        <w:tc>
          <w:tcPr>
            <w:tcW w:w="2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1,200</w:t>
            </w:r>
          </w:p>
        </w:tc>
      </w:tr>
      <w:tr>
        <w:trPr>
          <w:trHeight w:val="209"/>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Series C Preferred; 3,000,000 shares authorized at September 30, 2017 and March 31, 2017; 2,318,012 shares issued</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and outstanding at September 30, 2017 and March 31, 2017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2,300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2,300</w:t>
            </w:r>
          </w:p>
        </w:tc>
      </w:tr>
      <w:tr>
        <w:trPr>
          <w:trHeight w:val="208"/>
        </w:trPr>
        <w:tc>
          <w:tcPr>
            <w:tcW w:w="8700" w:type="dxa"/>
            <w:vAlign w:val="bottom"/>
          </w:tcPr>
          <w:p>
            <w:pPr>
              <w:ind w:left="180"/>
              <w:spacing w:after="0"/>
              <w:rPr>
                <w:sz w:val="20"/>
                <w:szCs w:val="20"/>
                <w:color w:val="auto"/>
              </w:rPr>
            </w:pPr>
            <w:r>
              <w:rPr>
                <w:rFonts w:ascii="Arial" w:cs="Arial" w:eastAsia="Arial" w:hAnsi="Arial"/>
                <w:sz w:val="18"/>
                <w:szCs w:val="18"/>
                <w:color w:val="auto"/>
                <w:w w:val="88"/>
              </w:rPr>
              <w:t>Common stock, $0.001 par value; 100,000,000 and 30,000,000 shares authorized at September 30, 2017 and March 31,</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w w:val="90"/>
              </w:rPr>
              <w:t>2017, respectively; 11,764,639 and 8,974,386 shares issued and outstanding at September 30, 2017 and March 31,</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8700" w:type="dxa"/>
            <w:vAlign w:val="bottom"/>
          </w:tcPr>
          <w:p>
            <w:pPr>
              <w:ind w:left="340"/>
              <w:spacing w:after="0"/>
              <w:rPr>
                <w:sz w:val="20"/>
                <w:szCs w:val="20"/>
                <w:color w:val="auto"/>
              </w:rPr>
            </w:pPr>
            <w:r>
              <w:rPr>
                <w:rFonts w:ascii="Arial" w:cs="Arial" w:eastAsia="Arial" w:hAnsi="Arial"/>
                <w:sz w:val="18"/>
                <w:szCs w:val="18"/>
                <w:color w:val="auto"/>
              </w:rPr>
              <w:t>2017, respectively</w:t>
            </w:r>
          </w:p>
        </w:tc>
        <w:tc>
          <w:tcPr>
            <w:tcW w:w="2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11,800</w:t>
            </w:r>
          </w:p>
        </w:tc>
        <w:tc>
          <w:tcPr>
            <w:tcW w:w="2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9,000</w:t>
            </w:r>
          </w:p>
        </w:tc>
      </w:tr>
      <w:tr>
        <w:trPr>
          <w:trHeight w:val="217"/>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151,541,700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3"/>
              </w:rPr>
              <w:t>146,569,600</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Treasury stock, at cost, 135,665 shares of common stock held at September 30, 2017 and March 31, 2017</w:t>
            </w:r>
          </w:p>
        </w:tc>
        <w:tc>
          <w:tcPr>
            <w:tcW w:w="24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(3,968,100)</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(3,968,100)</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(149,261,000)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(141,998,700)</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(1,671,600)</w:t>
            </w:r>
          </w:p>
        </w:tc>
        <w:tc>
          <w:tcPr>
            <w:tcW w:w="24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615,800</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 (deficit)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2,617,500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3,712,200</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Three Months Ended September</w:t>
            </w:r>
          </w:p>
        </w:tc>
        <w:tc>
          <w:tcPr>
            <w:tcW w:w="120" w:type="dxa"/>
            <w:vAlign w:val="bottom"/>
          </w:tcPr>
          <w:p>
            <w:pPr>
              <w:spacing w:after="0"/>
              <w:rPr>
                <w:sz w:val="18"/>
                <w:szCs w:val="18"/>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Six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2,426,600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1,606,100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3,522,800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2,567,100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1,493,600</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3,731,400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4,993,700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3,099,700</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7,254,200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(4,993,700)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(3,099,700)</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(7,254,200)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(5,063,000)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(5,700)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(4,997,000)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(3,101,100)</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(7,259,900)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(5,065,800)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(4,997,000)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(3,101,100)</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(7,262,300)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(5,068,200)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Accrued dividend on Series B Preferred stock</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(256,300)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(241,000)</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(503,600)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(780,800)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Deemed dividend on Series B Preferred Units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(5,253,300)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(3,342,100)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(7,765,900)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(5,960,100)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attributable to common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stockholders per common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(0.82)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080" w:type="dxa"/>
            <w:vAlign w:val="bottom"/>
            <w:gridSpan w:val="2"/>
          </w:tcPr>
          <w:p>
            <w:pPr>
              <w:spacing w:after="0"/>
              <w:rPr>
                <w:sz w:val="20"/>
                <w:szCs w:val="20"/>
                <w:color w:val="auto"/>
              </w:rPr>
            </w:pPr>
            <w:r>
              <w:rPr>
                <w:rFonts w:ascii="Arial" w:cs="Arial" w:eastAsia="Arial" w:hAnsi="Arial"/>
                <w:sz w:val="18"/>
                <w:szCs w:val="18"/>
                <w:color w:val="auto"/>
              </w:rPr>
              <w:t>Weighted average shares used in computing basic</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diluted net loss attributable to common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stockholders per common share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9,892,016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8,041,619</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9,465,459</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6,577,769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w:t>
      </w:r>
    </w:p>
    <w:p>
      <w:pPr>
        <w:spacing w:after="0" w:line="213"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Six Months Ended September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4" w:lineRule="exact"/>
        <w:rPr>
          <w:sz w:val="20"/>
          <w:szCs w:val="20"/>
          <w:color w:val="auto"/>
        </w:rPr>
      </w:pPr>
    </w:p>
    <w:p>
      <w:pPr>
        <w:ind w:left="9200"/>
        <w:spacing w:after="0"/>
        <w:tabs>
          <w:tab w:leader="none" w:pos="105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14605</wp:posOffset>
            </wp:positionV>
            <wp:extent cx="156083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ectPr>
          <w:pgSz w:w="11900" w:h="16838" w:orient="portrait"/>
          <w:cols w:equalWidth="0" w:num="1">
            <w:col w:w="11420"/>
          </w:cols>
          <w:pgMar w:left="240" w:top="356" w:right="239" w:bottom="0" w:gutter="0" w:footer="0" w:header="0"/>
        </w:sectPr>
      </w:pPr>
    </w:p>
    <w:bookmarkStart w:id="151" w:name="page152"/>
    <w:bookmarkEnd w:id="151"/>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20" w:type="dxa"/>
            <w:vAlign w:val="bottom"/>
          </w:tcPr>
          <w:p>
            <w:pPr>
              <w:ind w:left="6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8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(7,262,300)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(5,068,200)</w:t>
            </w:r>
          </w:p>
        </w:tc>
      </w:tr>
      <w:tr>
        <w:trPr>
          <w:trHeight w:val="430"/>
        </w:trPr>
        <w:tc>
          <w:tcPr>
            <w:tcW w:w="8820" w:type="dxa"/>
            <w:vAlign w:val="bottom"/>
          </w:tcPr>
          <w:p>
            <w:pPr>
              <w:ind w:left="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8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0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697,600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306,700</w:t>
            </w:r>
          </w:p>
        </w:tc>
        <w:tc>
          <w:tcPr>
            <w:tcW w:w="140" w:type="dxa"/>
            <w:vAlign w:val="bottom"/>
          </w:tcPr>
          <w:p>
            <w:pPr>
              <w:spacing w:after="0"/>
              <w:rPr>
                <w:sz w:val="18"/>
                <w:szCs w:val="18"/>
                <w:color w:val="auto"/>
              </w:rPr>
            </w:pPr>
          </w:p>
        </w:tc>
      </w:tr>
      <w:tr>
        <w:trPr>
          <w:trHeight w:val="430"/>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 related to modification of warrants, including exchange of warrants</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434"/>
        </w:trPr>
        <w:tc>
          <w:tcPr>
            <w:tcW w:w="8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 common stock</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279,700</w:t>
            </w:r>
          </w:p>
        </w:tc>
        <w:tc>
          <w:tcPr>
            <w:tcW w:w="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57,400</w:t>
            </w:r>
          </w:p>
        </w:tc>
        <w:tc>
          <w:tcPr>
            <w:tcW w:w="140" w:type="dxa"/>
            <w:vAlign w:val="bottom"/>
            <w:shd w:val="clear" w:color="auto" w:fill="CCEEFF"/>
          </w:tcPr>
          <w:p>
            <w:pPr>
              <w:spacing w:after="0"/>
              <w:rPr>
                <w:sz w:val="24"/>
                <w:szCs w:val="24"/>
                <w:color w:val="auto"/>
              </w:rPr>
            </w:pPr>
          </w:p>
        </w:tc>
      </w:tr>
      <w:tr>
        <w:trPr>
          <w:trHeight w:val="216"/>
        </w:trPr>
        <w:tc>
          <w:tcPr>
            <w:tcW w:w="8820" w:type="dxa"/>
            <w:vAlign w:val="bottom"/>
          </w:tcPr>
          <w:p>
            <w:pPr>
              <w:ind w:left="300"/>
              <w:spacing w:after="0"/>
              <w:rPr>
                <w:sz w:val="20"/>
                <w:szCs w:val="20"/>
                <w:color w:val="auto"/>
              </w:rPr>
            </w:pPr>
            <w:r>
              <w:rPr>
                <w:rFonts w:ascii="Arial" w:cs="Arial" w:eastAsia="Arial" w:hAnsi="Arial"/>
                <w:sz w:val="18"/>
                <w:szCs w:val="18"/>
                <w:color w:val="auto"/>
              </w:rPr>
              <w:t>Amortization of deferred rent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173,500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(18,100)</w:t>
            </w:r>
          </w:p>
        </w:tc>
      </w:tr>
      <w:tr>
        <w:trPr>
          <w:trHeight w:val="216"/>
        </w:trPr>
        <w:tc>
          <w:tcPr>
            <w:tcW w:w="8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Fair value of common stock granted for services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00"/>
              <w:spacing w:after="0"/>
              <w:rPr>
                <w:sz w:val="20"/>
                <w:szCs w:val="20"/>
                <w:color w:val="auto"/>
              </w:rPr>
            </w:pPr>
            <w:r>
              <w:rPr>
                <w:rFonts w:ascii="Arial" w:cs="Arial" w:eastAsia="Arial" w:hAnsi="Arial"/>
                <w:sz w:val="18"/>
                <w:szCs w:val="18"/>
                <w:color w:val="auto"/>
              </w:rPr>
              <w:t>Fair value of Series B Preferred stock granted for services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Fair value of warrants granted for services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Accounts payable and accrued expenses, including accrued interest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466,400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(36,800)</w:t>
            </w:r>
          </w:p>
        </w:tc>
      </w:tr>
      <w:tr>
        <w:trPr>
          <w:trHeight w:val="27"/>
        </w:trPr>
        <w:tc>
          <w:tcPr>
            <w:tcW w:w="8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(4,009,900)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(3,873,100)</w:t>
            </w:r>
          </w:p>
        </w:tc>
      </w:tr>
      <w:tr>
        <w:trPr>
          <w:trHeight w:val="216"/>
        </w:trPr>
        <w:tc>
          <w:tcPr>
            <w:tcW w:w="88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flows from property and investing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Purchases of equipment</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(7,700)</w:t>
            </w:r>
          </w:p>
        </w:tc>
      </w:tr>
      <w:tr>
        <w:trPr>
          <w:trHeight w:val="27"/>
        </w:trPr>
        <w:tc>
          <w:tcPr>
            <w:tcW w:w="8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(7,700)</w:t>
            </w:r>
          </w:p>
        </w:tc>
      </w:tr>
      <w:tr>
        <w:trPr>
          <w:trHeight w:val="216"/>
        </w:trPr>
        <w:tc>
          <w:tcPr>
            <w:tcW w:w="88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2,947,700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9,537,100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proceeds from issuance of Series B Preferred Units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Repayment of capital lease obligations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r>
      <w:tr>
        <w:trPr>
          <w:trHeight w:val="223"/>
        </w:trPr>
        <w:tc>
          <w:tcPr>
            <w:tcW w:w="8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Repayment of notes payable</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(105,200)</w:t>
            </w:r>
          </w:p>
        </w:tc>
      </w:tr>
      <w:tr>
        <w:trPr>
          <w:trHeight w:val="223"/>
        </w:trPr>
        <w:tc>
          <w:tcPr>
            <w:tcW w:w="882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2,854,600</w:t>
            </w: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9,709,400</w:t>
            </w:r>
          </w:p>
        </w:tc>
        <w:tc>
          <w:tcPr>
            <w:tcW w:w="140" w:type="dxa"/>
            <w:vAlign w:val="bottom"/>
            <w:tcBorders>
              <w:top w:val="single" w:sz="8" w:color="CCEEFF"/>
            </w:tcBorders>
          </w:tcPr>
          <w:p>
            <w:pPr>
              <w:spacing w:after="0"/>
              <w:rPr>
                <w:sz w:val="19"/>
                <w:szCs w:val="19"/>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(1,156,900)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2,921,300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tcPr>
          <w:p>
            <w:pPr>
              <w:spacing w:after="0"/>
              <w:rPr>
                <w:sz w:val="19"/>
                <w:szCs w:val="19"/>
                <w:color w:val="auto"/>
              </w:rPr>
            </w:pPr>
          </w:p>
        </w:tc>
      </w:tr>
      <w:tr>
        <w:trPr>
          <w:trHeight w:val="257"/>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1,764,400</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6,257,100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8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Insurance premiums settled by issuing note payable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142,400</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117,500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dividends on Series B Preferred</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503,600</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780,800</w:t>
            </w:r>
          </w:p>
        </w:tc>
        <w:tc>
          <w:tcPr>
            <w:tcW w:w="140" w:type="dxa"/>
            <w:vAlign w:val="bottom"/>
            <w:tcBorders>
              <w:bottom w:val="single" w:sz="8" w:color="CCEEFF"/>
            </w:tcBorders>
            <w:shd w:val="clear" w:color="auto" w:fill="CCEEFF"/>
          </w:tcPr>
          <w:p>
            <w:pPr>
              <w:spacing w:after="0"/>
              <w:rPr>
                <w:sz w:val="21"/>
                <w:szCs w:val="21"/>
                <w:color w:val="auto"/>
              </w:rPr>
            </w:pPr>
          </w:p>
        </w:tc>
      </w:tr>
    </w:tbl>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VistaGen Therapeutics, Inc. (NASDAQ: VTGN), a Nevada corporation, is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xml:space="preserve">)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such as aripiprazole, often used adjunctively to augment them. We believe AV-101 also has potential as a non-opioid treatment alternative for neuropathic pain, as well as several additional CNS indications </w:t>
      </w:r>
      <w:r>
        <w:rPr>
          <w:rFonts w:ascii="Arial" w:cs="Arial" w:eastAsia="Arial" w:hAnsi="Arial"/>
          <w:sz w:val="16"/>
          <w:szCs w:val="16"/>
          <w:color w:val="333333"/>
        </w:rPr>
        <w:t>where modulation of the NMDA receptors,</w:t>
      </w:r>
      <w:r>
        <w:rPr>
          <w:rFonts w:ascii="Arial" w:cs="Arial" w:eastAsia="Arial" w:hAnsi="Arial"/>
          <w:sz w:val="16"/>
          <w:szCs w:val="16"/>
          <w:color w:val="auto"/>
        </w:rPr>
        <w:t xml:space="preserve"> </w:t>
      </w:r>
      <w:r>
        <w:rPr>
          <w:rFonts w:ascii="Arial" w:cs="Arial" w:eastAsia="Arial" w:hAnsi="Arial"/>
          <w:sz w:val="16"/>
          <w:szCs w:val="16"/>
          <w:color w:val="333333"/>
        </w:rPr>
        <w:t>activation of AMPA pathways and/or key active metabolites of AV-101 may achieve therapeutic benefit</w:t>
      </w:r>
      <w:r>
        <w:rPr>
          <w:rFonts w:ascii="Arial" w:cs="Arial" w:eastAsia="Arial" w:hAnsi="Arial"/>
          <w:sz w:val="16"/>
          <w:szCs w:val="16"/>
          <w:color w:val="000000"/>
        </w:rPr>
        <w:t>, including Parkinson’s disease levodopa -induced</w:t>
      </w:r>
      <w:r>
        <w:rPr>
          <w:rFonts w:ascii="Arial" w:cs="Arial" w:eastAsia="Arial" w:hAnsi="Arial"/>
          <w:sz w:val="16"/>
          <w:szCs w:val="16"/>
          <w:color w:val="333333"/>
        </w:rPr>
        <w:t xml:space="preserve"> </w:t>
      </w:r>
      <w:r>
        <w:rPr>
          <w:rFonts w:ascii="Arial" w:cs="Arial" w:eastAsia="Arial" w:hAnsi="Arial"/>
          <w:sz w:val="16"/>
          <w:szCs w:val="16"/>
          <w:color w:val="000000"/>
        </w:rPr>
        <w:t>dyskinesia (</w:t>
      </w:r>
      <w:r>
        <w:rPr>
          <w:rFonts w:ascii="Arial" w:cs="Arial" w:eastAsia="Arial" w:hAnsi="Arial"/>
          <w:sz w:val="16"/>
          <w:szCs w:val="16"/>
          <w:i w:val="1"/>
          <w:iCs w:val="1"/>
          <w:color w:val="000000"/>
        </w:rPr>
        <w:t>PD LID</w:t>
      </w:r>
      <w:r>
        <w:rPr>
          <w:rFonts w:ascii="Arial" w:cs="Arial" w:eastAsia="Arial" w:hAnsi="Arial"/>
          <w:sz w:val="16"/>
          <w:szCs w:val="16"/>
          <w:color w:val="000000"/>
        </w:rPr>
        <w:t>), epilepsy and Huntington’s disease.</w:t>
      </w:r>
    </w:p>
    <w:p>
      <w:pPr>
        <w:spacing w:after="0" w:line="17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ketamine hydrochloride injection (</w:t>
      </w:r>
      <w:r>
        <w:rPr>
          <w:rFonts w:ascii="Arial" w:cs="Arial" w:eastAsia="Arial" w:hAnsi="Arial"/>
          <w:sz w:val="16"/>
          <w:szCs w:val="16"/>
          <w:i w:val="1"/>
          <w:iCs w:val="1"/>
          <w:color w:val="auto"/>
        </w:rPr>
        <w:t>ketamine</w:t>
      </w:r>
      <w:r>
        <w:rPr>
          <w:rFonts w:ascii="Arial" w:cs="Arial" w:eastAsia="Arial" w:hAnsi="Arial"/>
          <w:sz w:val="16"/>
          <w:szCs w:val="16"/>
          <w:color w:val="auto"/>
        </w:rPr>
        <w:t>), an ion-channel blocking NMDA receptor antagonist approved by the FDA as an anesthetic, in MDD patients with inadequate therapeutic responses to multiple standard antidepressants. These NIMH studies, as well as clinical research at Yale University and other academic institutions, have demonstrated ketamine’s robust antidepressant effects in treatment-resistant MDD patients within twenty-four hours of a single sub-anesthetic dose administered by intravenous (</w:t>
      </w:r>
      <w:r>
        <w:rPr>
          <w:rFonts w:ascii="Arial" w:cs="Arial" w:eastAsia="Arial" w:hAnsi="Arial"/>
          <w:sz w:val="16"/>
          <w:szCs w:val="16"/>
          <w:i w:val="1"/>
          <w:iCs w:val="1"/>
          <w:color w:val="auto"/>
        </w:rPr>
        <w:t>IV</w:t>
      </w:r>
      <w:r>
        <w:rPr>
          <w:rFonts w:ascii="Arial" w:cs="Arial" w:eastAsia="Arial" w:hAnsi="Arial"/>
          <w:sz w:val="16"/>
          <w:szCs w:val="16"/>
          <w:color w:val="auto"/>
        </w:rPr>
        <w:t>) infusion.</w:t>
      </w:r>
    </w:p>
    <w:p>
      <w:pPr>
        <w:spacing w:after="0" w:line="17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We believe AV-101 may have potential to deliver ketamine-like antidepressant effects without the need for IV administration and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 prodrug 4-chlorokynurenine causes ketamine-like antidepressant effects, but not side effects, by NMDA/glycineB-site inhibition,</w:t>
      </w:r>
      <w:r>
        <w:rPr>
          <w:rFonts w:ascii="Arial" w:cs="Arial" w:eastAsia="Arial" w:hAnsi="Arial"/>
          <w:sz w:val="16"/>
          <w:szCs w:val="16"/>
          <w:color w:val="auto"/>
        </w:rPr>
        <w:t xml:space="preserve"> using well-established preclinical models of depression, AV-101 was shown to induce fast-acting, dose-dependent, persistent and statistically significant antidepressant-like responses</w:t>
      </w:r>
    </w:p>
    <w:p>
      <w:pPr>
        <w:sectPr>
          <w:pgSz w:w="11900" w:h="16938" w:orient="portrait"/>
          <w:cols w:equalWidth="0" w:num="1">
            <w:col w:w="11420"/>
          </w:cols>
          <w:pgMar w:left="240" w:top="131" w:right="239" w:bottom="0" w:gutter="0" w:footer="0" w:header="0"/>
        </w:sectPr>
      </w:pPr>
    </w:p>
    <w:bookmarkStart w:id="152" w:name="page153"/>
    <w:bookmarkEnd w:id="152"/>
    <w:p>
      <w:pPr>
        <w:ind w:right="340"/>
        <w:spacing w:after="0" w:line="259" w:lineRule="auto"/>
        <w:rPr>
          <w:sz w:val="20"/>
          <w:szCs w:val="20"/>
          <w:color w:val="auto"/>
        </w:rPr>
      </w:pPr>
      <w:r>
        <w:rPr>
          <w:rFonts w:ascii="Arial" w:cs="Arial" w:eastAsia="Arial" w:hAnsi="Arial"/>
          <w:sz w:val="18"/>
          <w:szCs w:val="18"/>
          <w:color w:val="auto"/>
        </w:rPr>
        <w:t>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currently funding, and Dr. Zarate, as Principal Investigator, and his team are currently conducting, a small Phase 2 clinical study of AV-101 as a monotherapy in adult subjects with treatment-resistant MDD (the </w:t>
      </w:r>
      <w:r>
        <w:rPr>
          <w:rFonts w:ascii="Arial" w:cs="Arial" w:eastAsia="Arial" w:hAnsi="Arial"/>
          <w:sz w:val="16"/>
          <w:szCs w:val="16"/>
          <w:i w:val="1"/>
          <w:iCs w:val="1"/>
          <w:color w:val="auto"/>
        </w:rPr>
        <w:t>NIMH AV-101 MDD Phase 2 Monotherapy Study</w:t>
      </w:r>
      <w:r>
        <w:rPr>
          <w:rFonts w:ascii="Arial" w:cs="Arial" w:eastAsia="Arial" w:hAnsi="Arial"/>
          <w:sz w:val="16"/>
          <w:szCs w:val="16"/>
          <w:color w:val="auto"/>
        </w:rPr>
        <w:t xml:space="preserve">). In October 2017, we received FDA authorization to launch our 180-patient Phase 2 multi-center, multi-dose, double blind, placebo-controlled efficacy and safety study of AV-101 as a new generation adjunctive treatment of MDD in adult patients with an inadequate therapeutic response to standard, FDA-approved antidepressants (the </w:t>
      </w:r>
      <w:r>
        <w:rPr>
          <w:rFonts w:ascii="Arial" w:cs="Arial" w:eastAsia="Arial" w:hAnsi="Arial"/>
          <w:sz w:val="16"/>
          <w:szCs w:val="16"/>
          <w:i w:val="1"/>
          <w:iCs w:val="1"/>
          <w:color w:val="auto"/>
        </w:rPr>
        <w:t>AV-101 MDD Phase 2 Adjunctive Treatment Study</w:t>
      </w:r>
      <w:r>
        <w:rPr>
          <w:rFonts w:ascii="Arial" w:cs="Arial" w:eastAsia="Arial" w:hAnsi="Arial"/>
          <w:sz w:val="16"/>
          <w:szCs w:val="16"/>
          <w:color w:val="auto"/>
        </w:rPr>
        <w:t>). Subject to obtaining sufficient financing, we intend to launch the AV-101 MDD Phase 2 Adjunctive Treatment Study in the first quarter of 2018, with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as Principal Investigator. Dr. Fava was the co-Principal Investigator with Dr. A. John Rush of the STAR*D study, the largest clinical trial conducted in depression to date, whose findings were published in journals such as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NEJM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JAMA</w:t>
      </w:r>
      <w:r>
        <w:rPr>
          <w:rFonts w:ascii="Arial" w:cs="Arial" w:eastAsia="Arial" w:hAnsi="Arial"/>
          <w:sz w:val="16"/>
          <w:szCs w:val="16"/>
          <w:color w:val="auto"/>
        </w:rPr>
        <w:t>). We expect to complete this study by the end of 2018, with top line results available in the first quarter of 2019.</w:t>
      </w:r>
    </w:p>
    <w:p>
      <w:pPr>
        <w:spacing w:after="0" w:line="1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pipeline. To advance potential RM applications of our cardiac stem cell technology, in December 2016, we exclusively sublicensed to BlueRock Therapeutics LP, a next generation RM company established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our exclusive sublicense agreement with BlueRock Therapeutics, we may pursue additional RM collaborations or licensing transactions involving blood, cartilage, and/or liver cells derived from hPSCs for (A) cell-based therapy, (B) cell repair therapy, and/or (C) tissue engineering.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As noted above, VistaStem is our wholly-owned subsidiary. Our Condensed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w:t>
      </w:r>
      <w:r>
        <w:rPr>
          <w:rFonts w:ascii="Arial" w:cs="Arial" w:eastAsia="Arial" w:hAnsi="Arial"/>
          <w:sz w:val="16"/>
          <w:szCs w:val="16"/>
          <w:i w:val="1"/>
          <w:iCs w:val="1"/>
          <w:color w:val="auto"/>
        </w:rPr>
        <w:t>U.S. GAAP</w:t>
      </w:r>
      <w:r>
        <w:rPr>
          <w:rFonts w:ascii="Arial" w:cs="Arial" w:eastAsia="Arial" w:hAnsi="Arial"/>
          <w:sz w:val="16"/>
          <w:szCs w:val="16"/>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2017 has been derived from our audited consolidated financial statements at that date but does not include all disclosures required by U.S. GAAP. The operating results for the three and six months ended September 30, 2107 are not necessarily indicative of the operating results to be expected for our fiscal year ending March 31, 2018, or for any other future interim or other period.</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should be read in conjunction with our audited Consolidated Financial Statements for our fiscal year ended March 31, 2017 contained in our Annual Report on Form 10-K, as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29, 2017.</w:t>
      </w:r>
    </w:p>
    <w:p>
      <w:pPr>
        <w:spacing w:after="0" w:line="1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The accompanying unaudited Condensed Consolidated Financial Statements have been prepared assuming we will continue as a going concern. As a company having not yet developed commercial products or achieved sustainable revenues, we have experienced recurring losses and negative cash flows from operations resulting in a deficit of $149.3 million accumulated from inception (May 1998) through September 30, 2017. We expect losses and negative cash flows from operations to continue for the foreseeable future as we engage in further development of AV-101, initially as an adjunctive treatment for MDD, and subsequently as a new treatment alternative for other CNS-related conditions, as well as exploring and potentially executing drug rescue and development opportunities using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and potential RM programs related to VistaStem’s technology platform.</w:t>
      </w:r>
    </w:p>
    <w:p>
      <w:pPr>
        <w:spacing w:after="0" w:line="17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our inception through September 30, 2017, we have financed our operations and technology acquisitions primarily through the issuance and sale of our equity and debt securities for cash proceeds of approximately $47.6 million, as well as from an aggregate of approximately $17.6 million of government research grant awards, strategic collaboration payments, intellectual property sublicensing and other revenues. We have also issued equity securities with an approximate value at issuance of $32.3 million in non-cash settlements of certain liabilities, including liabilities for professional services rendered to us or as compensation for such services. Additionally, pursuant to our February 2015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NIH, substantial ongoing Phase 2 clinical development activities relating to AV-101 as a potential new generation antidepressant are being sponsored in full, at no cost to us other than supplying clinical trial material, by the NIMH under the direction of Dr. Carlos Zarate Jr. as Principal Investigator.</w:t>
      </w:r>
    </w:p>
    <w:p>
      <w:pPr>
        <w:spacing w:after="0" w:line="172"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At September 30, 2017, we had a cash and cash equivalents balance of $1.76 million. This amount was not sufficient to enable us to fund our planned operations, including expected cash expenditures of approximately $12 million for the twelve months following the issuance of these financial statements, including expenditures required to launch and satisfy a portion of the projected expenses associated with our proposed AV-101 MDD Phase 2 Adjunctive Treatment Study.</w:t>
      </w:r>
    </w:p>
    <w:p>
      <w:pPr>
        <w:spacing w:after="0" w:line="14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Our limited cash position at September 30, 2017 considered with our recurring and anticipated losses and negative cash flows from operations make it probable, in the absence of additional financing, that we will not be able to meet our obligations as they come due within one year from the date of this Report, raising substantial doubt that we can continue as a going concern. However, to alleviate that doubt, we plan, as we have numerous times in the past, to raise additional financing when and as needed, primarily through the sale of our equity securities in one or more private placements to accredited investors or public offerings. In September 2017, we completed a firm commitment underwritten public offering pursuant to which we offered and sold shares of our common stock and warrants to two of our existing institutional investors, resulting in gross proceeds of approximately $2.4 million under our Registration Statement on Form S-3 (Registration No. 333-215671)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xml:space="preserve">) that had been previously declared effective by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to cover potential future sales of our equity securities in one or more public offerings from time to time. (See Note 7,</w:t>
      </w:r>
      <w:r>
        <w:rPr>
          <w:rFonts w:ascii="Arial" w:cs="Arial" w:eastAsia="Arial" w:hAnsi="Arial"/>
          <w:sz w:val="16"/>
          <w:szCs w:val="16"/>
          <w:i w:val="1"/>
          <w:iCs w:val="1"/>
          <w:color w:val="auto"/>
        </w:rPr>
        <w:t xml:space="preserve"> Capital Stock</w:t>
      </w:r>
      <w:r>
        <w:rPr>
          <w:rFonts w:ascii="Arial" w:cs="Arial" w:eastAsia="Arial" w:hAnsi="Arial"/>
          <w:sz w:val="16"/>
          <w:szCs w:val="16"/>
          <w:color w:val="auto"/>
        </w:rPr>
        <w:t>, for additional</w:t>
      </w:r>
    </w:p>
    <w:p>
      <w:pPr>
        <w:sectPr>
          <w:pgSz w:w="11900" w:h="16838" w:orient="portrait"/>
          <w:cols w:equalWidth="0" w:num="1">
            <w:col w:w="11400"/>
          </w:cols>
          <w:pgMar w:left="240" w:top="131" w:right="259" w:bottom="0" w:gutter="0" w:footer="0" w:header="0"/>
        </w:sectPr>
      </w:pPr>
    </w:p>
    <w:bookmarkStart w:id="153" w:name="page154"/>
    <w:bookmarkEnd w:id="153"/>
    <w:p>
      <w:pPr>
        <w:ind w:right="200"/>
        <w:spacing w:after="0" w:line="268" w:lineRule="auto"/>
        <w:rPr>
          <w:sz w:val="20"/>
          <w:szCs w:val="20"/>
          <w:color w:val="auto"/>
        </w:rPr>
      </w:pPr>
      <w:r>
        <w:rPr>
          <w:rFonts w:ascii="Arial" w:cs="Arial" w:eastAsia="Arial" w:hAnsi="Arial"/>
          <w:sz w:val="18"/>
          <w:szCs w:val="18"/>
          <w:color w:val="auto"/>
        </w:rPr>
        <w:t>information regarding the September 2017 Public Offering.) While we may make additional sales of our equity securities under the S-3 Registration Statement, we do not have an obligation to do so.</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0" w:lineRule="exact"/>
        <w:rPr>
          <w:sz w:val="20"/>
          <w:szCs w:val="20"/>
          <w:color w:val="auto"/>
        </w:rPr>
      </w:pPr>
    </w:p>
    <w:p>
      <w:pPr>
        <w:spacing w:after="0" w:line="24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Additionally, in September 2017, to facilitate potential future issuances and sales of our equity securities for ordinary corporate finance and general corporate purposes and as recommended by our Board of Directors (</w:t>
      </w:r>
      <w:r>
        <w:rPr>
          <w:rFonts w:ascii="Arial" w:cs="Arial" w:eastAsia="Arial" w:hAnsi="Arial"/>
          <w:sz w:val="16"/>
          <w:szCs w:val="16"/>
          <w:i w:val="1"/>
          <w:iCs w:val="1"/>
          <w:color w:val="auto"/>
        </w:rPr>
        <w:t>Board</w:t>
      </w:r>
      <w:r>
        <w:rPr>
          <w:rFonts w:ascii="Arial" w:cs="Arial" w:eastAsia="Arial" w:hAnsi="Arial"/>
          <w:sz w:val="16"/>
          <w:szCs w:val="16"/>
          <w:color w:val="auto"/>
        </w:rPr>
        <w:t xml:space="preserve">), our stockholders approved an amendment to our Restated and Amended Articles of Incorporation to increase the number of shares of common stock available for issuance thereunder from 30 million shares to 100 million shares, an amount our Board determined is customary and appropriate for a NASDAQ-listed, clinical-stage biopharmaceutical company. Following that approval, in October 2017, we filed a Registration Statement on Form S-1 (Registration No. 333-221009) (the </w:t>
      </w:r>
      <w:r>
        <w:rPr>
          <w:rFonts w:ascii="Arial" w:cs="Arial" w:eastAsia="Arial" w:hAnsi="Arial"/>
          <w:sz w:val="16"/>
          <w:szCs w:val="16"/>
          <w:i w:val="1"/>
          <w:iCs w:val="1"/>
          <w:color w:val="auto"/>
        </w:rPr>
        <w:t>S-1 Registration Statement</w:t>
      </w:r>
      <w:r>
        <w:rPr>
          <w:rFonts w:ascii="Arial" w:cs="Arial" w:eastAsia="Arial" w:hAnsi="Arial"/>
          <w:sz w:val="16"/>
          <w:szCs w:val="16"/>
          <w:color w:val="auto"/>
        </w:rPr>
        <w:t>) pursuant to which we anticipate completing an offering of our equity securities with proceeds sufficient to enable the launch and completion of the AV-101 MDD Phase 2 Adjunctive Treatment Study and fund our internal operations for at least the next twelve months. There can be no assurance, however, that we will achieve effectiveness of the S-1 Registration Statement or successfully complete an offering thereunder.</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to the sale of our equity securities, we may also seek to enter research and development collaborations that could generate revenue or provide substantial funding for development of AV-101 and additional product candidates. We may also seek additional government grant awards or agreements similar to our current CRADA with the NIMH, which provides for the NIMH to fully fund the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with the U.S. government or other third-parties that could generate revenue and/or non-dilutive funding for development of AV-101 and other product candidates and technologies, as well as new government grant awards and/or agreements similar to our CRADA with NIMH, no assurance can be provided that any such collaborations, awards or agreements will occur in the future.</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initially as an adjunctive treatment for MDD, and for other potential CNS conditions, as well as various potential applications of our stem cell technology platform, the availability of, and our ability to obtain, government grant awards and agreements, and our ability to enter into collaborations on terms acceptable to us. To further advance the clinical development of AV-101 and opportunities related to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Notwithstanding the foregoing, there can be no assurance that future financing will be available in sufficient amounts, in a timely manner, or on terms acceptable to us, if at all. If we are unable to obtain substantial additional financing on a timely basis when needed later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historically to value warrants and warrant modifications. With the exception of the $1.25 million of sublicense revenue recorded in the quarter ended December 31, 2016 under the BlueRock Agreement, we do not currently have, nor have we had during the periods covered by this report, any arrangements requiring the recognition of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our scientific personnel and direct project costs. External research and development expenses consist primarily of costs associated with nonclinical and clinical development of AV-101, now in Phase 2 clinical development, initially for MDD, stem cell technology-related research and development costs, and costs related to the filing, maintenance and prosecution of patents and patent applications, technology licenses and protection of other intellectual property. All such costs are charged to expense as incurred.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change in value is recognized as an expense during the period over which the services are performed.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and six months ended September 30, 2017 and 2016.</w:t>
      </w:r>
    </w:p>
    <w:p>
      <w:pPr>
        <w:spacing w:after="0" w:line="180" w:lineRule="exact"/>
        <w:rPr>
          <w:sz w:val="20"/>
          <w:szCs w:val="20"/>
          <w:color w:val="auto"/>
        </w:rPr>
      </w:pPr>
    </w:p>
    <w:p>
      <w:pPr>
        <w:ind w:left="6540"/>
        <w:spacing w:after="0"/>
        <w:tabs>
          <w:tab w:leader="none" w:pos="9360" w:val="left"/>
        </w:tabs>
        <w:rPr>
          <w:sz w:val="20"/>
          <w:szCs w:val="20"/>
          <w:color w:val="auto"/>
        </w:rPr>
      </w:pPr>
      <w:r>
        <w:rPr>
          <w:rFonts w:ascii="Arial" w:cs="Arial" w:eastAsia="Arial" w:hAnsi="Arial"/>
          <w:sz w:val="18"/>
          <w:szCs w:val="18"/>
          <w:b w:val="1"/>
          <w:bCs w:val="1"/>
          <w:color w:val="auto"/>
        </w:rPr>
        <w:t>Three Months Ended</w:t>
      </w:r>
      <w:r>
        <w:rPr>
          <w:sz w:val="20"/>
          <w:szCs w:val="20"/>
          <w:color w:val="auto"/>
        </w:rPr>
        <w:tab/>
      </w:r>
      <w:r>
        <w:rPr>
          <w:rFonts w:ascii="Arial" w:cs="Arial" w:eastAsia="Arial" w:hAnsi="Arial"/>
          <w:sz w:val="16"/>
          <w:szCs w:val="16"/>
          <w:b w:val="1"/>
          <w:bCs w:val="1"/>
          <w:color w:val="auto"/>
        </w:rPr>
        <w:t>Six Months Ended</w:t>
      </w:r>
    </w:p>
    <w:p>
      <w:pPr>
        <w:sectPr>
          <w:pgSz w:w="11900" w:h="16838" w:orient="portrait"/>
          <w:cols w:equalWidth="0" w:num="1">
            <w:col w:w="11400"/>
          </w:cols>
          <w:pgMar w:left="240" w:top="131" w:right="259" w:bottom="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7"/>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79"/>
              </w:rPr>
              <w:t>2016</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r>
      <w:tr>
        <w:trPr>
          <w:trHeight w:val="431"/>
        </w:trPr>
        <w:tc>
          <w:tcPr>
            <w:tcW w:w="608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4"/>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grants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136,900</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140" w:type="dxa"/>
            <w:vAlign w:val="bottom"/>
            <w:shd w:val="clear" w:color="auto" w:fill="CCEEFF"/>
          </w:tcPr>
          <w:p>
            <w:pPr>
              <w:spacing w:after="0"/>
              <w:rPr>
                <w:sz w:val="19"/>
                <w:szCs w:val="19"/>
                <w:color w:val="auto"/>
              </w:rPr>
            </w:pPr>
          </w:p>
        </w:tc>
      </w:tr>
      <w:tr>
        <w:trPr>
          <w:trHeight w:val="223"/>
        </w:trPr>
        <w:tc>
          <w:tcPr>
            <w:tcW w:w="608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136,900</w:t>
            </w:r>
          </w:p>
        </w:tc>
        <w:tc>
          <w:tcPr>
            <w:tcW w:w="260" w:type="dxa"/>
            <w:vAlign w:val="bottom"/>
            <w:tcBorders>
              <w:top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82,000</w:t>
            </w:r>
          </w:p>
        </w:tc>
        <w:tc>
          <w:tcPr>
            <w:tcW w:w="2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328,300</w:t>
            </w: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126,000</w:t>
            </w:r>
          </w:p>
        </w:tc>
        <w:tc>
          <w:tcPr>
            <w:tcW w:w="140" w:type="dxa"/>
            <w:vAlign w:val="bottom"/>
            <w:tcBorders>
              <w:top w:val="single" w:sz="8" w:color="CCEEFF"/>
            </w:tcBorders>
          </w:tcPr>
          <w:p>
            <w:pPr>
              <w:spacing w:after="0"/>
              <w:rPr>
                <w:sz w:val="19"/>
                <w:szCs w:val="19"/>
                <w:color w:val="auto"/>
              </w:rPr>
            </w:pPr>
          </w:p>
        </w:tc>
      </w:tr>
      <w:tr>
        <w:trPr>
          <w:trHeight w:val="216"/>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6080" w:type="dxa"/>
            <w:vAlign w:val="bottom"/>
          </w:tcPr>
          <w:p>
            <w:pPr>
              <w:ind w:left="220"/>
              <w:spacing w:after="0"/>
              <w:rPr>
                <w:sz w:val="20"/>
                <w:szCs w:val="20"/>
                <w:color w:val="auto"/>
              </w:rPr>
            </w:pPr>
            <w:r>
              <w:rPr>
                <w:rFonts w:ascii="Arial" w:cs="Arial" w:eastAsia="Arial" w:hAnsi="Arial"/>
                <w:sz w:val="18"/>
                <w:szCs w:val="18"/>
                <w:color w:val="auto"/>
              </w:rPr>
              <w:t>Stock option grants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193,700</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116,800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180,700</w:t>
            </w:r>
          </w:p>
        </w:tc>
        <w:tc>
          <w:tcPr>
            <w:tcW w:w="140" w:type="dxa"/>
            <w:vAlign w:val="bottom"/>
          </w:tcPr>
          <w:p>
            <w:pPr>
              <w:spacing w:after="0"/>
              <w:rPr>
                <w:sz w:val="19"/>
                <w:szCs w:val="19"/>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193,700</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116,800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330,600</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198,800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697,600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306,700</w:t>
            </w:r>
          </w:p>
        </w:tc>
        <w:tc>
          <w:tcPr>
            <w:tcW w:w="140" w:type="dxa"/>
            <w:vAlign w:val="bottom"/>
          </w:tcPr>
          <w:p>
            <w:pPr>
              <w:spacing w:after="0"/>
              <w:rPr>
                <w:sz w:val="18"/>
                <w:szCs w:val="18"/>
                <w:color w:val="auto"/>
              </w:rPr>
            </w:pPr>
          </w:p>
        </w:tc>
      </w:tr>
      <w:tr>
        <w:trPr>
          <w:trHeight w:val="21"/>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April 2017, our Board approved the grant of options to purchase an aggregate of 880,000 shares of our common stock at an exercise price of $1.96 per share to the independent members of our Board, our officers and our employees. In September 2017, our stockholders approved an amendment to our 2016 Amended and Restated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to increase the number of shares issuable thereunder from 3.0 million shares to 10.0 million shares. Following that approval, our Board authorized the grant of options to purchase an aggregate of 770,000 shares of our common stock at an exercise price of $1.56 per share to the independent members of our Board, our officers, employees and certain consultants. We valued the options granted in April 2017 and September 2017 using the Black-Scholes Option Pricing Model and the following weighted average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April 2017</w:t>
            </w:r>
          </w:p>
        </w:tc>
        <w:tc>
          <w:tcPr>
            <w:tcW w:w="100" w:type="dxa"/>
            <w:vAlign w:val="bottom"/>
          </w:tcPr>
          <w:p>
            <w:pPr>
              <w:spacing w:after="0"/>
              <w:rPr>
                <w:sz w:val="20"/>
                <w:szCs w:val="20"/>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Contractual or estimated term in years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In June 2016, our Board approved the grant of options to purchase an aggregate of 655,000 shares of our common stock at an exercise price of $3.49 per share to the independent members of our Board and to our officers, including our then-newly-hired Chief Medical Officer. In September 2016, the Board approved the grant of an option to purchase 125,000 shares of our common stock at an exercise price of $4.27 per share to another then-newly-hired officer. We valued the options granted in June 2016 and September 2016 using the Black-Scholes Option Pricing Model and the following weighted average assumptions: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4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June 2016</w:t>
            </w:r>
          </w:p>
        </w:tc>
        <w:tc>
          <w:tcPr>
            <w:tcW w:w="100" w:type="dxa"/>
            <w:vAlign w:val="bottom"/>
          </w:tcPr>
          <w:p>
            <w:pPr>
              <w:spacing w:after="0"/>
              <w:rPr>
                <w:sz w:val="20"/>
                <w:szCs w:val="20"/>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Contractual or estimated term in years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September 30, 2017, there were stock options outstanding to purchase 3,279,871 shares of our common stock at a weighted average exercise price of $3.23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per Common Share</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Basic net income (loss) per share of common stock excludes the effect of dilution and is computed by dividing net income (loss) by the weighted-average number of shares of common stock outstanding for the period. Diluted net income (loss) per share of common stock reflects the potential dilution that could occur if securities or other contracts to issue shares of common stock were exercised or converted into shares of common stock.</w:t>
      </w:r>
    </w:p>
    <w:p>
      <w:pPr>
        <w:spacing w:after="0" w:line="16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result of our net loss for the periods presented, potentially dilutive securities were excluded from the computation of net loss per share, as their effect would be antidilutive. For the three and six-month periods ended September 30, 2017 and 2016, the accrual for dividends on our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 and, in 2016, the deemed dividend attributable to our sale and issuance of Series B Preferred Units, each consisting of one share of Series B Preferred and a five-year warrant to purchase one share of our common stock for $7.00, represent deductions from our net loss to arrive at net loss attributable to common stockholders for those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excluded in determining diluted net loss attributable to common stockholders per common share are as follows:</w:t>
      </w:r>
    </w:p>
    <w:p>
      <w:pPr>
        <w:spacing w:after="0" w:line="219"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14605</wp:posOffset>
            </wp:positionV>
            <wp:extent cx="156083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16" w:lineRule="exact"/>
        <w:rPr>
          <w:sz w:val="20"/>
          <w:szCs w:val="20"/>
          <w:color w:val="auto"/>
        </w:rPr>
      </w:pPr>
    </w:p>
    <w:p>
      <w:pPr>
        <w:ind w:left="9200"/>
        <w:spacing w:after="0"/>
        <w:tabs>
          <w:tab w:leader="none" w:pos="105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14605</wp:posOffset>
            </wp:positionV>
            <wp:extent cx="156083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76"/>
        </w:trPr>
        <w:tc>
          <w:tcPr>
            <w:tcW w:w="20" w:type="dxa"/>
            <w:vAlign w:val="bottom"/>
          </w:tcPr>
          <w:p>
            <w:pPr>
              <w:spacing w:after="0"/>
              <w:rPr>
                <w:sz w:val="23"/>
                <w:szCs w:val="23"/>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under the Amended and Restated 2016 (formerly 2008) and 1999 Stock Incentive Plans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3,279,871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1,100,643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6,965,151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4,678,414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14,473,274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10,007,309</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w:t>
            </w: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ind w:left="200" w:hanging="192"/>
        <w:spacing w:after="0" w:line="195" w:lineRule="auto"/>
        <w:tabs>
          <w:tab w:leader="none" w:pos="200" w:val="left"/>
        </w:tabs>
        <w:numPr>
          <w:ilvl w:val="0"/>
          <w:numId w:val="77"/>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October 11, 2012 Note Exchange and Purchase Agreement, as amended</w:t>
      </w:r>
    </w:p>
    <w:p>
      <w:pPr>
        <w:spacing w:after="0" w:line="8" w:lineRule="exact"/>
        <w:rPr>
          <w:rFonts w:ascii="Arial" w:cs="Arial" w:eastAsia="Arial" w:hAnsi="Arial"/>
          <w:sz w:val="23"/>
          <w:szCs w:val="23"/>
          <w:color w:val="auto"/>
          <w:vertAlign w:val="superscript"/>
        </w:rPr>
      </w:pPr>
    </w:p>
    <w:p>
      <w:pPr>
        <w:ind w:right="1380" w:firstLine="8"/>
        <w:spacing w:after="0" w:line="239" w:lineRule="auto"/>
        <w:tabs>
          <w:tab w:leader="none" w:pos="187"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w:t>
      </w:r>
    </w:p>
    <w:p>
      <w:pPr>
        <w:ind w:right="1040" w:firstLine="8"/>
        <w:spacing w:after="0" w:line="248" w:lineRule="auto"/>
        <w:tabs>
          <w:tab w:leader="none" w:pos="187"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C Convertible Preferred Stock, effective January 25,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We do not use derivative instruments for hedging of market risks or for trading or speculative purposes. We carried no assets or liabilities at fair value at September 30, 2017 or March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Except as described below, there have been no recent accounting pronouncements or changes in accounting pronouncements during the six months ended September 30, 2017, as compared to the recent accounting pronouncements described in our Form 10-K for the fiscal year ended March 31, 2017, that are of significance or potential significance to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July 2017,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i w:val="1"/>
          <w:iCs w:val="1"/>
          <w:color w:val="auto"/>
        </w:rPr>
        <w:t>ASU 2017-11</w:t>
      </w:r>
      <w:r>
        <w:rPr>
          <w:rFonts w:ascii="Arial" w:cs="Arial" w:eastAsia="Arial" w:hAnsi="Arial"/>
          <w:sz w:val="16"/>
          <w:szCs w:val="16"/>
          <w:color w:val="auto"/>
        </w:rPr>
        <w:t>). Part I of this ASU provides that an entity will no longer have to consider “down round” features (i.e., a provision in an equity-linked financial instrument, such as a free-standing warrant, or an embedded feature, such as a conversion option in a convertible instrument, that reduces the exercise price of such instrument if the entity subsequently sells stock for a lower price or issues an equity-linked instrument with a lower exercise price) when determining whether certain equity-linked financial instruments or embedded features are indexed to its own stock. The definition of a down round feature in ASU 2017-11 excludes standard antidilution provisions related to changes in an entity’s capital structure. Accounting Standards Codification Topic 815-40, “Derivatives and Hedging–Contracts in Entity’s Own Equity” (</w:t>
      </w:r>
      <w:r>
        <w:rPr>
          <w:rFonts w:ascii="Arial" w:cs="Arial" w:eastAsia="Arial" w:hAnsi="Arial"/>
          <w:sz w:val="16"/>
          <w:szCs w:val="16"/>
          <w:i w:val="1"/>
          <w:iCs w:val="1"/>
          <w:color w:val="auto"/>
        </w:rPr>
        <w:t>ASC 815-40</w:t>
      </w:r>
      <w:r>
        <w:rPr>
          <w:rFonts w:ascii="Arial" w:cs="Arial" w:eastAsia="Arial" w:hAnsi="Arial"/>
          <w:sz w:val="16"/>
          <w:szCs w:val="16"/>
          <w:color w:val="auto"/>
        </w:rPr>
        <w:t>) requires that a freestanding equity-linked financial instrument be indexed to the issuer’s own stock to be classified as equity. An equity-linked embedded feature that meets the definition of a derivative may avoid bifurcation and derivative accounting if it is indexed to the issuer’s own stock. Under the terms of prior guidance, a freestanding financial instrument or embedded feature was not considered indexed to the issuer’s own stock if it had a down round provision. Consequently, the freestanding financial instrument was classified as a liability (or asset), and if it met the definition of a derivative, was measured at fair value with changes in fair value recorded through earnings. Similarly, an embedded feature was bifurcated and separately accounted for as a derivative if it met all other criteria for bifurcation under ASC 815-40. The bifurcated embedded feature was also measured at fair value through earnings. Under the provisions of ASU 2017-11, an entity that presents earnings per share (</w:t>
      </w:r>
      <w:r>
        <w:rPr>
          <w:rFonts w:ascii="Arial" w:cs="Arial" w:eastAsia="Arial" w:hAnsi="Arial"/>
          <w:sz w:val="16"/>
          <w:szCs w:val="16"/>
          <w:i w:val="1"/>
          <w:iCs w:val="1"/>
          <w:color w:val="auto"/>
        </w:rPr>
        <w:t>EPS</w:t>
      </w:r>
      <w:r>
        <w:rPr>
          <w:rFonts w:ascii="Arial" w:cs="Arial" w:eastAsia="Arial" w:hAnsi="Arial"/>
          <w:sz w:val="16"/>
          <w:szCs w:val="16"/>
          <w:color w:val="auto"/>
        </w:rPr>
        <w:t xml:space="preserve">) under Accounting Standards Codification Topic 260, “Earnings Per Share” will recognize the effect of a down round feature in a freestanding equity-classified financial instrument only when it is triggered. The effect of triggering such a feature will be recognized as a dividend and a reduction to income available to common shareholders in basic EPS. The new guidance requires new disclosures for financial instruments with down round features and other terms that change conversion or exercise prices. Part I of ASU 2017-11 is effective for fiscal years beginning after December 15, 2018, and interim periods therein, however early adoption is permitted. We early-adopted ASU 2017-11 effective for the quarter ended September 30, 2017 and applied its guidance to certain of the warrants issued in the September 2017 Public Offering, as described more completely in Note 7, </w:t>
      </w:r>
      <w:r>
        <w:rPr>
          <w:rFonts w:ascii="Arial" w:cs="Arial" w:eastAsia="Arial" w:hAnsi="Arial"/>
          <w:sz w:val="16"/>
          <w:szCs w:val="16"/>
          <w:i w:val="1"/>
          <w:iCs w:val="1"/>
          <w:color w:val="auto"/>
        </w:rPr>
        <w:t>Capital Stock</w:t>
      </w:r>
      <w:r>
        <w:rPr>
          <w:rFonts w:ascii="Arial" w:cs="Arial" w:eastAsia="Arial" w:hAnsi="Arial"/>
          <w:sz w:val="16"/>
          <w:szCs w:val="16"/>
          <w:color w:val="auto"/>
        </w:rPr>
        <w:t>. No retrospective adjustments to our financial statements were required as a result of our adoption of ASU 2017-11.</w:t>
      </w:r>
    </w:p>
    <w:p>
      <w:pPr>
        <w:spacing w:after="0" w:line="180"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In February 2016, the FASB issued ASU No. 2016-2, “Leases.” This ASU requires substantially all leases, including operating leases, to be recognized by lessees on their balance sheet as a right-of-use asset and corresponding lease liability. This ASU is effective for our interim and annual reporting periods beginning April 1, 2019 and early adoption is permitted. We are currently evaluating the impact that the adoption of this ASU will have on our financial statements.</w:t>
      </w:r>
    </w:p>
    <w:p>
      <w:pPr>
        <w:spacing w:after="0" w:line="14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March 2016, the FASB issued ASU No. 2016-09, “Improvements to Employee Share-Based Payment Accounting,” which simplified several aspects of the accounting for share-based payments, including immediate recognition of all excess tax benefits and deficiencies in the income statement, changing the threshold to qualify for equity classification up to the employees’ maximum statutory tax rates, allowing an entity-wide accounting policy election to either estimate the number of awards that are expected to vest or account for forfeitures as they occur, and clarifying the classification on the statement of cash flows for the excess tax benefit and employee taxes paid when an employer withholds shares for tax-withholding purposes. This ASU became effective for our interim and annual reporting periods beginning April 1, 2017, and the adoption of this standard did not have a material impact on our financial statements. Pursuant to our adoption of this standard, we elected to account for the impact of option forfeitures as they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Prepaid Expenses and Other Current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are composed of the following at September 30, 2017 and March 31, 2017:</w:t>
      </w:r>
    </w:p>
    <w:p>
      <w:pPr>
        <w:sectPr>
          <w:pgSz w:w="11900" w:h="16838" w:orient="portrait"/>
          <w:cols w:equalWidth="0" w:num="1">
            <w:col w:w="11420"/>
          </w:cols>
          <w:pgMar w:left="240" w:top="296" w:right="239" w:bottom="0" w:gutter="0" w:footer="0" w:header="0"/>
        </w:sectPr>
      </w:pPr>
    </w:p>
    <w:p>
      <w:pPr>
        <w:spacing w:after="0" w:line="219" w:lineRule="exact"/>
        <w:rPr>
          <w:sz w:val="20"/>
          <w:szCs w:val="20"/>
          <w:color w:val="auto"/>
        </w:rPr>
      </w:pPr>
    </w:p>
    <w:p>
      <w:pPr>
        <w:ind w:left="9000"/>
        <w:spacing w:after="0"/>
        <w:rPr>
          <w:sz w:val="20"/>
          <w:szCs w:val="20"/>
          <w:color w:val="auto"/>
        </w:rPr>
      </w:pPr>
      <w:r>
        <w:rPr>
          <w:rFonts w:ascii="Arial" w:cs="Arial" w:eastAsia="Arial" w:hAnsi="Arial"/>
          <w:sz w:val="15"/>
          <w:szCs w:val="15"/>
          <w:b w:val="1"/>
          <w:bCs w:val="1"/>
          <w:color w:val="auto"/>
        </w:rPr>
        <w:t>September</w:t>
      </w:r>
    </w:p>
    <w:p>
      <w:pPr>
        <w:spacing w:after="0" w:line="56"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March 31,</w:t>
      </w:r>
    </w:p>
    <w:p>
      <w:pPr>
        <w:sectPr>
          <w:pgSz w:w="11900" w:h="16838" w:orient="portrait"/>
          <w:cols w:equalWidth="0" w:num="2">
            <w:col w:w="9800" w:space="580"/>
            <w:col w:w="1040"/>
          </w:cols>
          <w:pgMar w:left="240" w:top="296" w:right="239" w:bottom="0"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130,800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AV-101 materials and services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357,000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Public offering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44,600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563,300</w:t>
            </w:r>
          </w:p>
        </w:tc>
        <w:tc>
          <w:tcPr>
            <w:tcW w:w="1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456,600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Note 5. Accrued Expenses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80" w:type="dxa"/>
            <w:vAlign w:val="bottom"/>
            <w:gridSpan w:val="8"/>
          </w:tcPr>
          <w:p>
            <w:pPr>
              <w:spacing w:after="0"/>
              <w:rPr>
                <w:sz w:val="20"/>
                <w:szCs w:val="20"/>
                <w:color w:val="auto"/>
              </w:rPr>
            </w:pPr>
            <w:r>
              <w:rPr>
                <w:rFonts w:ascii="Arial" w:cs="Arial" w:eastAsia="Arial" w:hAnsi="Arial"/>
                <w:sz w:val="18"/>
                <w:szCs w:val="18"/>
                <w:color w:val="auto"/>
                <w:w w:val="90"/>
              </w:rPr>
              <w:t>Accrued expenses are composed of the following at September 30, 2017 and March 31, 2017: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gridSpan w:val="4"/>
          </w:tcPr>
          <w:p>
            <w:pPr>
              <w:ind w:left="180"/>
              <w:spacing w:after="0"/>
              <w:rPr>
                <w:sz w:val="20"/>
                <w:szCs w:val="20"/>
                <w:color w:val="auto"/>
              </w:rPr>
            </w:pPr>
            <w:r>
              <w:rPr>
                <w:rFonts w:ascii="Arial" w:cs="Arial" w:eastAsia="Arial" w:hAnsi="Arial"/>
                <w:sz w:val="18"/>
                <w:szCs w:val="18"/>
                <w:b w:val="1"/>
                <w:bCs w:val="1"/>
                <w:color w:val="auto"/>
              </w:rPr>
              <w:t>September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61,300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Accrued AV-101 development and related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625,600</w:t>
            </w:r>
          </w:p>
        </w:tc>
        <w:tc>
          <w:tcPr>
            <w:tcW w:w="1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0"/>
        </w:trPr>
        <w:tc>
          <w:tcPr>
            <w:tcW w:w="2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gridSpan w:val="4"/>
          </w:tcPr>
          <w:p>
            <w:pPr>
              <w:ind w:left="740"/>
              <w:spacing w:after="0"/>
              <w:rPr>
                <w:sz w:val="20"/>
                <w:szCs w:val="20"/>
                <w:color w:val="auto"/>
              </w:rPr>
            </w:pPr>
            <w:r>
              <w:rPr>
                <w:rFonts w:ascii="Arial" w:cs="Arial" w:eastAsia="Arial" w:hAnsi="Arial"/>
                <w:sz w:val="18"/>
                <w:szCs w:val="18"/>
                <w:color w:val="auto"/>
              </w:rPr>
              <w:t>F-42</w:t>
            </w:r>
          </w:p>
        </w:tc>
        <w:tc>
          <w:tcPr>
            <w:tcW w:w="8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Note 6. Notes Payable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12"/>
          </w:tcPr>
          <w:p>
            <w:pPr>
              <w:spacing w:after="0"/>
              <w:rPr>
                <w:sz w:val="20"/>
                <w:szCs w:val="20"/>
                <w:color w:val="auto"/>
              </w:rPr>
            </w:pPr>
            <w:r>
              <w:rPr>
                <w:rFonts w:ascii="Arial" w:cs="Arial" w:eastAsia="Arial" w:hAnsi="Arial"/>
                <w:sz w:val="18"/>
                <w:szCs w:val="18"/>
                <w:color w:val="auto"/>
                <w:w w:val="92"/>
              </w:rPr>
              <w:t>The following table summarizes our unsecured promissory notes at September 30, 2017 and March 31, 2017.</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740"/>
              <w:spacing w:after="0"/>
              <w:rPr>
                <w:sz w:val="20"/>
                <w:szCs w:val="20"/>
                <w:color w:val="auto"/>
              </w:rPr>
            </w:pPr>
            <w:r>
              <w:rPr>
                <w:rFonts w:ascii="Arial" w:cs="Arial" w:eastAsia="Arial" w:hAnsi="Arial"/>
                <w:sz w:val="18"/>
                <w:szCs w:val="18"/>
                <w:b w:val="1"/>
                <w:bCs w:val="1"/>
                <w:color w:val="auto"/>
                <w:w w:val="96"/>
              </w:rPr>
              <w:t>September 30, 2017</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95"/>
              </w:rPr>
              <w:t>March 31, 2017</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40"/>
              <w:spacing w:after="0" w:line="201" w:lineRule="exact"/>
              <w:rPr>
                <w:sz w:val="20"/>
                <w:szCs w:val="20"/>
                <w:color w:val="auto"/>
              </w:rPr>
            </w:pPr>
            <w:r>
              <w:rPr>
                <w:rFonts w:ascii="Arial" w:cs="Arial" w:eastAsia="Arial" w:hAnsi="Arial"/>
                <w:sz w:val="18"/>
                <w:szCs w:val="18"/>
                <w:b w:val="1"/>
                <w:bCs w:val="1"/>
                <w:color w:val="auto"/>
                <w:w w:val="89"/>
              </w:rPr>
              <w:t>Principal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2"/>
              <w:spacing w:after="0" w:line="201" w:lineRule="exact"/>
              <w:rPr>
                <w:sz w:val="20"/>
                <w:szCs w:val="20"/>
                <w:color w:val="auto"/>
              </w:rPr>
            </w:pPr>
            <w:r>
              <w:rPr>
                <w:rFonts w:ascii="Arial" w:cs="Arial" w:eastAsia="Arial" w:hAnsi="Arial"/>
                <w:sz w:val="18"/>
                <w:szCs w:val="18"/>
                <w:b w:val="1"/>
                <w:bCs w:val="1"/>
                <w:color w:val="auto"/>
                <w:w w:val="88"/>
              </w:rPr>
              <w:t>Accrued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
              <w:spacing w:after="0" w:line="201" w:lineRule="exact"/>
              <w:rPr>
                <w:sz w:val="20"/>
                <w:szCs w:val="20"/>
                <w:color w:val="auto"/>
              </w:rPr>
            </w:pPr>
            <w:r>
              <w:rPr>
                <w:rFonts w:ascii="Arial" w:cs="Arial" w:eastAsia="Arial" w:hAnsi="Arial"/>
                <w:sz w:val="18"/>
                <w:szCs w:val="18"/>
                <w:b w:val="1"/>
                <w:bCs w:val="1"/>
                <w:color w:val="auto"/>
                <w:w w:val="92"/>
              </w:rPr>
              <w:t>Principal</w:t>
            </w:r>
          </w:p>
        </w:tc>
        <w:tc>
          <w:tcPr>
            <w:tcW w:w="220" w:type="dxa"/>
            <w:vAlign w:val="bottom"/>
          </w:tcPr>
          <w:p>
            <w:pPr>
              <w:spacing w:after="0"/>
              <w:rPr>
                <w:sz w:val="17"/>
                <w:szCs w:val="17"/>
                <w:color w:val="auto"/>
              </w:rPr>
            </w:pPr>
          </w:p>
        </w:tc>
        <w:tc>
          <w:tcPr>
            <w:tcW w:w="820" w:type="dxa"/>
            <w:vAlign w:val="bottom"/>
            <w:gridSpan w:val="2"/>
          </w:tcPr>
          <w:p>
            <w:pPr>
              <w:jc w:val="center"/>
              <w:ind w:left="12"/>
              <w:spacing w:after="0" w:line="201" w:lineRule="exact"/>
              <w:rPr>
                <w:sz w:val="20"/>
                <w:szCs w:val="20"/>
                <w:color w:val="auto"/>
              </w:rPr>
            </w:pPr>
            <w:r>
              <w:rPr>
                <w:rFonts w:ascii="Arial" w:cs="Arial" w:eastAsia="Arial" w:hAnsi="Arial"/>
                <w:sz w:val="18"/>
                <w:szCs w:val="18"/>
                <w:b w:val="1"/>
                <w:bCs w:val="1"/>
                <w:color w:val="auto"/>
                <w:w w:val="88"/>
              </w:rPr>
              <w:t>Accrued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b w:val="1"/>
                <w:bCs w:val="1"/>
                <w:color w:val="auto"/>
                <w:w w:val="95"/>
              </w:rPr>
              <w:t>Interest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2"/>
              </w:rPr>
              <w:t>Balance</w:t>
            </w:r>
          </w:p>
        </w:tc>
        <w:tc>
          <w:tcPr>
            <w:tcW w:w="220" w:type="dxa"/>
            <w:vAlign w:val="bottom"/>
          </w:tcPr>
          <w:p>
            <w:pPr>
              <w:spacing w:after="0"/>
              <w:rPr>
                <w:sz w:val="20"/>
                <w:szCs w:val="20"/>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0"/>
        </w:trPr>
        <w:tc>
          <w:tcPr>
            <w:tcW w:w="4700" w:type="dxa"/>
            <w:vAlign w:val="bottom"/>
            <w:gridSpan w:val="2"/>
          </w:tcPr>
          <w:p>
            <w:pPr>
              <w:spacing w:after="0"/>
              <w:rPr>
                <w:sz w:val="20"/>
                <w:szCs w:val="20"/>
                <w:color w:val="auto"/>
              </w:rPr>
            </w:pPr>
            <w:r>
              <w:rPr>
                <w:rFonts w:ascii="Arial" w:cs="Arial" w:eastAsia="Arial" w:hAnsi="Arial"/>
                <w:sz w:val="18"/>
                <w:szCs w:val="18"/>
                <w:color w:val="auto"/>
              </w:rPr>
              <w:t>7.95% and 8.25% Notes payable to insurance</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premium financing company (current)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105,200</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88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notes payable to unrelated parties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88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(105,200)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(105,200)</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(54,800)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(54,800)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 May 2017, we executed a 7.95% promissory note in the principal amount of $142,400 in connection with insurance policy premiums. The note is payable in monthly installments of $14,800, including principal and interest, through March 2018, and had a remaining outstanding balance of $86,600 at September 30, 2017. In February 2017, we executed a promissory note in the principal amount of $60,700 in connection with other insurance policy premiums. That note is payable in monthly installments of $6,300, including principal and interest, and had an outstanding balance of $18,600 at September 30,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Capital Stock</w:t>
      </w:r>
    </w:p>
    <w:p>
      <w:pPr>
        <w:spacing w:after="0" w:line="23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At our Annual Meeting of Stockholders on September 15, 2017, as approved by and recommended to our stockholders by our Board, our stockholders approved an amendment to our Restated and Amended Articles of Incorporation to increase the authorized number of shares of common stock that the Company may issue from 30.0 million shares to 100.0 million shares. The amendment became effective on September 15, 2017, upon our filing of a certificate of amendment with the Secretary of State of the state of Nevada.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Firm Commitment Underwritten Public Offering</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On September 6, 2017, we completed a firm commitment underwritten public offering pursuant to which we offered and sold shares of our common stock and warrants to two of our existing institutional investors, resulting in gross proceeds of approximately $2.4 million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xml:space="preserve">). We issued an aggregate of 1,371,430 shares of our common stock, Series A1 Warrants to purchase up to 1,388,931 shares of common stock and Series A2 Warrants to purchase up to 503,641 of common stock (collectively, the </w:t>
      </w:r>
      <w:r>
        <w:rPr>
          <w:rFonts w:ascii="Arial" w:cs="Arial" w:eastAsia="Arial" w:hAnsi="Arial"/>
          <w:sz w:val="16"/>
          <w:szCs w:val="16"/>
          <w:i w:val="1"/>
          <w:iCs w:val="1"/>
          <w:color w:val="auto"/>
        </w:rPr>
        <w:t>Warrants</w:t>
      </w:r>
      <w:r>
        <w:rPr>
          <w:rFonts w:ascii="Arial" w:cs="Arial" w:eastAsia="Arial" w:hAnsi="Arial"/>
          <w:sz w:val="16"/>
          <w:szCs w:val="16"/>
          <w:color w:val="auto"/>
        </w:rPr>
        <w:t xml:space="preserve">), each exercisable for $1.82 per share in the September 2017 Public Offering. The Series A1 Warrants will be exercisable by the investors for a five-year period commencing on March 7, 2018, and the Series A2 Warrants are exercisable at any time through September 6, 2022. The common stock and the shares of common stock underlying the Warrants issued in the September 2017 Public Offering were offered, issued and sold pursuant to our S-3 Registration Statement that had previously been declared effective by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to cover this and potential future sales of our equity securities in one or more public offerings from time to time. We received net proceeds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$2.0 million from the September 2017 Public Offering, after deducting underwriter’s commission and other expenses related to the offering.</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1,388,931 Series A1 Warrants issued in the September 2017 Public Offering have no anti-dilution or other exercise price or share reset features, except as is customary with respect to a change in our capital structure in the event of a stock split or dividend, and, accordingly, we have accounted for them as equity warrants. The 503,641 Series A2 Warrants contain anti-dilution protection provisions that will take effect upon the issuance of any common stock, securities convertible into common stock or certain other issuances at a price below the then-current (currently $1.82 per share) exercise price of the Series A2 Warrants, with certain exceptions; provided, however, that such anti-dilution protection will terminate automatically on the trading day following the date on which we have raised at least $20.0 million in aggregate gross proceeds through one or more issuances of common stock or equity-linked securities. The anti-dilution protection provisions in the Series A2 Warrants constitute a down round feature subject to the guidance in ASU 2017-11. Since the Series A2 Warrants contain no other provisions which require their treatment as liability warrants rather than equity warrants, including the exercise price or share reset features, except as is</w:t>
      </w:r>
    </w:p>
    <w:p>
      <w:pPr>
        <w:sectPr>
          <w:pgSz w:w="11900" w:h="16838" w:orient="portrait"/>
          <w:cols w:equalWidth="0" w:num="1">
            <w:col w:w="11420"/>
          </w:cols>
          <w:pgMar w:left="240" w:top="125" w:right="239" w:bottom="0" w:gutter="0" w:footer="0" w:header="0"/>
        </w:sectPr>
      </w:pPr>
    </w:p>
    <w:bookmarkStart w:id="157" w:name="page158"/>
    <w:bookmarkEnd w:id="157"/>
    <w:p>
      <w:pPr>
        <w:spacing w:after="0" w:line="6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customary with respect to a change in our capital structure in the event of a stock split or dividend and which are also present in the Series A1 Warrants, we have also accounted for the Series A2 Warrants as equity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Private Placements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quarter ended June 30, 2017, in self-placed private placement transactions, we accepted subscription agreements from individual accredited investors, pursuant to which we sold to such investors units, at a weighted average purchase price of $2.00 per unit, consisting of an aggregate of 437,751 unregistered shares of our common stock and warrants, exercisable through April 30, 2021, to purchase an aggregate of 218,875 unregistered shares of our common stock at a weighted average exercise price of $3.99 per share. The purchasers of the units have no registration rights with respect to the shares of common stock, warrants or the shares of common stock issuable upon exercise of the warrants comprising the units sold. The warrants are not exercisable until six months and one day following the date of issuance. We received aggregate cash proceeds of $873,300 in connection with these self-placed private placement transactions, and the entire amount of the proceeds was credited to stockholders’ equity.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0" w:lineRule="exact"/>
        <w:rPr>
          <w:sz w:val="20"/>
          <w:szCs w:val="20"/>
          <w:color w:val="auto"/>
        </w:rPr>
      </w:pPr>
    </w:p>
    <w:p>
      <w:pPr>
        <w:spacing w:after="0" w:line="24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August 2017, in a self-placed private placement transaction, we sold to an accredited investor units consisting of 28,572 shares of our unregistered common stock and warrants exercisable through April 30, 2021 to purchase 28,572 unregistered shares of our common stock at an exercise price of $4.00 per share.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$50,000 from this sale of our securities, and the entire amount of the proceeds was credited to stockholders’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Professional Services Providers</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During the quarter ended June 30, 2017, we issued 25,000 shares of our unregistered common stock having a fair value on the date of issuance of $49,800 as partial compensation to an investor relations service provider.</w:t>
      </w:r>
    </w:p>
    <w:p>
      <w:pPr>
        <w:spacing w:after="0" w:line="18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During the quarter ended September 30, 2017, our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approved the issuance of an aggregate of 927,500 unregistered shares of our common stock, of which 477,500 shares were issued from our 2016 Amended and Restated Stock Incentive Plan, for various professional services, including contract research, legal, investor relations and financial advisory services. The common stock issued had an aggregate fair value of $1,503,600 on the dates issued, of which all but $161,300 has been recognized as noncash expense during the quarter ended September 30, 2017. The un-expensed portion at September 30, 2017 is being recognized in expense ratably through July 2019 in accordance with the terms of work orders for certain contract research services to be provided through that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Warrants Issued in Private Placements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September 2017, the Board authorized the modification of outstanding warrants issued in private placement transactions between March 2017 and June 2017 to reduce the exercise prices and increase the number of shares for which the warrants were exercisable. We calculated the fair value of the warrant immediately before and after the modification using the Black Scholes Option Pricing Model and the weighted average assumptions indicated in the table below. We recognized the additional fair value, $279,700, as warrant modification expense, included as a component of general and administrative expenses, in our Condensed Consolidated Statement of Operations and Comprehensive Loss for the quarter ended September 30,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462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modification</w:t>
            </w:r>
          </w:p>
        </w:tc>
        <w:tc>
          <w:tcPr>
            <w:tcW w:w="28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modification</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8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8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Dividend rate</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495,001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48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860" w:type="dxa"/>
            <w:vAlign w:val="bottom"/>
            <w:gridSpan w:val="2"/>
          </w:tcPr>
          <w:p>
            <w:pPr>
              <w:jc w:val="right"/>
              <w:ind w:right="3092"/>
              <w:spacing w:after="0"/>
              <w:rPr>
                <w:sz w:val="20"/>
                <w:szCs w:val="20"/>
                <w:color w:val="auto"/>
              </w:rPr>
            </w:pPr>
            <w:r>
              <w:rPr>
                <w:rFonts w:ascii="Arial" w:cs="Arial" w:eastAsia="Arial" w:hAnsi="Arial"/>
                <w:sz w:val="18"/>
                <w:szCs w:val="18"/>
                <w:color w:val="auto"/>
              </w:rPr>
              <w:t>F-44</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Warrants Outstanding</w:t>
            </w: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Following the warrant issuances in the September 2017 Public Offering and in the self-placed private placement transactions and the warrant modifications described above, at September 30, 2017, we had outstanding warrants to purchase shares of our common stock at a weighted average exercise price of $4.77 per share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Warrants</w:t>
            </w:r>
          </w:p>
        </w:tc>
      </w:tr>
      <w:tr>
        <w:trPr>
          <w:trHeight w:val="216"/>
        </w:trPr>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Outstanding</w:t>
            </w:r>
          </w:p>
        </w:tc>
      </w:tr>
      <w:tr>
        <w:trPr>
          <w:trHeight w:val="216"/>
        </w:trPr>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at</w:t>
            </w:r>
          </w:p>
        </w:tc>
      </w:tr>
      <w:tr>
        <w:trPr>
          <w:trHeight w:val="216"/>
        </w:trPr>
        <w:tc>
          <w:tcPr>
            <w:tcW w:w="14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Exercise Price</w:t>
            </w:r>
          </w:p>
        </w:tc>
        <w:tc>
          <w:tcPr>
            <w:tcW w:w="868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September 30,</w:t>
            </w:r>
          </w:p>
        </w:tc>
      </w:tr>
      <w:tr>
        <w:trPr>
          <w:trHeight w:val="237"/>
        </w:trPr>
        <w:tc>
          <w:tcPr>
            <w:tcW w:w="14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86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2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r>
      <w:tr>
        <w:trPr>
          <w:trHeight w:val="216"/>
        </w:trPr>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8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9/6/2022 to 3/7/2023</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1,892,572</w:t>
            </w:r>
          </w:p>
        </w:tc>
      </w:tr>
      <w:tr>
        <w:trPr>
          <w:trHeight w:val="216"/>
        </w:trPr>
        <w:tc>
          <w:tcPr>
            <w:tcW w:w="1260" w:type="dxa"/>
            <w:vAlign w:val="bottom"/>
            <w:gridSpan w:val="2"/>
          </w:tcPr>
          <w:p>
            <w:pPr>
              <w:ind w:left="14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8680" w:type="dxa"/>
            <w:vAlign w:val="bottom"/>
          </w:tcPr>
          <w:p>
            <w:pPr>
              <w:jc w:val="center"/>
              <w:spacing w:after="0"/>
              <w:rPr>
                <w:sz w:val="20"/>
                <w:szCs w:val="20"/>
                <w:color w:val="auto"/>
              </w:rPr>
            </w:pPr>
            <w:r>
              <w:rPr>
                <w:rFonts w:ascii="Arial" w:cs="Arial" w:eastAsia="Arial" w:hAnsi="Arial"/>
                <w:sz w:val="18"/>
                <w:szCs w:val="18"/>
                <w:color w:val="auto"/>
                <w:w w:val="89"/>
              </w:rPr>
              <w:t>4/30/2021</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495,001</w:t>
            </w:r>
          </w:p>
        </w:tc>
      </w:tr>
      <w:tr>
        <w:trPr>
          <w:trHeight w:val="216"/>
        </w:trPr>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8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12/31/2021</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r>
      <w:tr>
        <w:trPr>
          <w:trHeight w:val="216"/>
        </w:trPr>
        <w:tc>
          <w:tcPr>
            <w:tcW w:w="1260" w:type="dxa"/>
            <w:vAlign w:val="bottom"/>
            <w:gridSpan w:val="2"/>
          </w:tcPr>
          <w:p>
            <w:pPr>
              <w:ind w:left="14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8680" w:type="dxa"/>
            <w:vAlign w:val="bottom"/>
          </w:tcPr>
          <w:p>
            <w:pPr>
              <w:jc w:val="center"/>
              <w:spacing w:after="0"/>
              <w:rPr>
                <w:sz w:val="20"/>
                <w:szCs w:val="20"/>
                <w:color w:val="auto"/>
              </w:rPr>
            </w:pPr>
            <w:r>
              <w:rPr>
                <w:rFonts w:ascii="Arial" w:cs="Arial" w:eastAsia="Arial" w:hAnsi="Arial"/>
                <w:sz w:val="18"/>
                <w:szCs w:val="18"/>
                <w:color w:val="auto"/>
                <w:w w:val="89"/>
              </w:rPr>
              <w:t>4/30/2021</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28,572</w:t>
            </w:r>
          </w:p>
        </w:tc>
      </w:tr>
      <w:tr>
        <w:trPr>
          <w:trHeight w:val="84"/>
        </w:trPr>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r>
    </w:tbl>
    <w:p>
      <w:pPr>
        <w:sectPr>
          <w:pgSz w:w="11900" w:h="16900" w:orient="portrait"/>
          <w:cols w:equalWidth="0" w:num="1">
            <w:col w:w="11420"/>
          </w:cols>
          <w:pgMar w:left="240" w:top="131" w:right="239" w:bottom="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$4.50</w:t>
            </w:r>
          </w:p>
        </w:tc>
        <w:tc>
          <w:tcPr>
            <w:tcW w:w="7320" w:type="dxa"/>
            <w:vAlign w:val="bottom"/>
            <w:shd w:val="clear" w:color="auto" w:fill="CCEEFF"/>
          </w:tcPr>
          <w:p>
            <w:pPr>
              <w:jc w:val="center"/>
              <w:ind w:right="1272"/>
              <w:spacing w:after="0"/>
              <w:rPr>
                <w:sz w:val="20"/>
                <w:szCs w:val="20"/>
                <w:color w:val="auto"/>
              </w:rPr>
            </w:pPr>
            <w:r>
              <w:rPr>
                <w:rFonts w:ascii="Arial" w:cs="Arial" w:eastAsia="Arial" w:hAnsi="Arial"/>
                <w:sz w:val="18"/>
                <w:szCs w:val="18"/>
                <w:color w:val="auto"/>
                <w:w w:val="89"/>
              </w:rPr>
              <w:t>9/26/2019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$5.30</w:t>
            </w:r>
          </w:p>
        </w:tc>
        <w:tc>
          <w:tcPr>
            <w:tcW w:w="7320" w:type="dxa"/>
            <w:vAlign w:val="bottom"/>
          </w:tcPr>
          <w:p>
            <w:pPr>
              <w:jc w:val="center"/>
              <w:ind w:right="1272"/>
              <w:spacing w:after="0"/>
              <w:rPr>
                <w:sz w:val="20"/>
                <w:szCs w:val="20"/>
                <w:color w:val="auto"/>
              </w:rPr>
            </w:pPr>
            <w:r>
              <w:rPr>
                <w:rFonts w:ascii="Arial" w:cs="Arial" w:eastAsia="Arial" w:hAnsi="Arial"/>
                <w:sz w:val="18"/>
                <w:szCs w:val="18"/>
                <w:color w:val="auto"/>
                <w:w w:val="89"/>
              </w:rPr>
              <w:t>5/16/2021</w:t>
            </w:r>
          </w:p>
        </w:tc>
        <w:tc>
          <w:tcPr>
            <w:tcW w:w="1360" w:type="dxa"/>
            <w:vAlign w:val="bottom"/>
          </w:tcPr>
          <w:p>
            <w:pPr>
              <w:jc w:val="right"/>
              <w:spacing w:after="0"/>
              <w:rPr>
                <w:sz w:val="20"/>
                <w:szCs w:val="20"/>
                <w:color w:val="auto"/>
              </w:rPr>
            </w:pPr>
            <w:r>
              <w:rPr>
                <w:rFonts w:ascii="Arial" w:cs="Arial" w:eastAsia="Arial" w:hAnsi="Arial"/>
                <w:sz w:val="18"/>
                <w:szCs w:val="18"/>
                <w:color w:val="auto"/>
              </w:rPr>
              <w:t>2,705,883</w:t>
            </w:r>
          </w:p>
        </w:tc>
      </w:tr>
      <w:tr>
        <w:trPr>
          <w:trHeight w:val="216"/>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$6.00</w:t>
            </w:r>
          </w:p>
        </w:tc>
        <w:tc>
          <w:tcPr>
            <w:tcW w:w="7320" w:type="dxa"/>
            <w:vAlign w:val="bottom"/>
            <w:shd w:val="clear" w:color="auto" w:fill="CCEEFF"/>
          </w:tcPr>
          <w:p>
            <w:pPr>
              <w:jc w:val="center"/>
              <w:ind w:right="1272"/>
              <w:spacing w:after="0"/>
              <w:rPr>
                <w:sz w:val="20"/>
                <w:szCs w:val="20"/>
                <w:color w:val="auto"/>
              </w:rPr>
            </w:pPr>
            <w:r>
              <w:rPr>
                <w:rFonts w:ascii="Arial" w:cs="Arial" w:eastAsia="Arial" w:hAnsi="Arial"/>
                <w:sz w:val="18"/>
                <w:szCs w:val="18"/>
                <w:color w:val="auto"/>
                <w:w w:val="88"/>
              </w:rPr>
              <w:t>9/26/2019 to 11/30/2019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97,750</w:t>
            </w: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$7.00</w:t>
            </w:r>
          </w:p>
        </w:tc>
        <w:tc>
          <w:tcPr>
            <w:tcW w:w="7320" w:type="dxa"/>
            <w:vAlign w:val="bottom"/>
          </w:tcPr>
          <w:p>
            <w:pPr>
              <w:jc w:val="center"/>
              <w:ind w:right="1272"/>
              <w:spacing w:after="0"/>
              <w:rPr>
                <w:sz w:val="20"/>
                <w:szCs w:val="20"/>
                <w:color w:val="auto"/>
              </w:rPr>
            </w:pPr>
            <w:r>
              <w:rPr>
                <w:rFonts w:ascii="Arial" w:cs="Arial" w:eastAsia="Arial" w:hAnsi="Arial"/>
                <w:sz w:val="18"/>
                <w:szCs w:val="18"/>
                <w:color w:val="auto"/>
                <w:w w:val="88"/>
              </w:rPr>
              <w:t>12/11/2018 to 3/3/2023</w:t>
            </w:r>
          </w:p>
        </w:tc>
        <w:tc>
          <w:tcPr>
            <w:tcW w:w="1360" w:type="dxa"/>
            <w:vAlign w:val="bottom"/>
          </w:tcPr>
          <w:p>
            <w:pPr>
              <w:jc w:val="right"/>
              <w:spacing w:after="0"/>
              <w:rPr>
                <w:sz w:val="20"/>
                <w:szCs w:val="20"/>
                <w:color w:val="auto"/>
              </w:rPr>
            </w:pPr>
            <w:r>
              <w:rPr>
                <w:rFonts w:ascii="Arial" w:cs="Arial" w:eastAsia="Arial" w:hAnsi="Arial"/>
                <w:sz w:val="18"/>
                <w:szCs w:val="18"/>
                <w:color w:val="auto"/>
              </w:rPr>
              <w:t>1,346,931</w:t>
            </w:r>
          </w:p>
        </w:tc>
      </w:tr>
      <w:tr>
        <w:trPr>
          <w:trHeight w:val="216"/>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$8.00</w:t>
            </w:r>
          </w:p>
        </w:tc>
        <w:tc>
          <w:tcPr>
            <w:tcW w:w="7320" w:type="dxa"/>
            <w:vAlign w:val="bottom"/>
            <w:shd w:val="clear" w:color="auto" w:fill="CCEEFF"/>
          </w:tcPr>
          <w:p>
            <w:pPr>
              <w:jc w:val="center"/>
              <w:ind w:right="1272"/>
              <w:spacing w:after="0"/>
              <w:rPr>
                <w:sz w:val="20"/>
                <w:szCs w:val="20"/>
                <w:color w:val="auto"/>
              </w:rPr>
            </w:pPr>
            <w:r>
              <w:rPr>
                <w:rFonts w:ascii="Arial" w:cs="Arial" w:eastAsia="Arial" w:hAnsi="Arial"/>
                <w:sz w:val="18"/>
                <w:szCs w:val="18"/>
                <w:color w:val="auto"/>
                <w:w w:val="89"/>
              </w:rPr>
              <w:t>3/25/2021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$10.00</w:t>
            </w:r>
          </w:p>
        </w:tc>
        <w:tc>
          <w:tcPr>
            <w:tcW w:w="7320" w:type="dxa"/>
            <w:vAlign w:val="bottom"/>
          </w:tcPr>
          <w:p>
            <w:pPr>
              <w:jc w:val="center"/>
              <w:ind w:right="1272"/>
              <w:spacing w:after="0"/>
              <w:rPr>
                <w:sz w:val="20"/>
                <w:szCs w:val="20"/>
                <w:color w:val="auto"/>
              </w:rPr>
            </w:pPr>
            <w:r>
              <w:rPr>
                <w:rFonts w:ascii="Arial" w:cs="Arial" w:eastAsia="Arial" w:hAnsi="Arial"/>
                <w:sz w:val="18"/>
                <w:szCs w:val="18"/>
                <w:color w:val="auto"/>
                <w:w w:val="88"/>
              </w:rPr>
              <w:t>11/15/2017 to 1/11/2020</w:t>
            </w:r>
          </w:p>
        </w:tc>
        <w:tc>
          <w:tcPr>
            <w:tcW w:w="1360" w:type="dxa"/>
            <w:vAlign w:val="bottom"/>
          </w:tcPr>
          <w:p>
            <w:pPr>
              <w:jc w:val="right"/>
              <w:spacing w:after="0"/>
              <w:rPr>
                <w:sz w:val="20"/>
                <w:szCs w:val="20"/>
                <w:color w:val="auto"/>
              </w:rPr>
            </w:pPr>
            <w:r>
              <w:rPr>
                <w:rFonts w:ascii="Arial" w:cs="Arial" w:eastAsia="Arial" w:hAnsi="Arial"/>
                <w:sz w:val="18"/>
                <w:szCs w:val="18"/>
                <w:color w:val="auto"/>
              </w:rPr>
              <w:t>24,394</w:t>
            </w:r>
          </w:p>
        </w:tc>
      </w:tr>
      <w:tr>
        <w:trPr>
          <w:trHeight w:val="216"/>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$20.00</w:t>
            </w:r>
          </w:p>
        </w:tc>
        <w:tc>
          <w:tcPr>
            <w:tcW w:w="7320" w:type="dxa"/>
            <w:vAlign w:val="bottom"/>
            <w:shd w:val="clear" w:color="auto" w:fill="CCEEFF"/>
          </w:tcPr>
          <w:p>
            <w:pPr>
              <w:jc w:val="center"/>
              <w:ind w:right="1272"/>
              <w:spacing w:after="0"/>
              <w:rPr>
                <w:sz w:val="20"/>
                <w:szCs w:val="20"/>
                <w:color w:val="auto"/>
              </w:rPr>
            </w:pPr>
            <w:r>
              <w:rPr>
                <w:rFonts w:ascii="Arial" w:cs="Arial" w:eastAsia="Arial" w:hAnsi="Arial"/>
                <w:sz w:val="18"/>
                <w:szCs w:val="18"/>
                <w:color w:val="auto"/>
                <w:w w:val="89"/>
              </w:rPr>
              <w:t>9/15/2019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110,448</w:t>
            </w:r>
          </w:p>
        </w:tc>
      </w:tr>
      <w:tr>
        <w:trPr>
          <w:trHeight w:val="223"/>
        </w:trPr>
        <w:tc>
          <w:tcPr>
            <w:tcW w:w="2740" w:type="dxa"/>
            <w:vAlign w:val="bottom"/>
          </w:tcPr>
          <w:p>
            <w:pPr>
              <w:ind w:left="140"/>
              <w:spacing w:after="0"/>
              <w:rPr>
                <w:sz w:val="20"/>
                <w:szCs w:val="20"/>
                <w:color w:val="auto"/>
              </w:rPr>
            </w:pPr>
            <w:r>
              <w:rPr>
                <w:rFonts w:ascii="Arial" w:cs="Arial" w:eastAsia="Arial" w:hAnsi="Arial"/>
                <w:sz w:val="18"/>
                <w:szCs w:val="18"/>
                <w:color w:val="auto"/>
              </w:rPr>
              <w:t>$30.00</w:t>
            </w:r>
          </w:p>
        </w:tc>
        <w:tc>
          <w:tcPr>
            <w:tcW w:w="7320" w:type="dxa"/>
            <w:vAlign w:val="bottom"/>
          </w:tcPr>
          <w:p>
            <w:pPr>
              <w:jc w:val="center"/>
              <w:ind w:right="1272"/>
              <w:spacing w:after="0"/>
              <w:rPr>
                <w:sz w:val="20"/>
                <w:szCs w:val="20"/>
                <w:color w:val="auto"/>
              </w:rPr>
            </w:pPr>
            <w:r>
              <w:rPr>
                <w:rFonts w:ascii="Arial" w:cs="Arial" w:eastAsia="Arial" w:hAnsi="Arial"/>
                <w:sz w:val="18"/>
                <w:szCs w:val="18"/>
                <w:color w:val="auto"/>
                <w:w w:val="88"/>
              </w:rPr>
              <w:t>11/20/2017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r>
      <w:tr>
        <w:trPr>
          <w:trHeight w:val="257"/>
        </w:trPr>
        <w:tc>
          <w:tcPr>
            <w:tcW w:w="2740" w:type="dxa"/>
            <w:vAlign w:val="bottom"/>
            <w:tcBorders>
              <w:bottom w:val="single" w:sz="8" w:color="CCEEFF"/>
            </w:tcBorders>
            <w:shd w:val="clear" w:color="auto" w:fill="CCEEFF"/>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6,965,151</w:t>
            </w:r>
          </w:p>
        </w:tc>
      </w:tr>
    </w:tbl>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the exception of 2,705,883 shares of common stock underlying the warrants exercisable at $5.30 per share issued in our May 2016 public offering and 1,892,572 shares of common stock underlying the warrants exercisable at $1.82 per share issued in our September 2017 Public Offering, all of the common shares issuable upon exercise of our outstanding warrants are unregistered.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Party Transactions</w:t>
      </w:r>
    </w:p>
    <w:p>
      <w:pPr>
        <w:spacing w:after="0" w:line="23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is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CRL is a contract research, development and regulatory services organization (</w:t>
      </w:r>
      <w:r>
        <w:rPr>
          <w:rFonts w:ascii="Arial" w:cs="Arial" w:eastAsia="Arial" w:hAnsi="Arial"/>
          <w:sz w:val="16"/>
          <w:szCs w:val="16"/>
          <w:i w:val="1"/>
          <w:iCs w:val="1"/>
          <w:color w:val="auto"/>
        </w:rPr>
        <w:t>CRO</w:t>
      </w:r>
      <w:r>
        <w:rPr>
          <w:rFonts w:ascii="Arial" w:cs="Arial" w:eastAsia="Arial" w:hAnsi="Arial"/>
          <w:sz w:val="16"/>
          <w:szCs w:val="16"/>
          <w:color w:val="auto"/>
        </w:rPr>
        <w:t xml:space="preserve">) recently engaged by us for a wide range of material aspects related to the nonclinical and clinical development and regulatory affairs associated with our efforts to develop and commercialize AV-101 for MDD and other potential CNS indications. CBV is among our largest institutional stockholders at September 30, 2017, holding approximately 7.8% of our outstanding common stock. In October 2012, we issued certain unsecured promissory notes in the aggregate principal amount of approximately $1.3 million to CBV and CRL (the </w:t>
      </w:r>
      <w:r>
        <w:rPr>
          <w:rFonts w:ascii="Arial" w:cs="Arial" w:eastAsia="Arial" w:hAnsi="Arial"/>
          <w:sz w:val="16"/>
          <w:szCs w:val="16"/>
          <w:i w:val="1"/>
          <w:iCs w:val="1"/>
          <w:color w:val="auto"/>
        </w:rPr>
        <w:t>Cato Notes</w:t>
      </w:r>
      <w:r>
        <w:rPr>
          <w:rFonts w:ascii="Arial" w:cs="Arial" w:eastAsia="Arial" w:hAnsi="Arial"/>
          <w:sz w:val="16"/>
          <w:szCs w:val="16"/>
          <w:color w:val="auto"/>
        </w:rPr>
        <w:t>) as payment in full for all contract research and development services and regulatory advice previously rendered to us by CRL for nonclinical and Phase 1 development of AV-101. In June 2015, the Cato Notes and additional amounts payable to CRL for CRO services related to AV-101 were extinguished in exchange for our issuance of an aggregate of 328,571 shares of Series B Preferred stock to CBV, which shares of Series B Preferred stock were automatically converted in accordance with their terms into an equal number of registered shares of our common stock as a result of our May 2016 public offering.</w:t>
      </w:r>
    </w:p>
    <w:p>
      <w:pPr>
        <w:spacing w:after="0" w:line="17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July 2017, we entered into a Master Services Agreement (</w:t>
      </w:r>
      <w:r>
        <w:rPr>
          <w:rFonts w:ascii="Arial" w:cs="Arial" w:eastAsia="Arial" w:hAnsi="Arial"/>
          <w:sz w:val="16"/>
          <w:szCs w:val="16"/>
          <w:i w:val="1"/>
          <w:iCs w:val="1"/>
          <w:color w:val="auto"/>
        </w:rPr>
        <w:t>MSA</w:t>
      </w:r>
      <w:r>
        <w:rPr>
          <w:rFonts w:ascii="Arial" w:cs="Arial" w:eastAsia="Arial" w:hAnsi="Arial"/>
          <w:sz w:val="16"/>
          <w:szCs w:val="16"/>
          <w:color w:val="auto"/>
        </w:rPr>
        <w:t>) with CRL, which replaced a substantially similar May 2007 master services agreement, pursuant to which CRL may assist us in the evaluation, development, commercialization and marketing of our potential product candidates, including AV-101,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May 2007 master services agreement with CRL, we incurred expenses of $484,000 and $27,800 during the quarters ended September 30, 2017 and 2016, respectively, and $612,200 and $78,200 in the six-month periods ended September 30, 2017 and 2016, respectively. During the quarter ended September 30, 2017, we issued an aggregate of 300,000 unregistered shares of our common stock to CRL under the terms of certain work orders for current and future CRO services relating to our development of AV-101 for MDD, the fair value of which represented approximately $364,000 of the reported CRO expense for the quarter then ended. We anticipate periodic expenses for CRO services from CRL related to nonclinical and clinical development of, and regulatory affairs related to, AV-101 and other potential product candidates will increase in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November 9, 2017 and have identified the following matters requiring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Professional Services Providers</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October 2017, we issued an aggregate of 70,000 shares of our unregistered common stock having an aggregate fair value of $83,800 to certain professional service providers.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26"/>
          <w:szCs w:val="26"/>
          <w:b w:val="1"/>
          <w:bCs w:val="1"/>
          <w:color w:val="auto"/>
        </w:rPr>
        <w:t>10,000,000 Shares of Common Stock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Warrants to Purchase up to 10,000,000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480695</wp:posOffset>
            </wp:positionV>
            <wp:extent cx="1191895" cy="926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91895" cy="92646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9" w:name="page160"/>
    <w:bookmarkEnd w:id="159"/>
    <w:p>
      <w:pPr>
        <w:ind w:left="3160"/>
        <w:spacing w:after="0"/>
        <w:rPr>
          <w:sz w:val="20"/>
          <w:szCs w:val="20"/>
          <w:color w:val="auto"/>
        </w:rPr>
      </w:pPr>
      <w:r>
        <w:rPr>
          <w:rFonts w:ascii="Arial" w:cs="Arial" w:eastAsia="Arial" w:hAnsi="Arial"/>
          <w:sz w:val="16"/>
          <w:szCs w:val="16"/>
          <w:b w:val="1"/>
          <w:bCs w:val="1"/>
          <w:color w:val="auto"/>
        </w:rPr>
        <w:t>_______________________________</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Oppenheimer &amp; Co.</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Lead Manager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Chardan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654050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019"/>
      </w:cols>
      <w:pgMar w:left="1440" w:top="7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decimal"/>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1)"/>
      <w:numFmt w:val="decimal"/>
      <w:start w:val="7"/>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1)"/>
      <w:numFmt w:val="decimal"/>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decimal"/>
      <w:start w:val="10"/>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1)"/>
      <w:numFmt w:val="lowerRoman"/>
      <w:start w:val="2"/>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1)"/>
      <w:numFmt w:val="lowerLetter"/>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1)"/>
      <w:numFmt w:val="lowerRoman"/>
      <w:start w:val="2"/>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2020-01-19T01:22:08Z</dcterms:created>
  <dcterms:modified xsi:type="dcterms:W3CDTF">2020-01-19T01:22:08Z</dcterms:modified>
</cp:coreProperties>
</file>