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5, 2021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0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94"/>
              </w:rPr>
              <w:t>NEVADA</w:t>
            </w:r>
          </w:p>
        </w:tc>
        <w:tc>
          <w:tcPr>
            <w:tcW w:w="2420" w:type="dxa"/>
            <w:vAlign w:val="bottom"/>
            <w:gridSpan w:val="4"/>
          </w:tcPr>
          <w:p>
            <w:pPr>
              <w:jc w:val="center"/>
              <w:ind w:left="1572"/>
              <w:spacing w:after="0"/>
              <w:rPr>
                <w:sz w:val="20"/>
                <w:szCs w:val="20"/>
                <w:color w:val="auto"/>
              </w:rPr>
            </w:pPr>
            <w:r>
              <w:rPr>
                <w:rFonts w:ascii="Arial" w:cs="Arial" w:eastAsia="Arial" w:hAnsi="Arial"/>
                <w:sz w:val="18"/>
                <w:szCs w:val="18"/>
                <w:b w:val="1"/>
                <w:bCs w:val="1"/>
                <w:color w:val="auto"/>
                <w:w w:val="88"/>
              </w:rPr>
              <w:t>000-54014</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20-5093315</w:t>
            </w:r>
          </w:p>
        </w:tc>
        <w:tc>
          <w:tcPr>
            <w:tcW w:w="9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4"/>
        </w:trPr>
        <w:tc>
          <w:tcPr>
            <w:tcW w:w="3300" w:type="dxa"/>
            <w:vAlign w:val="bottom"/>
            <w:gridSpan w:val="3"/>
          </w:tcPr>
          <w:p>
            <w:pPr>
              <w:jc w:val="center"/>
              <w:ind w:right="16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580" w:type="dxa"/>
            <w:vAlign w:val="bottom"/>
          </w:tcPr>
          <w:p>
            <w:pPr>
              <w:spacing w:after="0"/>
              <w:rPr>
                <w:sz w:val="20"/>
                <w:szCs w:val="20"/>
                <w:color w:val="auto"/>
              </w:rPr>
            </w:pPr>
          </w:p>
        </w:tc>
        <w:tc>
          <w:tcPr>
            <w:tcW w:w="3580" w:type="dxa"/>
            <w:vAlign w:val="bottom"/>
            <w:gridSpan w:val="6"/>
          </w:tcPr>
          <w:p>
            <w:pPr>
              <w:jc w:val="center"/>
              <w:ind w:right="660"/>
              <w:spacing w:after="0"/>
              <w:rPr>
                <w:sz w:val="20"/>
                <w:szCs w:val="20"/>
                <w:color w:val="auto"/>
              </w:rPr>
            </w:pPr>
            <w:r>
              <w:rPr>
                <w:rFonts w:ascii="Arial" w:cs="Arial" w:eastAsia="Arial" w:hAnsi="Arial"/>
                <w:sz w:val="18"/>
                <w:szCs w:val="18"/>
                <w:i w:val="1"/>
                <w:iCs w:val="1"/>
                <w:color w:val="auto"/>
                <w:w w:val="89"/>
              </w:rPr>
              <w:t>(Commission File Number)</w:t>
            </w:r>
          </w:p>
        </w:tc>
        <w:tc>
          <w:tcPr>
            <w:tcW w:w="2980" w:type="dxa"/>
            <w:vAlign w:val="bottom"/>
            <w:gridSpan w:val="3"/>
          </w:tcPr>
          <w:p>
            <w:pPr>
              <w:jc w:val="center"/>
              <w:ind w:left="19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8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w w:val="88"/>
              </w:rPr>
              <w:t>343 Allerton Ave.</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580" w:type="dxa"/>
            <w:vAlign w:val="bottom"/>
            <w:gridSpan w:val="6"/>
          </w:tcPr>
          <w:p>
            <w:pPr>
              <w:jc w:val="center"/>
              <w:ind w:right="700"/>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80" w:type="dxa"/>
            <w:vAlign w:val="bottom"/>
            <w:gridSpan w:val="5"/>
          </w:tcPr>
          <w:p>
            <w:pPr>
              <w:jc w:val="center"/>
              <w:ind w:left="1392"/>
              <w:spacing w:after="0"/>
              <w:rPr>
                <w:sz w:val="20"/>
                <w:szCs w:val="20"/>
                <w:color w:val="auto"/>
              </w:rPr>
            </w:pPr>
            <w:r>
              <w:rPr>
                <w:rFonts w:ascii="Arial" w:cs="Arial" w:eastAsia="Arial" w:hAnsi="Arial"/>
                <w:sz w:val="18"/>
                <w:szCs w:val="18"/>
                <w:b w:val="1"/>
                <w:bCs w:val="1"/>
                <w:color w:val="auto"/>
                <w:w w:val="89"/>
              </w:rPr>
              <w:t>(650) 577-3600</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160" w:type="dxa"/>
            <w:vAlign w:val="bottom"/>
            <w:gridSpan w:val="7"/>
          </w:tcPr>
          <w:p>
            <w:pPr>
              <w:jc w:val="center"/>
              <w:ind w:right="12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7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4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Common Stock, par value $0.001 per share</w:t>
            </w:r>
          </w:p>
        </w:tc>
        <w:tc>
          <w:tcPr>
            <w:tcW w:w="2740" w:type="dxa"/>
            <w:vAlign w:val="bottom"/>
            <w:gridSpan w:val="2"/>
          </w:tcPr>
          <w:p>
            <w:pPr>
              <w:jc w:val="center"/>
              <w:ind w:right="14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5, 2021,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received a letter (the “</w:t>
      </w:r>
      <w:r>
        <w:rPr>
          <w:rFonts w:ascii="Arial" w:cs="Arial" w:eastAsia="Arial" w:hAnsi="Arial"/>
          <w:sz w:val="18"/>
          <w:szCs w:val="18"/>
          <w:i w:val="1"/>
          <w:iCs w:val="1"/>
          <w:color w:val="auto"/>
        </w:rPr>
        <w:t>Letter</w:t>
      </w:r>
      <w:r>
        <w:rPr>
          <w:rFonts w:ascii="Arial" w:cs="Arial" w:eastAsia="Arial" w:hAnsi="Arial"/>
          <w:sz w:val="18"/>
          <w:szCs w:val="18"/>
          <w:color w:val="auto"/>
        </w:rPr>
        <w:t>”) from the Listing Qualifications Staff (the “</w:t>
      </w:r>
      <w:r>
        <w:rPr>
          <w:rFonts w:ascii="Arial" w:cs="Arial" w:eastAsia="Arial" w:hAnsi="Arial"/>
          <w:sz w:val="18"/>
          <w:szCs w:val="18"/>
          <w:i w:val="1"/>
          <w:iCs w:val="1"/>
          <w:color w:val="auto"/>
        </w:rPr>
        <w:t>Staff</w:t>
      </w:r>
      <w:r>
        <w:rPr>
          <w:rFonts w:ascii="Arial" w:cs="Arial" w:eastAsia="Arial" w:hAnsi="Arial"/>
          <w:sz w:val="18"/>
          <w:szCs w:val="18"/>
          <w:color w:val="auto"/>
        </w:rPr>
        <w:t>”) of The Nasdaq Stock Market, LLC (“</w:t>
      </w:r>
      <w:r>
        <w:rPr>
          <w:rFonts w:ascii="Arial" w:cs="Arial" w:eastAsia="Arial" w:hAnsi="Arial"/>
          <w:sz w:val="18"/>
          <w:szCs w:val="18"/>
          <w:i w:val="1"/>
          <w:iCs w:val="1"/>
          <w:color w:val="auto"/>
        </w:rPr>
        <w:t>Nasdaq</w:t>
      </w:r>
      <w:r>
        <w:rPr>
          <w:rFonts w:ascii="Arial" w:cs="Arial" w:eastAsia="Arial" w:hAnsi="Arial"/>
          <w:sz w:val="18"/>
          <w:szCs w:val="18"/>
          <w:color w:val="auto"/>
        </w:rPr>
        <w:t>”) indicating that the Staff has determined that, because the closing bid price of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was greater than $1.00 per share for the previous 10 consecutive trading days, the Company is now in full compliance with the minimum bid price requirement set forth in Nasdaq Listing Rule 5550(a)(2). Accordingly, Company has regained full compliance with all previously outstanding deficiencies and the matter is now closed. A press release issued by the Company on January 6, 2021 regarding the Letter is attached to this Current Report on Form 8-K as Exhibit 99.1.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0"/>
                <w:szCs w:val="20"/>
                <w:color w:val="auto"/>
              </w:rPr>
            </w:pPr>
          </w:p>
        </w:tc>
        <w:tc>
          <w:tcPr>
            <w:tcW w:w="1000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1020" w:type="dxa"/>
            <w:vAlign w:val="bottom"/>
            <w:shd w:val="clear" w:color="auto" w:fill="CCEEFF"/>
          </w:tcPr>
          <w:p>
            <w:pPr>
              <w:jc w:val="center"/>
              <w:ind w:right="252"/>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shd w:val="clear" w:color="auto" w:fill="CCEEFF"/>
          </w:tcPr>
          <w:p>
            <w:pPr>
              <w:spacing w:after="0"/>
              <w:rPr>
                <w:sz w:val="18"/>
                <w:szCs w:val="18"/>
                <w:color w:val="auto"/>
              </w:rPr>
            </w:pP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Press Release issued by VistaGen Therapeutics, Inc., dated January 6, 2021.</w:t>
            </w:r>
          </w:p>
        </w:tc>
      </w:tr>
      <w:tr>
        <w:trPr>
          <w:trHeight w:val="1951"/>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7740" w:type="dxa"/>
            <w:vAlign w:val="bottom"/>
            <w:gridSpan w:val="3"/>
          </w:tcPr>
          <w:p>
            <w:pPr>
              <w:ind w:left="1900"/>
              <w:spacing w:after="0"/>
              <w:rPr>
                <w:sz w:val="20"/>
                <w:szCs w:val="20"/>
                <w:color w:val="auto"/>
              </w:rPr>
            </w:pPr>
            <w:r>
              <w:rPr>
                <w:rFonts w:ascii="Arial" w:cs="Arial" w:eastAsia="Arial" w:hAnsi="Arial"/>
                <w:sz w:val="18"/>
                <w:szCs w:val="18"/>
                <w:color w:val="auto"/>
              </w:rPr>
              <w:t>VistaGen Therapeutics, Inc.</w:t>
            </w:r>
          </w:p>
        </w:tc>
      </w:tr>
      <w:tr>
        <w:trPr>
          <w:trHeight w:val="394"/>
        </w:trPr>
        <w:tc>
          <w:tcPr>
            <w:tcW w:w="3500" w:type="dxa"/>
            <w:vAlign w:val="bottom"/>
          </w:tcPr>
          <w:p>
            <w:pPr>
              <w:ind w:left="60"/>
              <w:spacing w:after="0"/>
              <w:rPr>
                <w:sz w:val="20"/>
                <w:szCs w:val="20"/>
                <w:color w:val="auto"/>
              </w:rPr>
            </w:pPr>
            <w:r>
              <w:rPr>
                <w:rFonts w:ascii="Arial" w:cs="Arial" w:eastAsia="Arial" w:hAnsi="Arial"/>
                <w:sz w:val="18"/>
                <w:szCs w:val="18"/>
                <w:color w:val="auto"/>
              </w:rPr>
              <w:t>Date: January 6, 2021</w:t>
            </w: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3960" w:type="dxa"/>
            <w:vAlign w:val="bottom"/>
          </w:tcPr>
          <w:p>
            <w:pPr>
              <w:spacing w:after="0"/>
              <w:rPr>
                <w:sz w:val="19"/>
                <w:szCs w:val="19"/>
                <w:color w:val="auto"/>
              </w:rPr>
            </w:pPr>
          </w:p>
        </w:tc>
      </w:tr>
      <w:tr>
        <w:trPr>
          <w:trHeight w:val="222"/>
        </w:trPr>
        <w:tc>
          <w:tcPr>
            <w:tcW w:w="3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57045" cy="1131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VistaGen Therapeutics Regains Full Compliance with Nasdaq Listing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SOUTH SAN FRANCISCO, Calif., January 6, 2021 (GLOBE NEWSWIRE) -- </w:t>
      </w:r>
      <w:r>
        <w:rPr>
          <w:rFonts w:ascii="Arial" w:cs="Arial" w:eastAsia="Arial" w:hAnsi="Arial"/>
          <w:sz w:val="18"/>
          <w:szCs w:val="18"/>
          <w:color w:val="auto"/>
        </w:rPr>
        <w:t>VistaGen</w:t>
      </w:r>
    </w:p>
    <w:p>
      <w:pPr>
        <w:spacing w:after="0" w:line="2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Therapeutics, Inc. (NASDAQ: VTGN), a biopharmaceutical company committed to developing a new generation of medicines with the potential to go beyond the current standard of care for anxiety, depression and other central nervous system (CNS) disorders, announced today that it received notice from The Nasdaq Stock Market (Nasdaq) on January 5, 2021 that VistaGen has regained compliance with the minimum bid price requirement under Nasdaq Listing Rule 5550(a)</w:t>
      </w:r>
    </w:p>
    <w:p>
      <w:pPr>
        <w:spacing w:after="0" w:line="1" w:lineRule="exact"/>
        <w:rPr>
          <w:sz w:val="20"/>
          <w:szCs w:val="20"/>
          <w:color w:val="auto"/>
        </w:rPr>
      </w:pPr>
    </w:p>
    <w:p>
      <w:pPr>
        <w:ind w:right="460" w:firstLine="8"/>
        <w:spacing w:after="0" w:line="260"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Bid Price Rule) for continued listing on The Nasdaq Capital Market. VistaGen is now in full compliance with all applicable listing standards, and Nasdaq considers the matter closed.</w:t>
      </w:r>
    </w:p>
    <w:p>
      <w:pPr>
        <w:spacing w:after="0" w:line="19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Nasdaq previously notified VistaGen on January 31, 2020, that it was not in compliance with the Bid Price Rule because its common stock failed to meet the closing bid price of $1.00 or more for 30 consecutive business days. In order to regain compliance with the Bid Price Rule, VistaGen was required to maintain a minimum closing bid price of $1.00 or more for at least 10 consecutive trading days. This requirement was met on January 4,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About VistaGen</w:t>
      </w:r>
    </w:p>
    <w:p>
      <w:pPr>
        <w:spacing w:after="0" w:line="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333333"/>
        </w:rPr>
        <w:t>VistaGen Therapeutics, Inc. is a biopharmaceutical company committed to developing and commercializing innovative medicines with the potential to go beyond the current standard of care for anxiety, depression and other CNS disorders. Each of VistaGen’s three drug candidates has a differentiated potential mechanism of action, has been well-tolerated in all clinical studies to date and has therapeutic potential in multiple CNS markets.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Forward-Looking Statements</w:t>
      </w:r>
    </w:p>
    <w:p>
      <w:pPr>
        <w:spacing w:after="0" w:line="1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333333"/>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include, without limitation, risks and uncertainties relating to the impact of the COVID-19 pandemic; market conditions; the impact of general economic, industry or political conditions in the United States or internationally; adverse healthcare reforms and changes of laws and regulations; manufacturing and marketing risks, including risks related to the COVID-19 pandemic, which may include, but are not limited to, unavailability of or delays in delivery of raw materials for manufacture of our CNS drug candidates and difficulty in initiating or conducting clinical trials; inadequate and/or untimely supply of one or more of our CNS drug candidates to meet demand; entry of competitive products; and other technical and unexpected hurdles in the development, manufacture and commercialization of our CNS drug candidates; and the risks more fully discussed in the section entitled "Risk Factors" in our most recent Annual Report on Form 10-K for the year ended March 31, 2020, and in our most recent Quarterly Report on Form 10-Q for the quarter ended September 30, 2020,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ED"/>
        </w:rPr>
        <w:t>IR@vistagen.com</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Source: 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2021-01-06T15:06:55Z</dcterms:created>
  <dcterms:modified xsi:type="dcterms:W3CDTF">2021-01-06T15:06:55Z</dcterms:modified>
</cp:coreProperties>
</file>