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2242820</wp:posOffset>
            </wp:positionH>
            <wp:positionV relativeFrom="page">
              <wp:posOffset>422910</wp:posOffset>
            </wp:positionV>
            <wp:extent cx="3063240" cy="1802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063240" cy="1802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ind w:left="8500"/>
        <w:spacing w:after="0"/>
        <w:rPr>
          <w:sz w:val="20"/>
          <w:szCs w:val="20"/>
          <w:color w:val="auto"/>
        </w:rPr>
      </w:pPr>
      <w:r>
        <w:rPr>
          <w:rFonts w:ascii="Arial" w:cs="Arial" w:eastAsia="Arial" w:hAnsi="Arial"/>
          <w:sz w:val="15"/>
          <w:szCs w:val="15"/>
          <w:color w:val="auto"/>
        </w:rPr>
        <w:t>December 7, 2017</w:t>
      </w:r>
    </w:p>
    <w:p>
      <w:pPr>
        <w:spacing w:after="0" w:line="248" w:lineRule="exact"/>
        <w:rPr>
          <w:sz w:val="24"/>
          <w:szCs w:val="24"/>
          <w:color w:val="auto"/>
        </w:rPr>
      </w:pPr>
    </w:p>
    <w:p>
      <w:pPr>
        <w:spacing w:after="0"/>
        <w:rPr>
          <w:sz w:val="20"/>
          <w:szCs w:val="20"/>
          <w:color w:val="auto"/>
        </w:rPr>
      </w:pPr>
      <w:r>
        <w:rPr>
          <w:rFonts w:ascii="Arial" w:cs="Arial" w:eastAsia="Arial" w:hAnsi="Arial"/>
          <w:sz w:val="17"/>
          <w:szCs w:val="17"/>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color w:val="auto"/>
        </w:rPr>
        <w:t>United States Securities and Exchange Commission</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Division of Corporation Finance, Office of Healthcare &amp; Insurance</w:t>
      </w:r>
    </w:p>
    <w:p>
      <w:pPr>
        <w:spacing w:after="0" w:line="15" w:lineRule="exact"/>
        <w:rPr>
          <w:sz w:val="24"/>
          <w:szCs w:val="24"/>
          <w:color w:val="auto"/>
        </w:rPr>
      </w:pPr>
    </w:p>
    <w:p>
      <w:pPr>
        <w:spacing w:after="0"/>
        <w:rPr>
          <w:sz w:val="20"/>
          <w:szCs w:val="20"/>
          <w:color w:val="auto"/>
        </w:rPr>
      </w:pPr>
      <w:r>
        <w:rPr>
          <w:rFonts w:ascii="Arial" w:cs="Arial" w:eastAsia="Arial" w:hAnsi="Arial"/>
          <w:sz w:val="17"/>
          <w:szCs w:val="17"/>
          <w:color w:val="auto"/>
        </w:rPr>
        <w:t>100 F Street, N.E.</w:t>
      </w:r>
    </w:p>
    <w:p>
      <w:pPr>
        <w:spacing w:after="0" w:line="15" w:lineRule="exact"/>
        <w:rPr>
          <w:sz w:val="24"/>
          <w:szCs w:val="24"/>
          <w:color w:val="auto"/>
        </w:rPr>
      </w:pPr>
    </w:p>
    <w:p>
      <w:pPr>
        <w:spacing w:after="0"/>
        <w:rPr>
          <w:sz w:val="20"/>
          <w:szCs w:val="20"/>
          <w:color w:val="auto"/>
        </w:rPr>
      </w:pPr>
      <w:r>
        <w:rPr>
          <w:rFonts w:ascii="Arial" w:cs="Arial" w:eastAsia="Arial" w:hAnsi="Arial"/>
          <w:sz w:val="17"/>
          <w:szCs w:val="17"/>
          <w:color w:val="auto"/>
        </w:rPr>
        <w:t>Washington, D.C. 20549</w:t>
      </w:r>
    </w:p>
    <w:p>
      <w:pPr>
        <w:spacing w:after="0" w:line="15" w:lineRule="exact"/>
        <w:rPr>
          <w:sz w:val="24"/>
          <w:szCs w:val="24"/>
          <w:color w:val="auto"/>
        </w:rPr>
      </w:pPr>
    </w:p>
    <w:p>
      <w:pPr>
        <w:spacing w:after="0"/>
        <w:rPr>
          <w:sz w:val="20"/>
          <w:szCs w:val="20"/>
          <w:color w:val="auto"/>
        </w:rPr>
      </w:pPr>
      <w:r>
        <w:rPr>
          <w:rFonts w:ascii="Arial" w:cs="Arial" w:eastAsia="Arial" w:hAnsi="Arial"/>
          <w:sz w:val="17"/>
          <w:szCs w:val="17"/>
          <w:color w:val="auto"/>
        </w:rPr>
        <w:t>Attention: Ada D. Sarmento and Suzanne Hayes</w:t>
      </w:r>
    </w:p>
    <w:p>
      <w:pPr>
        <w:sectPr>
          <w:pgSz w:w="11900" w:h="16838" w:orient="portrait"/>
          <w:cols w:equalWidth="0" w:num="1">
            <w:col w:w="11240"/>
          </w:cols>
          <w:pgMar w:left="320" w:top="1440" w:right="339" w:bottom="1440" w:gutter="0" w:footer="0" w:header="0"/>
        </w:sectPr>
      </w:pPr>
    </w:p>
    <w:p>
      <w:pPr>
        <w:spacing w:after="0" w:line="21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VistaGen Therapeutics, Inc.</w:t>
      </w:r>
    </w:p>
    <w:p>
      <w:pPr>
        <w:spacing w:after="0" w:line="2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Registration Statement on Form S-1</w:t>
      </w:r>
    </w:p>
    <w:p>
      <w:pPr>
        <w:spacing w:after="0" w:line="3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Filed October 18, 2017</w:t>
      </w:r>
    </w:p>
    <w:p>
      <w:pPr>
        <w:spacing w:after="0" w:line="1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File No. 333-221009</w:t>
      </w:r>
    </w:p>
    <w:p>
      <w:pPr>
        <w:spacing w:after="0" w:line="200" w:lineRule="exact"/>
        <w:rPr>
          <w:sz w:val="24"/>
          <w:szCs w:val="24"/>
          <w:color w:val="auto"/>
        </w:rPr>
      </w:pPr>
    </w:p>
    <w:p>
      <w:pPr>
        <w:sectPr>
          <w:pgSz w:w="11900" w:h="16838" w:orient="portrait"/>
          <w:cols w:equalWidth="0" w:num="2">
            <w:col w:w="300" w:space="720"/>
            <w:col w:w="10220"/>
          </w:cols>
          <w:pgMar w:left="320" w:top="1440" w:right="339" w:bottom="1440" w:gutter="0" w:footer="0" w:header="0"/>
          <w:type w:val="continuous"/>
        </w:sectPr>
      </w:pP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5" w:lineRule="exact"/>
        <w:rPr>
          <w:sz w:val="24"/>
          <w:szCs w:val="24"/>
          <w:color w:val="auto"/>
        </w:rPr>
      </w:pPr>
    </w:p>
    <w:p>
      <w:pPr>
        <w:jc w:val="both"/>
        <w:ind w:firstLine="631"/>
        <w:spacing w:after="0" w:line="264" w:lineRule="auto"/>
        <w:rPr>
          <w:sz w:val="20"/>
          <w:szCs w:val="20"/>
          <w:color w:val="auto"/>
        </w:rPr>
      </w:pPr>
      <w:r>
        <w:rPr>
          <w:rFonts w:ascii="Arial" w:cs="Arial" w:eastAsia="Arial" w:hAnsi="Arial"/>
          <w:sz w:val="17"/>
          <w:szCs w:val="17"/>
          <w:color w:val="auto"/>
        </w:rPr>
        <w:t>This letter is submitted on behalf of VistaGen Therapeutics, Inc. (the “</w:t>
      </w:r>
      <w:r>
        <w:rPr>
          <w:rFonts w:ascii="Arial" w:cs="Arial" w:eastAsia="Arial" w:hAnsi="Arial"/>
          <w:sz w:val="17"/>
          <w:szCs w:val="17"/>
          <w:i w:val="1"/>
          <w:iCs w:val="1"/>
          <w:color w:val="auto"/>
        </w:rPr>
        <w:t>Company</w:t>
      </w:r>
      <w:r>
        <w:rPr>
          <w:rFonts w:ascii="Arial" w:cs="Arial" w:eastAsia="Arial" w:hAnsi="Arial"/>
          <w:sz w:val="17"/>
          <w:szCs w:val="17"/>
          <w:color w:val="auto"/>
        </w:rPr>
        <w:t>”) in response to the comment issued by the staff of the Office of Healthcare &amp; Insurance (the “</w:t>
      </w:r>
      <w:r>
        <w:rPr>
          <w:rFonts w:ascii="Arial" w:cs="Arial" w:eastAsia="Arial" w:hAnsi="Arial"/>
          <w:sz w:val="17"/>
          <w:szCs w:val="17"/>
          <w:i w:val="1"/>
          <w:iCs w:val="1"/>
          <w:color w:val="auto"/>
        </w:rPr>
        <w:t>Staff</w:t>
      </w:r>
      <w:r>
        <w:rPr>
          <w:rFonts w:ascii="Arial" w:cs="Arial" w:eastAsia="Arial" w:hAnsi="Arial"/>
          <w:sz w:val="17"/>
          <w:szCs w:val="17"/>
          <w:color w:val="auto"/>
        </w:rPr>
        <w:t>”) of the Securities and Exchange Commission (the “</w:t>
      </w:r>
      <w:r>
        <w:rPr>
          <w:rFonts w:ascii="Arial" w:cs="Arial" w:eastAsia="Arial" w:hAnsi="Arial"/>
          <w:sz w:val="17"/>
          <w:szCs w:val="17"/>
          <w:i w:val="1"/>
          <w:iCs w:val="1"/>
          <w:color w:val="auto"/>
        </w:rPr>
        <w:t>Commission</w:t>
      </w:r>
      <w:r>
        <w:rPr>
          <w:rFonts w:ascii="Arial" w:cs="Arial" w:eastAsia="Arial" w:hAnsi="Arial"/>
          <w:sz w:val="17"/>
          <w:szCs w:val="17"/>
          <w:color w:val="auto"/>
        </w:rPr>
        <w:t>”) with respect to the Company's Registration Statement on Form S-1 (the “</w:t>
      </w:r>
      <w:r>
        <w:rPr>
          <w:rFonts w:ascii="Arial" w:cs="Arial" w:eastAsia="Arial" w:hAnsi="Arial"/>
          <w:sz w:val="17"/>
          <w:szCs w:val="17"/>
          <w:i w:val="1"/>
          <w:iCs w:val="1"/>
          <w:color w:val="auto"/>
        </w:rPr>
        <w:t>Registration Statement</w:t>
      </w:r>
      <w:r>
        <w:rPr>
          <w:rFonts w:ascii="Arial" w:cs="Arial" w:eastAsia="Arial" w:hAnsi="Arial"/>
          <w:sz w:val="17"/>
          <w:szCs w:val="17"/>
          <w:color w:val="auto"/>
        </w:rPr>
        <w:t>”), filed on October 18, 2017, as set forth in your letter, dated October 31, 2017 (the “</w:t>
      </w:r>
      <w:r>
        <w:rPr>
          <w:rFonts w:ascii="Arial" w:cs="Arial" w:eastAsia="Arial" w:hAnsi="Arial"/>
          <w:sz w:val="17"/>
          <w:szCs w:val="17"/>
          <w:i w:val="1"/>
          <w:iCs w:val="1"/>
          <w:color w:val="auto"/>
        </w:rPr>
        <w:t>Comment Letter</w:t>
      </w:r>
      <w:r>
        <w:rPr>
          <w:rFonts w:ascii="Arial" w:cs="Arial" w:eastAsia="Arial" w:hAnsi="Arial"/>
          <w:sz w:val="17"/>
          <w:szCs w:val="17"/>
          <w:color w:val="auto"/>
        </w:rPr>
        <w:t>”) addressed to Mr. Singh, acting Chief Executive Officer of the Company. Contemporaneously herewith, the Company is filing Amendment No. 1 to the S-1 (the “</w:t>
      </w:r>
      <w:r>
        <w:rPr>
          <w:rFonts w:ascii="Arial" w:cs="Arial" w:eastAsia="Arial" w:hAnsi="Arial"/>
          <w:sz w:val="17"/>
          <w:szCs w:val="17"/>
          <w:i w:val="1"/>
          <w:iCs w:val="1"/>
          <w:color w:val="auto"/>
        </w:rPr>
        <w:t>Amended</w:t>
      </w:r>
      <w:r>
        <w:rPr>
          <w:rFonts w:ascii="Arial" w:cs="Arial" w:eastAsia="Arial" w:hAnsi="Arial"/>
          <w:sz w:val="17"/>
          <w:szCs w:val="17"/>
          <w:color w:val="auto"/>
        </w:rPr>
        <w:t xml:space="preserve"> </w:t>
      </w:r>
      <w:r>
        <w:rPr>
          <w:rFonts w:ascii="Arial" w:cs="Arial" w:eastAsia="Arial" w:hAnsi="Arial"/>
          <w:sz w:val="17"/>
          <w:szCs w:val="17"/>
          <w:i w:val="1"/>
          <w:iCs w:val="1"/>
          <w:color w:val="auto"/>
        </w:rPr>
        <w:t>Registration Statement</w:t>
      </w:r>
      <w:r>
        <w:rPr>
          <w:rFonts w:ascii="Arial" w:cs="Arial" w:eastAsia="Arial" w:hAnsi="Arial"/>
          <w:sz w:val="17"/>
          <w:szCs w:val="17"/>
          <w:color w:val="auto"/>
        </w:rPr>
        <w:t>”) in response to the Staff’s comments raised in the Comment Letter.</w:t>
      </w:r>
    </w:p>
    <w:p>
      <w:pPr>
        <w:spacing w:after="0" w:line="187" w:lineRule="exact"/>
        <w:rPr>
          <w:sz w:val="24"/>
          <w:szCs w:val="24"/>
          <w:color w:val="auto"/>
        </w:rPr>
      </w:pPr>
    </w:p>
    <w:p>
      <w:pPr>
        <w:jc w:val="both"/>
        <w:ind w:firstLine="631"/>
        <w:spacing w:after="0" w:line="353" w:lineRule="auto"/>
        <w:rPr>
          <w:sz w:val="20"/>
          <w:szCs w:val="20"/>
          <w:color w:val="auto"/>
        </w:rPr>
      </w:pPr>
      <w:r>
        <w:rPr>
          <w:rFonts w:ascii="Arial" w:cs="Arial" w:eastAsia="Arial" w:hAnsi="Arial"/>
          <w:sz w:val="15"/>
          <w:szCs w:val="15"/>
          <w:color w:val="auto"/>
        </w:rPr>
        <w:t>For reference purposes, the Staff’s comments have been reproduced in bold herein, with the Company’s responses immediately following the respective comments. The responses provided herein are based upon information provided to Disclosure Law Group, a Professional Corporation, by the Company.</w:t>
      </w:r>
    </w:p>
    <w:p>
      <w:pPr>
        <w:spacing w:after="0" w:line="330" w:lineRule="exact"/>
        <w:rPr>
          <w:sz w:val="24"/>
          <w:szCs w:val="24"/>
          <w:color w:val="auto"/>
        </w:rPr>
      </w:pPr>
    </w:p>
    <w:p>
      <w:pPr>
        <w:spacing w:after="0"/>
        <w:rPr>
          <w:sz w:val="20"/>
          <w:szCs w:val="20"/>
          <w:color w:val="auto"/>
        </w:rPr>
      </w:pPr>
      <w:r>
        <w:rPr>
          <w:rFonts w:ascii="Arial" w:cs="Arial" w:eastAsia="Arial" w:hAnsi="Arial"/>
          <w:sz w:val="17"/>
          <w:szCs w:val="17"/>
          <w:b w:val="1"/>
          <w:bCs w:val="1"/>
          <w:u w:val="single" w:color="auto"/>
          <w:color w:val="auto"/>
        </w:rPr>
        <w:t>Cover Page</w:t>
      </w:r>
    </w:p>
    <w:p>
      <w:pPr>
        <w:spacing w:after="0" w:line="225" w:lineRule="exact"/>
        <w:rPr>
          <w:sz w:val="24"/>
          <w:szCs w:val="24"/>
          <w:color w:val="auto"/>
        </w:rPr>
      </w:pPr>
    </w:p>
    <w:p>
      <w:pPr>
        <w:ind w:left="640" w:hanging="635"/>
        <w:spacing w:after="0"/>
        <w:tabs>
          <w:tab w:leader="none" w:pos="64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Please disclose the method you will use to determine the price of the common stock. Refer to Instruction 2 to Item 501(b)(3) of Regulation S-K.</w:t>
      </w:r>
    </w:p>
    <w:p>
      <w:pPr>
        <w:spacing w:after="0" w:line="252" w:lineRule="exact"/>
        <w:rPr>
          <w:sz w:val="24"/>
          <w:szCs w:val="24"/>
          <w:color w:val="auto"/>
        </w:rPr>
      </w:pPr>
    </w:p>
    <w:p>
      <w:pPr>
        <w:spacing w:after="0"/>
        <w:rPr>
          <w:sz w:val="20"/>
          <w:szCs w:val="20"/>
          <w:color w:val="auto"/>
        </w:rPr>
      </w:pPr>
      <w:r>
        <w:rPr>
          <w:rFonts w:ascii="Arial" w:cs="Arial" w:eastAsia="Arial" w:hAnsi="Arial"/>
          <w:sz w:val="17"/>
          <w:szCs w:val="17"/>
          <w:i w:val="1"/>
          <w:iCs w:val="1"/>
          <w:color w:val="auto"/>
        </w:rPr>
        <w:t>Response</w:t>
      </w:r>
    </w:p>
    <w:p>
      <w:pPr>
        <w:spacing w:after="0" w:line="225" w:lineRule="exact"/>
        <w:rPr>
          <w:sz w:val="24"/>
          <w:szCs w:val="24"/>
          <w:color w:val="auto"/>
        </w:rPr>
      </w:pPr>
    </w:p>
    <w:p>
      <w:pPr>
        <w:ind w:firstLine="631"/>
        <w:spacing w:after="0" w:line="283" w:lineRule="auto"/>
        <w:rPr>
          <w:sz w:val="20"/>
          <w:szCs w:val="20"/>
          <w:color w:val="auto"/>
        </w:rPr>
      </w:pPr>
      <w:r>
        <w:rPr>
          <w:rFonts w:ascii="Arial" w:cs="Arial" w:eastAsia="Arial" w:hAnsi="Arial"/>
          <w:sz w:val="17"/>
          <w:szCs w:val="17"/>
          <w:color w:val="auto"/>
        </w:rPr>
        <w:t>In response to Staff’s comment, the Company has revised the cover page of the Amended Registration Statement to include the disclosure required by Item 501(b)(3) of Regulation S-K.</w:t>
      </w:r>
    </w:p>
    <w:p>
      <w:pPr>
        <w:spacing w:after="0" w:line="166" w:lineRule="exact"/>
        <w:rPr>
          <w:sz w:val="24"/>
          <w:szCs w:val="24"/>
          <w:color w:val="auto"/>
        </w:rPr>
      </w:pPr>
    </w:p>
    <w:p>
      <w:pPr>
        <w:spacing w:after="0"/>
        <w:rPr>
          <w:sz w:val="20"/>
          <w:szCs w:val="20"/>
          <w:color w:val="auto"/>
        </w:rPr>
      </w:pPr>
      <w:r>
        <w:rPr>
          <w:rFonts w:ascii="Arial" w:cs="Arial" w:eastAsia="Arial" w:hAnsi="Arial"/>
          <w:sz w:val="17"/>
          <w:szCs w:val="17"/>
          <w:b w:val="1"/>
          <w:bCs w:val="1"/>
          <w:u w:val="single" w:color="auto"/>
          <w:color w:val="auto"/>
        </w:rPr>
        <w:t>General</w:t>
      </w:r>
    </w:p>
    <w:p>
      <w:pPr>
        <w:spacing w:after="0" w:line="225" w:lineRule="exact"/>
        <w:rPr>
          <w:sz w:val="24"/>
          <w:szCs w:val="24"/>
          <w:color w:val="auto"/>
        </w:rPr>
      </w:pPr>
    </w:p>
    <w:p>
      <w:pPr>
        <w:ind w:left="640" w:hanging="635"/>
        <w:spacing w:after="0" w:line="288" w:lineRule="auto"/>
        <w:tabs>
          <w:tab w:leader="none" w:pos="64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Please revise your prospectus prior to effectiveness to disclose the number of shares to be offered. For guidance, please refer to Rule 430A and Compliance and Disclosure Interpretation, Securities Act Rules, Question 227.02.</w:t>
      </w:r>
    </w:p>
    <w:p>
      <w:pPr>
        <w:spacing w:after="0" w:line="166" w:lineRule="exact"/>
        <w:rPr>
          <w:sz w:val="24"/>
          <w:szCs w:val="24"/>
          <w:color w:val="auto"/>
        </w:rPr>
      </w:pPr>
    </w:p>
    <w:p>
      <w:pPr>
        <w:spacing w:after="0"/>
        <w:rPr>
          <w:sz w:val="20"/>
          <w:szCs w:val="20"/>
          <w:color w:val="auto"/>
        </w:rPr>
      </w:pPr>
      <w:r>
        <w:rPr>
          <w:rFonts w:ascii="Arial" w:cs="Arial" w:eastAsia="Arial" w:hAnsi="Arial"/>
          <w:sz w:val="17"/>
          <w:szCs w:val="17"/>
          <w:i w:val="1"/>
          <w:iCs w:val="1"/>
          <w:color w:val="auto"/>
        </w:rPr>
        <w:t>Response</w:t>
      </w:r>
    </w:p>
    <w:p>
      <w:pPr>
        <w:spacing w:after="0" w:line="225" w:lineRule="exact"/>
        <w:rPr>
          <w:sz w:val="24"/>
          <w:szCs w:val="24"/>
          <w:color w:val="auto"/>
        </w:rPr>
      </w:pPr>
    </w:p>
    <w:p>
      <w:pPr>
        <w:jc w:val="center"/>
        <w:ind w:left="580"/>
        <w:spacing w:after="0"/>
        <w:rPr>
          <w:sz w:val="20"/>
          <w:szCs w:val="20"/>
          <w:color w:val="auto"/>
        </w:rPr>
      </w:pPr>
      <w:r>
        <w:rPr>
          <w:rFonts w:ascii="Arial" w:cs="Arial" w:eastAsia="Arial" w:hAnsi="Arial"/>
          <w:sz w:val="15"/>
          <w:szCs w:val="15"/>
          <w:color w:val="auto"/>
        </w:rPr>
        <w:t>In response to Staff’s comment, the prospectus included in the Amended Registration Statement discloses the estimated number of securities to be offered.</w:t>
      </w:r>
    </w:p>
    <w:p>
      <w:pPr>
        <w:spacing w:after="0" w:line="248" w:lineRule="exact"/>
        <w:rPr>
          <w:sz w:val="24"/>
          <w:szCs w:val="24"/>
          <w:color w:val="auto"/>
        </w:rPr>
      </w:pPr>
    </w:p>
    <w:p>
      <w:pPr>
        <w:ind w:left="5760"/>
        <w:spacing w:after="0"/>
        <w:rPr>
          <w:sz w:val="20"/>
          <w:szCs w:val="20"/>
          <w:color w:val="auto"/>
        </w:rPr>
      </w:pPr>
      <w:r>
        <w:rPr>
          <w:rFonts w:ascii="Arial" w:cs="Arial" w:eastAsia="Arial" w:hAnsi="Arial"/>
          <w:sz w:val="17"/>
          <w:szCs w:val="17"/>
          <w:color w:val="auto"/>
        </w:rPr>
        <w: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248285</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640"/>
        <w:spacing w:after="0"/>
        <w:rPr>
          <w:sz w:val="20"/>
          <w:szCs w:val="20"/>
          <w:color w:val="auto"/>
        </w:rPr>
      </w:pPr>
      <w:r>
        <w:rPr>
          <w:rFonts w:ascii="Arial" w:cs="Arial" w:eastAsia="Arial" w:hAnsi="Arial"/>
          <w:sz w:val="16"/>
          <w:szCs w:val="16"/>
          <w:color w:val="auto"/>
        </w:rPr>
        <w:t>If you have any questions or would like to discuss our response, please contact the undersigned at (619) 795-7050.</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u w:val="single" w:color="auto"/>
          <w:color w:val="auto"/>
        </w:rPr>
        <w:t>/s/ Jessica R. Sudweeks</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Jessica R. Sudweeks</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Partner</w:t>
      </w:r>
    </w:p>
    <w:p>
      <w:pPr>
        <w:spacing w:after="0" w:line="15" w:lineRule="exact"/>
        <w:rPr>
          <w:sz w:val="20"/>
          <w:szCs w:val="20"/>
          <w:color w:val="auto"/>
        </w:rPr>
      </w:pPr>
    </w:p>
    <w:p>
      <w:pPr>
        <w:jc w:val="right"/>
        <w:ind w:right="1159"/>
        <w:spacing w:after="0"/>
        <w:rPr>
          <w:sz w:val="20"/>
          <w:szCs w:val="20"/>
          <w:color w:val="auto"/>
        </w:rPr>
      </w:pPr>
      <w:r>
        <w:rPr>
          <w:rFonts w:ascii="Arial" w:cs="Arial" w:eastAsia="Arial" w:hAnsi="Arial"/>
          <w:sz w:val="17"/>
          <w:szCs w:val="17"/>
          <w:color w:val="auto"/>
        </w:rPr>
        <w:t>Disclosure Law Group, Professional Corporation</w:t>
      </w:r>
    </w:p>
    <w:p>
      <w:pPr>
        <w:spacing w:after="0" w:line="219" w:lineRule="exact"/>
        <w:rPr>
          <w:sz w:val="20"/>
          <w:szCs w:val="20"/>
          <w:color w:val="auto"/>
        </w:rPr>
      </w:pPr>
    </w:p>
    <w:p>
      <w:pPr>
        <w:ind w:left="380" w:hanging="375"/>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Shawn Singh</w:t>
      </w:r>
    </w:p>
    <w:p>
      <w:pPr>
        <w:spacing w:after="0" w:line="20" w:lineRule="exact"/>
        <w:rPr>
          <w:rFonts w:ascii="Arial" w:cs="Arial" w:eastAsia="Arial" w:hAnsi="Arial"/>
          <w:sz w:val="17"/>
          <w:szCs w:val="17"/>
          <w:color w:val="auto"/>
        </w:rPr>
      </w:pPr>
    </w:p>
    <w:p>
      <w:pPr>
        <w:ind w:left="380" w:right="7839"/>
        <w:spacing w:after="0" w:line="345" w:lineRule="auto"/>
        <w:rPr>
          <w:rFonts w:ascii="Arial" w:cs="Arial" w:eastAsia="Arial" w:hAnsi="Arial"/>
          <w:sz w:val="17"/>
          <w:szCs w:val="17"/>
          <w:color w:val="auto"/>
        </w:rPr>
      </w:pPr>
      <w:r>
        <w:rPr>
          <w:rFonts w:ascii="Arial" w:cs="Arial" w:eastAsia="Arial" w:hAnsi="Arial"/>
          <w:sz w:val="15"/>
          <w:szCs w:val="15"/>
          <w:color w:val="auto"/>
        </w:rPr>
        <w:t>Chief Executive Officer VistaGen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97725" cy="191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7725" cy="1917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546100</wp:posOffset>
            </wp:positionV>
            <wp:extent cx="713613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sectPr>
      <w:pgSz w:w="11900" w:h="16838" w:orient="portrait"/>
      <w:cols w:equalWidth="0" w:num="1">
        <w:col w:w="10139"/>
      </w:cols>
      <w:pgMar w:left="320" w:top="49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2020-10-07T23:24:32Z</dcterms:created>
  <dcterms:modified xsi:type="dcterms:W3CDTF">2020-10-07T23:24:32Z</dcterms:modified>
</cp:coreProperties>
</file>