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14,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August 14,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announcing financial results for its fiscal year 2027 first quarter ended June 30, 2026. A copy of the press release is being furnished as Exhibit 99.1 to this Current Report on Form 8-K.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Disclaimer.</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information contained in this Current Report on Form 8-K and Exhibit 99.1 attached hereto is intended to be furnished and shall not be deemed “filed” for purposes of Section 18 of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923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87"/>
        <w:gridCol w:w="2287"/>
        <w:gridCol w:w="325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60814xex991.htm">
              <w:r>
                <w:rPr>
                  <w:rStyle w:val="InternetLink"/>
                  <w:rFonts w:ascii="Times New Roman;serif" w:hAnsi="Times New Roman;serif"/>
                  <w:b w:val="false"/>
                  <w:color w:val="0000FF"/>
                  <w:sz w:val="20"/>
                  <w:u w:val="single"/>
                </w:rPr>
                <w:t>Press Release issued by Vistagen Therapeutics, Inc., dated August 14, 2026, furnished herewith</w:t>
              </w:r>
            </w:hyperlink>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57" w:type="dxa"/>
        <w:jc w:val="left"/>
        <w:tblInd w:w="0" w:type="dxa"/>
        <w:tblLayout w:type="fixed"/>
        <w:tblCellMar>
          <w:top w:w="28" w:type="dxa"/>
          <w:left w:w="28" w:type="dxa"/>
          <w:bottom w:w="28" w:type="dxa"/>
          <w:right w:w="28" w:type="dxa"/>
        </w:tblCellMar>
      </w:tblPr>
      <w:tblGrid>
        <w:gridCol w:w="705"/>
        <w:gridCol w:w="621"/>
        <w:gridCol w:w="624"/>
        <w:gridCol w:w="366"/>
        <w:gridCol w:w="366"/>
        <w:gridCol w:w="366"/>
        <w:gridCol w:w="937"/>
        <w:gridCol w:w="937"/>
        <w:gridCol w:w="13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00" w:after="283"/>
        <w:jc w:val="left"/>
        <w:rPr/>
      </w:pPr>
      <w:r>
        <w:rPr/>
        <w:drawing>
          <wp:inline distT="0" distB="0" distL="0" distR="0">
            <wp:extent cx="138112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81125" cy="466725"/>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Vistagen Reports Fiscal Year 2027 First Quarter Financial Results and Corporate Update</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Exploratory analyses of patients with very severe social anxiety disorder demonstrated nominally statistically significant improvement in recently reported clinical studies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FDA engagement planned during the current quarter regarding potential future Phase 3 path forward for fasedienol in social anxiety disorder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Appointments of Angel S. Angelov, M.D., MBA, as Chief Medical Officer and Douglas J. Williamson, M.D. to the Board add decades of neuroscience drug development experience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SOUTH SAN FRANCISCO, Calif – August 14, 2026 - Vistagen (Nasdaq: VTGN), a late clinical-stage biopharmaceutical company leveraging a deep understanding of nose-to-brain neurocircuitry to develop and commercialize a new class of rapid-onset neurocircuitry-focused intranasal product candidates called pherines, today reported financial results for the fiscal year 2027 first quarter ended June 30, 2026, and provided a corporate update.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Since reporting PALISADE-4 results in June, we have moved swiftly to define next steps for fasedienol, evaluate strategic options, and preserve cash,” said Shawn Singh, President and Chief Executive Officer of Vistagen. “We look forward to meeting with the FDA in the near term to discuss the path forward for our fasedienol Phase 3 program in social anxiety disorder."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Recent Corporate Highlights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Fasedienol for Acute Treatment of Social Anxiety Disorder</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Announced preliminary data from the open label extension (OLE) portion of PALISADE-3. Based on an analysis of subjects who elected to participate in the OLE portion of the trial, fasedienol, taken as needed before or during anxiety-provoking social or performance situations in daily life for up to 12 months, was observed to be well-tolerated, with no new drug-related safety findings or trends identified. Preliminary exploratory efficacy data over the first four months of treatment showed improvement over time on both the clinician-administered Liebowitz Social Anxiety Scale (LSAS) and the Social Phobia Inventory. Because the OLE portion of PALISADE-3 was open-label and uncontrolled, these exploratory efficacy observations were not based on a comparison to placebo and should be interpreted with caution.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Announced topline and post-hoc data from the randomized portion of PALISADE-4, a Phase 3 study designed to assess the efficacy, safety, and tolerability of fasedienol for the acute treatment of social anxiety disorder. Although in the overall trial population fasedienol did not achieve its primary endpoint, in a post-hoc analysis of a subpopulation of patients with very severe social anxiety, fasedienol showed nominally statistically significant improvement compared to placebo. Favorable safety and tolerability data of fasedienol were consistent with previous placebo-controlled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Announced topline results from an exploratory Phase 2 repeat dose study of fasedienol, designed to assess the efficacy, safety, and tolerability of two 3.2 µg doses of fasedienol administered ten minutes apart compared with a single 3.2 µg dose and placebo, for the acute treatment of social anxiety. Although the study was not designed to demonstrate, and did not demonstrate, statistically significant differences between the treatment groups, both active treatment arms showed numerical separation from placebo. Both treatment arms also separated numerically from placebo in a prespecified analysis of patients with very severe social anxiety, with nominally statistically significant responses for the single dose arm compared with placebo and as pooled, consistent with results previously observed in this very severe subpopulation in PALISADE-4. </w:t>
      </w:r>
    </w:p>
    <w:p>
      <w:pPr>
        <w:pStyle w:val="TextBody"/>
        <w:bidi w:val="0"/>
        <w:spacing w:before="0" w:after="0"/>
        <w:jc w:val="left"/>
        <w:rPr/>
      </w:pPr>
      <w:r>
        <w:rPr/>
      </w:r>
    </w:p>
    <w:p>
      <w:pPr>
        <w:pStyle w:val="TextBody"/>
        <w:bidi w:val="0"/>
        <w:spacing w:lineRule="auto" w:line="268"/>
        <w:ind w:left="0" w:right="0" w:hanging="360"/>
        <w:jc w:val="both"/>
        <w:rPr/>
      </w:pPr>
      <w:r>
        <w:rPr>
          <w:color w:val="000000"/>
        </w:rPr>
        <w:t>•</w:t>
      </w:r>
      <w:r>
        <w:rPr>
          <w:rFonts w:ascii="Times New Roman;serif" w:hAnsi="Times New Roman;serif"/>
          <w:b w:val="false"/>
          <w:color w:val="000000"/>
          <w:sz w:val="20"/>
        </w:rPr>
        <w:t xml:space="preserve">Achieved minimum fasedienol patient exposures recommended under International Council for Harmonisation (ICH) Technical Requirements for Pharmaceuticals for Human Use with over 1,500 subjects receiving at least a single exposure to fasedienol, over 300 subjects with at least 6-months of exposure, and over 100 subjects with at least 12 months of exposure.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Regulatory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Advanced planning and preparation for meeting with the FDA regarding a potential future registration- directed development pathway for fasedienol for the acute treatment of social anxiety disorder, building on the totality of data generated to date.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Received FDA's "Study May Proceed" letter for refisolone under the Company's open U.S. Investigational New Drug (IND) application for treatment of moderate-to-severe vasomotor symptoms (hot flashes) due to menopause.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Strategic and Corporate Updates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Appointed Angel S. Angelov, M.D., MBA, as Chief Medical Officer, and Douglas J. Williamson, M.D., to the Board of Directors, leaders with decades of neuroscience clinical and regulatory experience supporting the Company’s next phase of late-stage drug development.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disciplined capital allocation and cost-management initiatives designed to prioritize key clinical and regulatory milestones while extending the Company's operating runway.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Continued evaluating strategic opportunities intended to leverage the Company's differentiated pherine pipeline and neuroscience expertise.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Financial Results for Fiscal Year 2027 First Quarter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Revenue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Revenue recognized for the period was primarily attributable to the expiration of the exclusivity period under the Company’s Exclusive Negotiation Agreement with Fuji Pharma Co., Ltd. during the quarter, triggering the recognition of $1.2 million of revenue related to the agreement. All cash payable to the Company under this agreement was received in prior periods.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Research and Development (R&amp;D)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Research and development expense was $10.9 million for the quarter ended June 30, 2026, compared with $11.7 million for the quarter ended June 30, 2025. The change in R&amp;D expense was primarily attributable to activities supporting U.S. registration-directed development of fasedienol for the acute treatment of social anxiety disorder, manufacturing and manufacturing-related activities, and development of the Company's pherine product candidates.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Research and development expenses are expected to continue to decrease in future periods as a result of the Company’s cash preservation measures and the conclusion of PALISADE-4 and the Repeat Dose Study. However, future R&amp;D expense trends will depend on FDA feedback regarding a potential registrational pathway for fasedienol.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General and Administrative (G&amp;A)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General and administrative expense was $3.9 million for the quarter ended June 30, 2026, compared with $4.4 million for the quarter ended June 30,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General and administrative expenses are expected to remain at current levels as a result of the Company’s cash preservation measures following its March 2026 reduction in force. As with R&amp;D expense trends, future G&amp;A expense trends will be dependent on feedback from the FDA regarding the potential registrational pathway for fasedienol.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Net Loss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Net loss was $13.0 million for the quarter ended June 30, 2026, compared with $15.1 million for the quarter ended June 30,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Cash Position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Cash, cash equivalents, and marketable securities were $31.7 million as of June 30, 2026. Based on current operating plans, Vistagen believes its cash, cash equivalents, and marketable securities will be sufficient to fund operations into 2027 but are not expected to be sufficient to extend the Company’s cash runway for more than a year from now.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Vistagen</w:t>
      </w:r>
    </w:p>
    <w:p>
      <w:pPr>
        <w:pStyle w:val="TextBody"/>
        <w:bidi w:val="0"/>
        <w:spacing w:lineRule="auto" w:line="268" w:before="0" w:after="0"/>
        <w:jc w:val="left"/>
        <w:rPr/>
      </w:pPr>
      <w:r>
        <w:rPr>
          <w:rFonts w:ascii="Times New Roman;serif" w:hAnsi="Times New Roman;serif"/>
          <w:b w:val="false"/>
          <w:color w:val="000000"/>
          <w:sz w:val="20"/>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most advanced intranasal pherine product candidates are fasedienol for the acute treatment of social anxiety disorder, itruvone for treatment of major depressive disorder, and refisolone for treatment of vasomotor symptoms (hot flashes) due to menopause. Connect at </w:t>
      </w:r>
      <w:r>
        <w:rPr>
          <w:rFonts w:ascii="Times New Roman;serif" w:hAnsi="Times New Roman;serif"/>
          <w:b w:val="false"/>
          <w:color w:val="0000FF"/>
          <w:sz w:val="20"/>
        </w:rPr>
        <w:t>www.Vistagen.com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68"/>
        <w:jc w:val="left"/>
        <w:rPr/>
      </w:pPr>
      <w:r>
        <w:rPr>
          <w:rFonts w:ascii="Times New Roman;serif" w:hAnsi="Times New Roman;serif"/>
          <w:b w:val="false"/>
          <w:color w:val="000000"/>
          <w:sz w:val="20"/>
        </w:rPr>
        <w:t>This press release contains certain forward-looking statements within the meaning of the federal securities laws, including, without limitation, Vistagen’s belief about the meaningfulness of the efficacy signal in a subgroup of patients in PALISADE-4 with very severe social anxiety disorder, statements regarding efficacy signals observed in the Repeat Dose Study across prespecified analyses, which remain subject to change upon completion of a full analysis and audit of the complete data set from the study, Vistagen’s belief about the meaningfulness of data from the OLE portion of PALISADE-3, the significance of such signals to the overall body of clinical evidence supporting fasedienol’s therapeutic potential, the Company’s plans for upcoming discussions with the FDA regarding the potential registrational pathway for fasedienol, Vistagen’s expectations regarding anticipated trends for R&amp;D and G&amp;A expense in future periods, Vistagen’s plans to remain financially disciplined, and Vistagen’s belief that its cash resources will support operations into 2027 but is not expected to be sufficient to extend cash runway for more than a year from now.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ongoing or future clinical trials within estimated timelines or at all, receive regulatory approval or be commercially successful. Because the Repeat Dose Study was not powered to demonstrate statistical significance, there can be no assurance that the numerical trends and nominally significant findings described in this press release will be replicated in future, adequately powered clinical trials, or that the FDA will view such findings as supportive of a registrational pathway for fasedienol.</w:t>
      </w:r>
      <w:r>
        <w:rPr>
          <w:color w:val="000000"/>
        </w:rPr>
        <w:t xml:space="preserve"> </w:t>
      </w:r>
      <w:r>
        <w:rPr>
          <w:rFonts w:ascii="Times New Roman;serif" w:hAnsi="Times New Roman;serif"/>
          <w:b w:val="false"/>
          <w:color w:val="000000"/>
          <w:sz w:val="20"/>
        </w:rPr>
        <w:t xml:space="preserve">Other factors that may cause such a difference include, without limitation, risks and uncertainties relating to conducting future clinical trials as currently expected or at all; Vistagen’s ability to replicate numerical trends and nominally significant findings from studies in the PALISADE Program or that the FDA will view such findings as supportive of a registrational pathway for fasedienol; Vistagen’s ability to successfully employ cash preservation measures and/or secure adequate financing for its operations, including financing or collaborative support for continued clinical development of its product candidates; Vistagen's dependence on third-party collaborators for the development, regulatory approval, and/or commercialization of its product candidates and other aspects of its business, which are outside of Vistagen's full control; the scope and enforceability of Vistagen’s patents, including patents related to Vistagen’s pherine product candidates;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and others are more fully discussed in the section entitled “Risk Factors” in Vistagen’s Annual Report on Form 10-K for the period ended March 31, 2026, and Quarterly Report on Form 10-Q for the period ended June 30, 2026,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 required by law. If Vistagen does update one or more forward-looking statements, no inference should be made that Vistagen will make additional updates with respect to those or other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52"/>
        <w:gridCol w:w="2420"/>
        <w:gridCol w:w="2367"/>
        <w:gridCol w:w="213"/>
        <w:gridCol w:w="728"/>
        <w:gridCol w:w="109"/>
        <w:gridCol w:w="109"/>
        <w:gridCol w:w="109"/>
        <w:gridCol w:w="109"/>
        <w:gridCol w:w="211"/>
        <w:gridCol w:w="721"/>
        <w:gridCol w:w="157"/>
      </w:tblGrid>
      <w:tr>
        <w:trPr/>
        <w:tc>
          <w:tcPr>
            <w:tcW w:w="2952"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46,943 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 operating lease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48,564 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LIABILITIES AND STOCKHOLDERS</w:t>
            </w:r>
            <w:r>
              <w:rPr>
                <w:color w:val="000000"/>
              </w:rPr>
              <w:t xml:space="preserve">’ </w:t>
            </w:r>
            <w:r>
              <w:rPr>
                <w:rFonts w:ascii="Times New Roman;serif" w:hAnsi="Times New Roman;serif"/>
                <w:b/>
                <w:color w:val="000000"/>
                <w:sz w:val="20"/>
              </w:rPr>
              <w:t>EQUITY</w:t>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current portion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non-current portion</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non-current portion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at June 30, 2026 and March 31, 2026; no shares outstanding at June 30, 2026 and March 31, 2026</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325,000,000 shares authorized at June 30, 2026 and March 31, 2026; 44,381,433 and 39,624,839 shares issued at June 30, 2026 and March 31, 2026, respectively</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516,767 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 4,522 shares of common stock held at June 30, 2026 and March 31, 2026</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(477,317)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35,520 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48,564 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7988" w:type="dxa"/>
        <w:jc w:val="center"/>
        <w:tblInd w:w="0" w:type="dxa"/>
        <w:tblLayout w:type="fixed"/>
        <w:tblCellMar>
          <w:top w:w="28" w:type="dxa"/>
          <w:left w:w="28" w:type="dxa"/>
          <w:bottom w:w="28" w:type="dxa"/>
          <w:right w:w="28" w:type="dxa"/>
        </w:tblCellMar>
      </w:tblPr>
      <w:tblGrid>
        <w:gridCol w:w="1948"/>
        <w:gridCol w:w="1708"/>
        <w:gridCol w:w="1728"/>
        <w:gridCol w:w="211"/>
        <w:gridCol w:w="796"/>
        <w:gridCol w:w="109"/>
        <w:gridCol w:w="109"/>
        <w:gridCol w:w="109"/>
        <w:gridCol w:w="109"/>
        <w:gridCol w:w="211"/>
        <w:gridCol w:w="796"/>
        <w:gridCol w:w="154"/>
      </w:tblGrid>
      <w:tr>
        <w:trPr/>
        <w:tc>
          <w:tcPr>
            <w:tcW w:w="194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(15,804)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10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1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42,980,174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31,930,665</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20"/>
        </w:rPr>
        <w:t>Investor Inquiries:</w:t>
      </w:r>
      <w:r>
        <w:rPr>
          <w:color w:val="000000"/>
        </w:rPr>
        <w:t xml:space="preserve"> </w:t>
      </w:r>
    </w:p>
    <w:p>
      <w:pPr>
        <w:pStyle w:val="TextBody"/>
        <w:bidi w:val="0"/>
        <w:spacing w:lineRule="auto" w:line="268" w:before="0" w:after="0"/>
        <w:jc w:val="left"/>
        <w:rPr>
          <w:rFonts w:ascii="Times New Roman;serif" w:hAnsi="Times New Roman;serif"/>
          <w:b w:val="false"/>
          <w:color w:val="0000FF"/>
          <w:sz w:val="20"/>
        </w:rPr>
      </w:pPr>
      <w:r>
        <w:rPr>
          <w:rFonts w:ascii="Times New Roman;serif" w:hAnsi="Times New Roman;serif"/>
          <w:b w:val="false"/>
          <w:color w:val="0000FF"/>
          <w:sz w:val="20"/>
        </w:rPr>
        <w:t>IR@vistagen.com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Media Inquiries:</w:t>
      </w:r>
      <w:r>
        <w:rPr>
          <w:color w:val="000000"/>
        </w:rPr>
        <w:t xml:space="preserve"> </w:t>
      </w:r>
    </w:p>
    <w:p>
      <w:pPr>
        <w:pStyle w:val="TextBody"/>
        <w:bidi w:val="0"/>
        <w:spacing w:lineRule="auto" w:line="268" w:before="0" w:after="0"/>
        <w:jc w:val="left"/>
        <w:rPr>
          <w:rFonts w:ascii="Times New Roman;serif" w:hAnsi="Times New Roman;serif"/>
          <w:b w:val="false"/>
          <w:color w:val="0000FF"/>
          <w:sz w:val="20"/>
        </w:rPr>
      </w:pPr>
      <w:r>
        <w:rPr>
          <w:rFonts w:ascii="Times New Roman;serif" w:hAnsi="Times New Roman;serif"/>
          <w:b w:val="false"/>
          <w:color w:val="0000FF"/>
          <w:sz w:val="20"/>
        </w:rPr>
        <w:t>Media@vistagen.com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2819</Words>
  <Characters>16692</Characters>
  <CharactersWithSpaces>19340</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