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333-215671</w:t>
      </w: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PROSPECTUS SUPPLEMENT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July 27, 2017)</w:t>
      </w:r>
    </w:p>
    <w:p>
      <w:pPr>
        <w:spacing w:after="0" w:line="200" w:lineRule="exact"/>
        <w:rPr>
          <w:sz w:val="24"/>
          <w:szCs w:val="24"/>
          <w:color w:val="auto"/>
        </w:rPr>
      </w:pPr>
    </w:p>
    <w:p>
      <w:pPr>
        <w:spacing w:after="0" w:line="283"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10,000,000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246380</wp:posOffset>
            </wp:positionV>
            <wp:extent cx="1311910" cy="848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910"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5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37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We are offering 10,000,000 shares of our common stock pursuant to this prospectus supplement and accompanying prospectus.</w:t>
      </w:r>
    </w:p>
    <w:p>
      <w:pPr>
        <w:spacing w:after="0" w:line="225" w:lineRule="exact"/>
        <w:rPr>
          <w:sz w:val="24"/>
          <w:szCs w:val="24"/>
          <w:color w:val="auto"/>
        </w:rPr>
      </w:pPr>
    </w:p>
    <w:p>
      <w:pPr>
        <w:ind w:firstLine="648"/>
        <w:spacing w:after="0" w:line="254" w:lineRule="auto"/>
        <w:rPr>
          <w:sz w:val="20"/>
          <w:szCs w:val="20"/>
          <w:color w:val="auto"/>
        </w:rPr>
      </w:pPr>
      <w:r>
        <w:rPr>
          <w:rFonts w:ascii="Arial" w:cs="Arial" w:eastAsia="Arial" w:hAnsi="Arial"/>
          <w:sz w:val="18"/>
          <w:szCs w:val="18"/>
          <w:color w:val="auto"/>
        </w:rPr>
        <w:t>Our common stock is listed on the Nasdaq Capital Market under the symbol “VTGN.” On February 25, 2019, the closing price of our common stock on the Nasdaq Capital Market was $1.36 per share.</w:t>
      </w:r>
    </w:p>
    <w:p>
      <w:pPr>
        <w:ind w:left="4860"/>
        <w:spacing w:after="0"/>
        <w:rPr>
          <w:sz w:val="20"/>
          <w:szCs w:val="20"/>
          <w:color w:val="auto"/>
        </w:rPr>
      </w:pPr>
      <w:r>
        <w:rPr>
          <w:rFonts w:ascii="Arial" w:cs="Arial" w:eastAsia="Arial" w:hAnsi="Arial"/>
          <w:sz w:val="18"/>
          <w:szCs w:val="18"/>
          <w:color w:val="auto"/>
        </w:rPr>
        <w:t>____________________</w:t>
      </w:r>
    </w:p>
    <w:p>
      <w:pPr>
        <w:spacing w:after="0" w:line="145" w:lineRule="exact"/>
        <w:rPr>
          <w:sz w:val="24"/>
          <w:szCs w:val="24"/>
          <w:color w:val="auto"/>
        </w:rPr>
      </w:pPr>
    </w:p>
    <w:p>
      <w:pPr>
        <w:ind w:firstLine="648"/>
        <w:spacing w:after="0" w:line="275" w:lineRule="auto"/>
        <w:rPr>
          <w:sz w:val="20"/>
          <w:szCs w:val="20"/>
          <w:color w:val="auto"/>
        </w:rPr>
      </w:pPr>
      <w:r>
        <w:rPr>
          <w:rFonts w:ascii="Arial" w:cs="Arial" w:eastAsia="Arial" w:hAnsi="Arial"/>
          <w:sz w:val="18"/>
          <w:szCs w:val="18"/>
          <w:b w:val="1"/>
          <w:bCs w:val="1"/>
          <w:color w:val="auto"/>
        </w:rPr>
        <w:t>Investing in our common stock involves a high degree of risk.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S-10 of this prospectus supplement and under similar headings in the documents incorporated by reference into this prospectus supplement.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0"/>
              </w:rPr>
              <w:t>Per Share</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c>
          <w:tcPr>
            <w:tcW w:w="140" w:type="dxa"/>
            <w:vAlign w:val="bottom"/>
            <w:shd w:val="clear" w:color="auto" w:fill="CCEEFF"/>
          </w:tcPr>
          <w:p>
            <w:pPr>
              <w:spacing w:after="0"/>
              <w:rPr>
                <w:sz w:val="18"/>
                <w:szCs w:val="18"/>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0"/>
                <w:szCs w:val="10"/>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to VistaGen Therapeutics, Inc. before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9,300,000</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00" w:type="dxa"/>
            <w:vAlign w:val="bottom"/>
          </w:tcPr>
          <w:p>
            <w:pPr>
              <w:jc w:val="right"/>
              <w:ind w:right="7452"/>
              <w:spacing w:after="0"/>
              <w:rPr>
                <w:sz w:val="20"/>
                <w:szCs w:val="20"/>
                <w:color w:val="auto"/>
              </w:rPr>
            </w:pPr>
            <w:r>
              <w:rPr>
                <w:rFonts w:ascii="Arial" w:cs="Arial" w:eastAsia="Arial" w:hAnsi="Arial"/>
                <w:sz w:val="18"/>
                <w:szCs w:val="18"/>
                <w:color w:val="auto"/>
                <w:w w:val="88"/>
              </w:rPr>
              <w:t>______________</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93"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w:t>
      </w:r>
      <w:r>
        <w:rPr>
          <w:rFonts w:ascii="Arial" w:cs="Arial" w:eastAsia="Arial" w:hAnsi="Arial"/>
          <w:sz w:val="18"/>
          <w:szCs w:val="18"/>
          <w:i w:val="1"/>
          <w:iCs w:val="1"/>
          <w:color w:val="auto"/>
        </w:rPr>
        <w:t>Underwriting</w:t>
      </w:r>
      <w:r>
        <w:rPr>
          <w:rFonts w:ascii="Arial" w:cs="Arial" w:eastAsia="Arial" w:hAnsi="Arial"/>
          <w:sz w:val="18"/>
          <w:szCs w:val="18"/>
          <w:color w:val="auto"/>
        </w:rPr>
        <w:t>” for additional information regarding underwriting compensation.</w:t>
      </w:r>
    </w:p>
    <w:p>
      <w:pPr>
        <w:spacing w:after="0" w:line="252" w:lineRule="exact"/>
        <w:rPr>
          <w:sz w:val="24"/>
          <w:szCs w:val="24"/>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underwriters may also purchase up to an additional 1,500,000 shares of common stock from us, at the public offering price, less the underwriting discount, within 30 days from the date of this prospectus supplement.</w:t>
      </w:r>
    </w:p>
    <w:p>
      <w:pPr>
        <w:spacing w:after="0" w:line="186" w:lineRule="exact"/>
        <w:rPr>
          <w:sz w:val="24"/>
          <w:szCs w:val="24"/>
          <w:color w:val="auto"/>
        </w:rPr>
      </w:pPr>
    </w:p>
    <w:p>
      <w:pPr>
        <w:jc w:val="both"/>
        <w:ind w:firstLine="648"/>
        <w:spacing w:after="0" w:line="298" w:lineRule="auto"/>
        <w:rPr>
          <w:sz w:val="20"/>
          <w:szCs w:val="20"/>
          <w:color w:val="auto"/>
        </w:rPr>
      </w:pPr>
      <w:r>
        <w:rPr>
          <w:rFonts w:ascii="Arial" w:cs="Arial" w:eastAsia="Arial" w:hAnsi="Arial"/>
          <w:sz w:val="16"/>
          <w:szCs w:val="16"/>
          <w:color w:val="auto"/>
        </w:rPr>
        <w:t>As of February 25, 2019, the aggregate market value of our outstanding common stock held by non-affiliates was $54,393,471, based on 31,120,465 shares of outstanding common stock, of which 30,905,381 shares are held by non-affiliates, and a per share price of $1.76, which was the closing price of our common stock as quoted on the Nasdaq Capital Market on February 12, 2019. We have not offered any securities pursuant to General Instruction I.B.6. of Form S-3 in the prior 12-month period that ends on and includes the date of this prospectus supplement.</w:t>
      </w:r>
    </w:p>
    <w:p>
      <w:pPr>
        <w:spacing w:after="0" w:line="167" w:lineRule="exact"/>
        <w:rPr>
          <w:sz w:val="24"/>
          <w:szCs w:val="24"/>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Delivery of the shares is expected to be made on or about February 28, 2019.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William Blair</w:t>
      </w:r>
    </w:p>
    <w:p>
      <w:pPr>
        <w:spacing w:after="0" w:line="158"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February 26,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40" w:type="dxa"/>
            <w:vAlign w:val="bottom"/>
            <w:gridSpan w:val="3"/>
            <w:vMerge w:val="restart"/>
          </w:tcPr>
          <w:p>
            <w:pPr>
              <w:jc w:val="center"/>
              <w:ind w:right="1760"/>
              <w:spacing w:after="0"/>
              <w:rPr>
                <w:sz w:val="20"/>
                <w:szCs w:val="20"/>
                <w:color w:val="auto"/>
              </w:rPr>
            </w:pPr>
            <w:r>
              <w:rPr>
                <w:rFonts w:ascii="Arial" w:cs="Arial" w:eastAsia="Arial" w:hAnsi="Arial"/>
                <w:sz w:val="18"/>
                <w:szCs w:val="18"/>
                <w:b w:val="1"/>
                <w:bCs w:val="1"/>
                <w:color w:val="auto"/>
                <w:w w:val="85"/>
              </w:rPr>
              <w:t>Prospectus Supplement</w:t>
            </w:r>
          </w:p>
        </w:tc>
        <w:tc>
          <w:tcPr>
            <w:tcW w:w="2660" w:type="dxa"/>
            <w:vAlign w:val="bottom"/>
          </w:tcPr>
          <w:p>
            <w:pPr>
              <w:jc w:val="center"/>
              <w:ind w:left="1672"/>
              <w:spacing w:after="0"/>
              <w:rPr>
                <w:sz w:val="20"/>
                <w:szCs w:val="20"/>
                <w:color w:val="auto"/>
              </w:rPr>
            </w:pPr>
            <w:r>
              <w:rPr>
                <w:rFonts w:ascii="Arial" w:cs="Arial" w:eastAsia="Arial" w:hAnsi="Arial"/>
                <w:sz w:val="18"/>
                <w:szCs w:val="18"/>
                <w:b w:val="1"/>
                <w:bCs w:val="1"/>
                <w:color w:val="auto"/>
                <w:w w:val="79"/>
              </w:rPr>
              <w:t>Pages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40" w:type="dxa"/>
            <w:vAlign w:val="bottom"/>
            <w:gridSpan w:val="3"/>
            <w:vMerge w:val="continue"/>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About this Prospectus Supplement</w:t>
              </w:r>
            </w:hyperlink>
          </w:p>
        </w:tc>
        <w:tc>
          <w:tcPr>
            <w:tcW w:w="6320" w:type="dxa"/>
            <w:vAlign w:val="bottom"/>
            <w:tcBorders>
              <w:bottom w:val="single" w:sz="8" w:color="CCEEFF"/>
            </w:tcBorders>
            <w:gridSpan w:val="7"/>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52"/>
              <w:spacing w:after="0" w:line="176" w:lineRule="exact"/>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2660" w:type="dxa"/>
            <w:vAlign w:val="bottom"/>
          </w:tcPr>
          <w:p>
            <w:pPr>
              <w:jc w:val="center"/>
              <w:ind w:left="1652"/>
              <w:spacing w:after="0" w:line="176" w:lineRule="exact"/>
              <w:rPr>
                <w:sz w:val="20"/>
                <w:szCs w:val="20"/>
                <w:color w:val="auto"/>
              </w:rPr>
            </w:pPr>
            <w:r>
              <w:rPr>
                <w:rFonts w:ascii="Arial" w:cs="Arial" w:eastAsia="Arial" w:hAnsi="Arial"/>
                <w:sz w:val="18"/>
                <w:szCs w:val="18"/>
                <w:color w:val="auto"/>
                <w:w w:val="85"/>
              </w:rPr>
              <w:t>S-2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Risk Factors</w:t>
              </w:r>
            </w:hyperlink>
          </w:p>
        </w:tc>
        <w:tc>
          <w:tcPr>
            <w:tcW w:w="7860" w:type="dxa"/>
            <w:vAlign w:val="bottom"/>
            <w:tcBorders>
              <w:bottom w:val="single" w:sz="8" w:color="CCEEFF"/>
            </w:tcBorders>
            <w:gridSpan w:val="20"/>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Cautionary Notes Regarding Forward-Looking Statements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Price Range of our Common Stock</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Dividend Policy</w:t>
              </w:r>
            </w:hyperlink>
          </w:p>
        </w:tc>
        <w:tc>
          <w:tcPr>
            <w:tcW w:w="7600" w:type="dxa"/>
            <w:vAlign w:val="bottom"/>
            <w:tcBorders>
              <w:bottom w:val="single" w:sz="8" w:color="CCEEFF"/>
            </w:tcBorders>
            <w:gridSpan w:val="15"/>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Capitalization</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Dilution</w:t>
              </w:r>
            </w:hyperlink>
          </w:p>
        </w:tc>
        <w:tc>
          <w:tcPr>
            <w:tcW w:w="8160" w:type="dxa"/>
            <w:vAlign w:val="bottom"/>
            <w:tcBorders>
              <w:bottom w:val="single" w:sz="8" w:color="CCEEFF"/>
            </w:tcBorders>
            <w:gridSpan w:val="21"/>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Material U.S. Federal Income Tax Consequences to Non-U.S. Holders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Underwriting</w:t>
              </w:r>
            </w:hyperlink>
          </w:p>
        </w:tc>
        <w:tc>
          <w:tcPr>
            <w:tcW w:w="7800" w:type="dxa"/>
            <w:vAlign w:val="bottom"/>
            <w:tcBorders>
              <w:bottom w:val="single" w:sz="8" w:color="CCEEFF"/>
            </w:tcBorders>
            <w:gridSpan w:val="19"/>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S-31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Incorporation of Certain Information by Reference</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S-31</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3820" w:type="dxa"/>
            <w:vAlign w:val="bottom"/>
            <w:tcBorders>
              <w:top w:val="single" w:sz="8" w:color="CCEEFF"/>
            </w:tcBorders>
            <w:gridSpan w:val="2"/>
          </w:tcPr>
          <w:p>
            <w:pPr>
              <w:jc w:val="center"/>
              <w:ind w:right="2600"/>
              <w:spacing w:after="0"/>
              <w:rPr>
                <w:sz w:val="20"/>
                <w:szCs w:val="20"/>
                <w:color w:val="auto"/>
              </w:rPr>
            </w:pPr>
            <w:r>
              <w:rPr>
                <w:rFonts w:ascii="Arial" w:cs="Arial" w:eastAsia="Arial" w:hAnsi="Arial"/>
                <w:sz w:val="18"/>
                <w:szCs w:val="18"/>
                <w:b w:val="1"/>
                <w:bCs w:val="1"/>
                <w:color w:val="auto"/>
                <w:w w:val="83"/>
              </w:rPr>
              <w:t>Prospectus</w:t>
            </w:r>
          </w:p>
        </w:tc>
        <w:tc>
          <w:tcPr>
            <w:tcW w:w="26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tcBorders>
              <w:top w:val="single" w:sz="8" w:color="0000EE"/>
            </w:tcBorders>
            <w:gridSpan w:val="11"/>
          </w:tcPr>
          <w:p>
            <w:pPr>
              <w:spacing w:after="0" w:line="17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Company Overview</w:t>
              </w:r>
            </w:hyperlink>
          </w:p>
        </w:tc>
        <w:tc>
          <w:tcPr>
            <w:tcW w:w="7220" w:type="dxa"/>
            <w:vAlign w:val="bottom"/>
            <w:tcBorders>
              <w:top w:val="single" w:sz="8" w:color="CCEEFF"/>
            </w:tcBorders>
            <w:gridSpan w:val="12"/>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Risk Factors</w:t>
              </w:r>
            </w:hyperlink>
          </w:p>
        </w:tc>
        <w:tc>
          <w:tcPr>
            <w:tcW w:w="7860" w:type="dxa"/>
            <w:vAlign w:val="bottom"/>
            <w:tcBorders>
              <w:bottom w:val="single" w:sz="8" w:color="CCEEFF"/>
            </w:tcBorders>
            <w:gridSpan w:val="20"/>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Cautionary Notes Regarding Forward-Looking Statements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Ratio of Earnings to Fixed Charges</w:t>
            </w:r>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Use of Proceeds</w:t>
              </w:r>
            </w:hyperlink>
          </w:p>
        </w:tc>
        <w:tc>
          <w:tcPr>
            <w:tcW w:w="6280" w:type="dxa"/>
            <w:vAlign w:val="bottom"/>
            <w:tcBorders>
              <w:top w:val="single" w:sz="8" w:color="CCEEFF"/>
            </w:tcBorders>
            <w:gridSpan w:val="6"/>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our Capital Stock</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our Warrants</w:t>
              </w:r>
            </w:hyperlink>
          </w:p>
        </w:tc>
        <w:tc>
          <w:tcPr>
            <w:tcW w:w="6480" w:type="dxa"/>
            <w:vAlign w:val="bottom"/>
            <w:tcBorders>
              <w:top w:val="single" w:sz="8" w:color="CCEEFF"/>
            </w:tcBorders>
            <w:gridSpan w:val="9"/>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Description of our Units</w:t>
              </w:r>
            </w:hyperlink>
          </w:p>
        </w:tc>
        <w:tc>
          <w:tcPr>
            <w:tcW w:w="7040" w:type="dxa"/>
            <w:vAlign w:val="bottom"/>
            <w:tcBorders>
              <w:bottom w:val="single" w:sz="8" w:color="CCEEFF"/>
            </w:tcBorders>
            <w:gridSpan w:val="11"/>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Description of Certain Provisions of Nevada Law and Our Articles of Incorporation and Bylaws</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Plan of Distribution</w:t>
            </w:r>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Borders>
              <w:top w:val="single" w:sz="8" w:color="0000EE"/>
            </w:tcBorders>
            <w:gridSpan w:val="9"/>
          </w:tcPr>
          <w:p>
            <w:pPr>
              <w:spacing w:after="0" w:line="176" w:lineRule="exact"/>
              <w:rPr>
                <w:sz w:val="20"/>
                <w:szCs w:val="20"/>
                <w:color w:val="auto"/>
              </w:rPr>
            </w:pPr>
            <w:r>
              <w:rPr>
                <w:rFonts w:ascii="Arial" w:cs="Arial" w:eastAsia="Arial" w:hAnsi="Arial"/>
                <w:sz w:val="18"/>
                <w:szCs w:val="18"/>
                <w:color w:val="0000EE"/>
              </w:rPr>
              <w:t>Legal Matters</w:t>
            </w:r>
          </w:p>
        </w:tc>
        <w:tc>
          <w:tcPr>
            <w:tcW w:w="7360" w:type="dxa"/>
            <w:vAlign w:val="bottom"/>
            <w:tcBorders>
              <w:top w:val="single" w:sz="8" w:color="CCEEFF"/>
            </w:tcBorders>
            <w:gridSpan w:val="14"/>
          </w:tcPr>
          <w:p>
            <w:pPr>
              <w:spacing w:after="0"/>
              <w:rPr>
                <w:sz w:val="15"/>
                <w:szCs w:val="15"/>
                <w:color w:val="auto"/>
              </w:rPr>
            </w:pPr>
          </w:p>
        </w:tc>
        <w:tc>
          <w:tcPr>
            <w:tcW w:w="2660" w:type="dxa"/>
            <w:vAlign w:val="bottom"/>
            <w:tcBorders>
              <w:top w:val="single" w:sz="8" w:color="CCEEFF"/>
            </w:tcBorders>
          </w:tcPr>
          <w:p>
            <w:pPr>
              <w:jc w:val="center"/>
              <w:ind w:left="167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Where You Can Find More Information</w:t>
              </w:r>
            </w:hyperlink>
          </w:p>
        </w:tc>
        <w:tc>
          <w:tcPr>
            <w:tcW w:w="2660" w:type="dxa"/>
            <w:vAlign w:val="bottom"/>
          </w:tcPr>
          <w:p>
            <w:pPr>
              <w:jc w:val="center"/>
              <w:ind w:left="167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Incorporation of Certain Information by Reference</w:t>
              </w:r>
            </w:hyperlink>
          </w:p>
        </w:tc>
        <w:tc>
          <w:tcPr>
            <w:tcW w:w="2660" w:type="dxa"/>
            <w:vAlign w:val="bottom"/>
            <w:shd w:val="clear" w:color="auto" w:fill="CCEEFF"/>
          </w:tcPr>
          <w:p>
            <w:pPr>
              <w:jc w:val="center"/>
              <w:ind w:left="167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5"/>
          <w:szCs w:val="15"/>
          <w:color w:val="auto"/>
        </w:rPr>
        <w:t xml:space="preserve">This prospectus supplement and the accompanying prospectus form a part of a registration statement on Form S-3 that we filed with the Securities and Exchange Commission (the </w:t>
      </w:r>
      <w:r>
        <w:rPr>
          <w:rFonts w:ascii="Arial" w:cs="Arial" w:eastAsia="Arial" w:hAnsi="Arial"/>
          <w:sz w:val="15"/>
          <w:szCs w:val="15"/>
          <w:i w:val="1"/>
          <w:iCs w:val="1"/>
          <w:color w:val="auto"/>
        </w:rPr>
        <w:t>SEC</w:t>
      </w:r>
      <w:r>
        <w:rPr>
          <w:rFonts w:ascii="Arial" w:cs="Arial" w:eastAsia="Arial" w:hAnsi="Arial"/>
          <w:sz w:val="15"/>
          <w:szCs w:val="15"/>
          <w:color w:val="auto"/>
        </w:rPr>
        <w:t>) utilizing a “shelf” registration process. This document is in two parts. The first part is the prospectus supplement, which describes the specific terms of this offering. The second part, the accompanying prospectus, provides more general information about the securities we may offer from time to time, some of which may not apply to the securities offered by this prospectus supplement. Generally, when we refer to this prospectus, we are referring to both parts of this document combined. Before you invest, you should carefully read this prospectus supplement, the accompanying prospectus, all information incorporated by reference herein and therein, and the additional information described under “</w:t>
      </w:r>
      <w:r>
        <w:rPr>
          <w:rFonts w:ascii="Arial" w:cs="Arial" w:eastAsia="Arial" w:hAnsi="Arial"/>
          <w:sz w:val="15"/>
          <w:szCs w:val="15"/>
          <w:i w:val="1"/>
          <w:iCs w:val="1"/>
          <w:color w:val="auto"/>
        </w:rPr>
        <w:t>Where You Can Find More Information</w:t>
      </w:r>
      <w:r>
        <w:rPr>
          <w:rFonts w:ascii="Arial" w:cs="Arial" w:eastAsia="Arial" w:hAnsi="Arial"/>
          <w:sz w:val="15"/>
          <w:szCs w:val="15"/>
          <w:color w:val="auto"/>
        </w:rPr>
        <w:t>” on page S-33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6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Neither we nor the underwriters have authorized any other person to provide you with any information that is different. 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and/or the accompanying prospectus must inform themselves about, and observe any restrictions relating to, the offering of the securities and the distribution of this prospectus supplement and/or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the context otherwise requires, references in this prospectus supplement to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refer to VistaGen Therapeutics,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This summary highlights selected information about our company, this offering and information appearing elsewhere in this prospectus supplement, in the accompanying prospectus, in the documents we incorporate by reference and in any free writing prospectus that we have authorized for use in connection with this offering. This summary is not complete and does not contain all the information that you should consider before investing in our securities. You should read this entire prospectus supplement and the accompanying prospectus carefully, including the “Risk Factors” contained in this prospectus supplement, the accompanying prospectus and the financial statements and the notes thereto incorporated by reference in this prospectus supplement and the accompanying prospectus and the other information that we incorporated by reference herein, including our Annual Report on Form 10-K and Quarterly Reports on Form 10-Q we file from time to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a clinical-stage biopharmaceutical company focused on developing new generation medicines for multiple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diseases and disorders with high unmet need. We believe each of our CNS pipeline candidates, AV-101, PH94B and PH10, has the potential to be administered at home and provide rapid-onset therapeutic benefits without psychological or other side effects and safety concerns associated with many current and potential new generation medications for CNS diseases and disorders, such as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and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affecting millions of individuals in the United States and foreign markets. Each drug candidate in our pipeline is either currently in or has successfully completed Phase 2 clinical development. AV-101, our oral NMDA receptor glycine B antagonist, is in Phase 2 development, initially as an adjunctive treatment of MDD. The FDA has granted Fast Track designation for development of AV-101 as both a potential adjunctive treatment of MDD and as a non-opioid treatment for neuropathic pain. PH94B, our potentially first-in-class, rapid-onset neuroactive steroid nasal spray for as-needed (</w:t>
      </w:r>
      <w:r>
        <w:rPr>
          <w:rFonts w:ascii="Arial" w:cs="Arial" w:eastAsia="Arial" w:hAnsi="Arial"/>
          <w:sz w:val="16"/>
          <w:szCs w:val="16"/>
          <w:i w:val="1"/>
          <w:iCs w:val="1"/>
          <w:color w:val="auto"/>
        </w:rPr>
        <w:t>PRN</w:t>
      </w:r>
      <w:r>
        <w:rPr>
          <w:rFonts w:ascii="Arial" w:cs="Arial" w:eastAsia="Arial" w:hAnsi="Arial"/>
          <w:sz w:val="16"/>
          <w:szCs w:val="16"/>
          <w:color w:val="auto"/>
        </w:rPr>
        <w:t>) treatment of SAD, has completed a successful Phase 2 clinical program, a successful pilot Phase 3 study and is now being prepared for pivotal Phase 3 clinical development, with potential to be the first FDA-approved PRN treatment of SAD. PH10, our potentially first-in-class, rapid-onset neuroactive steroid nasal spray for MDD, has completed an initial successful exploratory Phase 2 clinical study and is now being prepared for a multi-dose follow-on Phase 2 clinical study in MDD.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AV-101, an investigational prodrug candidate in Phase 2 clinical development, is an orally bioavailable NMDAR GlyB (N-methyl-D-aspartate receptor glycine B) antagonist in development as a potential new treatment for multiple CNS indications with high unmet need, including MDD, neuropathic pain (</w:t>
      </w:r>
      <w:r>
        <w:rPr>
          <w:rFonts w:ascii="Arial" w:cs="Arial" w:eastAsia="Arial" w:hAnsi="Arial"/>
          <w:sz w:val="16"/>
          <w:szCs w:val="16"/>
          <w:i w:val="1"/>
          <w:iCs w:val="1"/>
          <w:color w:val="auto"/>
        </w:rPr>
        <w:t>NP</w:t>
      </w:r>
      <w:r>
        <w:rPr>
          <w:rFonts w:ascii="Arial" w:cs="Arial" w:eastAsia="Arial" w:hAnsi="Arial"/>
          <w:sz w:val="16"/>
          <w:szCs w:val="16"/>
          <w:color w:val="auto"/>
        </w:rPr>
        <w:t>), levodopa-induced dyskinesia associated with Parkinson’s disease therapy (</w:t>
      </w:r>
      <w:r>
        <w:rPr>
          <w:rFonts w:ascii="Arial" w:cs="Arial" w:eastAsia="Arial" w:hAnsi="Arial"/>
          <w:sz w:val="16"/>
          <w:szCs w:val="16"/>
          <w:i w:val="1"/>
          <w:iCs w:val="1"/>
          <w:color w:val="auto"/>
        </w:rPr>
        <w:t>PD LID)</w:t>
      </w:r>
      <w:r>
        <w:rPr>
          <w:rFonts w:ascii="Arial" w:cs="Arial" w:eastAsia="Arial" w:hAnsi="Arial"/>
          <w:sz w:val="16"/>
          <w:szCs w:val="16"/>
          <w:color w:val="auto"/>
        </w:rPr>
        <w:t xml:space="preserve"> and suicidal ideation (</w:t>
      </w:r>
      <w:r>
        <w:rPr>
          <w:rFonts w:ascii="Arial" w:cs="Arial" w:eastAsia="Arial" w:hAnsi="Arial"/>
          <w:sz w:val="16"/>
          <w:szCs w:val="16"/>
          <w:i w:val="1"/>
          <w:iCs w:val="1"/>
          <w:color w:val="auto"/>
        </w:rPr>
        <w:t>SI</w:t>
      </w:r>
      <w:r>
        <w:rPr>
          <w:rFonts w:ascii="Arial" w:cs="Arial" w:eastAsia="Arial" w:hAnsi="Arial"/>
          <w:sz w:val="16"/>
          <w:szCs w:val="16"/>
          <w:color w:val="auto"/>
        </w:rPr>
        <w:t>). In two NIH-funded AV-101 Phase 1 clinical safety studies, AV-101 was well tolerated in healthy subjects at all doses tested, in both single-ascending and multiple-ascending dose studies, without causing any observed psychological or sedative side effects. The United States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has granted Fast Track designation for development of AV-101 as a potential new treatment for adjunctive treatment of MDD and for treatment of NP.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Major depressive disorder is a serious biologically-based mood disorder, affecting approximately 16 million adults in the United States according to the U.S. National Institute of Mental Health (the </w:t>
      </w:r>
      <w:r>
        <w:rPr>
          <w:rFonts w:ascii="Arial" w:cs="Arial" w:eastAsia="Arial" w:hAnsi="Arial"/>
          <w:sz w:val="16"/>
          <w:szCs w:val="16"/>
          <w:i w:val="1"/>
          <w:iCs w:val="1"/>
          <w:color w:val="auto"/>
        </w:rPr>
        <w:t>NIMH</w:t>
      </w:r>
      <w:r>
        <w:rPr>
          <w:rFonts w:ascii="Arial" w:cs="Arial" w:eastAsia="Arial" w:hAnsi="Arial"/>
          <w:sz w:val="16"/>
          <w:szCs w:val="16"/>
          <w:color w:val="auto"/>
        </w:rPr>
        <w:t>). The CDC estimates that one in four women and one in six men in the United States have been diagnosed with MDD.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about one in eight Americans aged 12 and over takes an FDA-approved antidepressant, and there are an estimated 11.6 million drug-treated patients suffering from MDD. While current FDA-approved antidepressants are widely used, the STAR*D study, the largest clinical trial conducted in depression to date, found that approximately two-thirds of patients with MDD do not respond to their initial antidepressant treatment, of which approximately 5.1 million patients remain resistant to treatment following the second antidepressant treatment. According to the NIMH, inadequate response to current antidepressants is among the key reasons MDD is a leading public health concern in the United States, creating a significant unmet medical need for new agents with fundamentally different mechanisms of action.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believe oral AV-101 has potential for multiple applications in global depression markets if successfully developed and approved. AV-101 has potential as an adjunctive therapy to (i) augment current antidepressants approved by the FDA for patients with MDD who have an inadequate response to standard antidepressants (SSRIs and SNRIs) and (ii) prevent relapse of MDD following successful intravenous or intranasal treatment with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a member of a class of drugs that block NMDA receptor activity. Given its excellent tolerability profile, we believe it may also have potential as a first-line monotherapy conveniently administered at home. Ketamine is an FDA-approved, rapid-acting general anesthetic currently administered only by intravenous or intramuscular injection. The off-label use of ketamine in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defined as those patients who have failed at least two prior treatment attempts involving current antidepressants, has been studied in numerous clinical trials conducted by depression experts at Yale University and other academic institutions, as well as at the NIMH, including by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sub-anesthetic dose of ketamine (0.5 mg/kg over 40 minutes) produced robust and rapid (within twenty-four hours) antidepressant effects in MDD patients who had not responded to at least two prior treatment attempts involving standard antidepressants. These results were in sharp contrast to the very slow-onset activity of standard antidepressants, which usually require many weeks or more of chronic usage to achieve similar antidepressant effects. We believe AV-101 may have potential to deliver fast-acting antidepressant effects similar to ketamine, but as an oral therapy on an at-home basis, without the requirement for administration in a medical setting or the required use of needles, and without causing psychological, sedative or other side effects and safety concerns associated with ketamine and certain other fast-acting newer generation antidepressant drug candidates.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AV-101 is currently in Phase 2 clinical development in the United States for MDD. ELEVATE is our ongoing Phase 2 multi-center, multi-dose, double blind, placebo-controlled clinical study to evaluate the efficacy and safety of AV-101 as a new generation adjunctive treatment of MDD in adult patients with an inadequate therapeutic response to current FDA-approved antidepressants (the </w:t>
      </w:r>
      <w:r>
        <w:rPr>
          <w:rFonts w:ascii="Arial" w:cs="Arial" w:eastAsia="Arial" w:hAnsi="Arial"/>
          <w:sz w:val="18"/>
          <w:szCs w:val="18"/>
          <w:i w:val="1"/>
          <w:iCs w:val="1"/>
          <w:color w:val="auto"/>
        </w:rPr>
        <w:t>ELEVATE Study</w:t>
      </w:r>
      <w:r>
        <w:rPr>
          <w:rFonts w:ascii="Arial" w:cs="Arial" w:eastAsia="Arial" w:hAnsi="Arial"/>
          <w:sz w:val="18"/>
          <w:szCs w:val="18"/>
          <w:color w:val="auto"/>
        </w:rPr>
        <w:t>). Dr. Maurizio Fava, Professor of Psychiatry at Harvard Medical School and Director, Division of Clinical Research, Massachusetts General Hospital (</w:t>
      </w:r>
      <w:r>
        <w:rPr>
          <w:rFonts w:ascii="Arial" w:cs="Arial" w:eastAsia="Arial" w:hAnsi="Arial"/>
          <w:sz w:val="18"/>
          <w:szCs w:val="18"/>
          <w:i w:val="1"/>
          <w:iCs w:val="1"/>
          <w:color w:val="auto"/>
        </w:rPr>
        <w:t>MGH</w:t>
      </w:r>
      <w:r>
        <w:rPr>
          <w:rFonts w:ascii="Arial" w:cs="Arial" w:eastAsia="Arial" w:hAnsi="Arial"/>
          <w:sz w:val="18"/>
          <w:szCs w:val="18"/>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findings of which were published in journals such as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w:t>
      </w:r>
      <w:r>
        <w:rPr>
          <w:rFonts w:ascii="Arial" w:cs="Arial" w:eastAsia="Arial" w:hAnsi="Arial"/>
          <w:sz w:val="18"/>
          <w:szCs w:val="18"/>
          <w:i w:val="1"/>
          <w:iCs w:val="1"/>
          <w:color w:val="auto"/>
        </w:rPr>
        <w:t>NEJM</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Journal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American Medical Association </w:t>
      </w:r>
      <w:r>
        <w:rPr>
          <w:rFonts w:ascii="Arial" w:cs="Arial" w:eastAsia="Arial" w:hAnsi="Arial"/>
          <w:sz w:val="18"/>
          <w:szCs w:val="18"/>
          <w:color w:val="auto"/>
        </w:rPr>
        <w:t>(</w:t>
      </w:r>
      <w:r>
        <w:rPr>
          <w:rFonts w:ascii="Arial" w:cs="Arial" w:eastAsia="Arial" w:hAnsi="Arial"/>
          <w:sz w:val="18"/>
          <w:szCs w:val="18"/>
          <w:i w:val="1"/>
          <w:iCs w:val="1"/>
          <w:color w:val="auto"/>
        </w:rPr>
        <w:t>JAMA</w:t>
      </w:r>
      <w:r>
        <w:rPr>
          <w:rFonts w:ascii="Arial" w:cs="Arial" w:eastAsia="Arial" w:hAnsi="Arial"/>
          <w:sz w:val="18"/>
          <w:szCs w:val="18"/>
          <w:color w:val="auto"/>
        </w:rPr>
        <w:t>).</w:t>
      </w:r>
    </w:p>
    <w:p>
      <w:pPr>
        <w:spacing w:after="0" w:line="2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AV-101 is also the subject of a small randomized, double-blind, placebo-controlled cross-over Phase 2 clinical study being conducted and funded by the NIMH, 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w:t>
      </w:r>
      <w:r>
        <w:rPr>
          <w:rFonts w:ascii="Arial" w:cs="Arial" w:eastAsia="Arial" w:hAnsi="Arial"/>
          <w:sz w:val="16"/>
          <w:szCs w:val="16"/>
          <w:i w:val="1"/>
          <w:iCs w:val="1"/>
          <w:color w:val="auto"/>
        </w:rPr>
        <w:t>NIMH Study</w:t>
      </w:r>
      <w:r>
        <w:rPr>
          <w:rFonts w:ascii="Arial" w:cs="Arial" w:eastAsia="Arial" w:hAnsi="Arial"/>
          <w:sz w:val="16"/>
          <w:szCs w:val="16"/>
          <w:color w:val="auto"/>
        </w:rPr>
        <w:t>). Dr. Carlos Zarate, Jr., Chief of the NIMH’s Experimental Therapeutics &amp; Pathophysiology Branch and its Section on Neurobiology and Treatment of Mood and Anxiety Disorders, is acting as the Principal Investigator for the NIMH Study. This trial is focused on the pharmacodynamic and potential therapeutic effects in such patients using standard measurements of clinical responses and measurement of responses of a number of biomarkers associated with engagement of the NMDA receptor thought to be associated with clinical response. Dr. Zarate and the NIMH were among the first in the U.S. to conduct clinical studies in MDD patients with inadequate responses to multiple current FDA-approved antidepressants that demonstrated the robust, fast-acting antidepressant effects of ketamine within twenty-four hours of a single sub-anesthetic dose administered by IV injection.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FDA has granted Fast Track designation for development of AV-101 as a potential new adjunctive treatment of MDD.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Suicidal Ideation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According to 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every year approximately 800,000 people worldwide take their own life and many more attempt suicide. The CDC views suicide as a major public health concern in the United States as rates of suicide have been increasing for both men and women and across all age groups. Suicide is the 10th leading cause of death in the U.S. and is one of just three leading causes that are on the rise. According to experts in the field of suicidal ideation, characterized as suicidal thoughts and behavior, the number of Americans who die by suicide is, since 2010, higher than those who die in motor vehicle accidents. People of all genders, ages, and ethnicities can be at risk for suicide. Suicidal ideation is complex and there is no single cause. The NIMH attributes many different factors contribute to someone making a suicide attempt, including, but not limited to, depression, other mental health disorders or substance abuse disorder. Additionally, according to reports released by the United States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the U.S. Military Veteran population is at significantly higher risk for suicide than the general population.</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collaborating with Baylor College of Medicine (</w:t>
      </w:r>
      <w:r>
        <w:rPr>
          <w:rFonts w:ascii="Arial" w:cs="Arial" w:eastAsia="Arial" w:hAnsi="Arial"/>
          <w:sz w:val="18"/>
          <w:szCs w:val="18"/>
          <w:i w:val="1"/>
          <w:iCs w:val="1"/>
          <w:color w:val="auto"/>
        </w:rPr>
        <w:t>Baylor</w:t>
      </w:r>
      <w:r>
        <w:rPr>
          <w:rFonts w:ascii="Arial" w:cs="Arial" w:eastAsia="Arial" w:hAnsi="Arial"/>
          <w:sz w:val="18"/>
          <w:szCs w:val="18"/>
          <w:color w:val="auto"/>
        </w:rPr>
        <w:t xml:space="preserve">) and the VA on a small Phase 1b clinical trial of AV-101 involving healthy volunteer U.S. Military Veterans from either Operation Enduring Freedom, Operation Iraqi Freedom or Operation New Dawn (the </w:t>
      </w:r>
      <w:r>
        <w:rPr>
          <w:rFonts w:ascii="Arial" w:cs="Arial" w:eastAsia="Arial" w:hAnsi="Arial"/>
          <w:sz w:val="18"/>
          <w:szCs w:val="18"/>
          <w:i w:val="1"/>
          <w:iCs w:val="1"/>
          <w:color w:val="auto"/>
        </w:rPr>
        <w:t>Baylor Study</w:t>
      </w:r>
      <w:r>
        <w:rPr>
          <w:rFonts w:ascii="Arial" w:cs="Arial" w:eastAsia="Arial" w:hAnsi="Arial"/>
          <w:sz w:val="18"/>
          <w:szCs w:val="18"/>
          <w:color w:val="auto"/>
        </w:rPr>
        <w:t>). The Baylor Study is a randomized, double-blind, placebo-controlled cross-over study designed as a target engagement study as the first-step in our plans to test potential anti-suicidal effects of AV-101 in U.S. Military Veterans. Dr. Marijn Lijffijt of Baylor is the Principal Investigator of the Baylor Study. VistaGen and the VA entered into a Material Transfer Cooperative Research and Development Agreement (</w:t>
      </w:r>
      <w:r>
        <w:rPr>
          <w:rFonts w:ascii="Arial" w:cs="Arial" w:eastAsia="Arial" w:hAnsi="Arial"/>
          <w:sz w:val="18"/>
          <w:szCs w:val="18"/>
          <w:i w:val="1"/>
          <w:iCs w:val="1"/>
          <w:color w:val="auto"/>
        </w:rPr>
        <w:t>MT CRADA</w:t>
      </w:r>
      <w:r>
        <w:rPr>
          <w:rFonts w:ascii="Arial" w:cs="Arial" w:eastAsia="Arial" w:hAnsi="Arial"/>
          <w:sz w:val="18"/>
          <w:szCs w:val="18"/>
          <w:color w:val="auto"/>
        </w:rPr>
        <w:t>) regarding clinical trial material for the Baylor Study. Government funding from the VA is being provided for substantially all other study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Neuropathic Pain</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Neuropathic pain, a complex, chronic pain state affecting millions of Americans, results from problems with signals from nerves. The American Chronic Pain Association has identified various causes of NP, including tissue injury, nerve damage or disease, diabetes, infection, toxins, certain types of drugs, such as antivirals and chemotherapeutic agents, certain cancers, and even chronic alcohol intake. With NP, damaged, dysfunctional or injured nerve fibers send incorrect signals to other pain centers and impact nerve function both at the site of injury and areas around the injury. Unfortunately, many NP treatments on the market today have side effects, including anxiety, depression, dizziness, cognitive impairment and/or sedation.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effects of AV-101 as a potential new treatment for NP were assessed in published peer-reviewed preclinical studies involving four well-established models of pain. In these studies, AV-101 was observed to have robust, dose-dependent anti-nociceptive effects, as measured by dose-dependent reversal of NP in the Chung (nerve ligation), formalin and carrageenan thermal models in rats, and was well-tolerated. The publication, titled: “</w:t>
      </w:r>
      <w:r>
        <w:rPr>
          <w:rFonts w:ascii="Arial" w:cs="Arial" w:eastAsia="Arial" w:hAnsi="Arial"/>
          <w:sz w:val="16"/>
          <w:szCs w:val="16"/>
          <w:i w:val="1"/>
          <w:iCs w:val="1"/>
          <w:color w:val="auto"/>
        </w:rPr>
        <w:t>Characterization of the effects of L-4-chlorokynurenine on nociception in rodents</w:t>
      </w:r>
      <w:r>
        <w:rPr>
          <w:rFonts w:ascii="Arial" w:cs="Arial" w:eastAsia="Arial" w:hAnsi="Arial"/>
          <w:sz w:val="16"/>
          <w:szCs w:val="16"/>
          <w:color w:val="auto"/>
        </w:rPr>
        <w:t>,” by lead author, Tony L. Yaksh, Ph.D., Professor in Anesthesiology at the University of California, San Diego,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published in </w:t>
      </w:r>
      <w:r>
        <w:rPr>
          <w:rFonts w:ascii="Arial" w:cs="Arial" w:eastAsia="Arial" w:hAnsi="Arial"/>
          <w:sz w:val="16"/>
          <w:szCs w:val="16"/>
          <w:i w:val="1"/>
          <w:iCs w:val="1"/>
          <w:color w:val="auto"/>
        </w:rPr>
        <w:t>The Journal of Pain</w:t>
      </w:r>
      <w:r>
        <w:rPr>
          <w:rFonts w:ascii="Arial" w:cs="Arial" w:eastAsia="Arial" w:hAnsi="Arial"/>
          <w:sz w:val="16"/>
          <w:szCs w:val="16"/>
          <w:color w:val="auto"/>
        </w:rPr>
        <w:t xml:space="preserve"> in April 2017 (J Pain. 18:1184-1196, 2017)). Gabapentin, an FDA-approved anticonvulsant, has been associated with sedation and mild cognitive impairment in third party literature and is often prescribed for NP. Other commonly prescribed medications for NP include drugs targeting opioid receptors in the brain. Unfortunately, misuse of such drugs can lead to a significantly increased risk of addiction, and, we believe, their therapeutic utility for neuropathic pain is unclear. We are planning to advance AV-101 into an exploratory Phase 2a clinical study, subject to securing sufficient capital, to assess its potential as a new oral non-opioid treatment to reduce debilitating NP, as well as its potential to avoid sedative side effects and cognitive impairment that have been observed in third party literature to be associated with other NP treatments, and to reduce the risk of addiction associated with pain medications targeting opioid receptors.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FDA has granted Fast Track designation for development of AV-101 as a potential new, non-opioid treatment of NP.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Parkinson’s Disease Levodopa-Induced Dyskinesia</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Parkinson's disease (</w:t>
      </w:r>
      <w:r>
        <w:rPr>
          <w:rFonts w:ascii="Arial" w:cs="Arial" w:eastAsia="Arial" w:hAnsi="Arial"/>
          <w:sz w:val="18"/>
          <w:szCs w:val="18"/>
          <w:i w:val="1"/>
          <w:iCs w:val="1"/>
          <w:color w:val="auto"/>
        </w:rPr>
        <w:t>PD</w:t>
      </w:r>
      <w:r>
        <w:rPr>
          <w:rFonts w:ascii="Arial" w:cs="Arial" w:eastAsia="Arial" w:hAnsi="Arial"/>
          <w:sz w:val="18"/>
          <w:szCs w:val="18"/>
          <w:color w:val="auto"/>
        </w:rPr>
        <w:t>) is a chronic, progressive motor disorder that causes tremors, rigidity, slowed movements and postural instability. The most commonly-prescribed treatments for PD are levodopa-based therapies. Unfortunately, abnormal involuntary movements, called dyskinesias, gradually emerge as a prominent side-effect in response to previously beneficial doses of levodopa. PD LID can be severely disabling, rendering patients unable to perform routine daily tasks.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 preclinical monkey model of PD, AV-101 resulted in a 30% reduction of the mean dyskinesia score associated with PD LID. Importantly, AV-101 did not reduce the anti-parkinsonian therapeutic benefit of levodopa. Moreover, the duration of levodopa response and delay to levodopa effect were not affected by treatment with AV-101. We believe AV-101 has potential to reduce troublesome dyskinesia experienced by many patients with PD as a result of their levodopa therapy, but without interfering with levodopa or causing side effects resulting from certain current PD LID treatments, such as amantadine, including hallucinations, dizziness, dry mouth, swelling of legs and feet, constipation and falls. We are planning to advance clinical development of AV-101 for PD LID in an exploratory Phase 2a clinical study, subject to securing sufficient capital, as our next initiative in PD LID.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developed a portfolio of intellectual property (</w:t>
      </w:r>
      <w:r>
        <w:rPr>
          <w:rFonts w:ascii="Arial" w:cs="Arial" w:eastAsia="Arial" w:hAnsi="Arial"/>
          <w:sz w:val="18"/>
          <w:szCs w:val="18"/>
          <w:i w:val="1"/>
          <w:iCs w:val="1"/>
          <w:color w:val="auto"/>
        </w:rPr>
        <w:t>IP</w:t>
      </w:r>
      <w:r>
        <w:rPr>
          <w:rFonts w:ascii="Arial" w:cs="Arial" w:eastAsia="Arial" w:hAnsi="Arial"/>
          <w:sz w:val="18"/>
          <w:szCs w:val="18"/>
          <w:color w:val="auto"/>
        </w:rPr>
        <w:t>) assets around AV-101, which involves obtaining patents and protecting trade secrets. In addition to these IP assets, we plan to seek regulatory exclusivity for the use of AV-101, with initial emphasis on treating depression as our lead indication in clinical development. These two approaches to obtaining exclusivity exist separately in the US and in several other countries and would be expected to provide complementary protection in countries where they are available.</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AV-101 was not itself patent protected as a chemical compound and a patent, describing pharmaceutical compositions made with AV-101, and which was formerly licensed by VistaGen, has expired. As part of our strategy to seek and secure broad commercial exclusivity for AV-101, we primarily have pursued patents related to novel therapeutic uses of AV-101 in major pharmaceutical markets, including the U.S., Europe, and other selected major pharmaceutical markets, including China, Japan and Korea. For example, some of our granted AV-101 patents in the U.S. and Europe, and our pending patent applications in the U.S. and multiple additional markets relate to the treatment of depression and others relate to the treatment of additional CNS diseases and disorders, including, among others, Parkinson’s disease levodopa-induced dyskinesia and the management of certain types of neuropathic pain including, but not limited to hyperalgesia.</w:t>
      </w:r>
    </w:p>
    <w:p>
      <w:pPr>
        <w:spacing w:after="0" w:line="201"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color w:val="auto"/>
        </w:rPr>
        <w:t>In addition to our U.S. patent relating to the treatment of depression with AV-101, we were successful in the U.S. in obtaining a patent related to certain specific oral unit dose formulations of AV-101 with a similar expression in the claims referring to efficacy in treating depression. We also have been granted patents and are pursuing pending applications that involve methods of production of AV-101. We expect that our granted patents will not begin to expire until 2034, and we plan to seek patent term extensions in places, such as the U.S., Europe and Japan, where they are available.</w:t>
      </w:r>
    </w:p>
    <w:p>
      <w:pPr>
        <w:spacing w:after="0" w:line="16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As mentioned above, a complementary component of our plan is to obtain regulatory exclusivity for approved therapeutic indications for AV-101. For example, the FDA’s New Drug Product Exclusivity is available for NCEs such as AV-101, which have not been previously approved by the FDA. This provides the holder of an FDA-approved NDA with up to five years of protection from competition in the U.S. marketplace from generic versions of the same product. As applicable, we will pursue similar types of regulatory exclusivity in other regions, such as Europe, and in certain other countries.</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is no guarantee that we will be successful in obtaining any additional patents related to AV-101 in the U.S., Europe, or any other country, or that if we are successful in obtaining any patents that we would also be successful in protecting those patents against challengers or in enforcing them to stop infringement. Outside the U.S. and Europe, we are pursuing patent rights in a limited number of countries that we believe are the major markets for pharmaceuticals where having patent rights should substantially facilitate commercialization of AV-101.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2018, we acquired, on a non-cash basis through the issuance of unregistered shares of our common stock, a license from Pherin Pharmaceuticals, Inc. (</w:t>
      </w:r>
      <w:r>
        <w:rPr>
          <w:rFonts w:ascii="Arial" w:cs="Arial" w:eastAsia="Arial" w:hAnsi="Arial"/>
          <w:sz w:val="18"/>
          <w:szCs w:val="18"/>
          <w:i w:val="1"/>
          <w:iCs w:val="1"/>
          <w:color w:val="auto"/>
        </w:rPr>
        <w:t>Pherin</w:t>
      </w:r>
      <w:r>
        <w:rPr>
          <w:rFonts w:ascii="Arial" w:cs="Arial" w:eastAsia="Arial" w:hAnsi="Arial"/>
          <w:sz w:val="18"/>
          <w:szCs w:val="18"/>
          <w:color w:val="auto"/>
        </w:rPr>
        <w:t>) giving us the exclusive worldwide rights to develop and commercialize PH94B, a rapid-onset neurosteroid nasal spray with potential to be the first FDA-approved PRN treatment for SAD.</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PH94B is a synthetic investigational neuroactive steroid for which Phase 2 clinical data showed that the product was well tolerated and demonstrated a rapid onset of effect, as measured by the Subjective Units of Distress (</w:t>
      </w:r>
      <w:r>
        <w:rPr>
          <w:rFonts w:ascii="Arial" w:cs="Arial" w:eastAsia="Arial" w:hAnsi="Arial"/>
          <w:sz w:val="16"/>
          <w:szCs w:val="16"/>
          <w:i w:val="1"/>
          <w:iCs w:val="1"/>
          <w:color w:val="auto"/>
        </w:rPr>
        <w:t>SUD</w:t>
      </w:r>
      <w:r>
        <w:rPr>
          <w:rFonts w:ascii="Arial" w:cs="Arial" w:eastAsia="Arial" w:hAnsi="Arial"/>
          <w:sz w:val="16"/>
          <w:szCs w:val="16"/>
          <w:color w:val="auto"/>
        </w:rPr>
        <w:t>) and the Liebowitz Social Anxiety Scale (</w:t>
      </w:r>
      <w:r>
        <w:rPr>
          <w:rFonts w:ascii="Arial" w:cs="Arial" w:eastAsia="Arial" w:hAnsi="Arial"/>
          <w:sz w:val="16"/>
          <w:szCs w:val="16"/>
          <w:i w:val="1"/>
          <w:iCs w:val="1"/>
          <w:color w:val="auto"/>
        </w:rPr>
        <w:t>LSAS</w:t>
      </w:r>
      <w:r>
        <w:rPr>
          <w:rFonts w:ascii="Arial" w:cs="Arial" w:eastAsia="Arial" w:hAnsi="Arial"/>
          <w:sz w:val="16"/>
          <w:szCs w:val="16"/>
          <w:color w:val="auto"/>
        </w:rPr>
        <w:t>) in SAD, a social phobia that affects as many as 22 million American adults according to the NIMH. SAD is characterized by an intense and persistent fear of embarrassment, humiliation, judgment and rejection in everyday social or performance situations, leading to avoidance of anxiety and fear-producing social situations when possible. SAD has a significant impact on the individual’s employment, social activities and overall quality of life. According to the NIMH, an estimated 7% of the U.S. population suffers from SAD. SAD is commonly treated chronically with antidepressants, which have slow onset of effect (several weeks or months) and known side effects that may make them unattractive to individuals intermittently or episodically affected by SAD.</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Administered as a nasal spray, PH94B is designed to act locally on peripheral nasal chemosensory receptors to trigger rapid activation of the limbic system areas of the brain associated with SAD. In prior clinical studies, PH94B demonstrated rapid (10-15 minutes) anxiety reduction for subjects with SAD, measured by the SUD and LSAS, and was not observed to be addictive, sedative or have other adverse events. Benzodiazepines and beta blockers, which are currently prescribed off-label to treat SAD, have been found in third party literature to have addictive or sedative properties, and have other adverse effects when used to treat SAD.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clinical studies in which PH94B was observed to have rapid onset of effect on anxiety reduction, as measured by the SUD and LSAS, and to be well-tolerated, and in light of its novel route of administration and on-demand dosing design, we believe PH94B has potential to be the first FDA-approved medication for long-term PRN treatment of individuals with SAD.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October 2018, we acquired, on a non-cash basis through the issuance of unregistered shares of our common stock, a second license from Pherin giving us the exclusive worldwide rights to develop and commercialize PH10, a synthetic investigational neuroactive steroid nasal spray for which exploratory Phase 2 clinical data showed that it was well tolerated and demonstrated a rapid onset of antidepressant effects. PH10 is designed to bind locally on nasal chemosensory receptors and trigger responses in the hypothalamus, amygdala, prefrontal cortex and hippocampus affecting depression. It is believed that PH10 may initiate nerve impulses that follow defined pathways to directly affect brain function. In a small exploratory Phase 2a study in patients with MDD, PH10 showed a rapid-onset antidepressant effect, as measured by the Hamilton Depression Rating Scale (</w:t>
      </w:r>
      <w:r>
        <w:rPr>
          <w:rFonts w:ascii="Arial" w:cs="Arial" w:eastAsia="Arial" w:hAnsi="Arial"/>
          <w:sz w:val="16"/>
          <w:szCs w:val="16"/>
          <w:i w:val="1"/>
          <w:iCs w:val="1"/>
          <w:color w:val="auto"/>
        </w:rPr>
        <w:t>HAM</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D</w:t>
      </w:r>
      <w:r>
        <w:rPr>
          <w:rFonts w:ascii="Arial" w:cs="Arial" w:eastAsia="Arial" w:hAnsi="Arial"/>
          <w:sz w:val="16"/>
          <w:szCs w:val="16"/>
          <w:color w:val="auto"/>
        </w:rPr>
        <w:t>), without psychological side effects or safety concerns. PH10 is a new generation antidepressant with a mechanism of action that is fundamentally different from all current antidepressants. As with AV-101, we believe PH10 intranasal has potential for multiple applications in global depression markets, as a stand-alone first line therapy and as an adjunctive therapy, if successfully developed and approved. In addition to its potential as a first-line monotherapy administered conveniently at-home, we believe PH10 has potential as an adjunctive therapy to (i) augment current antidepressants approved by the FDA for patients with MDD who have an inadequate response to standard antidepressants (SSRIs and SNRIs), and (ii) prevent relapse of MDD following successful treatment, with either intravenously- or intranasally-administered ketamine.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VistaStem</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to our CNS business, we have two additional programs through our wholly-owned subsidiary 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stem cell technology to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CNS pipeline or out-licensing. We have exclusively sublicensed to BlueRock Therapeutics LP, a next generation cell therapy and RM company established by Bayer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VistaStem collaborations or licensing transactions involving stem cell-derived blood, cartilage, and/or liver cells RM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5"/>
          <w:szCs w:val="15"/>
          <w:i w:val="1"/>
          <w:iCs w:val="1"/>
          <w:color w:val="auto"/>
        </w:rPr>
        <w:t>www.vistagen.com</w:t>
      </w:r>
      <w:r>
        <w:rPr>
          <w:rFonts w:ascii="Arial" w:cs="Arial" w:eastAsia="Arial" w:hAnsi="Arial"/>
          <w:sz w:val="15"/>
          <w:szCs w:val="15"/>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44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6980" w:type="dxa"/>
            <w:vAlign w:val="bottom"/>
          </w:tcPr>
          <w:p>
            <w:pPr>
              <w:spacing w:after="0"/>
              <w:rPr>
                <w:sz w:val="17"/>
                <w:szCs w:val="17"/>
                <w:color w:val="auto"/>
              </w:rPr>
            </w:pPr>
          </w:p>
        </w:tc>
      </w:tr>
      <w:tr>
        <w:trPr>
          <w:trHeight w:val="667"/>
        </w:trPr>
        <w:tc>
          <w:tcPr>
            <w:tcW w:w="124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6980" w:type="dxa"/>
            <w:vAlign w:val="bottom"/>
          </w:tcPr>
          <w:p>
            <w:pPr>
              <w:ind w:left="60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Issuer</w:t>
            </w:r>
          </w:p>
        </w:tc>
        <w:tc>
          <w:tcPr>
            <w:tcW w:w="6980" w:type="dxa"/>
            <w:vAlign w:val="bottom"/>
          </w:tcPr>
          <w:p>
            <w:pPr>
              <w:ind w:left="140"/>
              <w:spacing w:after="0"/>
              <w:rPr>
                <w:sz w:val="20"/>
                <w:szCs w:val="20"/>
                <w:color w:val="auto"/>
              </w:rPr>
            </w:pPr>
            <w:r>
              <w:rPr>
                <w:rFonts w:ascii="Arial" w:cs="Arial" w:eastAsia="Arial" w:hAnsi="Arial"/>
                <w:sz w:val="18"/>
                <w:szCs w:val="18"/>
                <w:color w:val="auto"/>
              </w:rPr>
              <w:t>VistaGen Therapeutics, Inc.</w:t>
            </w:r>
          </w:p>
        </w:tc>
      </w:tr>
      <w:tr>
        <w:trPr>
          <w:trHeight w:val="42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Common Stock Offered by Us</w:t>
            </w:r>
          </w:p>
        </w:tc>
        <w:tc>
          <w:tcPr>
            <w:tcW w:w="6980" w:type="dxa"/>
            <w:vAlign w:val="bottom"/>
          </w:tcPr>
          <w:p>
            <w:pPr>
              <w:ind w:left="140"/>
              <w:spacing w:after="0"/>
              <w:rPr>
                <w:sz w:val="20"/>
                <w:szCs w:val="20"/>
                <w:color w:val="auto"/>
              </w:rPr>
            </w:pPr>
            <w:r>
              <w:rPr>
                <w:rFonts w:ascii="Arial" w:cs="Arial" w:eastAsia="Arial" w:hAnsi="Arial"/>
                <w:sz w:val="18"/>
                <w:szCs w:val="18"/>
                <w:color w:val="auto"/>
                <w:w w:val="91"/>
              </w:rPr>
              <w:t>10,000,000 shares (or 11,500,000 shares if the underwriters exercise their option to purchase</w:t>
            </w:r>
          </w:p>
        </w:tc>
      </w:tr>
      <w:tr>
        <w:trPr>
          <w:trHeight w:val="222"/>
        </w:trPr>
        <w:tc>
          <w:tcPr>
            <w:tcW w:w="1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additional shares in full).</w:t>
            </w:r>
          </w:p>
        </w:tc>
      </w:tr>
      <w:tr>
        <w:trPr>
          <w:trHeight w:val="42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Option to Purchase Additional Shares</w:t>
            </w:r>
          </w:p>
        </w:tc>
        <w:tc>
          <w:tcPr>
            <w:tcW w:w="6980" w:type="dxa"/>
            <w:vAlign w:val="bottom"/>
          </w:tcPr>
          <w:p>
            <w:pPr>
              <w:ind w:left="140"/>
              <w:spacing w:after="0"/>
              <w:rPr>
                <w:sz w:val="20"/>
                <w:szCs w:val="20"/>
                <w:color w:val="auto"/>
              </w:rPr>
            </w:pPr>
            <w:r>
              <w:rPr>
                <w:rFonts w:ascii="Arial" w:cs="Arial" w:eastAsia="Arial" w:hAnsi="Arial"/>
                <w:sz w:val="18"/>
                <w:szCs w:val="18"/>
                <w:color w:val="auto"/>
                <w:w w:val="88"/>
              </w:rPr>
              <w:t>We have granted the underwriters a 30-day option to purchase up to 1,500,000 additional shares</w:t>
            </w:r>
          </w:p>
        </w:tc>
      </w:tr>
      <w:tr>
        <w:trPr>
          <w:trHeight w:val="222"/>
        </w:trPr>
        <w:tc>
          <w:tcPr>
            <w:tcW w:w="1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w w:val="94"/>
              </w:rPr>
              <w:t>of common stock at the public offering price, less underwriting discounts and commissions.</w:t>
            </w:r>
          </w:p>
        </w:tc>
      </w:tr>
      <w:tr>
        <w:trPr>
          <w:trHeight w:val="420"/>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w w:val="91"/>
              </w:rPr>
              <w:t>Common Stock to be Outstanding Immediately After this</w:t>
            </w:r>
          </w:p>
        </w:tc>
        <w:tc>
          <w:tcPr>
            <w:tcW w:w="6980" w:type="dxa"/>
            <w:vAlign w:val="bottom"/>
          </w:tcPr>
          <w:p>
            <w:pPr>
              <w:ind w:left="140"/>
              <w:spacing w:after="0"/>
              <w:rPr>
                <w:sz w:val="20"/>
                <w:szCs w:val="20"/>
                <w:color w:val="auto"/>
              </w:rPr>
            </w:pPr>
            <w:r>
              <w:rPr>
                <w:rFonts w:ascii="Arial" w:cs="Arial" w:eastAsia="Arial" w:hAnsi="Arial"/>
                <w:sz w:val="18"/>
                <w:szCs w:val="18"/>
                <w:color w:val="auto"/>
                <w:w w:val="91"/>
              </w:rPr>
              <w:t>41,120,465 shares (or 42,620,465 shares if the underwriters exercise their option to purchase</w:t>
            </w:r>
          </w:p>
        </w:tc>
      </w:tr>
      <w:tr>
        <w:trPr>
          <w:trHeight w:val="228"/>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Offering</w:t>
            </w:r>
          </w:p>
        </w:tc>
        <w:tc>
          <w:tcPr>
            <w:tcW w:w="6980" w:type="dxa"/>
            <w:vAlign w:val="bottom"/>
          </w:tcPr>
          <w:p>
            <w:pPr>
              <w:ind w:left="140"/>
              <w:spacing w:after="0"/>
              <w:rPr>
                <w:sz w:val="20"/>
                <w:szCs w:val="20"/>
                <w:color w:val="auto"/>
              </w:rPr>
            </w:pPr>
            <w:r>
              <w:rPr>
                <w:rFonts w:ascii="Arial" w:cs="Arial" w:eastAsia="Arial" w:hAnsi="Arial"/>
                <w:sz w:val="18"/>
                <w:szCs w:val="18"/>
                <w:color w:val="auto"/>
              </w:rPr>
              <w:t>additional shares in full).</w:t>
            </w:r>
          </w:p>
        </w:tc>
      </w:tr>
      <w:tr>
        <w:trPr>
          <w:trHeight w:val="42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Use of Proceeds</w:t>
            </w:r>
          </w:p>
        </w:tc>
        <w:tc>
          <w:tcPr>
            <w:tcW w:w="6980" w:type="dxa"/>
            <w:vAlign w:val="bottom"/>
          </w:tcPr>
          <w:p>
            <w:pPr>
              <w:ind w:left="140"/>
              <w:spacing w:after="0"/>
              <w:rPr>
                <w:sz w:val="20"/>
                <w:szCs w:val="20"/>
                <w:color w:val="auto"/>
              </w:rPr>
            </w:pPr>
            <w:r>
              <w:rPr>
                <w:rFonts w:ascii="Arial" w:cs="Arial" w:eastAsia="Arial" w:hAnsi="Arial"/>
                <w:sz w:val="18"/>
                <w:szCs w:val="18"/>
                <w:color w:val="auto"/>
                <w:w w:val="96"/>
              </w:rPr>
              <w:t>We currently intend to use the net proceeds from the sale of the securities offered by this</w:t>
            </w:r>
          </w:p>
        </w:tc>
      </w:tr>
      <w:tr>
        <w:trPr>
          <w:trHeight w:val="216"/>
        </w:trPr>
        <w:tc>
          <w:tcPr>
            <w:tcW w:w="1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w w:val="91"/>
              </w:rPr>
              <w:t>prospectus supplement to fund continued development of our CNS pipeline programs, and for</w:t>
            </w:r>
          </w:p>
        </w:tc>
      </w:tr>
      <w:tr>
        <w:trPr>
          <w:trHeight w:val="216"/>
        </w:trPr>
        <w:tc>
          <w:tcPr>
            <w:tcW w:w="1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w w:val="88"/>
              </w:rPr>
              <w:t>general research and development, working capital and general corporate purposes. See “</w:t>
            </w:r>
            <w:r>
              <w:rPr>
                <w:rFonts w:ascii="Arial" w:cs="Arial" w:eastAsia="Arial" w:hAnsi="Arial"/>
                <w:sz w:val="18"/>
                <w:szCs w:val="18"/>
                <w:i w:val="1"/>
                <w:iCs w:val="1"/>
                <w:color w:val="auto"/>
                <w:w w:val="88"/>
              </w:rPr>
              <w:t>Use of</w:t>
            </w:r>
          </w:p>
        </w:tc>
      </w:tr>
      <w:tr>
        <w:trPr>
          <w:trHeight w:val="222"/>
        </w:trPr>
        <w:tc>
          <w:tcPr>
            <w:tcW w:w="1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980" w:type="dxa"/>
            <w:vAlign w:val="bottom"/>
          </w:tcPr>
          <w:p>
            <w:pPr>
              <w:ind w:left="140"/>
              <w:spacing w:after="0"/>
              <w:rPr>
                <w:sz w:val="20"/>
                <w:szCs w:val="20"/>
                <w:color w:val="auto"/>
              </w:rPr>
            </w:pPr>
            <w:r>
              <w:rPr>
                <w:rFonts w:ascii="Arial" w:cs="Arial" w:eastAsia="Arial" w:hAnsi="Arial"/>
                <w:sz w:val="18"/>
                <w:szCs w:val="18"/>
                <w:i w:val="1"/>
                <w:iCs w:val="1"/>
                <w:color w:val="auto"/>
              </w:rPr>
              <w:t>Proceeds</w:t>
            </w:r>
            <w:r>
              <w:rPr>
                <w:rFonts w:ascii="Arial" w:cs="Arial" w:eastAsia="Arial" w:hAnsi="Arial"/>
                <w:sz w:val="18"/>
                <w:szCs w:val="18"/>
                <w:color w:val="auto"/>
              </w:rPr>
              <w:t>” on page S-14.</w:t>
            </w:r>
          </w:p>
        </w:tc>
      </w:tr>
      <w:tr>
        <w:trPr>
          <w:trHeight w:val="42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Risk Factors</w:t>
            </w:r>
          </w:p>
        </w:tc>
        <w:tc>
          <w:tcPr>
            <w:tcW w:w="6980" w:type="dxa"/>
            <w:vAlign w:val="bottom"/>
          </w:tcPr>
          <w:p>
            <w:pPr>
              <w:ind w:left="140"/>
              <w:spacing w:after="0"/>
              <w:rPr>
                <w:sz w:val="20"/>
                <w:szCs w:val="20"/>
                <w:color w:val="auto"/>
              </w:rPr>
            </w:pPr>
            <w:r>
              <w:rPr>
                <w:rFonts w:ascii="Arial" w:cs="Arial" w:eastAsia="Arial" w:hAnsi="Arial"/>
                <w:sz w:val="18"/>
                <w:szCs w:val="18"/>
                <w:color w:val="auto"/>
                <w:w w:val="91"/>
              </w:rPr>
              <w:t>Investing in our common shares involves a high degree of risk. For a discussion of factors that</w:t>
            </w:r>
          </w:p>
        </w:tc>
      </w:tr>
      <w:tr>
        <w:trPr>
          <w:trHeight w:val="216"/>
        </w:trPr>
        <w:tc>
          <w:tcPr>
            <w:tcW w:w="1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w w:val="92"/>
              </w:rPr>
              <w:t>you should consider before buying our securities, see the information under “</w:t>
            </w:r>
            <w:r>
              <w:rPr>
                <w:rFonts w:ascii="Arial" w:cs="Arial" w:eastAsia="Arial" w:hAnsi="Arial"/>
                <w:sz w:val="18"/>
                <w:szCs w:val="18"/>
                <w:i w:val="1"/>
                <w:iCs w:val="1"/>
                <w:color w:val="auto"/>
                <w:w w:val="92"/>
              </w:rPr>
              <w:t>Risk Factors</w:t>
            </w:r>
            <w:r>
              <w:rPr>
                <w:rFonts w:ascii="Arial" w:cs="Arial" w:eastAsia="Arial" w:hAnsi="Arial"/>
                <w:sz w:val="18"/>
                <w:szCs w:val="18"/>
                <w:color w:val="auto"/>
                <w:w w:val="92"/>
              </w:rPr>
              <w:t>” in</w:t>
            </w:r>
          </w:p>
        </w:tc>
      </w:tr>
      <w:tr>
        <w:trPr>
          <w:trHeight w:val="216"/>
        </w:trPr>
        <w:tc>
          <w:tcPr>
            <w:tcW w:w="1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w w:val="95"/>
              </w:rPr>
              <w:t>this prospectus supplement and under similar headings in the documents incorporated by</w:t>
            </w:r>
          </w:p>
        </w:tc>
      </w:tr>
      <w:tr>
        <w:trPr>
          <w:trHeight w:val="222"/>
        </w:trPr>
        <w:tc>
          <w:tcPr>
            <w:tcW w:w="1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reference into this prospectus supplement.</w:t>
            </w: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Listing</w:t>
            </w:r>
          </w:p>
        </w:tc>
        <w:tc>
          <w:tcPr>
            <w:tcW w:w="6980" w:type="dxa"/>
            <w:vAlign w:val="bottom"/>
          </w:tcPr>
          <w:p>
            <w:pPr>
              <w:ind w:left="140"/>
              <w:spacing w:after="0"/>
              <w:rPr>
                <w:sz w:val="20"/>
                <w:szCs w:val="20"/>
                <w:color w:val="auto"/>
              </w:rPr>
            </w:pPr>
            <w:r>
              <w:rPr>
                <w:rFonts w:ascii="Arial" w:cs="Arial" w:eastAsia="Arial" w:hAnsi="Arial"/>
                <w:sz w:val="18"/>
                <w:szCs w:val="18"/>
                <w:color w:val="auto"/>
              </w:rPr>
              <w:t>Our common stock is listed on the Nasdaq Capital Market under the symbol “VTGN.”</w:t>
            </w:r>
          </w:p>
        </w:tc>
      </w:tr>
      <w:tr>
        <w:trPr>
          <w:trHeight w:val="426"/>
        </w:trPr>
        <w:tc>
          <w:tcPr>
            <w:tcW w:w="1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w w:val="89"/>
              </w:rPr>
              <w:t>There is no established public trading market for the warrants being offered by us in this offering</w:t>
            </w:r>
          </w:p>
        </w:tc>
      </w:tr>
      <w:tr>
        <w:trPr>
          <w:trHeight w:val="216"/>
        </w:trPr>
        <w:tc>
          <w:tcPr>
            <w:tcW w:w="1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w w:val="90"/>
              </w:rPr>
              <w:t>and we do not intend to have the warrants listed on a national securities exchange or any other</w:t>
            </w:r>
          </w:p>
        </w:tc>
      </w:tr>
      <w:tr>
        <w:trPr>
          <w:trHeight w:val="216"/>
        </w:trPr>
        <w:tc>
          <w:tcPr>
            <w:tcW w:w="1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w w:val="91"/>
              </w:rPr>
              <w:t>recognized trading system in the future. Without an active market, the liquidity of any warrants</w:t>
            </w:r>
          </w:p>
        </w:tc>
      </w:tr>
      <w:tr>
        <w:trPr>
          <w:trHeight w:val="222"/>
        </w:trPr>
        <w:tc>
          <w:tcPr>
            <w:tcW w:w="1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w w:val="93"/>
              </w:rPr>
              <w:t>sold by means of this prospectus supplement and accompanying prospectus will be limited.</w:t>
            </w:r>
          </w:p>
        </w:tc>
      </w:tr>
      <w:tr>
        <w:trPr>
          <w:trHeight w:val="864"/>
        </w:trPr>
        <w:tc>
          <w:tcPr>
            <w:tcW w:w="1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980" w:type="dxa"/>
            <w:vAlign w:val="bottom"/>
          </w:tcPr>
          <w:p>
            <w:pPr>
              <w:ind w:left="1160"/>
              <w:spacing w:after="0"/>
              <w:rPr>
                <w:sz w:val="20"/>
                <w:szCs w:val="20"/>
                <w:color w:val="auto"/>
              </w:rPr>
            </w:pPr>
            <w:r>
              <w:rPr>
                <w:rFonts w:ascii="Arial" w:cs="Arial" w:eastAsia="Arial" w:hAnsi="Arial"/>
                <w:sz w:val="18"/>
                <w:szCs w:val="18"/>
                <w:color w:val="auto"/>
              </w:rPr>
              <w:t>S-8</w:t>
            </w:r>
          </w:p>
        </w:tc>
      </w:tr>
      <w:tr>
        <w:trPr>
          <w:trHeight w:val="225"/>
        </w:trPr>
        <w:tc>
          <w:tcPr>
            <w:tcW w:w="12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6980" w:type="dxa"/>
            <w:vAlign w:val="bottom"/>
            <w:tcBorders>
              <w:bottom w:val="single" w:sz="8" w:color="auto"/>
            </w:tcBorders>
          </w:tcPr>
          <w:p>
            <w:pPr>
              <w:spacing w:after="0"/>
              <w:rPr>
                <w:sz w:val="19"/>
                <w:szCs w:val="19"/>
                <w:color w:val="auto"/>
              </w:rPr>
            </w:pPr>
          </w:p>
        </w:tc>
      </w:tr>
    </w:tbl>
    <w:p>
      <w:pPr>
        <w:sectPr>
          <w:pgSz w:w="11900" w:h="16838" w:orient="portrait"/>
          <w:cols w:equalWidth="0" w:num="1">
            <w:col w:w="11420"/>
          </w:cols>
          <w:pgMar w:left="240" w:top="108"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shares of our common stock that will be outstanding immediately after the offering is based on 31,120,465 shares outstanding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 Unless we specifically state otherwise, the share information in this prospectus supplement excludes:</w:t>
      </w:r>
    </w:p>
    <w:p>
      <w:pPr>
        <w:spacing w:after="0" w:line="219" w:lineRule="exact"/>
        <w:rPr>
          <w:sz w:val="20"/>
          <w:szCs w:val="20"/>
          <w:color w:val="auto"/>
        </w:rPr>
      </w:pPr>
    </w:p>
    <w:p>
      <w:pPr>
        <w:ind w:left="660" w:hanging="328"/>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6,628,588 shares of common stock reserved for issuance upon exercise of outstanding stock options under our Amended and Restated 2016 Stock Incentive Plan, with a weighted average exercise price of $1.48 per share;</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2,607,162 shares of common stock reserved for future issuance in connection with future grants under our Amended and Restated 2016 Stock Incentive Plan;</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21,499,955 shares of common stock that have been reserved for issuance upon exercise of outstanding warrants, with a weighted average exercise price of $2.54 per share;</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Stock (</w:t>
      </w:r>
      <w:r>
        <w:rPr>
          <w:rFonts w:ascii="Arial" w:cs="Arial" w:eastAsia="Arial" w:hAnsi="Arial"/>
          <w:sz w:val="16"/>
          <w:szCs w:val="16"/>
          <w:i w:val="1"/>
          <w:iCs w:val="1"/>
          <w:color w:val="auto"/>
        </w:rPr>
        <w:t>Series A Preferred</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10% Convertible Preferred Stock (</w:t>
      </w:r>
      <w:r>
        <w:rPr>
          <w:rFonts w:ascii="Arial" w:cs="Arial" w:eastAsia="Arial" w:hAnsi="Arial"/>
          <w:sz w:val="18"/>
          <w:szCs w:val="18"/>
          <w:i w:val="1"/>
          <w:iCs w:val="1"/>
          <w:color w:val="auto"/>
        </w:rPr>
        <w:t>Series</w:t>
      </w:r>
      <w:r>
        <w:rPr>
          <w:rFonts w:ascii="Arial" w:cs="Arial" w:eastAsia="Arial" w:hAnsi="Arial"/>
          <w:sz w:val="18"/>
          <w:szCs w:val="18"/>
          <w:color w:val="auto"/>
        </w:rPr>
        <w:t xml:space="preserve"> </w:t>
      </w:r>
      <w:r>
        <w:rPr>
          <w:rFonts w:ascii="Arial" w:cs="Arial" w:eastAsia="Arial" w:hAnsi="Arial"/>
          <w:sz w:val="18"/>
          <w:szCs w:val="18"/>
          <w:i w:val="1"/>
          <w:iCs w:val="1"/>
          <w:color w:val="auto"/>
        </w:rPr>
        <w:t>B Preferred</w:t>
      </w:r>
      <w:r>
        <w:rPr>
          <w:rFonts w:ascii="Arial" w:cs="Arial" w:eastAsia="Arial" w:hAnsi="Arial"/>
          <w:sz w:val="18"/>
          <w:szCs w:val="18"/>
          <w:color w:val="auto"/>
        </w:rPr>
        <w:t>) and 2,344,720 shares of common stock reserved for issuance as payment of accrued dividends on outstanding shares of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and</w:t>
      </w:r>
    </w:p>
    <w:p>
      <w:pPr>
        <w:spacing w:after="0" w:line="194"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Convertible Preferred Stock (</w:t>
      </w:r>
      <w:r>
        <w:rPr>
          <w:rFonts w:ascii="Arial" w:cs="Arial" w:eastAsia="Arial" w:hAnsi="Arial"/>
          <w:sz w:val="18"/>
          <w:szCs w:val="18"/>
          <w:i w:val="1"/>
          <w:iCs w:val="1"/>
          <w:color w:val="auto"/>
        </w:rPr>
        <w:t>Series C</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w:t>
      </w:r>
    </w:p>
    <w:p>
      <w:pPr>
        <w:spacing w:after="0" w:line="186"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Unless otherwise indicated, this prospectus supplement reflects and assumes no exercise by the underwriters of their option to purchase additional shares of common stock and no exercise and/or conversion of any outstanding derivative securities as of February 25, 2019.</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Our Annual Report on Form 10-K for the fiscal year ended March 31, 2018 and our Quarterly Report on Form 10-Q for the quarters ended June 30, 2018, September 30, 2018 and December 31, 2018, which are incorporated by reference into this prospectus supplement,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11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w:t>
      </w:r>
      <w:r>
        <w:rPr>
          <w:rFonts w:ascii="Arial" w:cs="Arial" w:eastAsia="Arial" w:hAnsi="Arial"/>
          <w:sz w:val="16"/>
          <w:szCs w:val="16"/>
          <w:i w:val="1"/>
          <w:iCs w:val="1"/>
          <w:color w:val="auto"/>
        </w:rPr>
        <w:t>Use of</w:t>
      </w:r>
      <w:r>
        <w:rPr>
          <w:rFonts w:ascii="Arial" w:cs="Arial" w:eastAsia="Arial" w:hAnsi="Arial"/>
          <w:sz w:val="16"/>
          <w:szCs w:val="16"/>
          <w:color w:val="auto"/>
        </w:rPr>
        <w:t xml:space="preserve"> </w:t>
      </w:r>
      <w:r>
        <w:rPr>
          <w:rFonts w:ascii="Arial" w:cs="Arial" w:eastAsia="Arial" w:hAnsi="Arial"/>
          <w:sz w:val="16"/>
          <w:szCs w:val="16"/>
          <w:i w:val="1"/>
          <w:iCs w:val="1"/>
          <w:color w:val="auto"/>
        </w:rPr>
        <w:t>Proceeds</w:t>
      </w:r>
      <w:r>
        <w:rPr>
          <w:rFonts w:ascii="Arial" w:cs="Arial" w:eastAsia="Arial" w:hAnsi="Arial"/>
          <w:sz w:val="16"/>
          <w:szCs w:val="16"/>
          <w:color w:val="auto"/>
        </w:rPr>
        <w:t>,” and you will not have the opportunity as part of your investment decision to assess whether the net proceeds are being used appropriately. Because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0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price per share of our common stock being offered may be higher than the net tangible book value per share of our outstanding common stock prior to this offering. Based on the public offering price of $1.00 per share and our net tangible book value as of December 31, 2018 of approximately $0.05 per share, if you purchase shares of common stock in this offering, you will suffer immediate and substantial dilution of $0.74 per share, representing the difference between the public offering price per share and the net tangible book value per share of our common stock as of December 31, 2018 after giving effect to this offering. See the section entitled “</w:t>
      </w:r>
      <w:r>
        <w:rPr>
          <w:rFonts w:ascii="Arial" w:cs="Arial" w:eastAsia="Arial" w:hAnsi="Arial"/>
          <w:sz w:val="16"/>
          <w:szCs w:val="16"/>
          <w:i w:val="1"/>
          <w:iCs w:val="1"/>
          <w:color w:val="auto"/>
        </w:rPr>
        <w:t>Dilution</w:t>
      </w:r>
      <w:r>
        <w:rPr>
          <w:rFonts w:ascii="Arial" w:cs="Arial" w:eastAsia="Arial" w:hAnsi="Arial"/>
          <w:sz w:val="16"/>
          <w:szCs w:val="16"/>
          <w:color w:val="auto"/>
        </w:rPr>
        <w:t>” below for a more detailed discussion of the dilution you will incur if you purchase common stock in this offering.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expect that significant additional capital will be needed in the future to continue our planned operations. To the extent that we raise additional capital by issuing equity securities, our existing shareholders’ ownership may experience substantial dilution, and the terms of these securities may include liquidation or other preferences that adversely affect your rights as a common shareholder.</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price of our common stock</w:t>
      </w:r>
      <w:r>
        <w:rPr>
          <w:rFonts w:ascii="Arial" w:cs="Arial" w:eastAsia="Arial" w:hAnsi="Arial"/>
          <w:sz w:val="18"/>
          <w:szCs w:val="18"/>
          <w:b w:val="1"/>
          <w:bCs w:val="1"/>
          <w:color w:val="auto"/>
        </w:rPr>
        <w:t>.</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February 25, 2019, we have 31,120,465 shares of common stock outstanding, as well as outstanding options to purchase an aggregate of 6,628,588 shares of our common stock at a weighted average exercise price of $1.48 per share, up to 4,228,252 shares of common stock issuable upon conversion of outstanding shares of our preferred stock, up to 2,344,720 shares of common stock reserved for issuance as payment of accrued dividends on outstanding shares of preferred stock, and outstanding warrants to purchase up to an aggregate of 21,499,955 shares of our common stock at a weighted average exercise price of $2.54 per share. The exercise and/or conversion of such outstanding derivative securities may result in further dilution of your investment.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intend to retain future earnings, if any, for future operations and expansion of our business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common stock unless you sell our common stock for a price greater than that which you paid for it.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This offering could result in a significant limitation on our ability to utilize our net operating loss carryforwards to offset future taxable income.</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As of March 31, 2018, we had federal and state net operating loss carryforwards, or NOLs, of approximately $88.5 million and $63.5 million, respectively, which begin to expire in our fiscal year ending March 31, 2019.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stock (for Code Section 382 purposes) of more than 50% within a three-year period. Any such limitation may significantly reduce our ability to utilize our net operating loss carryforwards and tax credit carryforwards before they expire and could have a material adverse effect on our results of operations in future years. We have not assessed whether such an ownership change has previously occurred and it is possible that this offering could result in an ownership change.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currently have research coverage by three securities and industry analysts.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prospectus supplement contains forward-looking statements that involve substantial risks and uncertainties. All statements contained in this prospectus supplement and the accompanying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any of our current product candidates;</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the NIMH,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success of competing products and product candidates in development by others that are or become available for the indications that we are pursuing;</w:t>
      </w:r>
    </w:p>
    <w:p>
      <w:pPr>
        <w:spacing w:after="0" w:line="259" w:lineRule="exact"/>
        <w:rPr>
          <w:rFonts w:ascii="Arial" w:cs="Arial" w:eastAsia="Arial" w:hAnsi="Arial"/>
          <w:sz w:val="15"/>
          <w:szCs w:val="15"/>
          <w:color w:val="auto"/>
        </w:rPr>
      </w:pPr>
    </w:p>
    <w:p>
      <w:pPr>
        <w:ind w:left="66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fiscal year ended March 31, 2018 and subsequent Quarterly Reports on Form 10-Q, which risk factors are incorporated herein by reference.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supplement, as well as certain information incorporated by reference into this prospectus supplement and the accompanying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prospectus supplement and the accompanying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estimate that the net proceeds to us from this offering will be approximately $8.98 million, after deducting the underwriting discounts and commissions and estimated offering expenses payable by us.</w:t>
      </w:r>
    </w:p>
    <w:p>
      <w:pPr>
        <w:spacing w:after="0" w:line="186"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We currently intend to use the net proceeds from the sale of the shares of common stock offered by this prospectus supplement to fund continued development of our CNS pipeline programs, and for general research and development, working capital and general corporate purposes.</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OUR COMMON STOCK</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was approved for listing and has traded since May 11, 2016 on the Nasdaq Capital Market under the symbol “VTGN”. From June 21, 2011 through May 10, 2016, our common stock traded on the OTC Marketplace (</w:t>
      </w:r>
      <w:r>
        <w:rPr>
          <w:rFonts w:ascii="Arial" w:cs="Arial" w:eastAsia="Arial" w:hAnsi="Arial"/>
          <w:sz w:val="18"/>
          <w:szCs w:val="18"/>
          <w:i w:val="1"/>
          <w:iCs w:val="1"/>
          <w:color w:val="auto"/>
        </w:rPr>
        <w:t>OTCQB</w:t>
      </w:r>
      <w:r>
        <w:rPr>
          <w:rFonts w:ascii="Arial" w:cs="Arial" w:eastAsia="Arial" w:hAnsi="Arial"/>
          <w:sz w:val="18"/>
          <w:szCs w:val="18"/>
          <w:color w:val="auto"/>
        </w:rPr>
        <w:t>), under the symbol “VSTA”. There was no established trading market for our common stock prior to June 21, 2011.</w:t>
      </w:r>
    </w:p>
    <w:p>
      <w:pPr>
        <w:spacing w:after="0" w:line="194"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Shown below is the range of high and low sales prices for our common stock for the periods indicated as reported by the Nasdaq Capital Market. The market quotations reflect inter-dealer prices, without retail mark-up, mark-down or commissions and may not necessarily represent actual transactions.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25, 2019, the last reported sale price of our common stock was $1.36 per share.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Fiscal 2019</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Fiscal 2018</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Fiscal 2017</w:t>
            </w:r>
          </w:p>
        </w:tc>
        <w:tc>
          <w:tcPr>
            <w:tcW w:w="100" w:type="dxa"/>
            <w:vAlign w:val="bottom"/>
            <w:gridSpan w:val="2"/>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Low</w:t>
            </w:r>
          </w:p>
        </w:tc>
        <w:tc>
          <w:tcPr>
            <w:tcW w:w="100" w:type="dxa"/>
            <w:vAlign w:val="bottom"/>
            <w:gridSpan w:val="2"/>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ending June 30</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1.76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0.81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2.40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9.00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Second Quarter, ending September 30</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440"/>
              <w:spacing w:after="0"/>
              <w:rPr>
                <w:sz w:val="20"/>
                <w:szCs w:val="20"/>
                <w:color w:val="auto"/>
              </w:rPr>
            </w:pPr>
            <w:r>
              <w:rPr>
                <w:rFonts w:ascii="Arial" w:cs="Arial" w:eastAsia="Arial" w:hAnsi="Arial"/>
                <w:sz w:val="18"/>
                <w:szCs w:val="18"/>
                <w:color w:val="auto"/>
                <w:w w:val="79"/>
              </w:rPr>
              <w:t>1.53</w:t>
            </w:r>
          </w:p>
        </w:tc>
        <w:tc>
          <w:tcPr>
            <w:tcW w:w="1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ind w:left="420"/>
              <w:spacing w:after="0"/>
              <w:rPr>
                <w:sz w:val="20"/>
                <w:szCs w:val="20"/>
                <w:color w:val="auto"/>
              </w:rPr>
            </w:pPr>
            <w:r>
              <w:rPr>
                <w:rFonts w:ascii="Arial" w:cs="Arial" w:eastAsia="Arial" w:hAnsi="Arial"/>
                <w:sz w:val="18"/>
                <w:szCs w:val="18"/>
                <w:color w:val="auto"/>
                <w:w w:val="85"/>
              </w:rPr>
              <w:t>1.20</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420"/>
              <w:spacing w:after="0"/>
              <w:rPr>
                <w:sz w:val="20"/>
                <w:szCs w:val="20"/>
                <w:color w:val="auto"/>
              </w:rPr>
            </w:pPr>
            <w:r>
              <w:rPr>
                <w:rFonts w:ascii="Arial" w:cs="Arial" w:eastAsia="Arial" w:hAnsi="Arial"/>
                <w:sz w:val="18"/>
                <w:szCs w:val="18"/>
                <w:color w:val="auto"/>
                <w:w w:val="79"/>
              </w:rPr>
              <w:t>2.05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ind w:left="420"/>
              <w:spacing w:after="0"/>
              <w:rPr>
                <w:sz w:val="20"/>
                <w:szCs w:val="20"/>
                <w:color w:val="auto"/>
              </w:rPr>
            </w:pPr>
            <w:r>
              <w:rPr>
                <w:rFonts w:ascii="Arial" w:cs="Arial" w:eastAsia="Arial" w:hAnsi="Arial"/>
                <w:sz w:val="18"/>
                <w:szCs w:val="18"/>
                <w:color w:val="auto"/>
                <w:w w:val="85"/>
              </w:rPr>
              <w:t>4.69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ending December 31</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2.44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1.26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2.65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4.50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Fourth Quarter, ending March 31</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1.86*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1.36*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420"/>
              <w:spacing w:after="0"/>
              <w:rPr>
                <w:sz w:val="20"/>
                <w:szCs w:val="20"/>
                <w:color w:val="auto"/>
              </w:rPr>
            </w:pPr>
            <w:r>
              <w:rPr>
                <w:rFonts w:ascii="Arial" w:cs="Arial" w:eastAsia="Arial" w:hAnsi="Arial"/>
                <w:sz w:val="18"/>
                <w:szCs w:val="18"/>
                <w:color w:val="auto"/>
                <w:w w:val="79"/>
              </w:rPr>
              <w:t>1.79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ind w:left="420"/>
              <w:spacing w:after="0"/>
              <w:rPr>
                <w:sz w:val="20"/>
                <w:szCs w:val="20"/>
                <w:color w:val="auto"/>
              </w:rPr>
            </w:pPr>
            <w:r>
              <w:rPr>
                <w:rFonts w:ascii="Arial" w:cs="Arial" w:eastAsia="Arial" w:hAnsi="Arial"/>
                <w:sz w:val="18"/>
                <w:szCs w:val="18"/>
                <w:color w:val="auto"/>
                <w:w w:val="85"/>
              </w:rPr>
              <w:t>3.90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Through February 25,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Covenants in certain of our debt agreements prohibit us from paying dividends while the debt remains outstanding. Our Series B Preferred accrues dividends at a rate of 10% per annum, which dividends are payable solely in unregistered shares of our common stock at the time the Series B Preferred is converted into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2018:</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 pro forma basis giving effect to the sale and issuance by us of 10,000,000 shares of common stock in this offering, at a public offering price of $1.00 per share, and after deducting the underwriting discount and estimated offering expenses payable by us.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2018</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(amounts in dollars and in thousands, except share and per share amounts)</w:t>
            </w:r>
          </w:p>
        </w:tc>
        <w:tc>
          <w:tcPr>
            <w:tcW w:w="200" w:type="dxa"/>
            <w:vAlign w:val="bottom"/>
          </w:tcPr>
          <w:p>
            <w:pPr>
              <w:spacing w:after="0"/>
              <w:rPr>
                <w:sz w:val="21"/>
                <w:szCs w:val="21"/>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Actual</w:t>
            </w:r>
          </w:p>
        </w:tc>
        <w:tc>
          <w:tcPr>
            <w:tcW w:w="1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Pro forma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Preferred stock, $0.001 par value, 10,000,000 shares authorized: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500,000 shares authorized and outstanding, actual and pro forma</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Series B Preferred, 4,000,000 shares authorized and 1,160,240 shares outstanding, actual and pro forma</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Series C Preferred, 3,000,000 shares authorized and 2,318,012 shares outstanding, actual and pro forma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2"/>
              </w:rPr>
              <w:t>Common stock, $0.001 par value, 100,000,000 shares authorized; 31,204,380 shares issued, actual;41,204,380 shares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issued, pro forma</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Treasury stock, at cost, 135,665 shares, actual and pro forma</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(175,410)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capitalization</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outstanding in the table above excludes the following shares as of December 31, 2018:</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6,410,338 shares of common stock issuable upon exercise of outstanding stock options with a weighted average exercise price of $1.47 per share;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21,499,955 shares of common stock issuable upon exercise of outstanding warrants with a weighted average exercise price of $2.54 per share;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750,000 shares of common stock issuable upon conversion of all outstanding shares of our Series A Preferred;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1,160,240 shares of common stock issuable upon conversion of all outstanding shares of our Series B Preferred and 2,344,720 shares of common stock reserved for issuance as payment of accrued dividends on outstanding shares of Series B Preferred;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2,318,012 shares of common stock issuable upon conversion of all outstanding shares of our Series C Preferred;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2,877,162 shares of common stock reserved for future issuance in connection with future grants under our Amended and Restated 2016 Stock Incentive Plan.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If you purchase shares of our common stock in this offering, you will experience dilution to the extent of the difference between the public offering price per share and our as adjusted net tangible book value per share immediately after this offering.</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tangible book value is total assets minus the sum of liabilities and intangible assets. Net tangible book value per share is net tangible book value divided by the total number of shares of common stock outstanding. As of December 31, 2018, our net tangible book value was approximately $1.693 million, or approximately $0.05 per share.</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After giving effect to our receipt of approximately $8.977 million of estimated net proceeds, after deducting underwriting discounts and commissions and estimated offering expenses payable by us, from our sale of 10,000,000 shares of common stock in this offering at a public offering price of $1.00 per share, our pro forma net tangible book value as of December 31, 2018, would have been approximately $10.680 million, or $0.26 per share. This amount represents an immediate increase in net tangible book value of $0.21 per share of our common stock to existing stockholders and an immediate dilution in net tangible book value of $0.74 per share of our common stock to new investors purchasing shares of common stock in this offering.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560" w:type="dxa"/>
            <w:vAlign w:val="bottom"/>
          </w:tcPr>
          <w:p>
            <w:pPr>
              <w:ind w:left="68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Net tangible book value per share as of December 31, 2018</w:t>
            </w:r>
          </w:p>
        </w:tc>
        <w:tc>
          <w:tcPr>
            <w:tcW w:w="1700" w:type="dxa"/>
            <w:vAlign w:val="bottom"/>
          </w:tcPr>
          <w:p>
            <w:pPr>
              <w:ind w:left="1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92"/>
              <w:spacing w:after="0"/>
              <w:rPr>
                <w:sz w:val="20"/>
                <w:szCs w:val="20"/>
                <w:color w:val="auto"/>
              </w:rPr>
            </w:pPr>
            <w:r>
              <w:rPr>
                <w:rFonts w:ascii="Arial" w:cs="Arial" w:eastAsia="Arial" w:hAnsi="Arial"/>
                <w:sz w:val="18"/>
                <w:szCs w:val="18"/>
                <w:color w:val="auto"/>
              </w:rPr>
              <w:t>0.05</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net tangible book value per share after this offering</w:t>
            </w:r>
          </w:p>
        </w:tc>
        <w:tc>
          <w:tcPr>
            <w:tcW w:w="17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0.21</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17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S</w:t>
            </w:r>
          </w:p>
        </w:tc>
        <w:tc>
          <w:tcPr>
            <w:tcW w:w="13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 in this offering</w:t>
            </w:r>
          </w:p>
        </w:tc>
        <w:tc>
          <w:tcPr>
            <w:tcW w:w="17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underwriters exercise their option to purchase additional shares in full, the pro forma net tangible book value would increase to approximately $0.28 per share, representing an increase to existing stockholders of approximately $0.23 per share, and there would be an immediate dilution of approximately $0.72 per share to new investors.</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foregoing discussion and table do not take into account further dilution to new investors that could occur upon the exercise of outstanding options or warrants having a per share exercise price less than the public offering price in this offering. To the extent that we raise additional capital through the sale of equity or convertible debt securities after this offering, the issuance of those securities could result in further dilution to our stockholders.</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table and discussion above are based on 31,068,715 shares of our common stock outstanding as of December 31, 2018 (actual), and excludes as of that date the following:</w:t>
      </w:r>
    </w:p>
    <w:p>
      <w:pPr>
        <w:spacing w:after="0" w:line="18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6,410,338 shares of common stock issuable upon exercise of outstanding stock options with a weighted average exercise price of $1.47 per share;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21,499,955 shares of common stock issuable upon exercise of outstanding warrants with a weighted average exercise price of $2.54 per share;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750,000 shares of common stock issuable upon conversion of all outstanding shares of our Series A Preferred;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1,160,240 shares of common stock issuable upon conversion of all outstanding shares of our Series B Preferred and 2,344,720 shares of common stock reserved for issuance as payment of accrued dividends on outstanding shares of Series B Preferred;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2,318,012 shares of common stock issuable upon conversion of all outstanding shares of our Series C Preferred;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2,877,162 shares of common stock reserved for future issuance in connection with future grants under our Amended and Restated 2016 Stock Incentive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following is a general discussion of the material U.S. federal income tax consequences applicable to non-U.S. holders (as defined herein) with respect to their purchase, ownership and disposition of shares of our common stock issued pursuant to this offering. All prospective non-U.S. holders of our common stock should consult their own tax advisors with respect to the U.S. federal, state, local and non-U.S. tax consequences of the purchase, ownership and disposition of our common stock.</w:t>
      </w:r>
    </w:p>
    <w:p>
      <w:pPr>
        <w:spacing w:after="0" w:line="197"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In general, a non-U.S. holder means a beneficial owner of our common stock (other than a partnership or an entity or arrangement treated as a partnership for U.S. federal income tax purposes) that is not, for U.S. federal income tax purposes:</w:t>
      </w:r>
    </w:p>
    <w:p>
      <w:pPr>
        <w:spacing w:after="0" w:line="18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660" w:right="20" w:hanging="328"/>
        <w:spacing w:after="0" w:line="370"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 trust if (i) a U.S. court can exercise primary supervision over the trust’s administration and one or more U.S. persons have the authority to control all of the trust’s substantial decisions or (ii) the trust has a valid election in effect under applicable U.S. Treasury Regulations to be treated as a U.S. person.</w:t>
      </w:r>
    </w:p>
    <w:p>
      <w:pPr>
        <w:spacing w:after="0" w:line="11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This discussion is based on current provisions of the U.S.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existing U.S. Treasury Regulations promulgated thereunder, published administrative pronouncements and rulings of the U.S. Internal Revenue Service, which we refer to as the IRS, and judicial decisions, all as in effect as of the date of this prospectus supplement. These authorities are subject to change and to differing interpretation, possibly with retroactive effect. Any change or differing interpretation could alter the tax consequences to non-U.S. holders described in this discussion.</w:t>
      </w:r>
    </w:p>
    <w:p>
      <w:pPr>
        <w:spacing w:after="0" w:line="16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5"/>
          <w:szCs w:val="15"/>
          <w:color w:val="auto"/>
        </w:rPr>
        <w:t>We assume in this discussion that a non-U.S. holder holds shares of our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nor does it address any estate or gift tax consequences, or any aspects of U.S. state, local or non-U.S. taxes. This discussion also does not address consequences relevant to non-U.S. holders subject to special tax rules, such as holders that own, or are deemed to own, more than 5% of our capital stock (except to the extent specifically set forth below), corporations that accumulate earnings to avoid U.S. federal income tax, tax-exempt or governmental organizations, banks, financial institutions, insurance companies, brokers, dealers or traders in securities, commodities or currencies, tax-qualified retirement plans, holders subject to the alternative minimum tax or the Medicare contribution tax, holders holding our common stock as part of a hedge, straddle or other risk reduction strategy, conversion transaction, synthetic security or other integrated investment, holders deemed to sell our common stock under the constructive sale provisions of the Code, controlled foreign corporations, passive foreign investment companies, accrual method taxpayers subject to special tax accounting rules under Section 451(b) of the Code, and U.S. expatriates and certain former U.S. citizens or long-term residents.</w:t>
      </w:r>
    </w:p>
    <w:p>
      <w:pPr>
        <w:spacing w:after="0" w:line="16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addition, this discussion does not address the tax treatment of partnerships (or entities or arrangements that are treated as partnerships for U.S. federal income tax purposes) or persons that hold their common stock through such partnerships. If a partnership, including any entity or arrangement treated as a partnership for U.S. federal income tax purposes, holds shares of our common stock, the U.S. federal income tax treatment of a partner in such partnership will generally depend upon the status of the partner, the activities of the partnership and certain determinations made at the partner level. Such partners and partnerships should consult their own tax advisors regarding the tax consequences of the purchase, ownership and disposition of our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can be no assurance that a court or the IRS will not challenge one or more of the tax consequences described herein, and we have not obtained, nor do we intend to obtain, a ruling with respect to the U.S. federal income tax consequences to a non-U.S. holder of the purchase, ownership or disposition of our common stock.</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All prospective non-U.S. holders of our common stock are urged to consult their own tax advisors with respect to the U.S. federal income tax laws to their particular situation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described in the section entitled “</w:t>
      </w:r>
      <w:r>
        <w:rPr>
          <w:rFonts w:ascii="Arial" w:cs="Arial" w:eastAsia="Arial" w:hAnsi="Arial"/>
          <w:sz w:val="16"/>
          <w:szCs w:val="16"/>
          <w:i w:val="1"/>
          <w:iCs w:val="1"/>
          <w:color w:val="auto"/>
        </w:rPr>
        <w:t>Dividend Policy</w:t>
      </w:r>
      <w:r>
        <w:rPr>
          <w:rFonts w:ascii="Arial" w:cs="Arial" w:eastAsia="Arial" w:hAnsi="Arial"/>
          <w:sz w:val="16"/>
          <w:szCs w:val="16"/>
          <w:color w:val="auto"/>
        </w:rPr>
        <w:t>,” we do not expect to pay any cash dividends in the foreseeable future. However, if we do make distributions of cash or property on our common stock, such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return of capital and first be applied against and reduce a non-U.S. holder’s adjusted tax basis in its common stock, but not below zero. Any remaining excess will be treated as capital gain from the sale or exchange of our common stock subject to the tax treatment described below in “Gain on Sale, Exchange or Other Disposition of Our Common Stock.” Any such distribution will also be subject to the discussion below under the headings “Foreign Accounts” and “Backup Withholding and Information Reporting.”</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discussions below on effectively connected income, dividends paid to a non-U.S. holder of our common stock will be subject to U.S. federal withholding at a 30% rate of the gross amount of the dividend (or such lower rate as may be specified by an applicable income tax treaty between the United States and a non-U.S. holder’s country of residence).</w:t>
      </w:r>
    </w:p>
    <w:p>
      <w:pPr>
        <w:spacing w:after="0" w:line="1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dividends paid to a non-U.S. holder are effectively connected with a trade or business conducted by a non-U.S. holder within the United States (and, if an applicable income tax treaty so provides, that are attributable to a permanent establishment or a fixed base maintained by the non-U.S. holder within the United States), the non-U.S. holder will be exempt from the 30% U.S. federal withholding tax if the non-U.S. holder satisfies applicable certification and disclosure requirements. However, such U.S. effectively connected income, net of specified deductions and credits, will be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a non-U.S. holder’s country of residence) on a portion of its effectively connected earnings and profits for the taxable year, as adjusted for certain items.</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To claim a reduction or exemption from withholding, a non-U.S. holder of our common stock generally will be required to provide (a) a properly executed IRS Form W-8BEN (in the case of individuals) or W-8BEN-E (in the case of entities), or successor form, and satisfy applicable certification and other requirements to claim the benefit of an applicable income tax treaty between the United States and such holder’s country of residence, or (b) a properly executed IRS Form W-8ECI stating that dividends are not subject to withholding because they are effectively connected with such non-U.S. holder’s conduct of a trade or business within the United States. The tax forms referred to above must be provided to us or our paying agent prior to the payment of dividends and must be updated periodically. In the case of a non-U.S. holder that is an entity, Treasury Regulations and any relevant tax treaty provide rules to determine whether, for purposes of determining the applicability of an income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A non-U.S. holder that is eligible for a reduced rate of U.S. federal withholding tax under an income tax treaty may obtain a refund or credit of any excess amounts withheld by timely filing an appropriate claim for refund with the IRS. Non-U.S. holders are urged to consult their tax advisors regarding their entitlement to benefits under a relevant income tax treaty.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Disposition of Our Common Stock</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discussion below regarding backup withholding and the discussion under the heading “Foreign Accounts,” in general, a non-U.S. holder will not be subject to any U.S. federal income tax on any gain realized upon such non-U.S. holder’s sale, exchange or other taxable disposition of shares of our common stock unless:</w:t>
      </w:r>
    </w:p>
    <w:p>
      <w:pPr>
        <w:spacing w:after="0" w:line="194" w:lineRule="exact"/>
        <w:rPr>
          <w:sz w:val="20"/>
          <w:szCs w:val="20"/>
          <w:color w:val="auto"/>
        </w:rPr>
      </w:pPr>
    </w:p>
    <w:p>
      <w:pPr>
        <w:jc w:val="both"/>
        <w:ind w:left="660" w:hanging="328"/>
        <w:spacing w:after="0" w:line="294"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on a net income basis at the graduated U.S. federal income tax rates applicable to “United States persons” (as defined in the Code) and, if the non-U.S. holder is a foreign corporation, the branch profits tax at a rate of 30% (or such lower rate specified by an applicable income tax treaty) on such effectively connected gain, as adjusted for certain items, may also apply;</w:t>
      </w:r>
    </w:p>
    <w:p>
      <w:pPr>
        <w:spacing w:after="0" w:line="169"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U.S. federal income tax (or such lower rate as may be specified by an applicable income tax treaty) on the net gain derived from the disposition, which may be offset by U.S. source capital losses of the non-U.S. holder, if any (even though the individual is not considered a resident of the United States), provided the non-U.S. holder has timely filed U.S. federal income tax returns with respect to such losses; or</w:t>
      </w:r>
    </w:p>
    <w:p>
      <w:pPr>
        <w:spacing w:after="0" w:line="196" w:lineRule="exact"/>
        <w:rPr>
          <w:rFonts w:ascii="Arial" w:cs="Arial" w:eastAsia="Arial" w:hAnsi="Arial"/>
          <w:sz w:val="18"/>
          <w:szCs w:val="18"/>
          <w:color w:val="auto"/>
        </w:rPr>
      </w:pPr>
    </w:p>
    <w:p>
      <w:pPr>
        <w:jc w:val="both"/>
        <w:ind w:left="660" w:hanging="328"/>
        <w:spacing w:after="0" w:line="28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common stock constitutes U.S. real property interest because we are, or have been, at any time during the five-year period preceding such disposition (or the non-U.S. holder’s holding period, if shorter) a U.S. real property holding corporation for U.S. federal income tax purposes. Generally, a corporation is a U.S. real property holding corporation only if the fair market value of its U.S. real property interests equals or exceeds 50% of the sum of the fair market value of its worldwide real property interests plus the fair market value of its other assets used or held for use in a trade or business. We do not believe that we are, or have been, a U.S. real property holding corporation, or that we are likely to become one in the future. However, because the determination of whether we are a U.S. real property holding corporation depends on the fair market value of our U.S. real property relative to the fair market value of our other business assets, there can be no assurance that we will not become a U.S. real property holding corporation in the future. Even if we are or become a U.S. real property holding corporation, provided that our common stock is regularly traded, as defined by applicable Treasury Regulations, on an established securities market, our common stock will be treated as a U.S. real property interest only with respect to a non-U.S. holder that holds more than 5% of our outstanding common stock, actually or constructively, during the shorter of the 5-year period ending on the date of the disposition or the period that the non-U.S. holder held our common stock. In such case, such non-U.S. holder generally will be taxed on its net gain derived from the disposition at the graduated U.S. federal income tax rates applicable to “United States persons” (as defined in the Code). No assurance can be provided that our common stock will continue to be regularly traded on an established securities market for purposes of the rules described above.</w:t>
      </w:r>
    </w:p>
    <w:p>
      <w:pPr>
        <w:spacing w:after="0" w:line="18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must report annually to the IRS and to each non-U.S. holder the gross amount of the dividends on our common stock paid to such holder and the tax withheld, if any, with respect to such dividends. Non-U.S. holders will have to comply with specific certification procedures to establish that the holder is not a “United States person” (as defined in the Code) in order to avoid backup withholding at the applicable rate (currently at a 24% rate) with respect to dividends on our common stock. A non-U.S. holder generally will not be subject to U.S. backup withholding with respect to payments of dividends on our common stock if such non-U.S. holder certifies its non-U.S. status by providing a valid IRS Form W-8BEN (in the case of individuals) or W-8BEN-E (in the case of entities) or W-8ECI, or successor form, or otherwise establishes an exemption; provided we do not have actual knowledge or reason to know such non-U.S. holder is a “United States person” (as defined in the Code).</w:t>
      </w:r>
    </w:p>
    <w:p>
      <w:pPr>
        <w:spacing w:after="0" w:line="17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Information reporting and backup withholding will generally apply to the proceeds of a disposition of our common stock by a non-U.S. holder effected by or through the U.S. office of any broker, U.S. or foreign, unless the non-U.S. holder certifies its status as a non-U.S. holder as described above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non-U.S.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Copies of information returns may be made available under the provisions of a specific treaty or agreement to the tax authorities of the country in which the non-U.S. holder resides or is established.</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w:t>
      </w:r>
      <w:r>
        <w:rPr>
          <w:rFonts w:ascii="Arial" w:cs="Arial" w:eastAsia="Arial" w:hAnsi="Arial"/>
          <w:sz w:val="16"/>
          <w:szCs w:val="16"/>
          <w:i w:val="1"/>
          <w:iCs w:val="1"/>
          <w:color w:val="auto"/>
        </w:rPr>
        <w:t>FATCA</w:t>
      </w:r>
      <w:r>
        <w:rPr>
          <w:rFonts w:ascii="Arial" w:cs="Arial" w:eastAsia="Arial" w:hAnsi="Arial"/>
          <w:sz w:val="16"/>
          <w:szCs w:val="16"/>
          <w:color w:val="auto"/>
        </w:rPr>
        <w:t>)) on certain types of payments made to non-U.S. financial institutions and certain other non-U.S. entities. Specifically, a U.S. federal withholding tax of 30% may be imposed on dividends on, or on the gross proceeds from the sale or other disposition of, our common stock paid to a “foreign financial institution” (as defined in the Code), unless such foreign financial institution enters into an agreement with the U.S. Department of Treasury requiring, among other things, withhold on certain payments and to collect and provide to the U.S. tax authorities substantial information regarding accounts held by certain “specified United States persons” or “United States-owned foreign entities” (each as defined in the Code), or otherwise qualifies for an exemption from these rules. Additionally, U.S. federal withholding tax of 30% may be imposed on dividends on, or on the gross proceeds from the sale or other disposition of, our common stock paid to a “non-financial foreign entity” (as defined in the Code), unless such non-financial foreign entity provides the withholding agent with either a certification that it does not have any “substantial United States owners” (as defined in the Code), provides information regarding each substantial United States owner, or otherwise qualifies for an exemption from these rules. An intergovernmental agreement between the United States and an applicable foreign country where a foreign financial institution is located may modify the requirements described in this paragraph.</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withholding under FATCA described above currently applies to dividends paid on our common stock. While withholding under FATCA would have applied also to payments of gross proceeds from the sale or other disposition of our common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jc w:val="both"/>
        <w:ind w:right="80" w:firstLine="648"/>
        <w:spacing w:after="0" w:line="306" w:lineRule="auto"/>
        <w:rPr>
          <w:sz w:val="20"/>
          <w:szCs w:val="20"/>
          <w:color w:val="auto"/>
        </w:rPr>
      </w:pPr>
      <w:r>
        <w:rPr>
          <w:rFonts w:ascii="Arial" w:cs="Arial" w:eastAsia="Arial" w:hAnsi="Arial"/>
          <w:sz w:val="16"/>
          <w:szCs w:val="16"/>
          <w:color w:val="auto"/>
        </w:rPr>
        <w:t>William Blair &amp; Company, L.L.C.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our common stock set forth opposite its name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85"/>
              </w:rPr>
              <w:t>Numberof Shares</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Pr>
          <w:p>
            <w:pPr>
              <w:spacing w:after="0"/>
              <w:rPr>
                <w:sz w:val="22"/>
                <w:szCs w:val="22"/>
                <w:color w:val="auto"/>
              </w:rPr>
            </w:pPr>
          </w:p>
        </w:tc>
      </w:tr>
    </w:tbl>
    <w:p>
      <w:pPr>
        <w:spacing w:after="0" w:line="23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94" w:lineRule="exact"/>
        <w:rPr>
          <w:sz w:val="20"/>
          <w:szCs w:val="20"/>
          <w:color w:val="auto"/>
        </w:rPr>
      </w:pPr>
    </w:p>
    <w:p>
      <w:pPr>
        <w:jc w:val="both"/>
        <w:ind w:right="80" w:firstLine="648"/>
        <w:spacing w:after="0" w:line="291" w:lineRule="auto"/>
        <w:rPr>
          <w:sz w:val="20"/>
          <w:szCs w:val="20"/>
          <w:color w:val="auto"/>
        </w:rPr>
      </w:pPr>
      <w:r>
        <w:rPr>
          <w:rFonts w:ascii="Arial" w:cs="Arial" w:eastAsia="Arial" w:hAnsi="Arial"/>
          <w:sz w:val="16"/>
          <w:szCs w:val="16"/>
          <w:color w:val="auto"/>
        </w:rPr>
        <w:t>We have granted to the underwriters an option, exercisable for 30 calendar days from the date of this prospectus, to purchase up to 1,500,000 additional shares of common stock at the public offering price listed on the cover of this prospectus supplement, less underwriting discounts and commissions. To the extent the option is exercised, each underwriter will become obligated, subject to certain conditions, to purchase approximately the same percentage of the additional shares of common stock as the number listed next to such underwriter’s name in the table above bears to the total number of shares of common stock listed next to the names of all underwriters in the above table. Any shares issued or sold under the option will be issued and sold on the same terms and conditions as the other shares that are the subject of this offering.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representative has advised us that the underwriters propose initially to offer the shares to the public at the combined public offering price per share set forth on the cover page of this prospectus supplement and to dealers at that price less a concession not in excess of $0.042 per share. After the public offering, the public offering price, concession or any other term of this offering may be changed.</w:t>
      </w:r>
    </w:p>
    <w:p>
      <w:pPr>
        <w:spacing w:after="0" w:line="194" w:lineRule="exact"/>
        <w:rPr>
          <w:sz w:val="20"/>
          <w:szCs w:val="20"/>
          <w:color w:val="auto"/>
        </w:rPr>
      </w:pPr>
    </w:p>
    <w:p>
      <w:pPr>
        <w:jc w:val="both"/>
        <w:ind w:right="80" w:firstLine="648"/>
        <w:spacing w:after="0" w:line="268" w:lineRule="auto"/>
        <w:rPr>
          <w:sz w:val="20"/>
          <w:szCs w:val="20"/>
          <w:color w:val="auto"/>
        </w:rPr>
      </w:pPr>
      <w:r>
        <w:rPr>
          <w:rFonts w:ascii="Arial" w:cs="Arial" w:eastAsia="Arial" w:hAnsi="Arial"/>
          <w:sz w:val="18"/>
          <w:szCs w:val="18"/>
          <w:color w:val="auto"/>
        </w:rPr>
        <w:t>The following table shows the public offering price per share, underwriting discount and proceeds before expenses to us. The information assumes either no exercise or full exercise by the underwriters of their option to purchase additional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Without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2"/>
              </w:rPr>
              <w:t>Per Share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Option</w:t>
            </w:r>
          </w:p>
        </w:tc>
        <w:tc>
          <w:tcPr>
            <w:tcW w:w="28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With Option</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11,500,000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9,300,000</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10,695,000</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right="80" w:firstLine="648"/>
        <w:spacing w:after="0" w:line="291" w:lineRule="auto"/>
        <w:rPr>
          <w:sz w:val="20"/>
          <w:szCs w:val="20"/>
          <w:color w:val="auto"/>
        </w:rPr>
      </w:pPr>
      <w:r>
        <w:rPr>
          <w:rFonts w:ascii="Arial" w:cs="Arial" w:eastAsia="Arial" w:hAnsi="Arial"/>
          <w:sz w:val="16"/>
          <w:szCs w:val="16"/>
          <w:color w:val="auto"/>
        </w:rPr>
        <w:t>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above. If an underwriter defaults, the underwriting agreement provides that the purchase commitments of the non-defaulting underwriters may be increased. The underwriters reserve the right to withdraw, cancel or modify offers to the public and to reject orders in whole or in part.</w:t>
      </w:r>
    </w:p>
    <w:p>
      <w:pPr>
        <w:spacing w:after="0" w:line="174"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$188,200, which includes legal, accounting and printing costs and various other fees. We have agreed to reimburse the representative for certain additional expenses incurred in connection with this offering in an amount up to $125,000.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500"/>
          </w:cols>
          <w:pgMar w:left="240" w:top="131" w:right="15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agreed with the underwriters, subject to customary exceptions not to (i) offer, sell, contract to sell, pledge, grant any option to purchase, make any short sale or otherwise transfer or dispose of, directly or indirectly, or file with the SEC a registration statement under the Act relating to, any shares of our common stock or any securities that are substantially similar to our common stock, including but not limited to any options or warrants to purchase shares of our common stock or any securities that are convertible into or exchangeable for, or that represent the right to receive, common stock or any such substantially similar securities, or publicly disclose the intention to make any offer, sale, pledge, disposition or filing or (ii) enter into any swap or other agreement that transfers, in whole or in part, any of the economic consequences of ownership of our common stock, or any such other securities, whether any such transaction described in clause (i) or (ii) above is to be settled by delivery of our common stock or such other securities, in cash or otherwise, without the prior written consent of the representative.</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directors and executive officers have agreed with the underwriters, subject to customary exceptions, not to (i) 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our common stock or any securities convertible into, exercisable or exchangeable for or that represent the right to receive our common stock (including without limitation, our common stock which may be deemed to be beneficially owned in accordance with the rules and regulations of the SEC and securities which may be issued upon exercise of a stock option or warrant), whether now owned or hereafter acquired, or (ii) enter into any swap or other agreement that transfers, in whole or in part, any of the economic consequences of ownership of our common stock, whether any such transaction is to be settled by delivery of our common stock or such other securities, in cash or otherwise. These restrictions will apply through and including the date that is 90 days after the date of this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“VTGN.”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shares of our common stock. However, the representative may engage in transactions that stabilize the price of our common stock, such as bids or purchases to peg, fix or maintain that price.</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this offering, the underwriters may purchase and sell shares of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this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this option. “Naked” short sales are sales in excess of this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our common stock made by the underwriters in the open market prior to the closing of this offering.</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may also impose penalty bids.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Capital Market, in the over-the-counter market or otherwise.</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this offering, certain of the underwriters or securities dealers may distribute prospectuses by electronic means, such as e-mail. In addition, one or more of the underwriters may facilitate Internet distribution for this offering to certain of their Internet subscription customers. Any such underwriter may allocate a limited number of shares for sale to its online brokerage customers. An electronic prospectus is available on the Internet websites maintained by any such underwriter. Other than the prospectus in electronic format, the information on the websites of any such underwriter is not part of this prospectus supplement and the accompanying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may engage in from time to time in the future certain investment banking and other commercial dealings in the ordinary course of business with us or our affiliates, for which they have received and may continue to receive customary fees and commissions. In addition, we have granted William Blair &amp; Company, L.L.C. the right to participate in any public or private offering of securities by us, subject to certain limitations.</w:t>
      </w:r>
    </w:p>
    <w:p>
      <w:pPr>
        <w:spacing w:after="0" w:line="1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distribution of shares of our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By purchasing shares of our common stock in Canada and accepting delivery of a purchase confirmation, a purchaser is representing to us and the dealer from whom the purchase confirmation is received that:</w:t>
      </w:r>
    </w:p>
    <w:p>
      <w:pPr>
        <w:spacing w:after="0" w:line="186" w:lineRule="exact"/>
        <w:rPr>
          <w:sz w:val="20"/>
          <w:szCs w:val="20"/>
          <w:color w:val="auto"/>
        </w:rPr>
      </w:pPr>
    </w:p>
    <w:p>
      <w:pPr>
        <w:ind w:left="660" w:hanging="328"/>
        <w:spacing w:after="0" w:line="33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purchaser is entitled under applicable provincial securities laws to purchase the shares of common stock without the benefit of a prospectus qualified under those securities laws as it is an “accredited investor” as defined under National Instrument 45-106—Prospectus Exemptions,</w:t>
      </w:r>
    </w:p>
    <w:p>
      <w:pPr>
        <w:spacing w:after="0" w:line="139"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Canadian purchasers are hereby notified that the underwriters are relying on the exemption set out in section 3A.3 or 3A.4, if applicable, of National Instrument 33-105—</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document.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Canadian purchasers of shares of our common stock should consult their own legal and tax advisors with respect to the tax consequences of an investment in the shares of common stock in their particular circumstances and about the eligibility of shares of our common stock for investment by the purchaser under relevant Canadian legislation.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referred to as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9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1300" w:hanging="644"/>
        <w:spacing w:after="0" w:line="29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underwriters for any such offer; or</w:t>
      </w:r>
    </w:p>
    <w:p>
      <w:pPr>
        <w:spacing w:after="0" w:line="15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provided that no such offer of shares of our common stock shall result in a requirement for the publication by us or any underwriter of a prospectus pursuant to Article 3 of the Prospectus Directive.</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Relevant Member State by any measure implementing the Prospectus Directive in that Relevant Member State and the expression “Prospectus Directive” means Directive 2003/71/EC (and amendments thereto, including by Directive 2010/73/EU) and includes any relevant implementing measure in each Relevant Member State.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jc w:val="both"/>
        <w:ind w:left="1300" w:hanging="644"/>
        <w:spacing w:after="0" w:line="298"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it has not made or will not make an offer of shares of our common stock to the public in the United Kingdom within the meaning of section 102B of the Financial Services and Markets Act 2000 (as amended)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Financial Services Authority;</w:t>
      </w:r>
    </w:p>
    <w:p>
      <w:pPr>
        <w:spacing w:after="0" w:line="166" w:lineRule="exact"/>
        <w:rPr>
          <w:rFonts w:ascii="Arial" w:cs="Arial" w:eastAsia="Arial" w:hAnsi="Arial"/>
          <w:sz w:val="16"/>
          <w:szCs w:val="16"/>
          <w:color w:val="auto"/>
        </w:rPr>
      </w:pPr>
    </w:p>
    <w:p>
      <w:pPr>
        <w:jc w:val="both"/>
        <w:ind w:left="1300" w:hanging="644"/>
        <w:spacing w:after="0" w:line="25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us; and</w:t>
      </w:r>
    </w:p>
    <w:p>
      <w:pPr>
        <w:spacing w:after="0" w:line="197" w:lineRule="exact"/>
        <w:rPr>
          <w:rFonts w:ascii="Arial" w:cs="Arial" w:eastAsia="Arial" w:hAnsi="Arial"/>
          <w:sz w:val="18"/>
          <w:szCs w:val="18"/>
          <w:color w:val="auto"/>
        </w:rPr>
      </w:pPr>
    </w:p>
    <w:p>
      <w:pPr>
        <w:ind w:left="1300" w:hanging="644"/>
        <w:spacing w:after="0" w:line="26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securities in, from or otherwise involving the United Kingdom.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 32)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This prospectus has not been, and will not be,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(as defined in Section 4A of the Securities and Futures Act, Chapter 289 of Singapore (the </w:t>
      </w:r>
      <w:r>
        <w:rPr>
          <w:rFonts w:ascii="Arial" w:cs="Arial" w:eastAsia="Arial" w:hAnsi="Arial"/>
          <w:sz w:val="16"/>
          <w:szCs w:val="16"/>
          <w:i w:val="1"/>
          <w:iCs w:val="1"/>
          <w:color w:val="auto"/>
        </w:rPr>
        <w:t>SFA</w:t>
      </w:r>
      <w:r>
        <w:rPr>
          <w:rFonts w:ascii="Arial" w:cs="Arial" w:eastAsia="Arial" w:hAnsi="Arial"/>
          <w:sz w:val="16"/>
          <w:szCs w:val="16"/>
          <w:color w:val="auto"/>
        </w:rPr>
        <w:t>)) pursuant to Section 274 of the SFA, (ii) to a relevant person (as defined in Section 275(2) of the SFA)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the common stock is subscribed or purchased under Section 275 of the SFA by a relevant person which is:</w:t>
      </w:r>
    </w:p>
    <w:p>
      <w:pPr>
        <w:spacing w:after="0" w:line="225" w:lineRule="exact"/>
        <w:rPr>
          <w:sz w:val="20"/>
          <w:szCs w:val="20"/>
          <w:color w:val="auto"/>
        </w:rPr>
      </w:pPr>
    </w:p>
    <w:p>
      <w:pPr>
        <w:ind w:left="1300" w:hanging="644"/>
        <w:spacing w:after="0" w:line="33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9" w:lineRule="exact"/>
        <w:rPr>
          <w:rFonts w:ascii="Arial" w:cs="Arial" w:eastAsia="Arial" w:hAnsi="Arial"/>
          <w:sz w:val="16"/>
          <w:szCs w:val="16"/>
          <w:color w:val="auto"/>
        </w:rPr>
      </w:pPr>
    </w:p>
    <w:p>
      <w:pPr>
        <w:ind w:left="1300" w:hanging="644"/>
        <w:spacing w:after="0" w:line="26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139" w:lineRule="exact"/>
        <w:rPr>
          <w:sz w:val="20"/>
          <w:szCs w:val="20"/>
          <w:color w:val="auto"/>
        </w:rPr>
      </w:pPr>
    </w:p>
    <w:p>
      <w:pPr>
        <w:ind w:left="1300" w:hanging="644"/>
        <w:spacing w:after="0" w:line="268"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 institutional investor pursuant to Section 274 of the SFA or to a relevant person pursuant to Section 275(1) of the SFA, or to any person arising from an offer referred to in Section 275(1A) or Section 276(4)(i)(B) of the SFA;</w:t>
      </w:r>
    </w:p>
    <w:p>
      <w:pPr>
        <w:spacing w:after="0" w:line="18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The shares of common stock may not be publicly offered in Switzerland and will not be listed on the SIX Swiss Exchange (the </w:t>
      </w:r>
      <w:r>
        <w:rPr>
          <w:rFonts w:ascii="Arial" w:cs="Arial" w:eastAsia="Arial" w:hAnsi="Arial"/>
          <w:sz w:val="16"/>
          <w:szCs w:val="16"/>
          <w:i w:val="1"/>
          <w:iCs w:val="1"/>
          <w:color w:val="auto"/>
        </w:rPr>
        <w:t>SIX</w:t>
      </w:r>
      <w:r>
        <w:rPr>
          <w:rFonts w:ascii="Arial" w:cs="Arial" w:eastAsia="Arial" w:hAnsi="Arial"/>
          <w:sz w:val="16"/>
          <w:szCs w:val="16"/>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or the shares of common stock have been or will be filed with or approved by any Swiss regulatory authority. In particular, this document will not be filed with, and the offer of common stock will not be supervised by, the Swiss Financial Market Supervisory Authority FINMA, and the offer of common stock has not been and will not be authorized under the Swiss Federal Act on Collective Investment Schemes, or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common stock.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This offering has not been reviewed, approved or licensed by the Central Bank of the United Arab Emirates (the </w:t>
      </w:r>
      <w:r>
        <w:rPr>
          <w:rFonts w:ascii="Arial" w:cs="Arial" w:eastAsia="Arial" w:hAnsi="Arial"/>
          <w:sz w:val="18"/>
          <w:szCs w:val="18"/>
          <w:i w:val="1"/>
          <w:iCs w:val="1"/>
          <w:color w:val="auto"/>
        </w:rPr>
        <w:t>UAE</w:t>
      </w:r>
      <w:r>
        <w:rPr>
          <w:rFonts w:ascii="Arial" w:cs="Arial" w:eastAsia="Arial" w:hAnsi="Arial"/>
          <w:sz w:val="18"/>
          <w:szCs w:val="18"/>
          <w:color w:val="auto"/>
        </w:rPr>
        <w:t xml:space="preserve">), the Emirates Securities and Commodities Authority of the UAE (the </w:t>
      </w:r>
      <w:r>
        <w:rPr>
          <w:rFonts w:ascii="Arial" w:cs="Arial" w:eastAsia="Arial" w:hAnsi="Arial"/>
          <w:sz w:val="18"/>
          <w:szCs w:val="18"/>
          <w:i w:val="1"/>
          <w:iCs w:val="1"/>
          <w:color w:val="auto"/>
        </w:rPr>
        <w:t>SCA</w:t>
      </w:r>
      <w:r>
        <w:rPr>
          <w:rFonts w:ascii="Arial" w:cs="Arial" w:eastAsia="Arial" w:hAnsi="Arial"/>
          <w:sz w:val="18"/>
          <w:szCs w:val="18"/>
          <w:color w:val="auto"/>
        </w:rPr>
        <w:t xml:space="preserve">) and/or any other relevant licensing authority in the UAE including any licensing authority incorporated under the laws and regulations of any of the free zones established and operating in the territory of the UAE (the </w:t>
      </w:r>
      <w:r>
        <w:rPr>
          <w:rFonts w:ascii="Arial" w:cs="Arial" w:eastAsia="Arial" w:hAnsi="Arial"/>
          <w:sz w:val="18"/>
          <w:szCs w:val="18"/>
          <w:i w:val="1"/>
          <w:iCs w:val="1"/>
          <w:color w:val="auto"/>
        </w:rPr>
        <w:t>Free Zones</w:t>
      </w:r>
      <w:r>
        <w:rPr>
          <w:rFonts w:ascii="Arial" w:cs="Arial" w:eastAsia="Arial" w:hAnsi="Arial"/>
          <w:sz w:val="18"/>
          <w:szCs w:val="18"/>
          <w:color w:val="auto"/>
        </w:rPr>
        <w:t xml:space="preserve">), in particular the Dubai Financial Services Authority (the </w:t>
      </w:r>
      <w:r>
        <w:rPr>
          <w:rFonts w:ascii="Arial" w:cs="Arial" w:eastAsia="Arial" w:hAnsi="Arial"/>
          <w:sz w:val="18"/>
          <w:szCs w:val="18"/>
          <w:i w:val="1"/>
          <w:iCs w:val="1"/>
          <w:color w:val="auto"/>
        </w:rPr>
        <w:t>DFSA</w:t>
      </w:r>
      <w:r>
        <w:rPr>
          <w:rFonts w:ascii="Arial" w:cs="Arial" w:eastAsia="Arial" w:hAnsi="Arial"/>
          <w:sz w:val="18"/>
          <w:szCs w:val="18"/>
          <w:color w:val="auto"/>
        </w:rPr>
        <w:t>), a regulatory authority of the Dubai International Financial Centre the (</w:t>
      </w:r>
      <w:r>
        <w:rPr>
          <w:rFonts w:ascii="Arial" w:cs="Arial" w:eastAsia="Arial" w:hAnsi="Arial"/>
          <w:sz w:val="18"/>
          <w:szCs w:val="18"/>
          <w:i w:val="1"/>
          <w:iCs w:val="1"/>
          <w:color w:val="auto"/>
        </w:rPr>
        <w:t>DIFC</w:t>
      </w:r>
      <w:r>
        <w:rPr>
          <w:rFonts w:ascii="Arial" w:cs="Arial" w:eastAsia="Arial" w:hAnsi="Arial"/>
          <w:sz w:val="18"/>
          <w:szCs w:val="18"/>
          <w:color w:val="auto"/>
        </w:rPr>
        <w:t xml:space="preserve">) or the Financial Services Regulatory Authority (the </w:t>
      </w:r>
      <w:r>
        <w:rPr>
          <w:rFonts w:ascii="Arial" w:cs="Arial" w:eastAsia="Arial" w:hAnsi="Arial"/>
          <w:sz w:val="18"/>
          <w:szCs w:val="18"/>
          <w:i w:val="1"/>
          <w:iCs w:val="1"/>
          <w:color w:val="auto"/>
        </w:rPr>
        <w:t>FSRA</w:t>
      </w:r>
      <w:r>
        <w:rPr>
          <w:rFonts w:ascii="Arial" w:cs="Arial" w:eastAsia="Arial" w:hAnsi="Arial"/>
          <w:sz w:val="18"/>
          <w:szCs w:val="18"/>
          <w:color w:val="auto"/>
        </w:rPr>
        <w:t>), a regulatory authority of Abu Dhabi Global Market (</w:t>
      </w:r>
      <w:r>
        <w:rPr>
          <w:rFonts w:ascii="Arial" w:cs="Arial" w:eastAsia="Arial" w:hAnsi="Arial"/>
          <w:sz w:val="18"/>
          <w:szCs w:val="18"/>
          <w:i w:val="1"/>
          <w:iCs w:val="1"/>
          <w:color w:val="auto"/>
        </w:rPr>
        <w:t>ADGM</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offering is not intended to, and does not, constitute an offer, sale or delivery of shares or other securities under the laws of the UAE. The common stock has not been and will not be registered with or licensed by the SCA or with the UAE Central Bank, the Dubai Financial Market, the Abu Dhabi Securities Exchange or with any other UAE regulatory authority or exchange.</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issue and/or sale of the common stock has not been approved or licensed by the SCA, the UAE Central Bank or any other relevant licensing authority in the UAE, and does not constitute a public offer of securities in the UAE, DIFC, ADGM and/or any other Free Zone in accordance with the Commercial Companies Law, Federal Law No 2 of 2015 (as amended), the Markets Rules of the DFSA, (the </w:t>
      </w:r>
      <w:r>
        <w:rPr>
          <w:rFonts w:ascii="Arial" w:cs="Arial" w:eastAsia="Arial" w:hAnsi="Arial"/>
          <w:sz w:val="18"/>
          <w:szCs w:val="18"/>
          <w:i w:val="1"/>
          <w:iCs w:val="1"/>
          <w:color w:val="auto"/>
        </w:rPr>
        <w:t>DFSA Markets Rules</w:t>
      </w:r>
      <w:r>
        <w:rPr>
          <w:rFonts w:ascii="Arial" w:cs="Arial" w:eastAsia="Arial" w:hAnsi="Arial"/>
          <w:sz w:val="18"/>
          <w:szCs w:val="18"/>
          <w:color w:val="auto"/>
        </w:rPr>
        <w:t xml:space="preserve">), the Markets Rules of the FSRA (the </w:t>
      </w:r>
      <w:r>
        <w:rPr>
          <w:rFonts w:ascii="Arial" w:cs="Arial" w:eastAsia="Arial" w:hAnsi="Arial"/>
          <w:sz w:val="18"/>
          <w:szCs w:val="18"/>
          <w:i w:val="1"/>
          <w:iCs w:val="1"/>
          <w:color w:val="auto"/>
        </w:rPr>
        <w:t>FSRA Markets Rules</w:t>
      </w:r>
      <w:r>
        <w:rPr>
          <w:rFonts w:ascii="Arial" w:cs="Arial" w:eastAsia="Arial" w:hAnsi="Arial"/>
          <w:sz w:val="18"/>
          <w:szCs w:val="18"/>
          <w:color w:val="auto"/>
        </w:rPr>
        <w:t>) and/or Nasdaq Dubai Listing Rules or under any other law of the UAE. The common stock may not be offered to the public in the UAE and/or any of the Free Zones.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No marketing or promotion of the common stock has been or will be made from within the UAE and no sale of or subscription for the common stock may or will be consummated within the UAE. It should not be assumed that VistaGen Therapeutics Inc., VistaGen Therapeutics, Inc.’s advisors, their advisors or any other person is a licensed broker, dealer or investment adviser under the laws of the UAE or that they advise as to the appropriateness of investing in or purchasing or selling securities or other financial products.</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This offering is not intended to constitute a financial promotion, an offer, sale or delivery of shares or other securities under the DIFC Markets Law (DIFC Law No. 1 of 2012, as amended) (the </w:t>
      </w:r>
      <w:r>
        <w:rPr>
          <w:rFonts w:ascii="Arial" w:cs="Arial" w:eastAsia="Arial" w:hAnsi="Arial"/>
          <w:sz w:val="16"/>
          <w:szCs w:val="16"/>
          <w:i w:val="1"/>
          <w:iCs w:val="1"/>
          <w:color w:val="auto"/>
        </w:rPr>
        <w:t>Markets Law</w:t>
      </w:r>
      <w:r>
        <w:rPr>
          <w:rFonts w:ascii="Arial" w:cs="Arial" w:eastAsia="Arial" w:hAnsi="Arial"/>
          <w:sz w:val="16"/>
          <w:szCs w:val="16"/>
          <w:color w:val="auto"/>
        </w:rPr>
        <w:t xml:space="preserve">), the DFSA Markets Rules, the Collective Investment Law 2010 (DIFC Law No. 2 of 2010) (the </w:t>
      </w:r>
      <w:r>
        <w:rPr>
          <w:rFonts w:ascii="Arial" w:cs="Arial" w:eastAsia="Arial" w:hAnsi="Arial"/>
          <w:sz w:val="16"/>
          <w:szCs w:val="16"/>
          <w:i w:val="1"/>
          <w:iCs w:val="1"/>
          <w:color w:val="auto"/>
        </w:rPr>
        <w:t>Collective Investment Law</w:t>
      </w:r>
      <w:r>
        <w:rPr>
          <w:rFonts w:ascii="Arial" w:cs="Arial" w:eastAsia="Arial" w:hAnsi="Arial"/>
          <w:sz w:val="16"/>
          <w:szCs w:val="16"/>
          <w:color w:val="auto"/>
        </w:rPr>
        <w:t>), the ADGM Financial Services and Markets Regulations 2015 (the</w:t>
      </w:r>
      <w:r>
        <w:rPr>
          <w:rFonts w:ascii="Arial" w:cs="Arial" w:eastAsia="Arial" w:hAnsi="Arial"/>
          <w:sz w:val="16"/>
          <w:szCs w:val="16"/>
          <w:i w:val="1"/>
          <w:iCs w:val="1"/>
          <w:color w:val="auto"/>
        </w:rPr>
        <w:t xml:space="preserve"> FSMR</w:t>
      </w:r>
      <w:r>
        <w:rPr>
          <w:rFonts w:ascii="Arial" w:cs="Arial" w:eastAsia="Arial" w:hAnsi="Arial"/>
          <w:sz w:val="16"/>
          <w:szCs w:val="16"/>
          <w:color w:val="auto"/>
        </w:rPr>
        <w:t>), the FSRA Markets Rules, the Funds Rules of the FSRA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FSRA Funds Rules</w:t>
      </w:r>
      <w:r>
        <w:rPr>
          <w:rFonts w:ascii="Arial" w:cs="Arial" w:eastAsia="Arial" w:hAnsi="Arial"/>
          <w:sz w:val="16"/>
          <w:szCs w:val="16"/>
          <w:color w:val="auto"/>
        </w:rPr>
        <w:t>), or any other laws and regulations of the DIFC, the DFSA, ADGM or the FSRA.</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offering and the issue or transfer of any securities related to it have not been approved or licensed by the DFSA, and do not constitute an offer of securities in the DIFC in accordance with the Markets Law or the DFSA Markets Rules or the Collective Investment Law or any other laws and regulations of the DIFC or the DFSA. This offering and the issue or transfer of any securities related to it have not been approved or licensed by the FSRA, and do not constitute an offer of securities in ADGM in accordance with the FSMR or the FSRA Markets Rules or the FSRA Funds Rules or any other laws and regulations of ADGM or the FSRA.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This prospectus (including any amendment, supplement or replacement thereto) is not being distributed in the context of a public offering of financial instruments (</w:t>
      </w:r>
      <w:r>
        <w:rPr>
          <w:rFonts w:ascii="Arial" w:cs="Arial" w:eastAsia="Arial" w:hAnsi="Arial"/>
          <w:sz w:val="16"/>
          <w:szCs w:val="16"/>
          <w:i w:val="1"/>
          <w:iCs w:val="1"/>
          <w:color w:val="auto"/>
        </w:rPr>
        <w:t>offre au public de titres financiers</w:t>
      </w:r>
      <w:r>
        <w:rPr>
          <w:rFonts w:ascii="Arial" w:cs="Arial" w:eastAsia="Arial" w:hAnsi="Arial"/>
          <w:sz w:val="16"/>
          <w:szCs w:val="16"/>
          <w:color w:val="auto"/>
        </w:rPr>
        <w:t>) in France within the meaning of Article L. 411-1 of the French Monetary and Financial Code (</w:t>
      </w:r>
      <w:r>
        <w:rPr>
          <w:rFonts w:ascii="Arial" w:cs="Arial" w:eastAsia="Arial" w:hAnsi="Arial"/>
          <w:sz w:val="16"/>
          <w:szCs w:val="16"/>
          <w:i w:val="1"/>
          <w:iCs w:val="1"/>
          <w:color w:val="auto"/>
        </w:rPr>
        <w:t>Code monétaire et</w:t>
      </w:r>
      <w:r>
        <w:rPr>
          <w:rFonts w:ascii="Arial" w:cs="Arial" w:eastAsia="Arial" w:hAnsi="Arial"/>
          <w:sz w:val="16"/>
          <w:szCs w:val="16"/>
          <w:color w:val="auto"/>
        </w:rPr>
        <w:t xml:space="preserve"> </w:t>
      </w:r>
      <w:r>
        <w:rPr>
          <w:rFonts w:ascii="Arial" w:cs="Arial" w:eastAsia="Arial" w:hAnsi="Arial"/>
          <w:sz w:val="16"/>
          <w:szCs w:val="16"/>
          <w:i w:val="1"/>
          <w:iCs w:val="1"/>
          <w:color w:val="auto"/>
        </w:rPr>
        <w:t>financier</w:t>
      </w:r>
      <w:r>
        <w:rPr>
          <w:rFonts w:ascii="Arial" w:cs="Arial" w:eastAsia="Arial" w:hAnsi="Arial"/>
          <w:sz w:val="16"/>
          <w:szCs w:val="16"/>
          <w:color w:val="auto"/>
        </w:rPr>
        <w:t>) and Articles 211-1</w:t>
      </w:r>
      <w:r>
        <w:rPr>
          <w:rFonts w:ascii="Arial" w:cs="Arial" w:eastAsia="Arial" w:hAnsi="Arial"/>
          <w:sz w:val="16"/>
          <w:szCs w:val="16"/>
          <w:i w:val="1"/>
          <w:iCs w:val="1"/>
          <w:color w:val="auto"/>
        </w:rPr>
        <w:t xml:space="preserve"> et seq. </w:t>
      </w:r>
      <w:r>
        <w:rPr>
          <w:rFonts w:ascii="Arial" w:cs="Arial" w:eastAsia="Arial" w:hAnsi="Arial"/>
          <w:sz w:val="16"/>
          <w:szCs w:val="16"/>
          <w:color w:val="auto"/>
        </w:rPr>
        <w:t>of the General Regulations of the French</w:t>
      </w:r>
      <w:r>
        <w:rPr>
          <w:rFonts w:ascii="Arial" w:cs="Arial" w:eastAsia="Arial" w:hAnsi="Arial"/>
          <w:sz w:val="16"/>
          <w:szCs w:val="16"/>
          <w:i w:val="1"/>
          <w:iCs w:val="1"/>
          <w:color w:val="auto"/>
        </w:rPr>
        <w:t xml:space="preserve"> Autorité des marchés financiers </w:t>
      </w:r>
      <w:r>
        <w:rPr>
          <w:rFonts w:ascii="Arial" w:cs="Arial" w:eastAsia="Arial" w:hAnsi="Arial"/>
          <w:sz w:val="16"/>
          <w:szCs w:val="16"/>
          <w:color w:val="auto"/>
        </w:rPr>
        <w:t>(the</w:t>
      </w:r>
      <w:r>
        <w:rPr>
          <w:rFonts w:ascii="Arial" w:cs="Arial" w:eastAsia="Arial" w:hAnsi="Arial"/>
          <w:sz w:val="16"/>
          <w:szCs w:val="16"/>
          <w:i w:val="1"/>
          <w:iCs w:val="1"/>
          <w:color w:val="auto"/>
        </w:rPr>
        <w:t xml:space="preserve"> AMF</w:t>
      </w:r>
      <w:r>
        <w:rPr>
          <w:rFonts w:ascii="Arial" w:cs="Arial" w:eastAsia="Arial" w:hAnsi="Arial"/>
          <w:sz w:val="16"/>
          <w:szCs w:val="16"/>
          <w:color w:val="auto"/>
        </w:rPr>
        <w:t>). The common stock has not been offered</w:t>
      </w:r>
      <w:r>
        <w:rPr>
          <w:rFonts w:ascii="Arial" w:cs="Arial" w:eastAsia="Arial" w:hAnsi="Arial"/>
          <w:sz w:val="16"/>
          <w:szCs w:val="16"/>
          <w:i w:val="1"/>
          <w:iCs w:val="1"/>
          <w:color w:val="auto"/>
        </w:rPr>
        <w:t xml:space="preserve"> </w:t>
      </w:r>
      <w:r>
        <w:rPr>
          <w:rFonts w:ascii="Arial" w:cs="Arial" w:eastAsia="Arial" w:hAnsi="Arial"/>
          <w:sz w:val="16"/>
          <w:szCs w:val="16"/>
          <w:color w:val="auto"/>
        </w:rPr>
        <w:t>or sold and will not be offered or sold, directly or indirectly, to the public in France.</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prospectus and any other offering material relating to the common stock have not been, and will not be, submitted to the AMF for approval in France and, accordingly, may not and will not be distributed or caused to be distributed, directly or indirectly, to the public in France.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Article 211-3 of the AMF General Regulations, French residents are hereby informed that:</w:t>
      </w:r>
    </w:p>
    <w:p>
      <w:pPr>
        <w:spacing w:after="0" w:line="225"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transaction does not require a prospectus to be submitted for approval to the AMF;</w:t>
      </w:r>
    </w:p>
    <w:p>
      <w:pPr>
        <w:spacing w:after="0" w:line="225" w:lineRule="exact"/>
        <w:rPr>
          <w:rFonts w:ascii="Arial" w:cs="Arial" w:eastAsia="Arial" w:hAnsi="Arial"/>
          <w:sz w:val="18"/>
          <w:szCs w:val="18"/>
          <w:color w:val="auto"/>
        </w:rPr>
      </w:pPr>
    </w:p>
    <w:p>
      <w:pPr>
        <w:jc w:val="both"/>
        <w:ind w:left="1300" w:hanging="644"/>
        <w:spacing w:after="0" w:line="294"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offer, sale and distribution of the financial instruments shall only be made in France to (i) qualified investors (</w:t>
      </w:r>
      <w:r>
        <w:rPr>
          <w:rFonts w:ascii="Arial" w:cs="Arial" w:eastAsia="Arial" w:hAnsi="Arial"/>
          <w:sz w:val="16"/>
          <w:szCs w:val="16"/>
          <w:i w:val="1"/>
          <w:iCs w:val="1"/>
          <w:color w:val="auto"/>
        </w:rPr>
        <w:t>investisseurs qualifiés</w:t>
      </w:r>
      <w:r>
        <w:rPr>
          <w:rFonts w:ascii="Arial" w:cs="Arial" w:eastAsia="Arial" w:hAnsi="Arial"/>
          <w:sz w:val="16"/>
          <w:szCs w:val="16"/>
          <w:color w:val="auto"/>
        </w:rPr>
        <w:t xml:space="preserve"> ) acting for their own account, as defined in and in accordance with Articles L. 411-2-II-2° and D. 411-1, D. 411-2, D. 734-1, D. 744-1, D. 754-1 and D. 764-1 of the French Monetary and Financial Code and any implementing regulation and/or (ii) a restricted number of non-qualified investors (</w:t>
      </w:r>
      <w:r>
        <w:rPr>
          <w:rFonts w:ascii="Arial" w:cs="Arial" w:eastAsia="Arial" w:hAnsi="Arial"/>
          <w:sz w:val="16"/>
          <w:szCs w:val="16"/>
          <w:i w:val="1"/>
          <w:iCs w:val="1"/>
          <w:color w:val="auto"/>
        </w:rPr>
        <w:t>investisseurs non-qualifiés</w:t>
      </w:r>
      <w:r>
        <w:rPr>
          <w:rFonts w:ascii="Arial" w:cs="Arial" w:eastAsia="Arial" w:hAnsi="Arial"/>
          <w:sz w:val="16"/>
          <w:szCs w:val="16"/>
          <w:color w:val="auto"/>
        </w:rPr>
        <w:t>) acting for their own account, as defined in and in accordance with Articles L. 411-2-II-2° and D. 411-4, D. 734-1, D. 744-1, D. 754-1 and D. 764-1 of the French Monetary and Financial Code and any implementing regulation; and</w:t>
      </w:r>
    </w:p>
    <w:p>
      <w:pPr>
        <w:spacing w:after="0" w:line="169" w:lineRule="exact"/>
        <w:rPr>
          <w:rFonts w:ascii="Arial" w:cs="Arial" w:eastAsia="Arial" w:hAnsi="Arial"/>
          <w:sz w:val="16"/>
          <w:szCs w:val="16"/>
          <w:color w:val="auto"/>
        </w:rPr>
      </w:pPr>
    </w:p>
    <w:p>
      <w:pPr>
        <w:ind w:left="1300" w:hanging="644"/>
        <w:spacing w:after="0" w:line="26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instruments thus acquired cannot be distributed, directly or indirectly, to the public otherwise than in accordance with Articles L. 411-1, L. 411-2, L. 412-1 and L. 621-8 to L. 621-8-3 of the French Monetary and Financial Code.</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This prospectus is not to be further distributed or reproduced (in whole or in part) in France by the recipients of this prospectus. This prospectus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 and Articles 211-1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of the AMF General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3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The securities offered by this prospectus supplement and the accompanying prospectus have not been approved or disapproved by the Israeli Securities Authority (the </w:t>
      </w:r>
      <w:r>
        <w:rPr>
          <w:rFonts w:ascii="Arial" w:cs="Arial" w:eastAsia="Arial" w:hAnsi="Arial"/>
          <w:sz w:val="18"/>
          <w:szCs w:val="18"/>
          <w:i w:val="1"/>
          <w:iCs w:val="1"/>
          <w:color w:val="auto"/>
        </w:rPr>
        <w:t>ISA</w:t>
      </w:r>
      <w:r>
        <w:rPr>
          <w:rFonts w:ascii="Arial" w:cs="Arial" w:eastAsia="Arial" w:hAnsi="Arial"/>
          <w:sz w:val="18"/>
          <w:szCs w:val="18"/>
          <w:color w:val="auto"/>
        </w:rPr>
        <w:t>), nor have such securities been registered for sale in Israel. The ISA has not issued permits, approvals or licenses in connection with the offering or publishing this prospectus supplement and the accompanying prospectus; nor has it authenticated the details included herein, confirmed their reliability or completeness, or rendered an opinion as to the quality of the securities being offered. The ordinary shares will not be offered or sold, directly or indirectly, to the public in Israel, except that the underwriter may offer and sell such shares to Israeli investors who qualify, in accordance with the Israeli Securities Law as “qualified investors” (as defined in the First Appendix to the Israeli Securities Law) and completed and signed a questionnaire regarding such qualification and delivered it to the underwriter. Any resale in Israel, directly or indirectly, to the public of the securities offered by this prospectus supplement and the accompanying prospectus is subject to restrictions on transferability and must be effected only in compliance with the Israeli securities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validity of the securities offered by this prospectus will be passed upon by Disclosure Law Group, a Professional Corporation, San Diego, California (</w:t>
      </w:r>
      <w:r>
        <w:rPr>
          <w:rFonts w:ascii="Arial" w:cs="Arial" w:eastAsia="Arial" w:hAnsi="Arial"/>
          <w:sz w:val="18"/>
          <w:szCs w:val="18"/>
          <w:i w:val="1"/>
          <w:iCs w:val="1"/>
          <w:color w:val="auto"/>
        </w:rPr>
        <w:t>DLG</w:t>
      </w:r>
      <w:r>
        <w:rPr>
          <w:rFonts w:ascii="Arial" w:cs="Arial" w:eastAsia="Arial" w:hAnsi="Arial"/>
          <w:sz w:val="18"/>
          <w:szCs w:val="18"/>
          <w:color w:val="auto"/>
        </w:rPr>
        <w:t>). Partners of DLG beneficially own an aggregate of 84,487 registered and/or restricted shares of our common stock. Latham &amp; Watkins LLP, Chicago, Illinois, is acting as counsel for the underwriter in connection with this offering.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The financial statements of the Company incorporated in this prospectus by reference to the Annual Report on Form 10-K for the fiscal year ended March 31, 2018 have been audited by OUM &amp; Co. LLP, an independent registered public accounting firm, given on the authority of said firm as experts in auditing and accounting.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6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March 31, 2018, filed on June 26, 2018;</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2018, filed on August 14,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2018, filed on October 29,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Report on Form 10-Q/A (Amendment No. 1) for the quarter ended September 30, 2018, filed on October 30,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2018, filed on February 12, 2019;</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Reports on Form 8-K, filed on April 6, 2018, April 10, 2018, May 3, 2018, May 23, 2018, June 11, 2018, June 13, 2018, August 9, 2018, as amended on December 13, 2018, August 14, 2018, September 13, 2018, September 18, 2018, October 5, 2018, October 26, 2018, November 13, 2018, January 15, 2019, February 1, 2019 and February 19, 2019;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incorporate by reference all documents we file pursuant to Section 13(a), 13(c), 14 or 15(d)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6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We will provide to each person, including any beneficial owner, to whom a prospectus is delivered, a copy of this prospectus supplement and any or all of the information that has been incorporated by reference in the prospectus supplement but not delivered herewith. You may request a copy of these filings, excluding the exhibits to such filings which we have not specifically incorporated by reference in such filings, at no cost, by writing to or calling us at: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Except for the specific incorporated documents listed above, no information available on or through our website shall be deemed to be incorporated in this prospectus supplement or the accompanying prospectus.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14605</wp:posOffset>
            </wp:positionV>
            <wp:extent cx="1311910" cy="848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119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offer and sell, in one or more offerings, up to $100,000,000 of any combination of the securities described in this prospectus. We may also offer securities as may be issuable upon conversion, redemption, repurchase, exchange or exercise of any securities registered hereunder, including any applicable anti-dilution provisions.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common stock is quoted on The NASDAQ Capital Market under the symbol “VTGN”. The last reported sale price of our common stock on March 31, 2017 was $1.96 per share.</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6"/>
          <w:szCs w:val="16"/>
          <w:i w:val="1"/>
          <w:iCs w:val="1"/>
          <w:color w:val="auto"/>
        </w:rPr>
        <w:t>Plan of Distribu</w:t>
      </w:r>
      <w:r>
        <w:rPr>
          <w:rFonts w:ascii="Arial" w:cs="Arial" w:eastAsia="Arial" w:hAnsi="Arial"/>
          <w:sz w:val="16"/>
          <w:szCs w:val="16"/>
          <w:color w:val="auto"/>
        </w:rPr>
        <w:t>tion” in this prospectus.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January 10, 2017, the aggregate market value of our outstanding common stock held by non-affiliates was approximately $31.4 million, which was calculated based on 8,543,137 shares of outstanding common stock held by non-affiliates, at a price per share of $3.68. Pursuant to General Instruction I.B.6 of Form S-3, in no event will we sell the securities described in this prospectus in a public primary offering with a value exceeding more than one-third (1/3) of the aggregate market value of our common stock held by non-affiliates in any twelve (12)-month period, so long as the aggregate market value of our outstanding common stock held by non-affiliates remains below $75 million. During the twelve (12) calendar months prior to and including the date of this prospectus, we have not offered or sold any securities pursuant to General Instruction I.B.6 of Form S-3.</w:t>
      </w:r>
    </w:p>
    <w:p>
      <w:pPr>
        <w:spacing w:after="0" w:line="38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Our business and investing in our securities involves significant risks. You should review carefully the risks and uncertainties referenced under the heading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on page 5 of this prospectus, as well as those contained in the applicable prospectus supplement and any related free writing prospectus, and in the other documents that are incorporated by reference into this prospectus or the applicable prospectus supplement.</w:t>
      </w:r>
    </w:p>
    <w:p>
      <w:pPr>
        <w:spacing w:after="0" w:line="15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July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This prospectus is part of a registration statement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using a “shelf” registration process. Under this shelf registration process, we may sell the securities described in this prospectus in one or more offerings. This prospectus provides you with a general description of the securities which may be offered.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of Certain Information by Reference</w:t>
      </w:r>
      <w:r>
        <w:rPr>
          <w:rFonts w:ascii="Arial" w:cs="Arial" w:eastAsia="Arial" w:hAnsi="Arial"/>
          <w:sz w:val="18"/>
          <w:szCs w:val="18"/>
          <w:color w:val="auto"/>
        </w:rPr>
        <w:t>.”</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the information you should consider before buying our common stock. You should read the following summary together with the more detailed information appearing in this prospectus, including the section titled “Risk Factors” on page 5, before deciding whether to purchase our securities.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“VistaGen,” the “Company,” “we,” “us,” and “our” refer to VistaGen Therapeutics, Inc., a Nevada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AV-101, our lead CNS product candidate, is a new generation oral antidepressant prodrug candidate in Phase 2 development as an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We believe AV-101 may also have the potential to treat multiple additional CNS diseases and disorders, including chronic neuropathic pain, epilepsy, Huntington’s disease and Parkinson’s disease. AV-101’s mechanism of action, as an N-methyl D aspartate receptor (</w:t>
      </w:r>
      <w:r>
        <w:rPr>
          <w:rFonts w:ascii="Arial" w:cs="Arial" w:eastAsia="Arial" w:hAnsi="Arial"/>
          <w:sz w:val="16"/>
          <w:szCs w:val="16"/>
          <w:i w:val="1"/>
          <w:iCs w:val="1"/>
          <w:color w:val="auto"/>
        </w:rPr>
        <w:t>NMDAR</w:t>
      </w:r>
      <w:r>
        <w:rPr>
          <w:rFonts w:ascii="Arial" w:cs="Arial" w:eastAsia="Arial" w:hAnsi="Arial"/>
          <w:sz w:val="16"/>
          <w:szCs w:val="16"/>
          <w:color w:val="auto"/>
        </w:rPr>
        <w:t>) antagonist binding selectively at the glycine binding (</w:t>
      </w:r>
      <w:r>
        <w:rPr>
          <w:rFonts w:ascii="Arial" w:cs="Arial" w:eastAsia="Arial" w:hAnsi="Arial"/>
          <w:sz w:val="16"/>
          <w:szCs w:val="16"/>
          <w:i w:val="1"/>
          <w:iCs w:val="1"/>
          <w:color w:val="auto"/>
        </w:rPr>
        <w:t>GlyB</w:t>
      </w:r>
      <w:r>
        <w:rPr>
          <w:rFonts w:ascii="Arial" w:cs="Arial" w:eastAsia="Arial" w:hAnsi="Arial"/>
          <w:sz w:val="16"/>
          <w:szCs w:val="16"/>
          <w:color w:val="auto"/>
        </w:rPr>
        <w:t>) co-agonist site of the NMDAR, is fundamentally differentiated from all FDA-approved antidepressants currently on the market, as well as all atypical antipsychotics used as adjunctive treatments with current antidepressants.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low dose intravenous (</w:t>
      </w:r>
      <w:r>
        <w:rPr>
          <w:rFonts w:ascii="Arial" w:cs="Arial" w:eastAsia="Arial" w:hAnsi="Arial"/>
          <w:sz w:val="16"/>
          <w:szCs w:val="16"/>
          <w:i w:val="1"/>
          <w:iCs w:val="1"/>
          <w:color w:val="auto"/>
        </w:rPr>
        <w:t>IV</w:t>
      </w:r>
      <w:r>
        <w:rPr>
          <w:rFonts w:ascii="Arial" w:cs="Arial" w:eastAsia="Arial" w:hAnsi="Arial"/>
          <w:sz w:val="16"/>
          <w:szCs w:val="16"/>
          <w:color w:val="auto"/>
        </w:rPr>
        <w:t>) administration of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an NMDAR antagonist, in patients with treatment-resistant MDD. These NIMH studies, as well as clinical research at Yale University and other academic institutions, have demonstrated robust antidepressant effects in treatment-resistant MDD patients within twenty-four hours of a single IV dose of ketamine.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entitled, </w:t>
      </w:r>
      <w:r>
        <w:rPr>
          <w:rFonts w:ascii="Arial" w:cs="Arial" w:eastAsia="Arial" w:hAnsi="Arial"/>
          <w:sz w:val="16"/>
          <w:szCs w:val="16"/>
          <w:i w:val="1"/>
          <w:iCs w:val="1"/>
          <w:color w:val="auto"/>
        </w:rPr>
        <w:t xml:space="preserve">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w:t>
      </w:r>
      <w:r>
        <w:rPr>
          <w:rFonts w:ascii="Arial" w:cs="Arial" w:eastAsia="Arial" w:hAnsi="Arial"/>
          <w:sz w:val="16"/>
          <w:szCs w:val="16"/>
          <w:i w:val="1"/>
          <w:iCs w:val="1"/>
          <w:color w:val="auto"/>
        </w:rPr>
        <w:t xml:space="preserve"> </w:t>
      </w:r>
      <w:r>
        <w:rPr>
          <w:rFonts w:ascii="Arial" w:cs="Arial" w:eastAsia="Arial" w:hAnsi="Arial"/>
          <w:sz w:val="16"/>
          <w:szCs w:val="16"/>
          <w:color w:val="auto"/>
        </w:rPr>
        <w:t>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the GlyB site and also involved the activation of another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February 2015, we entered into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Under the CRADA, the NIMH is funding, and Dr. Zarate, as Principal Investigator, and his team are conducting, a 20-25 patient Phase 2 clinical study of AV-101 as a monotherapy in subjects with treatment-resistant MDD (the </w:t>
      </w:r>
      <w:r>
        <w:rPr>
          <w:rFonts w:ascii="Arial" w:cs="Arial" w:eastAsia="Arial" w:hAnsi="Arial"/>
          <w:sz w:val="16"/>
          <w:szCs w:val="16"/>
          <w:i w:val="1"/>
          <w:iCs w:val="1"/>
          <w:color w:val="auto"/>
        </w:rPr>
        <w:t>NIMH Study</w:t>
      </w:r>
      <w:r>
        <w:rPr>
          <w:rFonts w:ascii="Arial" w:cs="Arial" w:eastAsia="Arial" w:hAnsi="Arial"/>
          <w:sz w:val="16"/>
          <w:szCs w:val="16"/>
          <w:color w:val="auto"/>
        </w:rPr>
        <w:t>). We believe orally-administered AV-101 may have potential to deliver ketamine-like antidepressant effects without ketamine’s psychological and other side effects. We currently anticipate that the NIMH will complete the NIMH Study at the end of 2017.</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preparing to launch our Phase 2 clinical study of AV-101 as a new generation adjunctive treatment of MDD in adult patients with an inadequate response to standard, FDA-approved antidepressants (</w:t>
      </w:r>
      <w:r>
        <w:rPr>
          <w:rFonts w:ascii="Arial" w:cs="Arial" w:eastAsia="Arial" w:hAnsi="Arial"/>
          <w:sz w:val="16"/>
          <w:szCs w:val="16"/>
          <w:i w:val="1"/>
          <w:iCs w:val="1"/>
          <w:color w:val="auto"/>
        </w:rPr>
        <w:t>Phase 2 Study</w:t>
      </w:r>
      <w:r>
        <w:rPr>
          <w:rFonts w:ascii="Arial" w:cs="Arial" w:eastAsia="Arial" w:hAnsi="Arial"/>
          <w:sz w:val="16"/>
          <w:szCs w:val="16"/>
          <w:color w:val="auto"/>
        </w:rPr>
        <w:t>). We currently anticipate commencement of this multi-center, multi-dose, double blind, placebo-controlled efficacy and safety study of AV-101 by the end of the second quarter of 2017.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the Phase 2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of the Phase 2 Study by the end of 2018.</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small molecule NCEs for our pipeline.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VistaStem may also pursue additional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applications, including using blood, cartilage, and/or liver cells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hPSCs for (A) cell-based therapy, (B) cell repair therapy, and/or (C) tissue engineering. In a manner similar to our exclusive sublicense agreement with BlueRock Therapeutics, VistaStem may pursue these additional RM applications in collaboration with third-parties.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estimates that 300 million people worldwide are affected by depression. According to the NIH,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one in 10 Americans over the age of 12 takes a standard, FDA-approved antidepressant.</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Most standard, FDA-approved antidepressants target neurotransmitter reuptake inhibition – either serotonin (antidepressants known as </w:t>
      </w:r>
      <w:r>
        <w:rPr>
          <w:rFonts w:ascii="Arial" w:cs="Arial" w:eastAsia="Arial" w:hAnsi="Arial"/>
          <w:sz w:val="18"/>
          <w:szCs w:val="18"/>
          <w:i w:val="1"/>
          <w:iCs w:val="1"/>
          <w:color w:val="auto"/>
        </w:rPr>
        <w:t>SSRIs</w:t>
      </w:r>
      <w:r>
        <w:rPr>
          <w:rFonts w:ascii="Arial" w:cs="Arial" w:eastAsia="Arial" w:hAnsi="Arial"/>
          <w:sz w:val="18"/>
          <w:szCs w:val="18"/>
          <w:color w:val="auto"/>
        </w:rPr>
        <w:t xml:space="preserve">) or serotonin/norepinephrine (antidepressants known as </w:t>
      </w:r>
      <w:r>
        <w:rPr>
          <w:rFonts w:ascii="Arial" w:cs="Arial" w:eastAsia="Arial" w:hAnsi="Arial"/>
          <w:sz w:val="18"/>
          <w:szCs w:val="18"/>
          <w:i w:val="1"/>
          <w:iCs w:val="1"/>
          <w:color w:val="auto"/>
        </w:rPr>
        <w:t>SNRIs</w:t>
      </w:r>
      <w:r>
        <w:rPr>
          <w:rFonts w:ascii="Arial" w:cs="Arial" w:eastAsia="Arial" w:hAnsi="Arial"/>
          <w:sz w:val="18"/>
          <w:szCs w:val="18"/>
          <w:color w:val="auto"/>
        </w:rPr>
        <w:t>). Even when effective, these standard depression medications take many weeks to achieve adequate antidepressant effects. Nearly two out of every three drug-treated depression patients, including an estimated 6.9 million drug-treated MDD patients in the U.S., obtain inadequate therapeutic benefit from initial treatment with a standard antidepressant. Unfortunately,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for example, aripiprazole), despite only modest potential therapeutic benefit and the risk of additional side effects from atypical antipsychotics.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standard, FDA-approved antidepressants have risks of significant side effects, including, among others, potential anxiety, metabolic syndrome, sleep disturbance and sexual dysfunction. Adjunctive use of atypical antipsychotics to augment inadequately performing standard antidepressants increases the risk of serious side effects, including, potentially, tardive dyskinesia, significant weight gain, diabetes and heart disease, while offering only a modest potential increase in therapeutic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AV-101 is our oral new generation antidepressant prodrug candidate in Phase 2 clinical development in the U.S. for the adjunctive treatment of MDD patients with an inadequate response to standard, FDA-approved antidepressants. As published in the October 2015 issue of the peer-reviewed, </w:t>
      </w:r>
      <w:r>
        <w:rPr>
          <w:rFonts w:ascii="Arial" w:cs="Arial" w:eastAsia="Arial" w:hAnsi="Arial"/>
          <w:sz w:val="16"/>
          <w:szCs w:val="16"/>
          <w:i w:val="1"/>
          <w:iCs w:val="1"/>
          <w:color w:val="auto"/>
        </w:rPr>
        <w:t>Journal of Pharmacology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Experimental Therapeutics, </w:t>
      </w:r>
      <w:r>
        <w:rPr>
          <w:rFonts w:ascii="Arial" w:cs="Arial" w:eastAsia="Arial" w:hAnsi="Arial"/>
          <w:sz w:val="16"/>
          <w:szCs w:val="16"/>
          <w:color w:val="auto"/>
        </w:rPr>
        <w:t>in an article entitled,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 persistent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the GlyB site and also involved the activation of another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 We believe activation of the AMPA receptor pathway is a key final common pathway feature of new generation antidepressants.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completion of our NIH-funded, randomized, double blind, placebo-controlled AV-101 Phase 1 safety studies, in February 2015, we entered into a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NIMH. Under the CRADA, the NIMH is funding, and Dr. Zarate, as Principal Investigator, and his team are conducting, a 20-25 patient Phase 2 clinical study of AV-101 as a monotherapy in subjects with treatment-resistant MDD (</w:t>
      </w:r>
      <w:r>
        <w:rPr>
          <w:rFonts w:ascii="Arial" w:cs="Arial" w:eastAsia="Arial" w:hAnsi="Arial"/>
          <w:sz w:val="18"/>
          <w:szCs w:val="18"/>
          <w:i w:val="1"/>
          <w:iCs w:val="1"/>
          <w:color w:val="auto"/>
        </w:rPr>
        <w:t>NIMH</w:t>
      </w:r>
      <w:r>
        <w:rPr>
          <w:rFonts w:ascii="Arial" w:cs="Arial" w:eastAsia="Arial" w:hAnsi="Arial"/>
          <w:sz w:val="18"/>
          <w:szCs w:val="18"/>
          <w:color w:val="auto"/>
        </w:rPr>
        <w:t xml:space="preserve"> </w:t>
      </w:r>
      <w:r>
        <w:rPr>
          <w:rFonts w:ascii="Arial" w:cs="Arial" w:eastAsia="Arial" w:hAnsi="Arial"/>
          <w:sz w:val="18"/>
          <w:szCs w:val="18"/>
          <w:i w:val="1"/>
          <w:iCs w:val="1"/>
          <w:color w:val="auto"/>
        </w:rPr>
        <w:t>Study</w:t>
      </w:r>
      <w:r>
        <w:rPr>
          <w:rFonts w:ascii="Arial" w:cs="Arial" w:eastAsia="Arial" w:hAnsi="Arial"/>
          <w:sz w:val="18"/>
          <w:szCs w:val="18"/>
          <w:color w:val="auto"/>
        </w:rPr>
        <w:t>). We currently anticipate that the NIMH will complete the NIMH Study by the end of 2017.</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preparing to launch our approximately 180-patient Phase 2 Study of AV-101 as an adjunctive treatment of MDD in patients with an inadequate response to standard, FDA-approved antidepressants. We currently anticipate the launch of the Phase 2 Study, with Dr. Maurizio Fava of Harvard Medical School serving as Principal Investigator, by the end of the second quarter of 2017. We currently anticipate top line results of the Phase 2 Study by the end of 2018.</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prior preclinical studies support the hypothesis that AV-101 may also have the potential to treat multiple CNS disorders and neurodegenerative diseases in addition to MDD, including chronic neuropathic pain, epilepsy, Parkinson’s disease and Huntington’s disease, where modulation of the NMDAR, AMPA pathway and/or key active metabolites of AV-101 may achieve therapeutic benefit. However, human clinical studies will be required before this therapeutic potential could be demonstrated. There is no guarantee that human clinical trials would be successful or that the FDA would approve the use of AV-101 for the treatment of one or more of these additional CNS indications.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bioassay system capable of predicting potential human heart toxicity of small molecule NCEs </w:t>
      </w:r>
      <w:r>
        <w:rPr>
          <w:rFonts w:ascii="Arial" w:cs="Arial" w:eastAsia="Arial" w:hAnsi="Arial"/>
          <w:sz w:val="16"/>
          <w:szCs w:val="16"/>
          <w:i w:val="1"/>
          <w:iCs w:val="1"/>
          <w:color w:val="auto"/>
        </w:rPr>
        <w:t>in vitro</w:t>
      </w:r>
      <w:r>
        <w:rPr>
          <w:rFonts w:ascii="Arial" w:cs="Arial" w:eastAsia="Arial" w:hAnsi="Arial"/>
          <w:sz w:val="16"/>
          <w:szCs w:val="16"/>
          <w:color w:val="auto"/>
        </w:rPr>
        <w:t>, long before they are ever tested in animal and human studies. Potential commercial applications of our stem cell technology platform involve (i) using</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and cellular therapies. Drug rescue involves leveraging substantial prior research and development investments by pharmaceutical companies and others related to public domain NCE programs terminated before FDA approval due to heart toxicity risks. In December 2016, we exclusively sublicensed to BlueRock Therapeutics LP, a next generation RM company established by Bayer AG and Versant Ventures, rights to certain proprietary technologies relating to the production of cardiac stem cells for the treatment of heart disease.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 In a manner similar to the BlueRock Therapeutics Agreement, we may pursue these additional RM and cellular therapy applications in collaboration with third-parties.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on page 5 of this prospectus for a discussion of the factors you should carefully consider before deciding to purchase the securities offered by this prospectus. These risks include, among others:</w:t>
      </w:r>
    </w:p>
    <w:p>
      <w:pPr>
        <w:spacing w:after="0" w:line="139" w:lineRule="exact"/>
        <w:rPr>
          <w:sz w:val="20"/>
          <w:szCs w:val="20"/>
          <w:color w:val="auto"/>
        </w:rPr>
      </w:pPr>
    </w:p>
    <w:p>
      <w:pPr>
        <w:ind w:left="980" w:hanging="486"/>
        <w:spacing w:after="0" w:line="26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depend heavily on the success of AV-101, and we cannot be certain that we will be able to obtain regulatory approval for, or successfully commercialize, AV-101, or any product candidate;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hanging="486"/>
        <w:spacing w:after="0" w:line="26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our planned clinical trials could delay, prevent or limit our ability to generate revenue and continue our business;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some of our programs have been partially supported by government grants, which may not be available to us in the future;</w:t>
      </w:r>
    </w:p>
    <w:p>
      <w:pPr>
        <w:spacing w:after="0" w:line="225" w:lineRule="exact"/>
        <w:rPr>
          <w:rFonts w:ascii="Arial" w:cs="Arial" w:eastAsia="Arial" w:hAnsi="Arial"/>
          <w:sz w:val="18"/>
          <w:szCs w:val="18"/>
          <w:color w:val="auto"/>
        </w:rPr>
      </w:pPr>
    </w:p>
    <w:p>
      <w:pPr>
        <w:jc w:val="both"/>
        <w:ind w:left="980" w:right="20" w:hanging="486"/>
        <w:spacing w:after="0" w:line="25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 risks and uncertainties not presently known to us or that we currently deem immaterial may also impair our business operations. You should be able to bear a complete loss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 investment in our securities involves a high degree of risk. You should consider the risks, uncertainties and assumptions described under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in our Annual Report on Form 10-K for the fiscal year ended March 31, 2016, as well as subsequently filed Quarterly Reports on Form 10-Q, which</w:t>
      </w:r>
      <w:r>
        <w:rPr>
          <w:rFonts w:ascii="Arial" w:cs="Arial" w:eastAsia="Arial" w:hAnsi="Arial"/>
          <w:sz w:val="16"/>
          <w:szCs w:val="16"/>
          <w:i w:val="1"/>
          <w:iCs w:val="1"/>
          <w:color w:val="auto"/>
        </w:rPr>
        <w:t xml:space="preserve"> </w:t>
      </w:r>
      <w:r>
        <w:rPr>
          <w:rFonts w:ascii="Arial" w:cs="Arial" w:eastAsia="Arial" w:hAnsi="Arial"/>
          <w:sz w:val="16"/>
          <w:szCs w:val="16"/>
          <w:color w:val="auto"/>
        </w:rPr>
        <w:t>risk factors are incorporated herein by reference, and may be amended, supplemented or superseded from time to time by other reports we file with the SEC in the future and any prospectus supplement related to a particular offering. The risks and uncertainties we have described in our Annual Report on Form 10-K for the fiscal year ended March 31, 2016 and subsequent Quarterly Reports on Form 10-Q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and/or any applicable prospectus supplement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plans to develop and commercialize our lead product candidate, AV-101, initially as an adjunctive treatment for MDD in patients with an inadequate response to standard, FDA-approved antidepressants, and subsequently as a treatment for additional CNS diseases and disorders;</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of the U.S. National Institute of Mental Health,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2016 and subsequent Quarterly Reports on Form 10-Q, which risk factors are incorporated herein by reference.</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as well as certain information incorporated by reference into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ratio of earnings to fixed charges for recently completed fiscal years and any required interim periods will be specified in a prospectus supplement or in a document that we file with the SEC and incorporated by reference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Unless otherwise provided in the applicable prospectus supplement, we intend to use the net proceeds from the sale of the securities under this prospectus for general corporate purposes, including research and development, working capital and capital expenditures. We may use a portion of the net proceeds to fund production of, and nonclinical and clinical studies related to Phase 2 and Phase 3 development of, AV-101 and other drug candidates. We may also use the net proceeds from the sale of the securities under this prospectus to in-license, acquire or invest in complementary businesses, technologies, products or assets. However, we have no current commitments or obligations to do so. We may set forth additional information on the use of proceeds from the sale or the securities we offer under this prospectus in a prospectus supplement relating to the specific offering. We cannot currently allocate specific percentages of the net proceeds that we may use for the purposes specified above. As a result, our management will have broad discretion in the allocation of the net proceeds. Pending the application of the net proceeds, we intend to invest the net proceeds in short- and intermediate-term, interest-bearing obligations, investment-grade instruments, certificates of deposit or direct or guaranteed obligations of the U.S. government.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capital stock consists of 30.0 million shares of common stock, $0.001 par value per share, and 10.0 million shares of preferred stock, $0.001 par value per share. The following is a description of our common stock and certain provisions of our Restated Articles of Incorporation (</w:t>
      </w:r>
      <w:r>
        <w:rPr>
          <w:rFonts w:ascii="Arial" w:cs="Arial" w:eastAsia="Arial" w:hAnsi="Arial"/>
          <w:sz w:val="18"/>
          <w:szCs w:val="18"/>
          <w:i w:val="1"/>
          <w:iCs w:val="1"/>
          <w:color w:val="auto"/>
        </w:rPr>
        <w:t>Articles</w:t>
      </w:r>
      <w:r>
        <w:rPr>
          <w:rFonts w:ascii="Arial" w:cs="Arial" w:eastAsia="Arial" w:hAnsi="Arial"/>
          <w:sz w:val="18"/>
          <w:szCs w:val="18"/>
          <w:color w:val="auto"/>
        </w:rPr>
        <w:t>), and our amended and restated bylaws (</w:t>
      </w:r>
      <w:r>
        <w:rPr>
          <w:rFonts w:ascii="Arial" w:cs="Arial" w:eastAsia="Arial" w:hAnsi="Arial"/>
          <w:sz w:val="18"/>
          <w:szCs w:val="18"/>
          <w:i w:val="1"/>
          <w:iCs w:val="1"/>
          <w:color w:val="auto"/>
        </w:rPr>
        <w:t>Bylaws</w:t>
      </w:r>
      <w:r>
        <w:rPr>
          <w:rFonts w:ascii="Arial" w:cs="Arial" w:eastAsia="Arial" w:hAnsi="Arial"/>
          <w:sz w:val="18"/>
          <w:szCs w:val="18"/>
          <w:color w:val="auto"/>
        </w:rPr>
        <w:t>), and certain provisions of Nevada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there were issued and outstanding, or reserved for issuance:</w:t>
      </w:r>
    </w:p>
    <w:p>
      <w:pPr>
        <w:spacing w:after="0" w:line="225"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8,781,471 shares of common stock held by approximately 700 stockholders of record;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held by one institutional investor and one accredited individual investor;</w:t>
      </w:r>
    </w:p>
    <w:p>
      <w:pPr>
        <w:spacing w:after="0" w:line="18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held by two institutional investors;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held by one institutional investor;</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4,549,006 shares of common stock that have been reserved for issuance upon exercise of outstanding warrants, with a weighted average exercise price of $6.31 per share;</w:t>
      </w:r>
    </w:p>
    <w:p>
      <w:pPr>
        <w:spacing w:after="0" w:line="18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1,659,324 shares of common stock reserved for issuance upon exercise of outstanding stock options under our 1999 Stock Incentive Plan and our Amended and Restated 2016 Stock Incentive Plan, with a weighted average exercise price of $4.76 per share; and</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1,134,911 shares of common stock reserved for future issuance in connection with future grants under our Amended and Restated 2016 Stock Incentive Plan.</w:t>
      </w:r>
    </w:p>
    <w:p>
      <w:pPr>
        <w:spacing w:after="0" w:line="18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i w:val="1"/>
          <w:iCs w:val="1"/>
          <w:color w:val="auto"/>
        </w:rPr>
        <w:t>This section describes the general terms of our common stock that we may offer from time to time. For more detailed information, a holder of our common stock should refer to our Articles and our Bylaws, copies of which are filed with the SEC as exhibits to the registration statement of which this prospectus is a part.</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Articles and the applicable prospectus supplement (and any related free writing prospectus that we may authorize to be provided to you) for more specific information.</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Series of Preferred Stock</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Currently, there are three series of our preferred stock outstanding- Series A Convertible Preferred Stock, Series B 10% Convertible Preferred Stock, and Series C Convertible Preferred Stock. The rights and preferences associated with each series are summarized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2017,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2015, our board of directors authorized the creation of a series of up to 4.0 million shares of Series B 10% Convertible Preferred Stock (</w:t>
      </w:r>
      <w:r>
        <w:rPr>
          <w:rFonts w:ascii="Arial" w:cs="Arial" w:eastAsia="Arial" w:hAnsi="Arial"/>
          <w:sz w:val="18"/>
          <w:szCs w:val="18"/>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The Certificate of Designation of the Relative Rights and Preferences of the Series B 10% Convertible Preferred Stock was filed with the Nevada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Secretary of State on May 7, 2015 (the </w:t>
      </w:r>
      <w:r>
        <w:rPr>
          <w:rFonts w:ascii="Arial" w:cs="Arial" w:eastAsia="Arial" w:hAnsi="Arial"/>
          <w:sz w:val="18"/>
          <w:szCs w:val="18"/>
          <w:i w:val="1"/>
          <w:iCs w:val="1"/>
          <w:color w:val="auto"/>
        </w:rPr>
        <w:t>Series B Certificate of Designation</w:t>
      </w:r>
      <w:r>
        <w:rPr>
          <w:rFonts w:ascii="Arial" w:cs="Arial" w:eastAsia="Arial" w:hAnsi="Arial"/>
          <w:sz w:val="18"/>
          <w:szCs w:val="18"/>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the Company’s common stock. All outstanding shares of Series B Preferred are also automatically convertible into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upon the closing or effective date of any of the following transactions or events: (i) a strategic transaction involving AV-101 with an initial up front cash payment to the Company of at least $10.0 million;</w:t>
      </w:r>
    </w:p>
    <w:p>
      <w:pPr>
        <w:spacing w:after="0" w:line="1" w:lineRule="exact"/>
        <w:rPr>
          <w:sz w:val="20"/>
          <w:szCs w:val="20"/>
          <w:color w:val="auto"/>
        </w:rPr>
      </w:pPr>
    </w:p>
    <w:p>
      <w:pPr>
        <w:jc w:val="both"/>
        <w:ind w:firstLine="8"/>
        <w:spacing w:after="0" w:line="302" w:lineRule="auto"/>
        <w:tabs>
          <w:tab w:leader="none" w:pos="261"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March 31, 2017,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Series B Preferred ranks prior to our common stock,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for purposes of liquidation preference.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8"/>
          <w:szCs w:val="18"/>
          <w:i w:val="1"/>
          <w:iCs w:val="1"/>
          <w:color w:val="auto"/>
        </w:rPr>
        <w:t>Accrued Dividend</w:t>
      </w:r>
      <w:r>
        <w:rPr>
          <w:rFonts w:ascii="Arial" w:cs="Arial" w:eastAsia="Arial" w:hAnsi="Arial"/>
          <w:sz w:val="18"/>
          <w:szCs w:val="18"/>
          <w:color w:val="auto"/>
        </w:rPr>
        <w:t>). The Accrued Dividend will be payable on the date of either a Voluntary Conversion or Automatic Conversion solely in that number of shares of Common Stock equal to the Accrued Dividend.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C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our board of directors authorized the creation of a series of up to 3.0 million shares of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xml:space="preserve">). The Certificate of Designation of the Relative Rights and Preferences of the Series C Convertible Preferred Stock was filed with the Nevada Secretary of State, effective January 25, 2016 (the </w:t>
      </w:r>
      <w:r>
        <w:rPr>
          <w:rFonts w:ascii="Arial" w:cs="Arial" w:eastAsia="Arial" w:hAnsi="Arial"/>
          <w:sz w:val="18"/>
          <w:szCs w:val="18"/>
          <w:i w:val="1"/>
          <w:iCs w:val="1"/>
          <w:color w:val="auto"/>
        </w:rPr>
        <w:t>Series C Certificate of Designation</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At March 31, 2017,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Preferred Stock Issuable Pursuant to this Prospectus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39"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48"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have, or be subject to, any preemptive or similar rights.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WARRANTS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which may consist of warrants to purchase common stock and/or preferred stock in one or more series. Warrants may be offered independently or together with common stock and/or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that we issue warrants, we will issue the warrants under a warrant agreement which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supplements or free writing prospectus related to the warrants that we sell under this prospectus, as well as the complete warrant agreements that contain the terms of the warrants.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39"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any series of preferred stock with which the warrants are being offered and the number of warrants being offered with each share of common stock or preferred stock;</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 or series of preferred stock;</w:t>
      </w:r>
    </w:p>
    <w:p>
      <w:pPr>
        <w:spacing w:after="0" w:line="248" w:lineRule="exact"/>
        <w:rPr>
          <w:rFonts w:ascii="Arial" w:cs="Arial" w:eastAsia="Arial" w:hAnsi="Arial"/>
          <w:sz w:val="16"/>
          <w:szCs w:val="16"/>
          <w:color w:val="auto"/>
        </w:rPr>
      </w:pPr>
    </w:p>
    <w:p>
      <w:pPr>
        <w:jc w:val="both"/>
        <w:ind w:left="980" w:right="20" w:hanging="486"/>
        <w:spacing w:after="0" w:line="25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any rights to redeem or call, or accelerate the expiration of, the warrants;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that right expires;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holder of a warrant is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holder of warrants may exercise them by following the general procedure outlined below:</w:t>
      </w:r>
    </w:p>
    <w:p>
      <w:pPr>
        <w:spacing w:after="0" w:line="225" w:lineRule="exact"/>
        <w:rPr>
          <w:sz w:val="20"/>
          <w:szCs w:val="20"/>
          <w:color w:val="auto"/>
        </w:rPr>
      </w:pPr>
    </w:p>
    <w:p>
      <w:pPr>
        <w:ind w:left="980" w:right="2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delivering to the warrant agent the payment required by the applicable prospectus supplement or free writing prospectus to purchase the underlying security;</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properly completing and signing the reverse side of the warrant certificate representing the warrants; and</w:t>
      </w:r>
    </w:p>
    <w:p>
      <w:pPr>
        <w:spacing w:after="0" w:line="22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delivering the warrant certificate representing the warrants to the warrant agent within five business days of the warrant agent receiving payment of the exercise price.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the Warrant Agreements</w:t>
      </w:r>
    </w:p>
    <w:p>
      <w:pPr>
        <w:spacing w:after="0" w:line="23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Adjustments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warrant or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1" w:lineRule="exact"/>
        <w:rPr>
          <w:sz w:val="20"/>
          <w:szCs w:val="20"/>
          <w:color w:val="auto"/>
        </w:rPr>
      </w:pPr>
    </w:p>
    <w:p>
      <w:pPr>
        <w:ind w:left="980" w:right="20" w:hanging="486"/>
        <w:spacing w:after="0" w:line="33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any cash to holders of our common stock or preferred stock other than a cash dividend paid out of our current or retained earnings or other than in accordance with the terms of the preferred stock;</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issue any evidence of our indebtedness or rights to subscribe for or purchase our indebtedness to holders of our common stock or preferred stock; or</w:t>
      </w:r>
    </w:p>
    <w:p>
      <w:pPr>
        <w:spacing w:after="0" w:line="259" w:lineRule="exact"/>
        <w:rPr>
          <w:rFonts w:ascii="Arial" w:cs="Arial" w:eastAsia="Arial" w:hAnsi="Arial"/>
          <w:sz w:val="15"/>
          <w:szCs w:val="15"/>
          <w:color w:val="auto"/>
        </w:rPr>
      </w:pPr>
    </w:p>
    <w:p>
      <w:pPr>
        <w:ind w:left="980" w:hanging="486"/>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then the holders of common stock warrants and preferred stock warrants, as applicable,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warrant and preferred stock warrant,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warrants and preferred stock warrants may have additional rights under the following circumstances:</w:t>
      </w:r>
    </w:p>
    <w:p>
      <w:pPr>
        <w:spacing w:after="0" w:line="225"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reclassifications, capital reorganizations or changes of the common stock or preferredstock, as applicable;</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share exchanges, mergers, or similar transactions involving us and which result in changes of the common stock or preferred stock, as applicable; or</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sales or dispositions to another entity of all or substantially all of our property and assets.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shares of preferred stock, warrants or any combination of such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specify the following terms of any units in respect of which this prospectus is being delivered:</w:t>
      </w:r>
    </w:p>
    <w:p>
      <w:pPr>
        <w:spacing w:after="0" w:line="225" w:lineRule="exact"/>
        <w:rPr>
          <w:sz w:val="20"/>
          <w:szCs w:val="20"/>
          <w:color w:val="auto"/>
        </w:rPr>
      </w:pPr>
    </w:p>
    <w:p>
      <w:pPr>
        <w:ind w:left="980" w:right="20" w:hanging="486"/>
        <w:spacing w:after="0" w:line="26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appropriate, a discussion of material U.S. federal income tax considerations;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PROVISIONS OF NEVADA LAW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ARTICLES OF INCORPORATION AND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Interested Persons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Nevada Revised Statutes, or NRS,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97" w:lineRule="exact"/>
        <w:rPr>
          <w:sz w:val="20"/>
          <w:szCs w:val="20"/>
          <w:color w:val="auto"/>
        </w:rPr>
      </w:pPr>
    </w:p>
    <w:p>
      <w:pPr>
        <w:ind w:left="980" w:hanging="486"/>
        <w:spacing w:after="0" w:line="33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board of directors or a committee of the board of directors and a majority of disinterested directors on the board of directors (or on the committee) authorized, approved or ratified the transaction;</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fact of the common directorship, office or financial interest is known to the stockholders and disinterested stockholders holding a majority of the shares held by disinterested stockholders authorized, approved or ratified the transaction;</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fact of the common directorship, office or financial interest is not known to the director or officer at the time the transaction is brought to the board of directors for action; or</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transaction was fair to the Company at the time it is authorized or approved.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 Provisions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Nevada law precludes an acquirer of the shares of a Nevada corporation who crosses one of three ownership thresholds (20%, 33 1/3% or 50%) from obtaining voting rights with respect to those shares unless the disinterested holders of a majority of the shares of the Company held by disinterested stockholders vote to accord voting power to those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Combinations with Interested Stockholders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NRS, except under certain circumstances, a corporation is not permitted to engage in a business combination with any “interested stockholder” for a period of two years following the date such stockholder became an interested stockholder. An “interested stockholder” is a person or entity who owns 10% or more of the outstanding shares of voting stock. Nevada permits a corporation to opt out of the application of these business combination provisions by so providing in the articles of incorporation or bylaws. The Company’s Bylaws contain a provision opting out of the application of these business combination provisions.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194"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or names of any underwriters or agents, if applicable;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a prospectus supplement are underwriters of the securities offered by the prospectus supplement.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We may provide agents and underwriters with indemnification against civil liabilities related to this offering, including liabilities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or contribution with respect to payments that the agents or underwriters may make with respect to these liabilities. Agents and underwriters may engage in transactions with, or perform services for, us in the ordinary course of business.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validity of the securities offered by this prospectus will be passed upon by Disclosure Law Group, a Professional Corporation, San Diego, California (</w:t>
      </w:r>
      <w:r>
        <w:rPr>
          <w:rFonts w:ascii="Arial" w:cs="Arial" w:eastAsia="Arial" w:hAnsi="Arial"/>
          <w:sz w:val="16"/>
          <w:szCs w:val="16"/>
          <w:i w:val="1"/>
          <w:iCs w:val="1"/>
          <w:color w:val="auto"/>
        </w:rPr>
        <w:t>DLG</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Partners of DLG beneficially own an aggregate of 65,987 registered and/or restricted shares of our common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financial statements of the Company incorporated in this prospectus by reference to the Annual Report on Form 10-K for the fiscal year ended March 31, 2016 have been audited by OUM &amp; Co. LLP, an independent registered public accounting firm, as set forth in their report thereon.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37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March 31, 2016, filed on June 24, 2016;</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2016, filed on August 12,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2016, filed on November 14,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2016, filed on February 13, 2017;</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Current Report on Form 8-K filed on May 16,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Current Report on Form 8-K filed on June 22,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Current Report on Form 8-K filed on August 17,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Current Report on Form 8-K filed on September 27,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Current Report on Form 8-K filed on December 14,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Current Report on Form 8-K filed on March 29, 2017; and</w:t>
      </w:r>
    </w:p>
    <w:p>
      <w:pPr>
        <w:spacing w:after="0" w:line="9"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9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7" w:name="page58"/>
    <w:bookmarkEnd w:id="57"/>
    <w:p>
      <w:pPr>
        <w:jc w:val="center"/>
        <w:ind w:right="-20"/>
        <w:spacing w:after="0"/>
        <w:rPr>
          <w:sz w:val="20"/>
          <w:szCs w:val="20"/>
          <w:color w:val="auto"/>
        </w:rPr>
      </w:pPr>
      <w:r>
        <w:rPr>
          <w:rFonts w:ascii="Arial" w:cs="Arial" w:eastAsia="Arial" w:hAnsi="Arial"/>
          <w:sz w:val="19"/>
          <w:szCs w:val="19"/>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2210435</wp:posOffset>
            </wp:positionH>
            <wp:positionV relativeFrom="paragraph">
              <wp:posOffset>444500</wp:posOffset>
            </wp:positionV>
            <wp:extent cx="1311910" cy="848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119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____________________</w:t>
      </w:r>
    </w:p>
    <w:p>
      <w:pPr>
        <w:spacing w:after="0" w:line="208"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Prospectus Supplement</w:t>
      </w:r>
    </w:p>
    <w:p>
      <w:pPr>
        <w:spacing w:after="0" w:line="18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February 26, 2019</w:t>
      </w:r>
    </w:p>
    <w:p>
      <w:pPr>
        <w:spacing w:after="0" w:line="15"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____________________</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William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422910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499745</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723265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019"/>
      </w:cols>
      <w:pgMar w:left="1440" w:top="9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Roman"/>
      <w:start w:val="2"/>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2020-01-09T23:22:56Z</dcterms:created>
  <dcterms:modified xsi:type="dcterms:W3CDTF">2020-01-09T23:22:56Z</dcterms:modified>
</cp:coreProperties>
</file>