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60"/>
        <w:spacing w:after="0"/>
        <w:rPr>
          <w:sz w:val="20"/>
          <w:szCs w:val="20"/>
          <w:color w:val="auto"/>
        </w:rPr>
      </w:pPr>
      <w:r>
        <w:rPr>
          <w:rFonts w:ascii="Arial" w:cs="Arial" w:eastAsia="Arial" w:hAnsi="Arial"/>
          <w:sz w:val="18"/>
          <w:szCs w:val="18"/>
          <w:color w:val="auto"/>
        </w:rPr>
        <w:t>CUSIP No: 92840H202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60"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color w:val="auto"/>
        </w:rPr>
        <w:t>SECURITIES AND EXCHANGE COMMISSION</w:t>
      </w:r>
    </w:p>
    <w:p>
      <w:pPr>
        <w:spacing w:after="0" w:line="19"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210820</wp:posOffset>
            </wp:positionV>
            <wp:extent cx="182689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2" w:lineRule="exact"/>
        <w:rPr>
          <w:sz w:val="24"/>
          <w:szCs w:val="24"/>
          <w:color w:val="auto"/>
        </w:rPr>
      </w:pPr>
    </w:p>
    <w:p>
      <w:pPr>
        <w:jc w:val="center"/>
        <w:ind w:right="-239"/>
        <w:spacing w:after="0"/>
        <w:rPr>
          <w:sz w:val="20"/>
          <w:szCs w:val="20"/>
          <w:color w:val="auto"/>
        </w:rPr>
      </w:pPr>
      <w:r>
        <w:rPr>
          <w:rFonts w:ascii="Arial" w:cs="Arial" w:eastAsia="Arial" w:hAnsi="Arial"/>
          <w:sz w:val="22"/>
          <w:szCs w:val="22"/>
          <w:b w:val="1"/>
          <w:bCs w:val="1"/>
          <w:color w:val="auto"/>
        </w:rPr>
        <w:t>SCHEDULE 13G</w:t>
      </w:r>
    </w:p>
    <w:p>
      <w:pPr>
        <w:spacing w:after="0" w:line="215" w:lineRule="exact"/>
        <w:rPr>
          <w:sz w:val="24"/>
          <w:szCs w:val="24"/>
          <w:color w:val="auto"/>
        </w:rPr>
      </w:pPr>
    </w:p>
    <w:p>
      <w:pPr>
        <w:jc w:val="center"/>
        <w:ind w:right="-239"/>
        <w:spacing w:after="0"/>
        <w:rPr>
          <w:sz w:val="20"/>
          <w:szCs w:val="20"/>
          <w:color w:val="auto"/>
        </w:rPr>
      </w:pPr>
      <w:r>
        <w:rPr>
          <w:rFonts w:ascii="Arial" w:cs="Arial" w:eastAsia="Arial" w:hAnsi="Arial"/>
          <w:sz w:val="18"/>
          <w:szCs w:val="18"/>
          <w:b w:val="1"/>
          <w:bCs w:val="1"/>
          <w:color w:val="auto"/>
        </w:rPr>
        <w:t>(Rule 13d-102)</w:t>
      </w:r>
    </w:p>
    <w:p>
      <w:pPr>
        <w:spacing w:after="0" w:line="225" w:lineRule="exact"/>
        <w:rPr>
          <w:sz w:val="24"/>
          <w:szCs w:val="24"/>
          <w:color w:val="auto"/>
        </w:rPr>
      </w:pPr>
    </w:p>
    <w:p>
      <w:pPr>
        <w:jc w:val="center"/>
        <w:ind w:left="480" w:right="2460"/>
        <w:spacing w:after="0" w:line="266" w:lineRule="auto"/>
        <w:rPr>
          <w:sz w:val="20"/>
          <w:szCs w:val="20"/>
          <w:color w:val="auto"/>
        </w:rPr>
      </w:pPr>
      <w:r>
        <w:rPr>
          <w:rFonts w:ascii="Arial" w:cs="Arial" w:eastAsia="Arial" w:hAnsi="Arial"/>
          <w:sz w:val="18"/>
          <w:szCs w:val="18"/>
          <w:b w:val="1"/>
          <w:bCs w:val="1"/>
          <w:color w:val="auto"/>
        </w:rPr>
        <w:t>INFORMATION TO BE INCLUDED IN STATEMENTS FILED PURSUANT TO § 240.13d-1(b), (c) AND (d) AND AMENDMENTS THERETO FILED PURSUANT TO § 240.13d-2.</w:t>
      </w:r>
    </w:p>
    <w:p>
      <w:pPr>
        <w:spacing w:after="0" w:line="176" w:lineRule="exact"/>
        <w:rPr>
          <w:sz w:val="24"/>
          <w:szCs w:val="24"/>
          <w:color w:val="auto"/>
        </w:rPr>
      </w:pPr>
    </w:p>
    <w:p>
      <w:pPr>
        <w:jc w:val="center"/>
        <w:ind w:right="-219"/>
        <w:spacing w:after="0"/>
        <w:tabs>
          <w:tab w:leader="none" w:pos="220" w:val="left"/>
        </w:tabs>
        <w:rPr>
          <w:sz w:val="20"/>
          <w:szCs w:val="20"/>
          <w:color w:val="auto"/>
        </w:rPr>
      </w:pPr>
      <w:r>
        <w:rPr>
          <w:rFonts w:ascii="Arial" w:cs="Arial" w:eastAsia="Arial" w:hAnsi="Arial"/>
          <w:sz w:val="18"/>
          <w:szCs w:val="18"/>
          <w:b w:val="1"/>
          <w:bCs w:val="1"/>
          <w:color w:val="auto"/>
        </w:rPr>
        <w:t>(Amendment No.</w:t>
        <w:tab/>
        <w:t>)*</w:t>
      </w:r>
    </w:p>
    <w:p>
      <w:pPr>
        <w:spacing w:after="0" w:line="202" w:lineRule="exact"/>
        <w:rPr>
          <w:sz w:val="24"/>
          <w:szCs w:val="24"/>
          <w:color w:val="auto"/>
        </w:rPr>
      </w:pPr>
    </w:p>
    <w:p>
      <w:pPr>
        <w:jc w:val="center"/>
        <w:ind w:right="-239"/>
        <w:spacing w:after="0"/>
        <w:rPr>
          <w:sz w:val="20"/>
          <w:szCs w:val="20"/>
          <w:color w:val="auto"/>
        </w:rPr>
      </w:pPr>
      <w:r>
        <w:rPr>
          <w:rFonts w:ascii="Arial" w:cs="Arial" w:eastAsia="Arial" w:hAnsi="Arial"/>
          <w:sz w:val="32"/>
          <w:szCs w:val="32"/>
          <w:b w:val="1"/>
          <w:bCs w:val="1"/>
          <w:color w:val="auto"/>
        </w:rPr>
        <w:t>VistaGen Therapeutics,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24130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3" w:lineRule="exact"/>
        <w:rPr>
          <w:sz w:val="24"/>
          <w:szCs w:val="24"/>
          <w:color w:val="auto"/>
        </w:rPr>
      </w:pPr>
    </w:p>
    <w:p>
      <w:pPr>
        <w:jc w:val="center"/>
        <w:ind w:right="-239"/>
        <w:spacing w:after="0"/>
        <w:rPr>
          <w:sz w:val="20"/>
          <w:szCs w:val="20"/>
          <w:color w:val="auto"/>
        </w:rPr>
      </w:pPr>
      <w:r>
        <w:rPr>
          <w:rFonts w:ascii="Arial" w:cs="Arial" w:eastAsia="Arial" w:hAnsi="Arial"/>
          <w:sz w:val="18"/>
          <w:szCs w:val="18"/>
          <w:color w:val="auto"/>
        </w:rPr>
        <w:t>(Name of Issuer)</w:t>
      </w:r>
    </w:p>
    <w:p>
      <w:pPr>
        <w:spacing w:after="0" w:line="205" w:lineRule="exact"/>
        <w:rPr>
          <w:sz w:val="24"/>
          <w:szCs w:val="24"/>
          <w:color w:val="auto"/>
        </w:rPr>
      </w:pPr>
    </w:p>
    <w:p>
      <w:pPr>
        <w:jc w:val="center"/>
        <w:ind w:right="-239"/>
        <w:spacing w:after="0"/>
        <w:rPr>
          <w:sz w:val="20"/>
          <w:szCs w:val="20"/>
          <w:color w:val="auto"/>
        </w:rPr>
      </w:pPr>
      <w:r>
        <w:rPr>
          <w:rFonts w:ascii="Arial" w:cs="Arial" w:eastAsia="Arial" w:hAnsi="Arial"/>
          <w:sz w:val="18"/>
          <w:szCs w:val="18"/>
          <w:b w:val="1"/>
          <w:bCs w:val="1"/>
          <w:color w:val="auto"/>
        </w:rPr>
        <w:t>Common Stock, $0.001 par value per share</w:t>
      </w:r>
    </w:p>
    <w:p>
      <w:pPr>
        <w:spacing w:after="0" w:line="54" w:lineRule="exact"/>
        <w:rPr>
          <w:sz w:val="24"/>
          <w:szCs w:val="24"/>
          <w:color w:val="auto"/>
        </w:rPr>
      </w:pPr>
    </w:p>
    <w:p>
      <w:pPr>
        <w:jc w:val="center"/>
        <w:ind w:right="-239"/>
        <w:spacing w:after="0"/>
        <w:rPr>
          <w:sz w:val="20"/>
          <w:szCs w:val="20"/>
          <w:color w:val="auto"/>
        </w:rPr>
      </w:pPr>
      <w:r>
        <w:rPr>
          <w:rFonts w:ascii="Arial" w:cs="Arial" w:eastAsia="Arial" w:hAnsi="Arial"/>
          <w:sz w:val="18"/>
          <w:szCs w:val="18"/>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1" w:lineRule="exact"/>
        <w:rPr>
          <w:sz w:val="24"/>
          <w:szCs w:val="24"/>
          <w:color w:val="auto"/>
        </w:rPr>
      </w:pPr>
    </w:p>
    <w:p>
      <w:pPr>
        <w:jc w:val="center"/>
        <w:ind w:right="-239"/>
        <w:spacing w:after="0"/>
        <w:rPr>
          <w:sz w:val="20"/>
          <w:szCs w:val="20"/>
          <w:color w:val="auto"/>
        </w:rPr>
      </w:pPr>
      <w:r>
        <w:rPr>
          <w:rFonts w:ascii="Arial" w:cs="Arial" w:eastAsia="Arial" w:hAnsi="Arial"/>
          <w:sz w:val="18"/>
          <w:szCs w:val="18"/>
          <w:b w:val="1"/>
          <w:bCs w:val="1"/>
          <w:color w:val="auto"/>
        </w:rPr>
        <w:t>92840H202</w:t>
      </w:r>
    </w:p>
    <w:p>
      <w:pPr>
        <w:spacing w:after="0" w:line="54" w:lineRule="exact"/>
        <w:rPr>
          <w:sz w:val="24"/>
          <w:szCs w:val="24"/>
          <w:color w:val="auto"/>
        </w:rPr>
      </w:pPr>
    </w:p>
    <w:p>
      <w:pPr>
        <w:jc w:val="center"/>
        <w:ind w:right="-239"/>
        <w:spacing w:after="0"/>
        <w:rPr>
          <w:sz w:val="20"/>
          <w:szCs w:val="20"/>
          <w:color w:val="auto"/>
        </w:rPr>
      </w:pPr>
      <w:r>
        <w:rPr>
          <w:rFonts w:ascii="Arial" w:cs="Arial" w:eastAsia="Arial" w:hAnsi="Arial"/>
          <w:sz w:val="18"/>
          <w:szCs w:val="18"/>
          <w:color w:val="auto"/>
        </w:rPr>
        <w:t>(CUSIP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1" w:lineRule="exact"/>
        <w:rPr>
          <w:sz w:val="24"/>
          <w:szCs w:val="24"/>
          <w:color w:val="auto"/>
        </w:rPr>
      </w:pPr>
    </w:p>
    <w:p>
      <w:pPr>
        <w:jc w:val="center"/>
        <w:ind w:right="-239"/>
        <w:spacing w:after="0"/>
        <w:rPr>
          <w:sz w:val="20"/>
          <w:szCs w:val="20"/>
          <w:color w:val="auto"/>
        </w:rPr>
      </w:pPr>
      <w:r>
        <w:rPr>
          <w:rFonts w:ascii="Arial" w:cs="Arial" w:eastAsia="Arial" w:hAnsi="Arial"/>
          <w:sz w:val="18"/>
          <w:szCs w:val="18"/>
          <w:b w:val="1"/>
          <w:bCs w:val="1"/>
          <w:color w:val="auto"/>
        </w:rPr>
        <w:t>December 11, 2017</w:t>
      </w:r>
    </w:p>
    <w:p>
      <w:pPr>
        <w:spacing w:after="0" w:line="40" w:lineRule="exact"/>
        <w:rPr>
          <w:sz w:val="24"/>
          <w:szCs w:val="24"/>
          <w:color w:val="auto"/>
        </w:rPr>
      </w:pPr>
    </w:p>
    <w:p>
      <w:pPr>
        <w:jc w:val="center"/>
        <w:ind w:right="-239"/>
        <w:spacing w:after="0"/>
        <w:rPr>
          <w:sz w:val="20"/>
          <w:szCs w:val="20"/>
          <w:color w:val="auto"/>
        </w:rPr>
      </w:pPr>
      <w:r>
        <w:rPr>
          <w:rFonts w:ascii="Arial" w:cs="Arial" w:eastAsia="Arial" w:hAnsi="Arial"/>
          <w:sz w:val="18"/>
          <w:szCs w:val="18"/>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5"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63" w:lineRule="exact"/>
        <w:rPr>
          <w:sz w:val="24"/>
          <w:szCs w:val="24"/>
          <w:color w:val="auto"/>
        </w:rPr>
      </w:pPr>
    </w:p>
    <w:p>
      <w:pPr>
        <w:ind w:left="1140" w:hanging="637"/>
        <w:spacing w:after="0"/>
        <w:tabs>
          <w:tab w:leader="none" w:pos="1140" w:val="left"/>
        </w:tabs>
        <w:numPr>
          <w:ilvl w:val="0"/>
          <w:numId w:val="1"/>
        </w:numPr>
        <w:rPr>
          <w:rFonts w:ascii="Arial" w:cs="Arial" w:eastAsia="Arial" w:hAnsi="Arial"/>
          <w:sz w:val="18"/>
          <w:szCs w:val="18"/>
          <w:color w:val="auto"/>
        </w:rPr>
      </w:pPr>
      <w:r>
        <w:rPr>
          <w:rFonts w:ascii="Arial" w:cs="Arial" w:eastAsia="Arial" w:hAnsi="Arial"/>
          <w:sz w:val="18"/>
          <w:szCs w:val="18"/>
          <w:color w:val="auto"/>
        </w:rPr>
        <w:t>Rule 13d-1(b)</w:t>
      </w:r>
    </w:p>
    <w:p>
      <w:pPr>
        <w:spacing w:after="0" w:line="117" w:lineRule="exact"/>
        <w:rPr>
          <w:rFonts w:ascii="Arial" w:cs="Arial" w:eastAsia="Arial" w:hAnsi="Arial"/>
          <w:sz w:val="18"/>
          <w:szCs w:val="18"/>
          <w:color w:val="auto"/>
        </w:rPr>
      </w:pPr>
    </w:p>
    <w:p>
      <w:pPr>
        <w:ind w:left="500"/>
        <w:spacing w:after="0"/>
        <w:rPr>
          <w:rFonts w:ascii="Arial" w:cs="Arial" w:eastAsia="Arial" w:hAnsi="Arial"/>
          <w:sz w:val="18"/>
          <w:szCs w:val="18"/>
          <w:color w:val="auto"/>
        </w:rPr>
      </w:pPr>
      <w:r>
        <w:rPr>
          <w:rFonts w:ascii="Arial" w:cs="Arial" w:eastAsia="Arial" w:hAnsi="Arial"/>
          <w:sz w:val="18"/>
          <w:szCs w:val="18"/>
          <w:color w:val="auto"/>
        </w:rPr>
        <w:t>x</w:t>
      </w:r>
      <w:r>
        <w:rPr>
          <w:rFonts w:ascii="Arial" w:cs="Arial" w:eastAsia="Arial" w:hAnsi="Arial"/>
          <w:sz w:val="16"/>
          <w:szCs w:val="16"/>
          <w:color w:val="auto"/>
        </w:rPr>
        <w:t>Rule 13d-1(c)</w:t>
      </w:r>
    </w:p>
    <w:p>
      <w:pPr>
        <w:spacing w:after="0" w:line="117" w:lineRule="exact"/>
        <w:rPr>
          <w:rFonts w:ascii="Arial" w:cs="Arial" w:eastAsia="Arial" w:hAnsi="Arial"/>
          <w:sz w:val="18"/>
          <w:szCs w:val="18"/>
          <w:color w:val="auto"/>
        </w:rPr>
      </w:pPr>
    </w:p>
    <w:p>
      <w:pPr>
        <w:ind w:left="1140" w:hanging="637"/>
        <w:spacing w:after="0"/>
        <w:tabs>
          <w:tab w:leader="none" w:pos="1140" w:val="left"/>
        </w:tabs>
        <w:numPr>
          <w:ilvl w:val="0"/>
          <w:numId w:val="1"/>
        </w:numPr>
        <w:rPr>
          <w:rFonts w:ascii="Arial" w:cs="Arial" w:eastAsia="Arial" w:hAnsi="Arial"/>
          <w:sz w:val="18"/>
          <w:szCs w:val="18"/>
          <w:color w:val="auto"/>
        </w:rPr>
      </w:pPr>
      <w:r>
        <w:rPr>
          <w:rFonts w:ascii="Arial" w:cs="Arial" w:eastAsia="Arial" w:hAnsi="Arial"/>
          <w:sz w:val="18"/>
          <w:szCs w:val="18"/>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255270</wp:posOffset>
            </wp:positionV>
            <wp:extent cx="182689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89" w:lineRule="exact"/>
        <w:rPr>
          <w:sz w:val="24"/>
          <w:szCs w:val="24"/>
          <w:color w:val="auto"/>
        </w:rPr>
      </w:pPr>
    </w:p>
    <w:p>
      <w:pPr>
        <w:ind w:right="40"/>
        <w:spacing w:after="0" w:line="277" w:lineRule="auto"/>
        <w:rPr>
          <w:sz w:val="20"/>
          <w:szCs w:val="20"/>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0" w:lineRule="exact"/>
        <w:rPr>
          <w:sz w:val="24"/>
          <w:szCs w:val="24"/>
          <w:color w:val="auto"/>
        </w:rPr>
      </w:pPr>
    </w:p>
    <w:p>
      <w:pPr>
        <w:spacing w:after="0" w:line="342" w:lineRule="auto"/>
        <w:rPr>
          <w:sz w:val="20"/>
          <w:szCs w:val="20"/>
          <w:color w:val="auto"/>
        </w:rPr>
      </w:pPr>
      <w:r>
        <w:rPr>
          <w:rFonts w:ascii="Arial" w:cs="Arial" w:eastAsia="Arial" w:hAnsi="Arial"/>
          <w:sz w:val="16"/>
          <w:szCs w:val="16"/>
          <w:color w:val="auto"/>
        </w:rPr>
        <w:t>The information required in the remainder of this cover page shall not be deemed to be "filed" for purposes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154305</wp:posOffset>
            </wp:positionV>
            <wp:extent cx="7267575"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7" w:lineRule="exact"/>
        <w:rPr>
          <w:sz w:val="24"/>
          <w:szCs w:val="24"/>
          <w:color w:val="auto"/>
        </w:rPr>
      </w:pPr>
    </w:p>
    <w:p>
      <w:pPr>
        <w:ind w:left="60"/>
        <w:spacing w:after="0"/>
        <w:rPr>
          <w:sz w:val="20"/>
          <w:szCs w:val="20"/>
          <w:color w:val="auto"/>
        </w:rPr>
      </w:pPr>
      <w:r>
        <w:rPr>
          <w:rFonts w:ascii="Arial" w:cs="Arial" w:eastAsia="Arial" w:hAnsi="Arial"/>
          <w:sz w:val="18"/>
          <w:szCs w:val="18"/>
          <w:color w:val="auto"/>
        </w:rPr>
        <w:t>CUSIP No: 92840H202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35" w:lineRule="exact"/>
        <w:rPr>
          <w:sz w:val="24"/>
          <w:szCs w:val="24"/>
          <w:color w:val="auto"/>
        </w:rPr>
      </w:pPr>
    </w:p>
    <w:p>
      <w:pPr>
        <w:ind w:left="1060" w:right="8080" w:hanging="620"/>
        <w:spacing w:after="0" w:line="342" w:lineRule="auto"/>
        <w:tabs>
          <w:tab w:leader="none" w:pos="1060" w:val="left"/>
        </w:tabs>
        <w:numPr>
          <w:ilvl w:val="0"/>
          <w:numId w:val="2"/>
        </w:numPr>
        <w:rPr>
          <w:rFonts w:ascii="Arial" w:cs="Arial" w:eastAsia="Arial" w:hAnsi="Arial"/>
          <w:sz w:val="16"/>
          <w:szCs w:val="16"/>
          <w:color w:val="auto"/>
        </w:rPr>
      </w:pPr>
      <w:r>
        <w:rPr>
          <w:rFonts w:ascii="Arial" w:cs="Arial" w:eastAsia="Arial" w:hAnsi="Arial"/>
          <w:sz w:val="16"/>
          <w:szCs w:val="16"/>
          <w:color w:val="auto"/>
        </w:rPr>
        <w:t>Names of Reporting Persons CVI Investments, Inc.</w:t>
      </w:r>
    </w:p>
    <w:p>
      <w:pPr>
        <w:spacing w:after="0" w:line="339" w:lineRule="exact"/>
        <w:rPr>
          <w:rFonts w:ascii="Arial" w:cs="Arial" w:eastAsia="Arial" w:hAnsi="Arial"/>
          <w:sz w:val="16"/>
          <w:szCs w:val="16"/>
          <w:color w:val="auto"/>
        </w:rPr>
      </w:pPr>
    </w:p>
    <w:p>
      <w:pPr>
        <w:ind w:left="1060" w:hanging="620"/>
        <w:spacing w:after="0"/>
        <w:tabs>
          <w:tab w:leader="none" w:pos="106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117" w:lineRule="exact"/>
        <w:rPr>
          <w:rFonts w:ascii="Arial" w:cs="Arial" w:eastAsia="Arial" w:hAnsi="Arial"/>
          <w:sz w:val="18"/>
          <w:szCs w:val="18"/>
          <w:color w:val="auto"/>
        </w:rPr>
      </w:pPr>
    </w:p>
    <w:p>
      <w:pPr>
        <w:ind w:left="2220" w:hanging="1159"/>
        <w:spacing w:after="0"/>
        <w:tabs>
          <w:tab w:leader="none" w:pos="2220" w:val="left"/>
        </w:tabs>
        <w:numPr>
          <w:ilvl w:val="1"/>
          <w:numId w:val="2"/>
        </w:numPr>
        <w:rPr>
          <w:rFonts w:ascii="Arial" w:cs="Arial" w:eastAsia="Arial" w:hAnsi="Arial"/>
          <w:sz w:val="18"/>
          <w:szCs w:val="18"/>
          <w:color w:val="auto"/>
        </w:rPr>
      </w:pPr>
      <w:r>
        <w:rPr>
          <w:rFonts w:ascii="Arial" w:cs="Arial" w:eastAsia="Arial" w:hAnsi="Arial"/>
          <w:sz w:val="18"/>
          <w:szCs w:val="18"/>
          <w:color w:val="auto"/>
        </w:rPr>
        <w:t>o</w:t>
      </w:r>
    </w:p>
    <w:p>
      <w:pPr>
        <w:spacing w:after="0" w:line="130" w:lineRule="exact"/>
        <w:rPr>
          <w:rFonts w:ascii="Arial" w:cs="Arial" w:eastAsia="Arial" w:hAnsi="Arial"/>
          <w:sz w:val="18"/>
          <w:szCs w:val="18"/>
          <w:color w:val="auto"/>
        </w:rPr>
      </w:pPr>
    </w:p>
    <w:p>
      <w:pPr>
        <w:ind w:left="2220" w:hanging="1159"/>
        <w:spacing w:after="0"/>
        <w:tabs>
          <w:tab w:leader="none" w:pos="2220" w:val="left"/>
        </w:tabs>
        <w:numPr>
          <w:ilvl w:val="1"/>
          <w:numId w:val="2"/>
        </w:numPr>
        <w:rPr>
          <w:rFonts w:ascii="Arial" w:cs="Arial" w:eastAsia="Arial" w:hAnsi="Arial"/>
          <w:sz w:val="18"/>
          <w:szCs w:val="18"/>
          <w:color w:val="auto"/>
        </w:rPr>
      </w:pPr>
      <w:r>
        <w:rPr>
          <w:rFonts w:ascii="Arial" w:cs="Arial" w:eastAsia="Arial" w:hAnsi="Arial"/>
          <w:sz w:val="18"/>
          <w:szCs w:val="18"/>
          <w:color w:val="auto"/>
        </w:rPr>
        <w:t>o</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060" w:hanging="620"/>
        <w:spacing w:after="0"/>
        <w:tabs>
          <w:tab w:leader="none" w:pos="1060" w:val="left"/>
        </w:tabs>
        <w:numPr>
          <w:ilvl w:val="0"/>
          <w:numId w:val="2"/>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060" w:right="7520" w:hanging="620"/>
        <w:spacing w:after="0" w:line="277" w:lineRule="auto"/>
        <w:tabs>
          <w:tab w:leader="none" w:pos="1060" w:val="left"/>
        </w:tabs>
        <w:numPr>
          <w:ilvl w:val="0"/>
          <w:numId w:val="2"/>
        </w:numPr>
        <w:rPr>
          <w:rFonts w:ascii="Arial" w:cs="Arial" w:eastAsia="Arial" w:hAnsi="Arial"/>
          <w:sz w:val="18"/>
          <w:szCs w:val="18"/>
          <w:color w:val="auto"/>
        </w:rPr>
      </w:pPr>
      <w:r>
        <w:rPr>
          <w:rFonts w:ascii="Arial" w:cs="Arial" w:eastAsia="Arial" w:hAnsi="Arial"/>
          <w:sz w:val="18"/>
          <w:szCs w:val="18"/>
          <w:color w:val="auto"/>
        </w:rPr>
        <w:t>Citizenship or Place of Organization Cayman Islands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639445</wp:posOffset>
            </wp:positionH>
            <wp:positionV relativeFrom="paragraph">
              <wp:posOffset>14605</wp:posOffset>
            </wp:positionV>
            <wp:extent cx="661225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639445</wp:posOffset>
            </wp:positionH>
            <wp:positionV relativeFrom="paragraph">
              <wp:posOffset>-534035</wp:posOffset>
            </wp:positionV>
            <wp:extent cx="661225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1377315</wp:posOffset>
            </wp:positionH>
            <wp:positionV relativeFrom="paragraph">
              <wp:posOffset>-945515</wp:posOffset>
            </wp:positionV>
            <wp:extent cx="587438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874385" cy="8890"/>
                    </a:xfrm>
                    <a:prstGeom prst="rect">
                      <a:avLst/>
                    </a:prstGeom>
                    <a:noFill/>
                  </pic:spPr>
                </pic:pic>
              </a:graphicData>
            </a:graphic>
          </wp:anchor>
        </w:drawing>
        <w:drawing>
          <wp:anchor simplePos="0" relativeHeight="251657728" behindDoc="1" locked="0" layoutInCell="0" allowOverlap="1">
            <wp:simplePos x="0" y="0"/>
            <wp:positionH relativeFrom="column">
              <wp:posOffset>1377315</wp:posOffset>
            </wp:positionH>
            <wp:positionV relativeFrom="paragraph">
              <wp:posOffset>-1159510</wp:posOffset>
            </wp:positionV>
            <wp:extent cx="587438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874385" cy="8890"/>
                    </a:xfrm>
                    <a:prstGeom prst="rect">
                      <a:avLst/>
                    </a:prstGeom>
                    <a:noFill/>
                  </pic:spPr>
                </pic:pic>
              </a:graphicData>
            </a:graphic>
          </wp:anchor>
        </w:drawing>
        <w:drawing>
          <wp:anchor simplePos="0" relativeHeight="251657728" behindDoc="1" locked="0" layoutInCell="0" allowOverlap="1">
            <wp:simplePos x="0" y="0"/>
            <wp:positionH relativeFrom="column">
              <wp:posOffset>639445</wp:posOffset>
            </wp:positionH>
            <wp:positionV relativeFrom="paragraph">
              <wp:posOffset>-1777365</wp:posOffset>
            </wp:positionV>
            <wp:extent cx="661225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pacing w:after="0" w:line="380" w:lineRule="exact"/>
        <w:rPr>
          <w:sz w:val="24"/>
          <w:szCs w:val="24"/>
          <w:color w:val="auto"/>
        </w:rPr>
      </w:pPr>
    </w:p>
    <w:tbl>
      <w:tblPr>
        <w:tblLayout w:type="fixed"/>
        <w:tblInd w:w="60" w:type="dxa"/>
        <w:tblCellMar>
          <w:top w:w="0" w:type="dxa"/>
          <w:left w:w="0" w:type="dxa"/>
          <w:bottom w:w="0" w:type="dxa"/>
          <w:right w:w="0" w:type="dxa"/>
        </w:tblCellMar>
      </w:tblPr>
      <w:tr>
        <w:trPr>
          <w:trHeight w:val="216"/>
        </w:trPr>
        <w:tc>
          <w:tcPr>
            <w:tcW w:w="1200" w:type="dxa"/>
            <w:vAlign w:val="bottom"/>
          </w:tcPr>
          <w:p>
            <w:pPr>
              <w:spacing w:after="0"/>
              <w:rPr>
                <w:sz w:val="20"/>
                <w:szCs w:val="20"/>
                <w:color w:val="auto"/>
              </w:rPr>
            </w:pPr>
            <w:r>
              <w:rPr>
                <w:rFonts w:ascii="Arial" w:cs="Arial" w:eastAsia="Arial" w:hAnsi="Arial"/>
                <w:sz w:val="18"/>
                <w:szCs w:val="18"/>
                <w:color w:val="auto"/>
              </w:rPr>
              <w:t>Number of</w:t>
            </w:r>
          </w:p>
        </w:tc>
        <w:tc>
          <w:tcPr>
            <w:tcW w:w="1060" w:type="dxa"/>
            <w:vAlign w:val="bottom"/>
          </w:tcPr>
          <w:p>
            <w:pPr>
              <w:jc w:val="right"/>
              <w:ind w:right="350"/>
              <w:spacing w:after="0"/>
              <w:rPr>
                <w:sz w:val="20"/>
                <w:szCs w:val="20"/>
                <w:color w:val="auto"/>
              </w:rPr>
            </w:pPr>
            <w:r>
              <w:rPr>
                <w:rFonts w:ascii="Arial" w:cs="Arial" w:eastAsia="Arial" w:hAnsi="Arial"/>
                <w:sz w:val="18"/>
                <w:szCs w:val="18"/>
                <w:color w:val="auto"/>
              </w:rPr>
              <w:t>(5)</w:t>
            </w:r>
          </w:p>
        </w:tc>
        <w:tc>
          <w:tcPr>
            <w:tcW w:w="1780" w:type="dxa"/>
            <w:vAlign w:val="bottom"/>
          </w:tcPr>
          <w:p>
            <w:pPr>
              <w:ind w:left="440"/>
              <w:spacing w:after="0"/>
              <w:rPr>
                <w:sz w:val="20"/>
                <w:szCs w:val="20"/>
                <w:color w:val="auto"/>
              </w:rPr>
            </w:pPr>
            <w:r>
              <w:rPr>
                <w:rFonts w:ascii="Arial" w:cs="Arial" w:eastAsia="Arial" w:hAnsi="Arial"/>
                <w:sz w:val="18"/>
                <w:szCs w:val="18"/>
                <w:color w:val="auto"/>
                <w:w w:val="89"/>
              </w:rPr>
              <w:t>Sole Voting Power</w:t>
            </w:r>
          </w:p>
        </w:tc>
      </w:tr>
      <w:tr>
        <w:trPr>
          <w:trHeight w:val="230"/>
        </w:trPr>
        <w:tc>
          <w:tcPr>
            <w:tcW w:w="1200" w:type="dxa"/>
            <w:vAlign w:val="bottom"/>
          </w:tcPr>
          <w:p>
            <w:pPr>
              <w:spacing w:after="0"/>
              <w:rPr>
                <w:sz w:val="20"/>
                <w:szCs w:val="20"/>
                <w:color w:val="auto"/>
              </w:rPr>
            </w:pPr>
            <w:r>
              <w:rPr>
                <w:rFonts w:ascii="Arial" w:cs="Arial" w:eastAsia="Arial" w:hAnsi="Arial"/>
                <w:sz w:val="18"/>
                <w:szCs w:val="18"/>
                <w:color w:val="auto"/>
              </w:rPr>
              <w:t>Shares</w:t>
            </w:r>
          </w:p>
        </w:tc>
        <w:tc>
          <w:tcPr>
            <w:tcW w:w="1060" w:type="dxa"/>
            <w:vAlign w:val="bottom"/>
          </w:tcPr>
          <w:p>
            <w:pPr>
              <w:spacing w:after="0"/>
              <w:rPr>
                <w:sz w:val="20"/>
                <w:szCs w:val="20"/>
                <w:color w:val="auto"/>
              </w:rPr>
            </w:pPr>
          </w:p>
        </w:tc>
        <w:tc>
          <w:tcPr>
            <w:tcW w:w="1780" w:type="dxa"/>
            <w:vAlign w:val="bottom"/>
          </w:tcPr>
          <w:p>
            <w:pPr>
              <w:ind w:left="440"/>
              <w:spacing w:after="0"/>
              <w:rPr>
                <w:sz w:val="20"/>
                <w:szCs w:val="20"/>
                <w:color w:val="auto"/>
              </w:rPr>
            </w:pPr>
            <w:r>
              <w:rPr>
                <w:rFonts w:ascii="Arial" w:cs="Arial" w:eastAsia="Arial" w:hAnsi="Arial"/>
                <w:sz w:val="18"/>
                <w:szCs w:val="18"/>
                <w:color w:val="auto"/>
              </w:rPr>
              <w:t>0</w:t>
            </w:r>
          </w:p>
        </w:tc>
      </w:tr>
    </w:tbl>
    <w:p>
      <w:pPr>
        <w:ind w:left="60"/>
        <w:spacing w:after="0"/>
        <w:rPr>
          <w:sz w:val="20"/>
          <w:szCs w:val="20"/>
          <w:color w:val="auto"/>
        </w:rPr>
      </w:pPr>
      <w:r>
        <w:rPr>
          <w:rFonts w:ascii="Arial" w:cs="Arial" w:eastAsia="Arial" w:hAnsi="Arial"/>
          <w:sz w:val="18"/>
          <w:szCs w:val="18"/>
          <w:color w:val="auto"/>
        </w:rPr>
        <w:t>Beneficially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1720215</wp:posOffset>
            </wp:positionH>
            <wp:positionV relativeFrom="paragraph">
              <wp:posOffset>-96520</wp:posOffset>
            </wp:positionV>
            <wp:extent cx="553148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531485" cy="8890"/>
                    </a:xfrm>
                    <a:prstGeom prst="rect">
                      <a:avLst/>
                    </a:prstGeom>
                    <a:noFill/>
                  </pic:spPr>
                </pic:pic>
              </a:graphicData>
            </a:graphic>
          </wp:anchor>
        </w:drawing>
      </w:r>
    </w:p>
    <w:p>
      <w:pPr>
        <w:ind w:left="60"/>
        <w:spacing w:after="0"/>
        <w:rPr>
          <w:sz w:val="20"/>
          <w:szCs w:val="20"/>
          <w:color w:val="auto"/>
        </w:rPr>
      </w:pPr>
      <w:r>
        <w:rPr>
          <w:rFonts w:ascii="Arial" w:cs="Arial" w:eastAsia="Arial" w:hAnsi="Arial"/>
          <w:sz w:val="18"/>
          <w:szCs w:val="18"/>
          <w:color w:val="auto"/>
        </w:rPr>
        <w:t>Owned by</w:t>
      </w:r>
    </w:p>
    <w:p>
      <w:pPr>
        <w:spacing w:after="0" w:line="9" w:lineRule="exact"/>
        <w:rPr>
          <w:sz w:val="24"/>
          <w:szCs w:val="24"/>
          <w:color w:val="auto"/>
        </w:rPr>
      </w:pPr>
    </w:p>
    <w:p>
      <w:pPr>
        <w:ind w:left="60"/>
        <w:spacing w:after="0"/>
        <w:rPr>
          <w:sz w:val="20"/>
          <w:szCs w:val="20"/>
          <w:color w:val="auto"/>
        </w:rPr>
      </w:pPr>
      <w:r>
        <w:rPr>
          <w:rFonts w:ascii="Arial" w:cs="Arial" w:eastAsia="Arial" w:hAnsi="Arial"/>
          <w:sz w:val="18"/>
          <w:szCs w:val="18"/>
          <w:color w:val="auto"/>
        </w:rPr>
        <w:t>Each</w:t>
      </w:r>
    </w:p>
    <w:p>
      <w:pPr>
        <w:sectPr>
          <w:pgSz w:w="11900" w:h="16838" w:orient="portrait"/>
          <w:cols w:equalWidth="0" w:num="1">
            <w:col w:w="11200"/>
          </w:cols>
          <w:pgMar w:left="240" w:top="503" w:right="459" w:bottom="0" w:gutter="0" w:footer="0" w:header="0"/>
        </w:sectPr>
      </w:pPr>
    </w:p>
    <w:bookmarkStart w:id="1" w:name="page2"/>
    <w:bookmarkEnd w:id="1"/>
    <w:tbl>
      <w:tblPr>
        <w:tblLayout w:type="fixed"/>
        <w:tblInd w:w="60" w:type="dxa"/>
        <w:tblCellMar>
          <w:top w:w="0" w:type="dxa"/>
          <w:left w:w="0" w:type="dxa"/>
          <w:bottom w:w="0" w:type="dxa"/>
          <w:right w:w="0" w:type="dxa"/>
        </w:tblCellMar>
      </w:tblPr>
      <w:tr>
        <w:trPr>
          <w:trHeight w:val="230"/>
        </w:trPr>
        <w:tc>
          <w:tcPr>
            <w:tcW w:w="1240" w:type="dxa"/>
            <w:vAlign w:val="bottom"/>
          </w:tcPr>
          <w:p>
            <w:pPr>
              <w:spacing w:after="0"/>
              <w:rPr>
                <w:sz w:val="20"/>
                <w:szCs w:val="20"/>
                <w:color w:val="auto"/>
              </w:rPr>
            </w:pPr>
            <w:r>
              <w:rPr>
                <w:rFonts w:ascii="Arial" w:cs="Arial" w:eastAsia="Arial" w:hAnsi="Arial"/>
                <w:sz w:val="18"/>
                <w:szCs w:val="18"/>
                <w:color w:val="auto"/>
              </w:rPr>
              <w:t>Reporting</w:t>
            </w:r>
          </w:p>
        </w:tc>
        <w:tc>
          <w:tcPr>
            <w:tcW w:w="1400" w:type="dxa"/>
            <w:vAlign w:val="bottom"/>
          </w:tcPr>
          <w:p>
            <w:pPr>
              <w:jc w:val="right"/>
              <w:ind w:right="730"/>
              <w:spacing w:after="0"/>
              <w:rPr>
                <w:sz w:val="20"/>
                <w:szCs w:val="20"/>
                <w:color w:val="auto"/>
              </w:rPr>
            </w:pPr>
            <w:r>
              <w:rPr>
                <w:rFonts w:ascii="Arial" w:cs="Arial" w:eastAsia="Arial" w:hAnsi="Arial"/>
                <w:sz w:val="18"/>
                <w:szCs w:val="18"/>
                <w:color w:val="auto"/>
              </w:rPr>
              <w:t>(6)</w:t>
            </w:r>
          </w:p>
        </w:tc>
        <w:tc>
          <w:tcPr>
            <w:tcW w:w="8720" w:type="dxa"/>
            <w:vAlign w:val="bottom"/>
          </w:tcPr>
          <w:p>
            <w:pPr>
              <w:ind w:left="60"/>
              <w:spacing w:after="0"/>
              <w:rPr>
                <w:sz w:val="20"/>
                <w:szCs w:val="20"/>
                <w:color w:val="auto"/>
              </w:rPr>
            </w:pPr>
            <w:r>
              <w:rPr>
                <w:rFonts w:ascii="Arial" w:cs="Arial" w:eastAsia="Arial" w:hAnsi="Arial"/>
                <w:sz w:val="18"/>
                <w:szCs w:val="18"/>
                <w:color w:val="auto"/>
              </w:rPr>
              <w:t>Shared Voting Power **</w:t>
            </w:r>
          </w:p>
        </w:tc>
      </w:tr>
      <w:tr>
        <w:trPr>
          <w:trHeight w:val="270"/>
        </w:trPr>
        <w:tc>
          <w:tcPr>
            <w:tcW w:w="1240" w:type="dxa"/>
            <w:vAlign w:val="bottom"/>
          </w:tcPr>
          <w:p>
            <w:pPr>
              <w:spacing w:after="0"/>
              <w:rPr>
                <w:sz w:val="20"/>
                <w:szCs w:val="20"/>
                <w:color w:val="auto"/>
              </w:rPr>
            </w:pPr>
            <w:r>
              <w:rPr>
                <w:rFonts w:ascii="Arial" w:cs="Arial" w:eastAsia="Arial" w:hAnsi="Arial"/>
                <w:sz w:val="18"/>
                <w:szCs w:val="18"/>
                <w:color w:val="auto"/>
              </w:rPr>
              <w:t>Person With</w:t>
            </w:r>
          </w:p>
        </w:tc>
        <w:tc>
          <w:tcPr>
            <w:tcW w:w="1400" w:type="dxa"/>
            <w:vAlign w:val="bottom"/>
          </w:tcPr>
          <w:p>
            <w:pPr>
              <w:spacing w:after="0"/>
              <w:rPr>
                <w:sz w:val="23"/>
                <w:szCs w:val="23"/>
                <w:color w:val="auto"/>
              </w:rPr>
            </w:pPr>
          </w:p>
        </w:tc>
        <w:tc>
          <w:tcPr>
            <w:tcW w:w="8720" w:type="dxa"/>
            <w:vAlign w:val="bottom"/>
          </w:tcPr>
          <w:p>
            <w:pPr>
              <w:ind w:left="60"/>
              <w:spacing w:after="0"/>
              <w:rPr>
                <w:sz w:val="20"/>
                <w:szCs w:val="20"/>
                <w:color w:val="auto"/>
              </w:rPr>
            </w:pPr>
            <w:r>
              <w:rPr>
                <w:rFonts w:ascii="Arial" w:cs="Arial" w:eastAsia="Arial" w:hAnsi="Arial"/>
                <w:sz w:val="18"/>
                <w:szCs w:val="18"/>
                <w:color w:val="auto"/>
              </w:rPr>
              <w:t>1,333,333</w:t>
            </w:r>
          </w:p>
        </w:tc>
      </w:tr>
      <w:tr>
        <w:trPr>
          <w:trHeight w:val="54"/>
        </w:trPr>
        <w:tc>
          <w:tcPr>
            <w:tcW w:w="1240" w:type="dxa"/>
            <w:vAlign w:val="bottom"/>
          </w:tcPr>
          <w:p>
            <w:pPr>
              <w:spacing w:after="0"/>
              <w:rPr>
                <w:sz w:val="4"/>
                <w:szCs w:val="4"/>
                <w:color w:val="auto"/>
              </w:rPr>
            </w:pPr>
          </w:p>
        </w:tc>
        <w:tc>
          <w:tcPr>
            <w:tcW w:w="1400" w:type="dxa"/>
            <w:vAlign w:val="bottom"/>
          </w:tcPr>
          <w:p>
            <w:pPr>
              <w:spacing w:after="0"/>
              <w:rPr>
                <w:sz w:val="4"/>
                <w:szCs w:val="4"/>
                <w:color w:val="auto"/>
              </w:rPr>
            </w:pPr>
          </w:p>
        </w:tc>
        <w:tc>
          <w:tcPr>
            <w:tcW w:w="8720" w:type="dxa"/>
            <w:vAlign w:val="bottom"/>
            <w:tcBorders>
              <w:bottom w:val="single" w:sz="8" w:color="auto"/>
            </w:tcBorders>
          </w:tcPr>
          <w:p>
            <w:pPr>
              <w:spacing w:after="0"/>
              <w:rPr>
                <w:sz w:val="4"/>
                <w:szCs w:val="4"/>
                <w:color w:val="auto"/>
              </w:rPr>
            </w:pPr>
          </w:p>
        </w:tc>
      </w:tr>
    </w:tbl>
    <w:p>
      <w:pPr>
        <w:spacing w:after="0" w:line="350" w:lineRule="exact"/>
        <w:rPr>
          <w:sz w:val="20"/>
          <w:szCs w:val="20"/>
          <w:color w:val="auto"/>
        </w:rPr>
      </w:pPr>
    </w:p>
    <w:p>
      <w:pPr>
        <w:ind w:left="2760" w:right="6960" w:hanging="1091"/>
        <w:spacing w:after="0" w:line="277" w:lineRule="auto"/>
        <w:tabs>
          <w:tab w:leader="none" w:pos="2760" w:val="left"/>
        </w:tabs>
        <w:numPr>
          <w:ilvl w:val="2"/>
          <w:numId w:val="3"/>
        </w:numPr>
        <w:rPr>
          <w:rFonts w:ascii="Arial" w:cs="Arial" w:eastAsia="Arial" w:hAnsi="Arial"/>
          <w:sz w:val="18"/>
          <w:szCs w:val="18"/>
          <w:color w:val="auto"/>
        </w:rPr>
      </w:pPr>
      <w:r>
        <w:rPr>
          <w:rFonts w:ascii="Arial" w:cs="Arial" w:eastAsia="Arial" w:hAnsi="Arial"/>
          <w:sz w:val="18"/>
          <w:szCs w:val="18"/>
          <w:color w:val="auto"/>
        </w:rPr>
        <w:t>Sole Dispositive Power 0</w:t>
      </w:r>
    </w:p>
    <w:p>
      <w:pPr>
        <w:spacing w:after="0" w:line="386" w:lineRule="exact"/>
        <w:rPr>
          <w:rFonts w:ascii="Arial" w:cs="Arial" w:eastAsia="Arial" w:hAnsi="Arial"/>
          <w:sz w:val="18"/>
          <w:szCs w:val="18"/>
          <w:color w:val="auto"/>
        </w:rPr>
      </w:pPr>
    </w:p>
    <w:p>
      <w:pPr>
        <w:ind w:left="2760" w:right="6560" w:hanging="1091"/>
        <w:spacing w:after="0" w:line="277" w:lineRule="auto"/>
        <w:tabs>
          <w:tab w:leader="none" w:pos="2760" w:val="left"/>
        </w:tabs>
        <w:numPr>
          <w:ilvl w:val="2"/>
          <w:numId w:val="3"/>
        </w:numPr>
        <w:rPr>
          <w:rFonts w:ascii="Arial" w:cs="Arial" w:eastAsia="Arial" w:hAnsi="Arial"/>
          <w:sz w:val="18"/>
          <w:szCs w:val="18"/>
          <w:color w:val="auto"/>
        </w:rPr>
      </w:pPr>
      <w:r>
        <w:rPr>
          <w:rFonts w:ascii="Arial" w:cs="Arial" w:eastAsia="Arial" w:hAnsi="Arial"/>
          <w:sz w:val="18"/>
          <w:szCs w:val="18"/>
          <w:color w:val="auto"/>
        </w:rPr>
        <w:t>Shared Dispositive Power ** 1,333,333</w:t>
      </w:r>
    </w:p>
    <w:p>
      <w:pPr>
        <w:spacing w:after="0" w:line="386" w:lineRule="exact"/>
        <w:rPr>
          <w:rFonts w:ascii="Arial" w:cs="Arial" w:eastAsia="Arial" w:hAnsi="Arial"/>
          <w:sz w:val="18"/>
          <w:szCs w:val="18"/>
          <w:color w:val="auto"/>
        </w:rPr>
      </w:pPr>
    </w:p>
    <w:p>
      <w:pPr>
        <w:ind w:left="1060" w:right="5560" w:hanging="620"/>
        <w:spacing w:after="0" w:line="277" w:lineRule="auto"/>
        <w:tabs>
          <w:tab w:leader="none" w:pos="1060" w:val="left"/>
        </w:tabs>
        <w:numPr>
          <w:ilvl w:val="1"/>
          <w:numId w:val="4"/>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1,333,333</w:t>
      </w:r>
    </w:p>
    <w:p>
      <w:pPr>
        <w:spacing w:after="0" w:line="386" w:lineRule="exact"/>
        <w:rPr>
          <w:rFonts w:ascii="Arial" w:cs="Arial" w:eastAsia="Arial" w:hAnsi="Arial"/>
          <w:sz w:val="18"/>
          <w:szCs w:val="18"/>
          <w:color w:val="auto"/>
        </w:rPr>
      </w:pPr>
    </w:p>
    <w:p>
      <w:pPr>
        <w:ind w:left="1060" w:hanging="620"/>
        <w:spacing w:after="0"/>
        <w:tabs>
          <w:tab w:leader="none" w:pos="1060" w:val="left"/>
        </w:tabs>
        <w:numPr>
          <w:ilvl w:val="1"/>
          <w:numId w:val="4"/>
        </w:numPr>
        <w:rPr>
          <w:rFonts w:ascii="Arial" w:cs="Arial" w:eastAsia="Arial" w:hAnsi="Arial"/>
          <w:sz w:val="18"/>
          <w:szCs w:val="18"/>
          <w:color w:val="auto"/>
        </w:rPr>
      </w:pPr>
      <w:r>
        <w:rPr>
          <w:rFonts w:ascii="Arial" w:cs="Arial" w:eastAsia="Arial" w:hAnsi="Arial"/>
          <w:sz w:val="18"/>
          <w:szCs w:val="18"/>
          <w:color w:val="auto"/>
        </w:rPr>
        <w:t>Check Box if the Aggregate Amount in Row (9) Excludes Certain Shares (See Instructions) o</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060" w:hanging="620"/>
        <w:spacing w:after="0"/>
        <w:tabs>
          <w:tab w:leader="none" w:pos="1060" w:val="left"/>
        </w:tabs>
        <w:numPr>
          <w:ilvl w:val="1"/>
          <w:numId w:val="4"/>
        </w:numPr>
        <w:rPr>
          <w:rFonts w:ascii="Arial" w:cs="Arial" w:eastAsia="Arial" w:hAnsi="Arial"/>
          <w:sz w:val="18"/>
          <w:szCs w:val="18"/>
          <w:color w:val="auto"/>
        </w:rPr>
      </w:pPr>
      <w:r>
        <w:rPr>
          <w:rFonts w:ascii="Arial" w:cs="Arial" w:eastAsia="Arial" w:hAnsi="Arial"/>
          <w:sz w:val="18"/>
          <w:szCs w:val="18"/>
          <w:color w:val="auto"/>
        </w:rPr>
        <w:t>Percent of Class Represented by Amount in Row (9)</w:t>
      </w:r>
    </w:p>
    <w:p>
      <w:pPr>
        <w:spacing w:after="0" w:line="23" w:lineRule="exact"/>
        <w:rPr>
          <w:rFonts w:ascii="Arial" w:cs="Arial" w:eastAsia="Arial" w:hAnsi="Arial"/>
          <w:sz w:val="18"/>
          <w:szCs w:val="18"/>
          <w:color w:val="auto"/>
        </w:rPr>
      </w:pPr>
    </w:p>
    <w:p>
      <w:pPr>
        <w:ind w:left="1060"/>
        <w:spacing w:after="0"/>
        <w:rPr>
          <w:rFonts w:ascii="Arial" w:cs="Arial" w:eastAsia="Arial" w:hAnsi="Arial"/>
          <w:sz w:val="18"/>
          <w:szCs w:val="18"/>
          <w:color w:val="auto"/>
        </w:rPr>
      </w:pPr>
      <w:r>
        <w:rPr>
          <w:rFonts w:ascii="Arial" w:cs="Arial" w:eastAsia="Arial" w:hAnsi="Arial"/>
          <w:sz w:val="18"/>
          <w:szCs w:val="18"/>
          <w:color w:val="auto"/>
        </w:rPr>
        <w:t>6.1%</w:t>
      </w:r>
    </w:p>
    <w:p>
      <w:pPr>
        <w:spacing w:after="0" w:line="200" w:lineRule="exact"/>
        <w:rPr>
          <w:rFonts w:ascii="Arial" w:cs="Arial" w:eastAsia="Arial" w:hAnsi="Arial"/>
          <w:sz w:val="18"/>
          <w:szCs w:val="18"/>
          <w:color w:val="auto"/>
        </w:rPr>
      </w:pPr>
    </w:p>
    <w:p>
      <w:pPr>
        <w:spacing w:after="0" w:line="226" w:lineRule="exact"/>
        <w:rPr>
          <w:rFonts w:ascii="Arial" w:cs="Arial" w:eastAsia="Arial" w:hAnsi="Arial"/>
          <w:sz w:val="18"/>
          <w:szCs w:val="18"/>
          <w:color w:val="auto"/>
        </w:rPr>
      </w:pPr>
    </w:p>
    <w:p>
      <w:pPr>
        <w:ind w:left="1060" w:hanging="620"/>
        <w:spacing w:after="0"/>
        <w:tabs>
          <w:tab w:leader="none" w:pos="1060" w:val="left"/>
        </w:tabs>
        <w:numPr>
          <w:ilvl w:val="1"/>
          <w:numId w:val="4"/>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3" w:lineRule="exact"/>
        <w:rPr>
          <w:rFonts w:ascii="Arial" w:cs="Arial" w:eastAsia="Arial" w:hAnsi="Arial"/>
          <w:sz w:val="18"/>
          <w:szCs w:val="18"/>
          <w:color w:val="auto"/>
        </w:rPr>
      </w:pPr>
    </w:p>
    <w:p>
      <w:pPr>
        <w:ind w:left="1060"/>
        <w:spacing w:after="0"/>
        <w:rPr>
          <w:rFonts w:ascii="Arial" w:cs="Arial" w:eastAsia="Arial" w:hAnsi="Arial"/>
          <w:sz w:val="18"/>
          <w:szCs w:val="18"/>
          <w:color w:val="auto"/>
        </w:rPr>
      </w:pPr>
      <w:r>
        <w:rPr>
          <w:rFonts w:ascii="Arial" w:cs="Arial" w:eastAsia="Arial" w:hAnsi="Arial"/>
          <w:sz w:val="18"/>
          <w:szCs w:val="18"/>
          <w:color w:val="auto"/>
        </w:rPr>
        <w:t>CO</w:t>
      </w:r>
    </w:p>
    <w:p>
      <w:pPr>
        <w:spacing w:after="0" w:line="200" w:lineRule="exact"/>
        <w:rPr>
          <w:rFonts w:ascii="Arial" w:cs="Arial" w:eastAsia="Arial" w:hAnsi="Arial"/>
          <w:sz w:val="18"/>
          <w:szCs w:val="18"/>
          <w:color w:val="auto"/>
        </w:rPr>
      </w:pPr>
    </w:p>
    <w:p>
      <w:pPr>
        <w:spacing w:after="0" w:line="307" w:lineRule="exact"/>
        <w:rPr>
          <w:rFonts w:ascii="Arial" w:cs="Arial" w:eastAsia="Arial" w:hAnsi="Arial"/>
          <w:sz w:val="18"/>
          <w:szCs w:val="18"/>
          <w:color w:val="auto"/>
        </w:rPr>
      </w:pPr>
    </w:p>
    <w:p>
      <w:pPr>
        <w:ind w:right="180" w:firstLine="8"/>
        <w:spacing w:after="0" w:line="277" w:lineRule="auto"/>
        <w:tabs>
          <w:tab w:leader="none" w:pos="225" w:val="left"/>
        </w:tabs>
        <w:numPr>
          <w:ilvl w:val="0"/>
          <w:numId w:val="4"/>
        </w:numPr>
        <w:rPr>
          <w:rFonts w:ascii="Arial" w:cs="Arial" w:eastAsia="Arial" w:hAnsi="Arial"/>
          <w:sz w:val="18"/>
          <w:szCs w:val="18"/>
          <w:color w:val="auto"/>
        </w:rPr>
      </w:pPr>
      <w:r>
        <w:rPr>
          <w:rFonts w:ascii="Arial" w:cs="Arial" w:eastAsia="Arial" w:hAnsi="Arial"/>
          <w:sz w:val="18"/>
          <w:szCs w:val="18"/>
          <w:color w:val="auto"/>
        </w:rPr>
        <w:t>Heights Capital Management, Inc. is the investment manager to CVI Investments, Inc. and as such may exercise voting and dispositive power over these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-585470</wp:posOffset>
            </wp:positionV>
            <wp:extent cx="661225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639445</wp:posOffset>
            </wp:positionH>
            <wp:positionV relativeFrom="paragraph">
              <wp:posOffset>-1134110</wp:posOffset>
            </wp:positionV>
            <wp:extent cx="661225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639445</wp:posOffset>
            </wp:positionH>
            <wp:positionV relativeFrom="paragraph">
              <wp:posOffset>-1682750</wp:posOffset>
            </wp:positionV>
            <wp:extent cx="661225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639445</wp:posOffset>
            </wp:positionH>
            <wp:positionV relativeFrom="paragraph">
              <wp:posOffset>-2094865</wp:posOffset>
            </wp:positionV>
            <wp:extent cx="661225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1720215</wp:posOffset>
            </wp:positionH>
            <wp:positionV relativeFrom="paragraph">
              <wp:posOffset>-2643505</wp:posOffset>
            </wp:positionV>
            <wp:extent cx="553148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531485" cy="8890"/>
                    </a:xfrm>
                    <a:prstGeom prst="rect">
                      <a:avLst/>
                    </a:prstGeom>
                    <a:noFill/>
                  </pic:spPr>
                </pic:pic>
              </a:graphicData>
            </a:graphic>
          </wp:anchor>
        </w:drawing>
        <w:drawing>
          <wp:anchor simplePos="0" relativeHeight="251657728" behindDoc="1" locked="0" layoutInCell="0" allowOverlap="1">
            <wp:simplePos x="0" y="0"/>
            <wp:positionH relativeFrom="column">
              <wp:posOffset>1720215</wp:posOffset>
            </wp:positionH>
            <wp:positionV relativeFrom="paragraph">
              <wp:posOffset>-3192145</wp:posOffset>
            </wp:positionV>
            <wp:extent cx="553148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53148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-370840</wp:posOffset>
            </wp:positionV>
            <wp:extent cx="182689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60"/>
        <w:spacing w:after="0"/>
        <w:rPr>
          <w:sz w:val="20"/>
          <w:szCs w:val="20"/>
          <w:color w:val="auto"/>
        </w:rPr>
      </w:pPr>
      <w:r>
        <w:rPr>
          <w:rFonts w:ascii="Arial" w:cs="Arial" w:eastAsia="Arial" w:hAnsi="Arial"/>
          <w:sz w:val="18"/>
          <w:szCs w:val="18"/>
          <w:color w:val="auto"/>
        </w:rPr>
        <w:t>CUSIP No: 92840H202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1060" w:right="7880" w:hanging="620"/>
        <w:spacing w:after="0" w:line="342" w:lineRule="auto"/>
        <w:tabs>
          <w:tab w:leader="none" w:pos="1060" w:val="left"/>
        </w:tabs>
        <w:numPr>
          <w:ilvl w:val="0"/>
          <w:numId w:val="5"/>
        </w:numPr>
        <w:rPr>
          <w:rFonts w:ascii="Arial" w:cs="Arial" w:eastAsia="Arial" w:hAnsi="Arial"/>
          <w:sz w:val="16"/>
          <w:szCs w:val="16"/>
          <w:color w:val="auto"/>
        </w:rPr>
      </w:pPr>
      <w:r>
        <w:rPr>
          <w:rFonts w:ascii="Arial" w:cs="Arial" w:eastAsia="Arial" w:hAnsi="Arial"/>
          <w:sz w:val="16"/>
          <w:szCs w:val="16"/>
          <w:color w:val="auto"/>
        </w:rPr>
        <w:t>Names of Reporting Persons Heights Capital Management, Inc.</w:t>
      </w:r>
    </w:p>
    <w:p>
      <w:pPr>
        <w:spacing w:after="0" w:line="339" w:lineRule="exact"/>
        <w:rPr>
          <w:rFonts w:ascii="Arial" w:cs="Arial" w:eastAsia="Arial" w:hAnsi="Arial"/>
          <w:sz w:val="16"/>
          <w:szCs w:val="16"/>
          <w:color w:val="auto"/>
        </w:rPr>
      </w:pPr>
    </w:p>
    <w:p>
      <w:pPr>
        <w:ind w:left="1060" w:hanging="620"/>
        <w:spacing w:after="0"/>
        <w:tabs>
          <w:tab w:leader="none" w:pos="106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117" w:lineRule="exact"/>
        <w:rPr>
          <w:rFonts w:ascii="Arial" w:cs="Arial" w:eastAsia="Arial" w:hAnsi="Arial"/>
          <w:sz w:val="18"/>
          <w:szCs w:val="18"/>
          <w:color w:val="auto"/>
        </w:rPr>
      </w:pPr>
    </w:p>
    <w:p>
      <w:pPr>
        <w:ind w:left="2220" w:hanging="1159"/>
        <w:spacing w:after="0"/>
        <w:tabs>
          <w:tab w:leader="none" w:pos="2220" w:val="left"/>
        </w:tabs>
        <w:numPr>
          <w:ilvl w:val="1"/>
          <w:numId w:val="5"/>
        </w:numPr>
        <w:rPr>
          <w:rFonts w:ascii="Arial" w:cs="Arial" w:eastAsia="Arial" w:hAnsi="Arial"/>
          <w:sz w:val="18"/>
          <w:szCs w:val="18"/>
          <w:color w:val="auto"/>
        </w:rPr>
      </w:pPr>
      <w:r>
        <w:rPr>
          <w:rFonts w:ascii="Arial" w:cs="Arial" w:eastAsia="Arial" w:hAnsi="Arial"/>
          <w:sz w:val="18"/>
          <w:szCs w:val="18"/>
          <w:color w:val="auto"/>
        </w:rPr>
        <w:t>o</w:t>
      </w:r>
    </w:p>
    <w:p>
      <w:pPr>
        <w:spacing w:after="0" w:line="130" w:lineRule="exact"/>
        <w:rPr>
          <w:rFonts w:ascii="Arial" w:cs="Arial" w:eastAsia="Arial" w:hAnsi="Arial"/>
          <w:sz w:val="18"/>
          <w:szCs w:val="18"/>
          <w:color w:val="auto"/>
        </w:rPr>
      </w:pPr>
    </w:p>
    <w:p>
      <w:pPr>
        <w:ind w:left="2220" w:hanging="1159"/>
        <w:spacing w:after="0"/>
        <w:tabs>
          <w:tab w:leader="none" w:pos="2220" w:val="left"/>
        </w:tabs>
        <w:numPr>
          <w:ilvl w:val="1"/>
          <w:numId w:val="5"/>
        </w:numPr>
        <w:rPr>
          <w:rFonts w:ascii="Arial" w:cs="Arial" w:eastAsia="Arial" w:hAnsi="Arial"/>
          <w:sz w:val="18"/>
          <w:szCs w:val="18"/>
          <w:color w:val="auto"/>
        </w:rPr>
      </w:pPr>
      <w:r>
        <w:rPr>
          <w:rFonts w:ascii="Arial" w:cs="Arial" w:eastAsia="Arial" w:hAnsi="Arial"/>
          <w:sz w:val="18"/>
          <w:szCs w:val="18"/>
          <w:color w:val="auto"/>
        </w:rPr>
        <w:t>o</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060" w:hanging="620"/>
        <w:spacing w:after="0"/>
        <w:tabs>
          <w:tab w:leader="none" w:pos="1060" w:val="left"/>
        </w:tabs>
        <w:numPr>
          <w:ilvl w:val="0"/>
          <w:numId w:val="5"/>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060" w:right="7740" w:hanging="620"/>
        <w:spacing w:after="0" w:line="277" w:lineRule="auto"/>
        <w:tabs>
          <w:tab w:leader="none" w:pos="1060" w:val="left"/>
        </w:tabs>
        <w:numPr>
          <w:ilvl w:val="0"/>
          <w:numId w:val="5"/>
        </w:numPr>
        <w:rPr>
          <w:rFonts w:ascii="Arial" w:cs="Arial" w:eastAsia="Arial" w:hAnsi="Arial"/>
          <w:sz w:val="18"/>
          <w:szCs w:val="18"/>
          <w:color w:val="auto"/>
        </w:rPr>
      </w:pPr>
      <w:r>
        <w:rPr>
          <w:rFonts w:ascii="Arial" w:cs="Arial" w:eastAsia="Arial" w:hAnsi="Arial"/>
          <w:sz w:val="18"/>
          <w:szCs w:val="18"/>
          <w:color w:val="auto"/>
        </w:rPr>
        <w:t>Citizenship or Place of Organization 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14605</wp:posOffset>
            </wp:positionV>
            <wp:extent cx="661225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639445</wp:posOffset>
            </wp:positionH>
            <wp:positionV relativeFrom="paragraph">
              <wp:posOffset>-534035</wp:posOffset>
            </wp:positionV>
            <wp:extent cx="661225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1377315</wp:posOffset>
            </wp:positionH>
            <wp:positionV relativeFrom="paragraph">
              <wp:posOffset>-945515</wp:posOffset>
            </wp:positionV>
            <wp:extent cx="587438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874385" cy="8890"/>
                    </a:xfrm>
                    <a:prstGeom prst="rect">
                      <a:avLst/>
                    </a:prstGeom>
                    <a:noFill/>
                  </pic:spPr>
                </pic:pic>
              </a:graphicData>
            </a:graphic>
          </wp:anchor>
        </w:drawing>
        <w:drawing>
          <wp:anchor simplePos="0" relativeHeight="251657728" behindDoc="1" locked="0" layoutInCell="0" allowOverlap="1">
            <wp:simplePos x="0" y="0"/>
            <wp:positionH relativeFrom="column">
              <wp:posOffset>1377315</wp:posOffset>
            </wp:positionH>
            <wp:positionV relativeFrom="paragraph">
              <wp:posOffset>-1159510</wp:posOffset>
            </wp:positionV>
            <wp:extent cx="587438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874385" cy="8890"/>
                    </a:xfrm>
                    <a:prstGeom prst="rect">
                      <a:avLst/>
                    </a:prstGeom>
                    <a:noFill/>
                  </pic:spPr>
                </pic:pic>
              </a:graphicData>
            </a:graphic>
          </wp:anchor>
        </w:drawing>
        <w:drawing>
          <wp:anchor simplePos="0" relativeHeight="251657728" behindDoc="1" locked="0" layoutInCell="0" allowOverlap="1">
            <wp:simplePos x="0" y="0"/>
            <wp:positionH relativeFrom="column">
              <wp:posOffset>639445</wp:posOffset>
            </wp:positionH>
            <wp:positionV relativeFrom="paragraph">
              <wp:posOffset>-1777365</wp:posOffset>
            </wp:positionV>
            <wp:extent cx="661225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pacing w:after="0" w:line="380" w:lineRule="exact"/>
        <w:rPr>
          <w:sz w:val="20"/>
          <w:szCs w:val="20"/>
          <w:color w:val="auto"/>
        </w:rPr>
      </w:pPr>
    </w:p>
    <w:tbl>
      <w:tblPr>
        <w:tblLayout w:type="fixed"/>
        <w:tblInd w:w="60" w:type="dxa"/>
        <w:tblCellMar>
          <w:top w:w="0" w:type="dxa"/>
          <w:left w:w="0" w:type="dxa"/>
          <w:bottom w:w="0" w:type="dxa"/>
          <w:right w:w="0" w:type="dxa"/>
        </w:tblCellMar>
      </w:tblPr>
      <w:tr>
        <w:trPr>
          <w:trHeight w:val="216"/>
        </w:trPr>
        <w:tc>
          <w:tcPr>
            <w:tcW w:w="1240" w:type="dxa"/>
            <w:vAlign w:val="bottom"/>
          </w:tcPr>
          <w:p>
            <w:pPr>
              <w:spacing w:after="0"/>
              <w:rPr>
                <w:sz w:val="18"/>
                <w:szCs w:val="18"/>
                <w:color w:val="auto"/>
              </w:rPr>
            </w:pPr>
          </w:p>
        </w:tc>
        <w:tc>
          <w:tcPr>
            <w:tcW w:w="1400" w:type="dxa"/>
            <w:vAlign w:val="bottom"/>
          </w:tcPr>
          <w:p>
            <w:pPr>
              <w:jc w:val="right"/>
              <w:ind w:right="730"/>
              <w:spacing w:after="0"/>
              <w:rPr>
                <w:sz w:val="20"/>
                <w:szCs w:val="20"/>
                <w:color w:val="auto"/>
              </w:rPr>
            </w:pPr>
            <w:r>
              <w:rPr>
                <w:rFonts w:ascii="Arial" w:cs="Arial" w:eastAsia="Arial" w:hAnsi="Arial"/>
                <w:sz w:val="18"/>
                <w:szCs w:val="18"/>
                <w:color w:val="auto"/>
              </w:rPr>
              <w:t>(5)</w:t>
            </w:r>
          </w:p>
        </w:tc>
        <w:tc>
          <w:tcPr>
            <w:tcW w:w="8720" w:type="dxa"/>
            <w:vAlign w:val="bottom"/>
          </w:tcPr>
          <w:p>
            <w:pPr>
              <w:ind w:left="6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30"/>
        </w:trPr>
        <w:tc>
          <w:tcPr>
            <w:tcW w:w="12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8720" w:type="dxa"/>
            <w:vAlign w:val="bottom"/>
          </w:tcPr>
          <w:p>
            <w:pPr>
              <w:ind w:lef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54"/>
        </w:trPr>
        <w:tc>
          <w:tcPr>
            <w:tcW w:w="1240" w:type="dxa"/>
            <w:vAlign w:val="bottom"/>
            <w:vMerge w:val="restart"/>
          </w:tcPr>
          <w:p>
            <w:pPr>
              <w:spacing w:after="0"/>
              <w:rPr>
                <w:sz w:val="20"/>
                <w:szCs w:val="20"/>
                <w:color w:val="auto"/>
              </w:rPr>
            </w:pPr>
            <w:r>
              <w:rPr>
                <w:rFonts w:ascii="Arial" w:cs="Arial" w:eastAsia="Arial" w:hAnsi="Arial"/>
                <w:sz w:val="18"/>
                <w:szCs w:val="18"/>
                <w:color w:val="auto"/>
              </w:rPr>
              <w:t>Number of</w:t>
            </w:r>
          </w:p>
        </w:tc>
        <w:tc>
          <w:tcPr>
            <w:tcW w:w="1400" w:type="dxa"/>
            <w:vAlign w:val="bottom"/>
          </w:tcPr>
          <w:p>
            <w:pPr>
              <w:spacing w:after="0"/>
              <w:rPr>
                <w:sz w:val="4"/>
                <w:szCs w:val="4"/>
                <w:color w:val="auto"/>
              </w:rPr>
            </w:pPr>
          </w:p>
        </w:tc>
        <w:tc>
          <w:tcPr>
            <w:tcW w:w="87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452"/>
        </w:trPr>
        <w:tc>
          <w:tcPr>
            <w:tcW w:w="1240" w:type="dxa"/>
            <w:vAlign w:val="bottom"/>
            <w:vMerge w:val="continue"/>
          </w:tcPr>
          <w:p>
            <w:pPr>
              <w:spacing w:after="0"/>
              <w:rPr>
                <w:sz w:val="24"/>
                <w:szCs w:val="24"/>
                <w:color w:val="auto"/>
              </w:rPr>
            </w:pPr>
          </w:p>
        </w:tc>
        <w:tc>
          <w:tcPr>
            <w:tcW w:w="1400" w:type="dxa"/>
            <w:vAlign w:val="bottom"/>
            <w:vMerge w:val="restart"/>
          </w:tcPr>
          <w:p>
            <w:pPr>
              <w:jc w:val="right"/>
              <w:ind w:right="730"/>
              <w:spacing w:after="0"/>
              <w:rPr>
                <w:sz w:val="20"/>
                <w:szCs w:val="20"/>
                <w:color w:val="auto"/>
              </w:rPr>
            </w:pPr>
            <w:r>
              <w:rPr>
                <w:rFonts w:ascii="Arial" w:cs="Arial" w:eastAsia="Arial" w:hAnsi="Arial"/>
                <w:sz w:val="18"/>
                <w:szCs w:val="18"/>
                <w:color w:val="auto"/>
              </w:rPr>
              <w:t>(6)</w:t>
            </w:r>
          </w:p>
        </w:tc>
        <w:tc>
          <w:tcPr>
            <w:tcW w:w="8720" w:type="dxa"/>
            <w:vAlign w:val="bottom"/>
            <w:vMerge w:val="restart"/>
          </w:tcPr>
          <w:p>
            <w:pPr>
              <w:ind w:left="60"/>
              <w:spacing w:after="0"/>
              <w:rPr>
                <w:sz w:val="20"/>
                <w:szCs w:val="20"/>
                <w:color w:val="auto"/>
              </w:rPr>
            </w:pPr>
            <w:r>
              <w:rPr>
                <w:rFonts w:ascii="Arial" w:cs="Arial" w:eastAsia="Arial" w:hAnsi="Arial"/>
                <w:sz w:val="18"/>
                <w:szCs w:val="18"/>
                <w:color w:val="auto"/>
              </w:rPr>
              <w:t>Shared Voting Power **</w:t>
            </w:r>
          </w:p>
        </w:tc>
        <w:tc>
          <w:tcPr>
            <w:tcW w:w="0" w:type="dxa"/>
            <w:vAlign w:val="bottom"/>
          </w:tcPr>
          <w:p>
            <w:pPr>
              <w:spacing w:after="0"/>
              <w:rPr>
                <w:sz w:val="1"/>
                <w:szCs w:val="1"/>
                <w:color w:val="auto"/>
              </w:rPr>
            </w:pPr>
          </w:p>
        </w:tc>
      </w:tr>
      <w:tr>
        <w:trPr>
          <w:trHeight w:val="108"/>
        </w:trPr>
        <w:tc>
          <w:tcPr>
            <w:tcW w:w="1240" w:type="dxa"/>
            <w:vAlign w:val="bottom"/>
            <w:vMerge w:val="restart"/>
          </w:tcPr>
          <w:p>
            <w:pPr>
              <w:spacing w:after="0"/>
              <w:rPr>
                <w:sz w:val="20"/>
                <w:szCs w:val="20"/>
                <w:color w:val="auto"/>
              </w:rPr>
            </w:pPr>
            <w:r>
              <w:rPr>
                <w:rFonts w:ascii="Arial" w:cs="Arial" w:eastAsia="Arial" w:hAnsi="Arial"/>
                <w:sz w:val="18"/>
                <w:szCs w:val="18"/>
                <w:color w:val="auto"/>
              </w:rPr>
              <w:t>Shares</w:t>
            </w:r>
          </w:p>
        </w:tc>
        <w:tc>
          <w:tcPr>
            <w:tcW w:w="1400" w:type="dxa"/>
            <w:vAlign w:val="bottom"/>
            <w:vMerge w:val="continue"/>
          </w:tcPr>
          <w:p>
            <w:pPr>
              <w:spacing w:after="0"/>
              <w:rPr>
                <w:sz w:val="9"/>
                <w:szCs w:val="9"/>
                <w:color w:val="auto"/>
              </w:rPr>
            </w:pPr>
          </w:p>
        </w:tc>
        <w:tc>
          <w:tcPr>
            <w:tcW w:w="87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240" w:type="dxa"/>
            <w:vAlign w:val="bottom"/>
            <w:vMerge w:val="continue"/>
          </w:tcPr>
          <w:p>
            <w:pPr>
              <w:spacing w:after="0"/>
              <w:rPr>
                <w:sz w:val="9"/>
                <w:szCs w:val="9"/>
                <w:color w:val="auto"/>
              </w:rPr>
            </w:pPr>
          </w:p>
        </w:tc>
        <w:tc>
          <w:tcPr>
            <w:tcW w:w="1400" w:type="dxa"/>
            <w:vAlign w:val="bottom"/>
          </w:tcPr>
          <w:p>
            <w:pPr>
              <w:spacing w:after="0"/>
              <w:rPr>
                <w:sz w:val="9"/>
                <w:szCs w:val="9"/>
                <w:color w:val="auto"/>
              </w:rPr>
            </w:pPr>
          </w:p>
        </w:tc>
        <w:tc>
          <w:tcPr>
            <w:tcW w:w="8720" w:type="dxa"/>
            <w:vAlign w:val="bottom"/>
            <w:vMerge w:val="restart"/>
          </w:tcPr>
          <w:p>
            <w:pPr>
              <w:ind w:left="60"/>
              <w:spacing w:after="0"/>
              <w:rPr>
                <w:sz w:val="20"/>
                <w:szCs w:val="20"/>
                <w:color w:val="auto"/>
              </w:rPr>
            </w:pPr>
            <w:r>
              <w:rPr>
                <w:rFonts w:ascii="Arial" w:cs="Arial" w:eastAsia="Arial" w:hAnsi="Arial"/>
                <w:sz w:val="18"/>
                <w:szCs w:val="18"/>
                <w:color w:val="auto"/>
              </w:rPr>
              <w:t>1,333,333</w:t>
            </w:r>
          </w:p>
        </w:tc>
        <w:tc>
          <w:tcPr>
            <w:tcW w:w="0" w:type="dxa"/>
            <w:vAlign w:val="bottom"/>
          </w:tcPr>
          <w:p>
            <w:pPr>
              <w:spacing w:after="0"/>
              <w:rPr>
                <w:sz w:val="1"/>
                <w:szCs w:val="1"/>
                <w:color w:val="auto"/>
              </w:rPr>
            </w:pPr>
          </w:p>
        </w:tc>
      </w:tr>
      <w:tr>
        <w:trPr>
          <w:trHeight w:val="122"/>
        </w:trPr>
        <w:tc>
          <w:tcPr>
            <w:tcW w:w="1240" w:type="dxa"/>
            <w:vAlign w:val="bottom"/>
            <w:vMerge w:val="restart"/>
          </w:tcPr>
          <w:p>
            <w:pPr>
              <w:spacing w:after="0" w:line="157" w:lineRule="exact"/>
              <w:rPr>
                <w:sz w:val="20"/>
                <w:szCs w:val="20"/>
                <w:color w:val="auto"/>
              </w:rPr>
            </w:pPr>
            <w:r>
              <w:rPr>
                <w:rFonts w:ascii="Arial" w:cs="Arial" w:eastAsia="Arial" w:hAnsi="Arial"/>
                <w:sz w:val="18"/>
                <w:szCs w:val="18"/>
                <w:color w:val="auto"/>
              </w:rPr>
              <w:t>Beneficially</w:t>
            </w:r>
          </w:p>
        </w:tc>
        <w:tc>
          <w:tcPr>
            <w:tcW w:w="1400" w:type="dxa"/>
            <w:vAlign w:val="bottom"/>
          </w:tcPr>
          <w:p>
            <w:pPr>
              <w:spacing w:after="0"/>
              <w:rPr>
                <w:sz w:val="10"/>
                <w:szCs w:val="10"/>
                <w:color w:val="auto"/>
              </w:rPr>
            </w:pPr>
          </w:p>
        </w:tc>
        <w:tc>
          <w:tcPr>
            <w:tcW w:w="87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54"/>
        </w:trPr>
        <w:tc>
          <w:tcPr>
            <w:tcW w:w="1240" w:type="dxa"/>
            <w:vAlign w:val="bottom"/>
            <w:vMerge w:val="continue"/>
          </w:tcPr>
          <w:p>
            <w:pPr>
              <w:spacing w:after="0"/>
              <w:rPr>
                <w:sz w:val="4"/>
                <w:szCs w:val="4"/>
                <w:color w:val="auto"/>
              </w:rPr>
            </w:pPr>
          </w:p>
        </w:tc>
        <w:tc>
          <w:tcPr>
            <w:tcW w:w="1400" w:type="dxa"/>
            <w:vAlign w:val="bottom"/>
          </w:tcPr>
          <w:p>
            <w:pPr>
              <w:spacing w:after="0"/>
              <w:rPr>
                <w:sz w:val="4"/>
                <w:szCs w:val="4"/>
                <w:color w:val="auto"/>
              </w:rPr>
            </w:pPr>
          </w:p>
        </w:tc>
        <w:tc>
          <w:tcPr>
            <w:tcW w:w="87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6"/>
        </w:trPr>
        <w:tc>
          <w:tcPr>
            <w:tcW w:w="1240" w:type="dxa"/>
            <w:vAlign w:val="bottom"/>
          </w:tcPr>
          <w:p>
            <w:pPr>
              <w:spacing w:after="0"/>
              <w:rPr>
                <w:sz w:val="20"/>
                <w:szCs w:val="20"/>
                <w:color w:val="auto"/>
              </w:rPr>
            </w:pPr>
            <w:r>
              <w:rPr>
                <w:rFonts w:ascii="Arial" w:cs="Arial" w:eastAsia="Arial" w:hAnsi="Arial"/>
                <w:sz w:val="18"/>
                <w:szCs w:val="18"/>
                <w:color w:val="auto"/>
              </w:rPr>
              <w:t>Owned by</w:t>
            </w:r>
          </w:p>
        </w:tc>
        <w:tc>
          <w:tcPr>
            <w:tcW w:w="1400" w:type="dxa"/>
            <w:vAlign w:val="bottom"/>
          </w:tcPr>
          <w:p>
            <w:pPr>
              <w:spacing w:after="0"/>
              <w:rPr>
                <w:sz w:val="20"/>
                <w:szCs w:val="20"/>
                <w:color w:val="auto"/>
              </w:rPr>
            </w:pPr>
          </w:p>
        </w:tc>
        <w:tc>
          <w:tcPr>
            <w:tcW w:w="8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Each</w:t>
            </w:r>
          </w:p>
        </w:tc>
        <w:tc>
          <w:tcPr>
            <w:tcW w:w="1400" w:type="dxa"/>
            <w:vAlign w:val="bottom"/>
            <w:vMerge w:val="restart"/>
          </w:tcPr>
          <w:p>
            <w:pPr>
              <w:jc w:val="right"/>
              <w:ind w:right="730"/>
              <w:spacing w:after="0"/>
              <w:rPr>
                <w:sz w:val="20"/>
                <w:szCs w:val="20"/>
                <w:color w:val="auto"/>
              </w:rPr>
            </w:pPr>
            <w:r>
              <w:rPr>
                <w:rFonts w:ascii="Arial" w:cs="Arial" w:eastAsia="Arial" w:hAnsi="Arial"/>
                <w:sz w:val="18"/>
                <w:szCs w:val="18"/>
                <w:color w:val="auto"/>
              </w:rPr>
              <w:t>(7)</w:t>
            </w:r>
          </w:p>
        </w:tc>
        <w:tc>
          <w:tcPr>
            <w:tcW w:w="8720" w:type="dxa"/>
            <w:vAlign w:val="bottom"/>
            <w:vMerge w:val="restart"/>
          </w:tcPr>
          <w:p>
            <w:pPr>
              <w:ind w:left="6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08"/>
        </w:trPr>
        <w:tc>
          <w:tcPr>
            <w:tcW w:w="1240" w:type="dxa"/>
            <w:vAlign w:val="bottom"/>
            <w:vMerge w:val="restart"/>
          </w:tcPr>
          <w:p>
            <w:pPr>
              <w:spacing w:after="0"/>
              <w:rPr>
                <w:sz w:val="20"/>
                <w:szCs w:val="20"/>
                <w:color w:val="auto"/>
              </w:rPr>
            </w:pPr>
            <w:r>
              <w:rPr>
                <w:rFonts w:ascii="Arial" w:cs="Arial" w:eastAsia="Arial" w:hAnsi="Arial"/>
                <w:sz w:val="18"/>
                <w:szCs w:val="18"/>
                <w:color w:val="auto"/>
              </w:rPr>
              <w:t>Reporting</w:t>
            </w:r>
          </w:p>
        </w:tc>
        <w:tc>
          <w:tcPr>
            <w:tcW w:w="1400" w:type="dxa"/>
            <w:vAlign w:val="bottom"/>
            <w:vMerge w:val="continue"/>
          </w:tcPr>
          <w:p>
            <w:pPr>
              <w:spacing w:after="0"/>
              <w:rPr>
                <w:sz w:val="9"/>
                <w:szCs w:val="9"/>
                <w:color w:val="auto"/>
              </w:rPr>
            </w:pPr>
          </w:p>
        </w:tc>
        <w:tc>
          <w:tcPr>
            <w:tcW w:w="87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240" w:type="dxa"/>
            <w:vAlign w:val="bottom"/>
            <w:vMerge w:val="continue"/>
          </w:tcPr>
          <w:p>
            <w:pPr>
              <w:spacing w:after="0"/>
              <w:rPr>
                <w:sz w:val="9"/>
                <w:szCs w:val="9"/>
                <w:color w:val="auto"/>
              </w:rPr>
            </w:pPr>
          </w:p>
        </w:tc>
        <w:tc>
          <w:tcPr>
            <w:tcW w:w="1400" w:type="dxa"/>
            <w:vAlign w:val="bottom"/>
          </w:tcPr>
          <w:p>
            <w:pPr>
              <w:spacing w:after="0"/>
              <w:rPr>
                <w:sz w:val="9"/>
                <w:szCs w:val="9"/>
                <w:color w:val="auto"/>
              </w:rPr>
            </w:pPr>
          </w:p>
        </w:tc>
        <w:tc>
          <w:tcPr>
            <w:tcW w:w="8720" w:type="dxa"/>
            <w:vAlign w:val="bottom"/>
            <w:vMerge w:val="restart"/>
          </w:tcPr>
          <w:p>
            <w:pPr>
              <w:ind w:lef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22"/>
        </w:trPr>
        <w:tc>
          <w:tcPr>
            <w:tcW w:w="1240" w:type="dxa"/>
            <w:vAlign w:val="bottom"/>
            <w:vMerge w:val="restart"/>
          </w:tcPr>
          <w:p>
            <w:pPr>
              <w:spacing w:after="0" w:line="157" w:lineRule="exact"/>
              <w:rPr>
                <w:sz w:val="20"/>
                <w:szCs w:val="20"/>
                <w:color w:val="auto"/>
              </w:rPr>
            </w:pPr>
            <w:r>
              <w:rPr>
                <w:rFonts w:ascii="Arial" w:cs="Arial" w:eastAsia="Arial" w:hAnsi="Arial"/>
                <w:sz w:val="18"/>
                <w:szCs w:val="18"/>
                <w:color w:val="auto"/>
              </w:rPr>
              <w:t>Person With</w:t>
            </w:r>
          </w:p>
        </w:tc>
        <w:tc>
          <w:tcPr>
            <w:tcW w:w="1400" w:type="dxa"/>
            <w:vAlign w:val="bottom"/>
          </w:tcPr>
          <w:p>
            <w:pPr>
              <w:spacing w:after="0"/>
              <w:rPr>
                <w:sz w:val="10"/>
                <w:szCs w:val="10"/>
                <w:color w:val="auto"/>
              </w:rPr>
            </w:pPr>
          </w:p>
        </w:tc>
        <w:tc>
          <w:tcPr>
            <w:tcW w:w="87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54"/>
        </w:trPr>
        <w:tc>
          <w:tcPr>
            <w:tcW w:w="1240" w:type="dxa"/>
            <w:vAlign w:val="bottom"/>
            <w:vMerge w:val="continue"/>
          </w:tcPr>
          <w:p>
            <w:pPr>
              <w:spacing w:after="0"/>
              <w:rPr>
                <w:sz w:val="4"/>
                <w:szCs w:val="4"/>
                <w:color w:val="auto"/>
              </w:rPr>
            </w:pPr>
          </w:p>
        </w:tc>
        <w:tc>
          <w:tcPr>
            <w:tcW w:w="1400" w:type="dxa"/>
            <w:vAlign w:val="bottom"/>
          </w:tcPr>
          <w:p>
            <w:pPr>
              <w:spacing w:after="0"/>
              <w:rPr>
                <w:sz w:val="4"/>
                <w:szCs w:val="4"/>
                <w:color w:val="auto"/>
              </w:rPr>
            </w:pPr>
          </w:p>
        </w:tc>
        <w:tc>
          <w:tcPr>
            <w:tcW w:w="87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350" w:lineRule="exact"/>
        <w:rPr>
          <w:sz w:val="20"/>
          <w:szCs w:val="20"/>
          <w:color w:val="auto"/>
        </w:rPr>
      </w:pPr>
    </w:p>
    <w:p>
      <w:pPr>
        <w:ind w:left="2760" w:right="6560" w:hanging="1091"/>
        <w:spacing w:after="0" w:line="277" w:lineRule="auto"/>
        <w:tabs>
          <w:tab w:leader="none" w:pos="2760" w:val="left"/>
        </w:tabs>
        <w:numPr>
          <w:ilvl w:val="1"/>
          <w:numId w:val="6"/>
        </w:numPr>
        <w:rPr>
          <w:rFonts w:ascii="Arial" w:cs="Arial" w:eastAsia="Arial" w:hAnsi="Arial"/>
          <w:sz w:val="18"/>
          <w:szCs w:val="18"/>
          <w:color w:val="auto"/>
        </w:rPr>
      </w:pPr>
      <w:r>
        <w:rPr>
          <w:rFonts w:ascii="Arial" w:cs="Arial" w:eastAsia="Arial" w:hAnsi="Arial"/>
          <w:sz w:val="18"/>
          <w:szCs w:val="18"/>
          <w:color w:val="auto"/>
        </w:rPr>
        <w:t>Shared Dispositive Power ** 1,333,333</w:t>
      </w:r>
    </w:p>
    <w:p>
      <w:pPr>
        <w:spacing w:after="0" w:line="386" w:lineRule="exact"/>
        <w:rPr>
          <w:rFonts w:ascii="Arial" w:cs="Arial" w:eastAsia="Arial" w:hAnsi="Arial"/>
          <w:sz w:val="18"/>
          <w:szCs w:val="18"/>
          <w:color w:val="auto"/>
        </w:rPr>
      </w:pPr>
    </w:p>
    <w:p>
      <w:pPr>
        <w:ind w:left="1060" w:right="5560" w:hanging="620"/>
        <w:spacing w:after="0" w:line="277" w:lineRule="auto"/>
        <w:tabs>
          <w:tab w:leader="none" w:pos="10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1,333,333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14605</wp:posOffset>
            </wp:positionV>
            <wp:extent cx="661225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1720215</wp:posOffset>
            </wp:positionH>
            <wp:positionV relativeFrom="paragraph">
              <wp:posOffset>-534035</wp:posOffset>
            </wp:positionV>
            <wp:extent cx="553148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531485" cy="8890"/>
                    </a:xfrm>
                    <a:prstGeom prst="rect">
                      <a:avLst/>
                    </a:prstGeom>
                    <a:noFill/>
                  </pic:spPr>
                </pic:pic>
              </a:graphicData>
            </a:graphic>
          </wp:anchor>
        </w:drawing>
      </w:r>
    </w:p>
    <w:p>
      <w:pPr>
        <w:sectPr>
          <w:pgSz w:w="11900" w:h="16838" w:orient="portrait"/>
          <w:cols w:equalWidth="0" w:num="1">
            <w:col w:w="11420"/>
          </w:cols>
          <w:pgMar w:left="240" w:top="125" w:right="239" w:bottom="0" w:gutter="0" w:footer="0" w:header="0"/>
        </w:sectPr>
      </w:pPr>
    </w:p>
    <w:p>
      <w:pPr>
        <w:spacing w:after="0" w:line="387" w:lineRule="exact"/>
        <w:rPr>
          <w:sz w:val="20"/>
          <w:szCs w:val="20"/>
          <w:color w:val="auto"/>
        </w:rPr>
      </w:pPr>
    </w:p>
    <w:p>
      <w:pPr>
        <w:ind w:left="440"/>
        <w:spacing w:after="0"/>
        <w:tabs>
          <w:tab w:leader="none" w:pos="1040" w:val="left"/>
        </w:tabs>
        <w:rPr>
          <w:sz w:val="20"/>
          <w:szCs w:val="20"/>
          <w:color w:val="auto"/>
        </w:rPr>
      </w:pPr>
      <w:r>
        <w:rPr>
          <w:rFonts w:ascii="Arial" w:cs="Arial" w:eastAsia="Arial" w:hAnsi="Arial"/>
          <w:sz w:val="16"/>
          <w:szCs w:val="16"/>
          <w:color w:val="auto"/>
        </w:rPr>
        <w:t>(10)</w:t>
      </w:r>
      <w:r>
        <w:rPr>
          <w:sz w:val="20"/>
          <w:szCs w:val="20"/>
          <w:color w:val="auto"/>
        </w:rPr>
        <w:tab/>
      </w:r>
      <w:r>
        <w:rPr>
          <w:rFonts w:ascii="Arial" w:cs="Arial" w:eastAsia="Arial" w:hAnsi="Arial"/>
          <w:sz w:val="16"/>
          <w:szCs w:val="16"/>
          <w:color w:val="auto"/>
        </w:rPr>
        <w:t>Check Box if the Aggregate Amount in Row (9) Excludes Certain Shares (See Instructions) o</w:t>
      </w:r>
    </w:p>
    <w:p>
      <w:pPr>
        <w:spacing w:after="0" w:line="20" w:lineRule="exact"/>
        <w:rPr>
          <w:sz w:val="20"/>
          <w:szCs w:val="20"/>
          <w:color w:val="auto"/>
        </w:rPr>
      </w:pPr>
    </w:p>
    <w:p>
      <w:pPr>
        <w:sectPr>
          <w:pgSz w:w="11900" w:h="16838" w:orient="portrait"/>
          <w:cols w:equalWidth="0" w:num="1">
            <w:col w:w="11420"/>
          </w:cols>
          <w:pgMar w:left="240" w:top="125" w:right="239" w:bottom="0" w:gutter="0" w:footer="0" w:header="0"/>
          <w:type w:val="continuous"/>
        </w:sectPr>
      </w:pPr>
    </w:p>
    <w:bookmarkStart w:id="2" w:name="page3"/>
    <w:bookmarkEnd w:id="2"/>
    <w:p>
      <w:pPr>
        <w:ind w:left="1052" w:hanging="620"/>
        <w:spacing w:after="0"/>
        <w:tabs>
          <w:tab w:leader="none" w:pos="1052" w:val="left"/>
        </w:tabs>
        <w:numPr>
          <w:ilvl w:val="1"/>
          <w:numId w:val="8"/>
        </w:numPr>
        <w:rPr>
          <w:rFonts w:ascii="Arial" w:cs="Arial" w:eastAsia="Arial" w:hAnsi="Arial"/>
          <w:sz w:val="18"/>
          <w:szCs w:val="18"/>
          <w:color w:val="auto"/>
        </w:rPr>
      </w:pPr>
      <w:r>
        <w:rPr>
          <w:rFonts w:ascii="Arial" w:cs="Arial" w:eastAsia="Arial" w:hAnsi="Arial"/>
          <w:sz w:val="18"/>
          <w:szCs w:val="18"/>
          <w:color w:val="auto"/>
        </w:rPr>
        <w:t>Percent of Class Represented by Amount in Row (9)</w:t>
      </w:r>
    </w:p>
    <w:p>
      <w:pPr>
        <w:spacing w:after="0" w:line="23" w:lineRule="exact"/>
        <w:rPr>
          <w:rFonts w:ascii="Arial" w:cs="Arial" w:eastAsia="Arial" w:hAnsi="Arial"/>
          <w:sz w:val="18"/>
          <w:szCs w:val="18"/>
          <w:color w:val="auto"/>
        </w:rPr>
      </w:pPr>
    </w:p>
    <w:p>
      <w:pPr>
        <w:ind w:left="1052"/>
        <w:spacing w:after="0"/>
        <w:rPr>
          <w:rFonts w:ascii="Arial" w:cs="Arial" w:eastAsia="Arial" w:hAnsi="Arial"/>
          <w:sz w:val="18"/>
          <w:szCs w:val="18"/>
          <w:color w:val="auto"/>
        </w:rPr>
      </w:pPr>
      <w:r>
        <w:rPr>
          <w:rFonts w:ascii="Arial" w:cs="Arial" w:eastAsia="Arial" w:hAnsi="Arial"/>
          <w:sz w:val="18"/>
          <w:szCs w:val="18"/>
          <w:color w:val="auto"/>
        </w:rPr>
        <w:t>6.1%</w:t>
      </w:r>
    </w:p>
    <w:p>
      <w:pPr>
        <w:spacing w:after="0" w:line="200" w:lineRule="exact"/>
        <w:rPr>
          <w:rFonts w:ascii="Arial" w:cs="Arial" w:eastAsia="Arial" w:hAnsi="Arial"/>
          <w:sz w:val="18"/>
          <w:szCs w:val="18"/>
          <w:color w:val="auto"/>
        </w:rPr>
      </w:pPr>
    </w:p>
    <w:p>
      <w:pPr>
        <w:spacing w:after="0" w:line="226" w:lineRule="exact"/>
        <w:rPr>
          <w:rFonts w:ascii="Arial" w:cs="Arial" w:eastAsia="Arial" w:hAnsi="Arial"/>
          <w:sz w:val="18"/>
          <w:szCs w:val="18"/>
          <w:color w:val="auto"/>
        </w:rPr>
      </w:pPr>
    </w:p>
    <w:p>
      <w:pPr>
        <w:ind w:left="1052" w:hanging="620"/>
        <w:spacing w:after="0"/>
        <w:tabs>
          <w:tab w:leader="none" w:pos="1052" w:val="left"/>
        </w:tabs>
        <w:numPr>
          <w:ilvl w:val="1"/>
          <w:numId w:val="8"/>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3" w:lineRule="exact"/>
        <w:rPr>
          <w:rFonts w:ascii="Arial" w:cs="Arial" w:eastAsia="Arial" w:hAnsi="Arial"/>
          <w:sz w:val="18"/>
          <w:szCs w:val="18"/>
          <w:color w:val="auto"/>
        </w:rPr>
      </w:pPr>
    </w:p>
    <w:p>
      <w:pPr>
        <w:ind w:left="1052"/>
        <w:spacing w:after="0"/>
        <w:rPr>
          <w:rFonts w:ascii="Arial" w:cs="Arial" w:eastAsia="Arial" w:hAnsi="Arial"/>
          <w:sz w:val="18"/>
          <w:szCs w:val="18"/>
          <w:color w:val="auto"/>
        </w:rPr>
      </w:pPr>
      <w:r>
        <w:rPr>
          <w:rFonts w:ascii="Arial" w:cs="Arial" w:eastAsia="Arial" w:hAnsi="Arial"/>
          <w:sz w:val="18"/>
          <w:szCs w:val="18"/>
          <w:color w:val="auto"/>
        </w:rPr>
        <w:t>CO</w:t>
      </w:r>
    </w:p>
    <w:p>
      <w:pPr>
        <w:spacing w:after="0" w:line="200" w:lineRule="exact"/>
        <w:rPr>
          <w:rFonts w:ascii="Arial" w:cs="Arial" w:eastAsia="Arial" w:hAnsi="Arial"/>
          <w:sz w:val="18"/>
          <w:szCs w:val="18"/>
          <w:color w:val="auto"/>
        </w:rPr>
      </w:pPr>
    </w:p>
    <w:p>
      <w:pPr>
        <w:spacing w:after="0" w:line="307" w:lineRule="exact"/>
        <w:rPr>
          <w:rFonts w:ascii="Arial" w:cs="Arial" w:eastAsia="Arial" w:hAnsi="Arial"/>
          <w:sz w:val="18"/>
          <w:szCs w:val="18"/>
          <w:color w:val="auto"/>
        </w:rPr>
      </w:pPr>
    </w:p>
    <w:p>
      <w:pPr>
        <w:ind w:left="-8" w:right="180" w:firstLine="8"/>
        <w:spacing w:after="0" w:line="277" w:lineRule="auto"/>
        <w:tabs>
          <w:tab w:leader="none" w:pos="217" w:val="left"/>
        </w:tabs>
        <w:numPr>
          <w:ilvl w:val="0"/>
          <w:numId w:val="8"/>
        </w:numPr>
        <w:rPr>
          <w:rFonts w:ascii="Arial" w:cs="Arial" w:eastAsia="Arial" w:hAnsi="Arial"/>
          <w:sz w:val="18"/>
          <w:szCs w:val="18"/>
          <w:color w:val="auto"/>
        </w:rPr>
      </w:pPr>
      <w:r>
        <w:rPr>
          <w:rFonts w:ascii="Arial" w:cs="Arial" w:eastAsia="Arial" w:hAnsi="Arial"/>
          <w:sz w:val="18"/>
          <w:szCs w:val="18"/>
          <w:color w:val="auto"/>
        </w:rPr>
        <w:t>Heights Capital Management, Inc. is the investment manager to CVI Investments, Inc. and as such may exercise voting and dispositive power over these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634365</wp:posOffset>
            </wp:positionH>
            <wp:positionV relativeFrom="paragraph">
              <wp:posOffset>-585470</wp:posOffset>
            </wp:positionV>
            <wp:extent cx="661225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634365</wp:posOffset>
            </wp:positionH>
            <wp:positionV relativeFrom="paragraph">
              <wp:posOffset>-1134110</wp:posOffset>
            </wp:positionV>
            <wp:extent cx="661225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-370840</wp:posOffset>
            </wp:positionV>
            <wp:extent cx="182689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150"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67575"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52"/>
        <w:spacing w:after="0"/>
        <w:rPr>
          <w:sz w:val="20"/>
          <w:szCs w:val="20"/>
          <w:color w:val="auto"/>
        </w:rPr>
      </w:pPr>
      <w:r>
        <w:rPr>
          <w:rFonts w:ascii="Arial" w:cs="Arial" w:eastAsia="Arial" w:hAnsi="Arial"/>
          <w:sz w:val="18"/>
          <w:szCs w:val="18"/>
          <w:color w:val="auto"/>
        </w:rPr>
        <w:t xml:space="preserve">CUSIP No: </w:t>
      </w:r>
      <w:r>
        <w:rPr>
          <w:rFonts w:ascii="Arial" w:cs="Arial" w:eastAsia="Arial" w:hAnsi="Arial"/>
          <w:sz w:val="17"/>
          <w:szCs w:val="17"/>
          <w:color w:val="auto"/>
        </w:rPr>
        <w:t>92840H202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48895</wp:posOffset>
            </wp:positionV>
            <wp:extent cx="72466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12"/>
          </w:cols>
          <w:pgMar w:left="248" w:top="490" w:right="239" w:bottom="0" w:gutter="0" w:footer="0" w:header="0"/>
        </w:sectPr>
      </w:pPr>
    </w:p>
    <w:p>
      <w:pPr>
        <w:spacing w:after="0" w:line="343" w:lineRule="exact"/>
        <w:rPr>
          <w:sz w:val="20"/>
          <w:szCs w:val="20"/>
          <w:color w:val="auto"/>
        </w:rPr>
      </w:pPr>
    </w:p>
    <w:p>
      <w:pPr>
        <w:ind w:left="52"/>
        <w:spacing w:after="0"/>
        <w:rPr>
          <w:sz w:val="20"/>
          <w:szCs w:val="20"/>
          <w:color w:val="auto"/>
        </w:rPr>
      </w:pPr>
      <w:r>
        <w:rPr>
          <w:rFonts w:ascii="Arial" w:cs="Arial" w:eastAsia="Arial" w:hAnsi="Arial"/>
          <w:sz w:val="18"/>
          <w:szCs w:val="18"/>
          <w:b w:val="1"/>
          <w:bCs w:val="1"/>
          <w:color w:val="auto"/>
        </w:rPr>
        <w:t>Item 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52"/>
        <w:spacing w:after="0"/>
        <w:rPr>
          <w:sz w:val="20"/>
          <w:szCs w:val="20"/>
          <w:color w:val="auto"/>
        </w:rPr>
      </w:pPr>
      <w:r>
        <w:rPr>
          <w:rFonts w:ascii="Arial" w:cs="Arial" w:eastAsia="Arial" w:hAnsi="Arial"/>
          <w:sz w:val="17"/>
          <w:szCs w:val="17"/>
          <w:b w:val="1"/>
          <w:bCs w:val="1"/>
          <w:color w:val="auto"/>
        </w:rPr>
        <w:t>Item 2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52"/>
        <w:spacing w:after="0"/>
        <w:rPr>
          <w:sz w:val="20"/>
          <w:szCs w:val="20"/>
          <w:color w:val="auto"/>
        </w:rPr>
      </w:pPr>
      <w:r>
        <w:rPr>
          <w:rFonts w:ascii="Arial" w:cs="Arial" w:eastAsia="Arial" w:hAnsi="Arial"/>
          <w:sz w:val="16"/>
          <w:szCs w:val="16"/>
          <w:b w:val="1"/>
          <w:bCs w:val="1"/>
          <w:color w:val="auto"/>
        </w:rPr>
        <w:t>Item 2 (b).</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52"/>
        <w:spacing w:after="0"/>
        <w:rPr>
          <w:sz w:val="20"/>
          <w:szCs w:val="20"/>
          <w:color w:val="auto"/>
        </w:rPr>
      </w:pPr>
      <w:r>
        <w:rPr>
          <w:rFonts w:ascii="Arial" w:cs="Arial" w:eastAsia="Arial" w:hAnsi="Arial"/>
          <w:sz w:val="17"/>
          <w:szCs w:val="17"/>
          <w:b w:val="1"/>
          <w:bCs w:val="1"/>
          <w:color w:val="auto"/>
        </w:rPr>
        <w:t>Item 2 (c).</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493" w:hanging="493"/>
        <w:spacing w:after="0"/>
        <w:tabs>
          <w:tab w:leader="none" w:pos="493" w:val="left"/>
        </w:tabs>
        <w:numPr>
          <w:ilvl w:val="0"/>
          <w:numId w:val="9"/>
        </w:numPr>
        <w:rPr>
          <w:rFonts w:ascii="Arial" w:cs="Arial" w:eastAsia="Arial" w:hAnsi="Arial"/>
          <w:sz w:val="18"/>
          <w:szCs w:val="18"/>
          <w:color w:val="auto"/>
        </w:rPr>
      </w:pPr>
      <w:r>
        <w:rPr>
          <w:rFonts w:ascii="Arial" w:cs="Arial" w:eastAsia="Arial" w:hAnsi="Arial"/>
          <w:sz w:val="18"/>
          <w:szCs w:val="18"/>
          <w:color w:val="auto"/>
        </w:rPr>
        <w:t>Name of Issuer</w:t>
      </w:r>
    </w:p>
    <w:p>
      <w:pPr>
        <w:spacing w:after="0" w:line="23" w:lineRule="exact"/>
        <w:rPr>
          <w:rFonts w:ascii="Arial" w:cs="Arial" w:eastAsia="Arial" w:hAnsi="Arial"/>
          <w:sz w:val="18"/>
          <w:szCs w:val="18"/>
          <w:color w:val="auto"/>
        </w:rPr>
      </w:pPr>
    </w:p>
    <w:p>
      <w:pPr>
        <w:ind w:left="493"/>
        <w:spacing w:after="0"/>
        <w:rPr>
          <w:rFonts w:ascii="Arial" w:cs="Arial" w:eastAsia="Arial" w:hAnsi="Arial"/>
          <w:sz w:val="18"/>
          <w:szCs w:val="18"/>
          <w:color w:val="auto"/>
        </w:rPr>
      </w:pPr>
      <w:r>
        <w:rPr>
          <w:rFonts w:ascii="Arial" w:cs="Arial" w:eastAsia="Arial" w:hAnsi="Arial"/>
          <w:sz w:val="18"/>
          <w:szCs w:val="18"/>
          <w:color w:val="auto"/>
        </w:rPr>
        <w:t>VistaGen Therapeutics, Inc. (the “Company”)</w:t>
      </w:r>
    </w:p>
    <w:p>
      <w:pPr>
        <w:spacing w:after="0" w:line="116" w:lineRule="exact"/>
        <w:rPr>
          <w:rFonts w:ascii="Arial" w:cs="Arial" w:eastAsia="Arial" w:hAnsi="Arial"/>
          <w:sz w:val="18"/>
          <w:szCs w:val="18"/>
          <w:color w:val="auto"/>
        </w:rPr>
      </w:pPr>
    </w:p>
    <w:p>
      <w:pPr>
        <w:ind w:left="493" w:hanging="493"/>
        <w:spacing w:after="0"/>
        <w:tabs>
          <w:tab w:leader="none" w:pos="493" w:val="left"/>
        </w:tabs>
        <w:numPr>
          <w:ilvl w:val="0"/>
          <w:numId w:val="9"/>
        </w:numPr>
        <w:rPr>
          <w:rFonts w:ascii="Arial" w:cs="Arial" w:eastAsia="Arial" w:hAnsi="Arial"/>
          <w:sz w:val="18"/>
          <w:szCs w:val="18"/>
          <w:color w:val="auto"/>
        </w:rPr>
      </w:pPr>
      <w:r>
        <w:rPr>
          <w:rFonts w:ascii="Arial" w:cs="Arial" w:eastAsia="Arial" w:hAnsi="Arial"/>
          <w:sz w:val="18"/>
          <w:szCs w:val="18"/>
          <w:color w:val="auto"/>
        </w:rPr>
        <w:t>Address of Issuer’s Principal Executive Offices</w:t>
      </w:r>
    </w:p>
    <w:p>
      <w:pPr>
        <w:spacing w:after="0" w:line="23" w:lineRule="exact"/>
        <w:rPr>
          <w:rFonts w:ascii="Arial" w:cs="Arial" w:eastAsia="Arial" w:hAnsi="Arial"/>
          <w:sz w:val="18"/>
          <w:szCs w:val="18"/>
          <w:color w:val="auto"/>
        </w:rPr>
      </w:pPr>
    </w:p>
    <w:p>
      <w:pPr>
        <w:ind w:left="493"/>
        <w:spacing w:after="0"/>
        <w:rPr>
          <w:rFonts w:ascii="Arial" w:cs="Arial" w:eastAsia="Arial" w:hAnsi="Arial"/>
          <w:sz w:val="18"/>
          <w:szCs w:val="18"/>
          <w:color w:val="auto"/>
        </w:rPr>
      </w:pPr>
      <w:r>
        <w:rPr>
          <w:rFonts w:ascii="Arial" w:cs="Arial" w:eastAsia="Arial" w:hAnsi="Arial"/>
          <w:sz w:val="18"/>
          <w:szCs w:val="18"/>
          <w:color w:val="auto"/>
        </w:rPr>
        <w:t>343 Allerton Ave., South San Francisco, CA 94090</w:t>
      </w:r>
    </w:p>
    <w:p>
      <w:pPr>
        <w:spacing w:after="0" w:line="200" w:lineRule="exact"/>
        <w:rPr>
          <w:rFonts w:ascii="Arial" w:cs="Arial" w:eastAsia="Arial" w:hAnsi="Arial"/>
          <w:sz w:val="18"/>
          <w:szCs w:val="18"/>
          <w:color w:val="auto"/>
        </w:rPr>
      </w:pPr>
    </w:p>
    <w:p>
      <w:pPr>
        <w:spacing w:after="0" w:line="226" w:lineRule="exact"/>
        <w:rPr>
          <w:rFonts w:ascii="Arial" w:cs="Arial" w:eastAsia="Arial" w:hAnsi="Arial"/>
          <w:sz w:val="18"/>
          <w:szCs w:val="18"/>
          <w:color w:val="auto"/>
        </w:rPr>
      </w:pPr>
    </w:p>
    <w:p>
      <w:pPr>
        <w:ind w:left="493"/>
        <w:spacing w:after="0"/>
        <w:rPr>
          <w:rFonts w:ascii="Arial" w:cs="Arial" w:eastAsia="Arial" w:hAnsi="Arial"/>
          <w:sz w:val="18"/>
          <w:szCs w:val="18"/>
          <w:color w:val="auto"/>
        </w:rPr>
      </w:pPr>
      <w:r>
        <w:rPr>
          <w:rFonts w:ascii="Arial" w:cs="Arial" w:eastAsia="Arial" w:hAnsi="Arial"/>
          <w:sz w:val="18"/>
          <w:szCs w:val="18"/>
          <w:color w:val="auto"/>
        </w:rPr>
        <w:t>Name of Person Filing</w:t>
      </w:r>
    </w:p>
    <w:p>
      <w:pPr>
        <w:spacing w:after="0" w:line="23" w:lineRule="exact"/>
        <w:rPr>
          <w:rFonts w:ascii="Arial" w:cs="Arial" w:eastAsia="Arial" w:hAnsi="Arial"/>
          <w:sz w:val="18"/>
          <w:szCs w:val="18"/>
          <w:color w:val="auto"/>
        </w:rPr>
      </w:pPr>
    </w:p>
    <w:p>
      <w:pPr>
        <w:ind w:left="493" w:right="380"/>
        <w:spacing w:after="0" w:line="261" w:lineRule="auto"/>
        <w:rPr>
          <w:rFonts w:ascii="Arial" w:cs="Arial" w:eastAsia="Arial" w:hAnsi="Arial"/>
          <w:sz w:val="18"/>
          <w:szCs w:val="18"/>
          <w:color w:val="auto"/>
        </w:rPr>
      </w:pPr>
      <w:r>
        <w:rPr>
          <w:rFonts w:ascii="Arial" w:cs="Arial" w:eastAsia="Arial" w:hAnsi="Arial"/>
          <w:sz w:val="18"/>
          <w:szCs w:val="18"/>
          <w:color w:val="auto"/>
        </w:rPr>
        <w:t>This statement is filed by the entities listed below, who are collectively referred to herein as “Reporting Persons,” with respect to the shares of Common Stock of the Company, $0.001 par value per share (the “Shares”).</w:t>
      </w:r>
    </w:p>
    <w:p>
      <w:pPr>
        <w:spacing w:after="0" w:line="183" w:lineRule="exact"/>
        <w:rPr>
          <w:rFonts w:ascii="Arial" w:cs="Arial" w:eastAsia="Arial" w:hAnsi="Arial"/>
          <w:sz w:val="18"/>
          <w:szCs w:val="18"/>
          <w:color w:val="auto"/>
        </w:rPr>
      </w:pPr>
    </w:p>
    <w:p>
      <w:pPr>
        <w:ind w:left="1173" w:hanging="673"/>
        <w:spacing w:after="0"/>
        <w:tabs>
          <w:tab w:leader="none" w:pos="1173" w:val="left"/>
        </w:tabs>
        <w:numPr>
          <w:ilvl w:val="1"/>
          <w:numId w:val="9"/>
        </w:numPr>
        <w:rPr>
          <w:rFonts w:ascii="Arial" w:cs="Arial" w:eastAsia="Arial" w:hAnsi="Arial"/>
          <w:sz w:val="18"/>
          <w:szCs w:val="18"/>
          <w:color w:val="auto"/>
        </w:rPr>
      </w:pPr>
      <w:r>
        <w:rPr>
          <w:rFonts w:ascii="Arial" w:cs="Arial" w:eastAsia="Arial" w:hAnsi="Arial"/>
          <w:sz w:val="18"/>
          <w:szCs w:val="18"/>
          <w:color w:val="auto"/>
        </w:rPr>
        <w:t>CVI Investments, Inc.</w:t>
      </w:r>
    </w:p>
    <w:p>
      <w:pPr>
        <w:spacing w:after="0" w:line="225" w:lineRule="exact"/>
        <w:rPr>
          <w:rFonts w:ascii="Arial" w:cs="Arial" w:eastAsia="Arial" w:hAnsi="Arial"/>
          <w:sz w:val="18"/>
          <w:szCs w:val="18"/>
          <w:color w:val="auto"/>
        </w:rPr>
      </w:pPr>
    </w:p>
    <w:p>
      <w:pPr>
        <w:ind w:left="1173" w:hanging="673"/>
        <w:spacing w:after="0"/>
        <w:tabs>
          <w:tab w:leader="none" w:pos="1173" w:val="left"/>
        </w:tabs>
        <w:numPr>
          <w:ilvl w:val="1"/>
          <w:numId w:val="9"/>
        </w:numPr>
        <w:rPr>
          <w:rFonts w:ascii="Arial" w:cs="Arial" w:eastAsia="Arial" w:hAnsi="Arial"/>
          <w:sz w:val="18"/>
          <w:szCs w:val="18"/>
          <w:color w:val="auto"/>
        </w:rPr>
      </w:pPr>
      <w:r>
        <w:rPr>
          <w:rFonts w:ascii="Arial" w:cs="Arial" w:eastAsia="Arial" w:hAnsi="Arial"/>
          <w:sz w:val="18"/>
          <w:szCs w:val="18"/>
          <w:color w:val="auto"/>
        </w:rPr>
        <w:t>Heights Capital Management,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283210</wp:posOffset>
            </wp:positionH>
            <wp:positionV relativeFrom="paragraph">
              <wp:posOffset>48895</wp:posOffset>
            </wp:positionV>
            <wp:extent cx="632904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329045" cy="8890"/>
                    </a:xfrm>
                    <a:prstGeom prst="rect">
                      <a:avLst/>
                    </a:prstGeom>
                    <a:noFill/>
                  </pic:spPr>
                </pic:pic>
              </a:graphicData>
            </a:graphic>
          </wp:anchor>
        </w:drawing>
        <w:drawing>
          <wp:anchor simplePos="0" relativeHeight="251657728" behindDoc="1" locked="0" layoutInCell="0" allowOverlap="1">
            <wp:simplePos x="0" y="0"/>
            <wp:positionH relativeFrom="column">
              <wp:posOffset>283210</wp:posOffset>
            </wp:positionH>
            <wp:positionV relativeFrom="paragraph">
              <wp:posOffset>-1184910</wp:posOffset>
            </wp:positionV>
            <wp:extent cx="632904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329045" cy="8890"/>
                    </a:xfrm>
                    <a:prstGeom prst="rect">
                      <a:avLst/>
                    </a:prstGeom>
                    <a:noFill/>
                  </pic:spPr>
                </pic:pic>
              </a:graphicData>
            </a:graphic>
          </wp:anchor>
        </w:drawing>
        <w:drawing>
          <wp:anchor simplePos="0" relativeHeight="251657728" behindDoc="1" locked="0" layoutInCell="0" allowOverlap="1">
            <wp:simplePos x="0" y="0"/>
            <wp:positionH relativeFrom="column">
              <wp:posOffset>283210</wp:posOffset>
            </wp:positionH>
            <wp:positionV relativeFrom="paragraph">
              <wp:posOffset>-1536700</wp:posOffset>
            </wp:positionV>
            <wp:extent cx="632904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329045" cy="8890"/>
                    </a:xfrm>
                    <a:prstGeom prst="rect">
                      <a:avLst/>
                    </a:prstGeom>
                    <a:noFill/>
                  </pic:spPr>
                </pic:pic>
              </a:graphicData>
            </a:graphic>
          </wp:anchor>
        </w:drawing>
      </w:r>
    </w:p>
    <w:p>
      <w:pPr>
        <w:spacing w:after="0" w:line="111" w:lineRule="exact"/>
        <w:rPr>
          <w:sz w:val="20"/>
          <w:szCs w:val="20"/>
          <w:color w:val="auto"/>
        </w:rPr>
      </w:pPr>
    </w:p>
    <w:p>
      <w:pPr>
        <w:ind w:left="493"/>
        <w:spacing w:after="0"/>
        <w:rPr>
          <w:sz w:val="20"/>
          <w:szCs w:val="20"/>
          <w:color w:val="auto"/>
        </w:rPr>
      </w:pPr>
      <w:r>
        <w:rPr>
          <w:rFonts w:ascii="Arial" w:cs="Arial" w:eastAsia="Arial" w:hAnsi="Arial"/>
          <w:sz w:val="18"/>
          <w:szCs w:val="18"/>
          <w:color w:val="auto"/>
        </w:rPr>
        <w:t>Address of Principal Business Office or, if none, Residence</w:t>
      </w:r>
    </w:p>
    <w:p>
      <w:pPr>
        <w:spacing w:after="0" w:line="23" w:lineRule="exact"/>
        <w:rPr>
          <w:sz w:val="20"/>
          <w:szCs w:val="20"/>
          <w:color w:val="auto"/>
        </w:rPr>
      </w:pPr>
    </w:p>
    <w:p>
      <w:pPr>
        <w:ind w:left="493"/>
        <w:spacing w:after="0"/>
        <w:rPr>
          <w:sz w:val="20"/>
          <w:szCs w:val="20"/>
          <w:color w:val="auto"/>
        </w:rPr>
      </w:pPr>
      <w:r>
        <w:rPr>
          <w:rFonts w:ascii="Arial" w:cs="Arial" w:eastAsia="Arial" w:hAnsi="Arial"/>
          <w:sz w:val="18"/>
          <w:szCs w:val="18"/>
          <w:color w:val="auto"/>
        </w:rPr>
        <w:t>The address of the principal business office of CVI Investments, Inc. is:</w:t>
      </w:r>
    </w:p>
    <w:p>
      <w:pPr>
        <w:spacing w:after="0" w:line="211" w:lineRule="exact"/>
        <w:rPr>
          <w:sz w:val="20"/>
          <w:szCs w:val="20"/>
          <w:color w:val="auto"/>
        </w:rPr>
      </w:pPr>
    </w:p>
    <w:p>
      <w:pPr>
        <w:ind w:left="493"/>
        <w:spacing w:after="0"/>
        <w:rPr>
          <w:sz w:val="20"/>
          <w:szCs w:val="20"/>
          <w:color w:val="auto"/>
        </w:rPr>
      </w:pPr>
      <w:r>
        <w:rPr>
          <w:rFonts w:ascii="Arial" w:cs="Arial" w:eastAsia="Arial" w:hAnsi="Arial"/>
          <w:sz w:val="18"/>
          <w:szCs w:val="18"/>
          <w:color w:val="auto"/>
        </w:rPr>
        <w:t>P.O. Box 309GT</w:t>
      </w:r>
    </w:p>
    <w:p>
      <w:pPr>
        <w:spacing w:after="0" w:line="23" w:lineRule="exact"/>
        <w:rPr>
          <w:sz w:val="20"/>
          <w:szCs w:val="20"/>
          <w:color w:val="auto"/>
        </w:rPr>
      </w:pPr>
    </w:p>
    <w:p>
      <w:pPr>
        <w:ind w:left="493"/>
        <w:spacing w:after="0"/>
        <w:rPr>
          <w:sz w:val="20"/>
          <w:szCs w:val="20"/>
          <w:color w:val="auto"/>
        </w:rPr>
      </w:pPr>
      <w:r>
        <w:rPr>
          <w:rFonts w:ascii="Arial" w:cs="Arial" w:eastAsia="Arial" w:hAnsi="Arial"/>
          <w:sz w:val="18"/>
          <w:szCs w:val="18"/>
          <w:color w:val="auto"/>
        </w:rPr>
        <w:t>Ugland House</w:t>
      </w:r>
    </w:p>
    <w:p>
      <w:pPr>
        <w:spacing w:after="0" w:line="9" w:lineRule="exact"/>
        <w:rPr>
          <w:sz w:val="20"/>
          <w:szCs w:val="20"/>
          <w:color w:val="auto"/>
        </w:rPr>
      </w:pPr>
    </w:p>
    <w:p>
      <w:pPr>
        <w:ind w:left="493"/>
        <w:spacing w:after="0"/>
        <w:rPr>
          <w:sz w:val="20"/>
          <w:szCs w:val="20"/>
          <w:color w:val="auto"/>
        </w:rPr>
      </w:pPr>
      <w:r>
        <w:rPr>
          <w:rFonts w:ascii="Arial" w:cs="Arial" w:eastAsia="Arial" w:hAnsi="Arial"/>
          <w:sz w:val="18"/>
          <w:szCs w:val="18"/>
          <w:color w:val="auto"/>
        </w:rPr>
        <w:t>South Church Street</w:t>
      </w:r>
    </w:p>
    <w:p>
      <w:pPr>
        <w:spacing w:after="0" w:line="9" w:lineRule="exact"/>
        <w:rPr>
          <w:sz w:val="20"/>
          <w:szCs w:val="20"/>
          <w:color w:val="auto"/>
        </w:rPr>
      </w:pPr>
    </w:p>
    <w:p>
      <w:pPr>
        <w:ind w:left="493"/>
        <w:spacing w:after="0"/>
        <w:rPr>
          <w:sz w:val="20"/>
          <w:szCs w:val="20"/>
          <w:color w:val="auto"/>
        </w:rPr>
      </w:pPr>
      <w:r>
        <w:rPr>
          <w:rFonts w:ascii="Arial" w:cs="Arial" w:eastAsia="Arial" w:hAnsi="Arial"/>
          <w:sz w:val="18"/>
          <w:szCs w:val="18"/>
          <w:color w:val="auto"/>
        </w:rPr>
        <w:t>George Town</w:t>
      </w:r>
    </w:p>
    <w:p>
      <w:pPr>
        <w:spacing w:after="0" w:line="9" w:lineRule="exact"/>
        <w:rPr>
          <w:sz w:val="20"/>
          <w:szCs w:val="20"/>
          <w:color w:val="auto"/>
        </w:rPr>
      </w:pPr>
    </w:p>
    <w:p>
      <w:pPr>
        <w:ind w:left="493"/>
        <w:spacing w:after="0"/>
        <w:rPr>
          <w:sz w:val="20"/>
          <w:szCs w:val="20"/>
          <w:color w:val="auto"/>
        </w:rPr>
      </w:pPr>
      <w:r>
        <w:rPr>
          <w:rFonts w:ascii="Arial" w:cs="Arial" w:eastAsia="Arial" w:hAnsi="Arial"/>
          <w:sz w:val="18"/>
          <w:szCs w:val="18"/>
          <w:color w:val="auto"/>
        </w:rPr>
        <w:t>Grand Cayman</w:t>
      </w:r>
    </w:p>
    <w:p>
      <w:pPr>
        <w:spacing w:after="0" w:line="9" w:lineRule="exact"/>
        <w:rPr>
          <w:sz w:val="20"/>
          <w:szCs w:val="20"/>
          <w:color w:val="auto"/>
        </w:rPr>
      </w:pPr>
    </w:p>
    <w:p>
      <w:pPr>
        <w:ind w:left="493"/>
        <w:spacing w:after="0"/>
        <w:rPr>
          <w:sz w:val="20"/>
          <w:szCs w:val="20"/>
          <w:color w:val="auto"/>
        </w:rPr>
      </w:pPr>
      <w:r>
        <w:rPr>
          <w:rFonts w:ascii="Arial" w:cs="Arial" w:eastAsia="Arial" w:hAnsi="Arial"/>
          <w:sz w:val="18"/>
          <w:szCs w:val="18"/>
          <w:color w:val="auto"/>
        </w:rPr>
        <w:t>KY1-1104</w:t>
      </w:r>
    </w:p>
    <w:p>
      <w:pPr>
        <w:spacing w:after="0" w:line="9" w:lineRule="exact"/>
        <w:rPr>
          <w:sz w:val="20"/>
          <w:szCs w:val="20"/>
          <w:color w:val="auto"/>
        </w:rPr>
      </w:pPr>
    </w:p>
    <w:p>
      <w:pPr>
        <w:ind w:left="493"/>
        <w:spacing w:after="0"/>
        <w:rPr>
          <w:sz w:val="20"/>
          <w:szCs w:val="20"/>
          <w:color w:val="auto"/>
        </w:rPr>
      </w:pPr>
      <w:r>
        <w:rPr>
          <w:rFonts w:ascii="Arial" w:cs="Arial" w:eastAsia="Arial" w:hAnsi="Arial"/>
          <w:sz w:val="18"/>
          <w:szCs w:val="18"/>
          <w:color w:val="auto"/>
        </w:rPr>
        <w:t>Cayman Islands</w:t>
      </w:r>
    </w:p>
    <w:p>
      <w:pPr>
        <w:spacing w:after="0" w:line="211" w:lineRule="exact"/>
        <w:rPr>
          <w:sz w:val="20"/>
          <w:szCs w:val="20"/>
          <w:color w:val="auto"/>
        </w:rPr>
      </w:pPr>
    </w:p>
    <w:p>
      <w:pPr>
        <w:ind w:left="493"/>
        <w:spacing w:after="0"/>
        <w:rPr>
          <w:sz w:val="20"/>
          <w:szCs w:val="20"/>
          <w:color w:val="auto"/>
        </w:rPr>
      </w:pPr>
      <w:r>
        <w:rPr>
          <w:rFonts w:ascii="Arial" w:cs="Arial" w:eastAsia="Arial" w:hAnsi="Arial"/>
          <w:sz w:val="18"/>
          <w:szCs w:val="18"/>
          <w:color w:val="auto"/>
        </w:rPr>
        <w:t>The address of the principal business office of Heights Capital Management, Inc. is:</w:t>
      </w:r>
    </w:p>
    <w:p>
      <w:pPr>
        <w:spacing w:after="0" w:line="225" w:lineRule="exact"/>
        <w:rPr>
          <w:sz w:val="20"/>
          <w:szCs w:val="20"/>
          <w:color w:val="auto"/>
        </w:rPr>
      </w:pPr>
    </w:p>
    <w:p>
      <w:pPr>
        <w:ind w:left="493"/>
        <w:spacing w:after="0"/>
        <w:rPr>
          <w:sz w:val="20"/>
          <w:szCs w:val="20"/>
          <w:color w:val="auto"/>
        </w:rPr>
      </w:pPr>
      <w:r>
        <w:rPr>
          <w:rFonts w:ascii="Arial" w:cs="Arial" w:eastAsia="Arial" w:hAnsi="Arial"/>
          <w:sz w:val="18"/>
          <w:szCs w:val="18"/>
          <w:color w:val="auto"/>
        </w:rPr>
        <w:t>101 California Street, Suite 3250</w:t>
      </w:r>
    </w:p>
    <w:p>
      <w:pPr>
        <w:spacing w:after="0" w:line="23" w:lineRule="exact"/>
        <w:rPr>
          <w:sz w:val="20"/>
          <w:szCs w:val="20"/>
          <w:color w:val="auto"/>
        </w:rPr>
      </w:pPr>
    </w:p>
    <w:p>
      <w:pPr>
        <w:ind w:left="493"/>
        <w:spacing w:after="0"/>
        <w:rPr>
          <w:sz w:val="20"/>
          <w:szCs w:val="20"/>
          <w:color w:val="auto"/>
        </w:rPr>
      </w:pPr>
      <w:r>
        <w:rPr>
          <w:rFonts w:ascii="Arial" w:cs="Arial" w:eastAsia="Arial" w:hAnsi="Arial"/>
          <w:sz w:val="18"/>
          <w:szCs w:val="18"/>
          <w:color w:val="auto"/>
        </w:rPr>
        <w:t>San Francisco, California 94111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283210</wp:posOffset>
            </wp:positionH>
            <wp:positionV relativeFrom="paragraph">
              <wp:posOffset>40005</wp:posOffset>
            </wp:positionV>
            <wp:extent cx="632904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329045" cy="8890"/>
                    </a:xfrm>
                    <a:prstGeom prst="rect">
                      <a:avLst/>
                    </a:prstGeom>
                    <a:noFill/>
                  </pic:spPr>
                </pic:pic>
              </a:graphicData>
            </a:graphic>
          </wp:anchor>
        </w:drawing>
      </w:r>
    </w:p>
    <w:p>
      <w:pPr>
        <w:spacing w:after="0" w:line="96" w:lineRule="exact"/>
        <w:rPr>
          <w:sz w:val="20"/>
          <w:szCs w:val="20"/>
          <w:color w:val="auto"/>
        </w:rPr>
      </w:pPr>
    </w:p>
    <w:p>
      <w:pPr>
        <w:ind w:left="493"/>
        <w:spacing w:after="0"/>
        <w:rPr>
          <w:sz w:val="20"/>
          <w:szCs w:val="20"/>
          <w:color w:val="auto"/>
        </w:rPr>
      </w:pPr>
      <w:r>
        <w:rPr>
          <w:rFonts w:ascii="Arial" w:cs="Arial" w:eastAsia="Arial" w:hAnsi="Arial"/>
          <w:sz w:val="18"/>
          <w:szCs w:val="18"/>
          <w:color w:val="auto"/>
        </w:rPr>
        <w:t>Citizenship</w:t>
      </w:r>
    </w:p>
    <w:p>
      <w:pPr>
        <w:spacing w:after="0" w:line="23" w:lineRule="exact"/>
        <w:rPr>
          <w:sz w:val="20"/>
          <w:szCs w:val="20"/>
          <w:color w:val="auto"/>
        </w:rPr>
      </w:pPr>
    </w:p>
    <w:p>
      <w:pPr>
        <w:ind w:left="493" w:right="380"/>
        <w:spacing w:after="0" w:line="261" w:lineRule="auto"/>
        <w:rPr>
          <w:sz w:val="20"/>
          <w:szCs w:val="20"/>
          <w:color w:val="auto"/>
        </w:rPr>
      </w:pPr>
      <w:r>
        <w:rPr>
          <w:rFonts w:ascii="Arial" w:cs="Arial" w:eastAsia="Arial" w:hAnsi="Arial"/>
          <w:sz w:val="18"/>
          <w:szCs w:val="18"/>
          <w:color w:val="auto"/>
        </w:rPr>
        <w:t>Citizenship is set forth in Row 4 of the cover page for each Reporting Person hereto and is incorporated herein by reference for each such Reporting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283210</wp:posOffset>
            </wp:positionH>
            <wp:positionV relativeFrom="paragraph">
              <wp:posOffset>22860</wp:posOffset>
            </wp:positionV>
            <wp:extent cx="632904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329045" cy="8890"/>
                    </a:xfrm>
                    <a:prstGeom prst="rect">
                      <a:avLst/>
                    </a:prstGeom>
                    <a:noFill/>
                  </pic:spPr>
                </pic:pic>
              </a:graphicData>
            </a:graphic>
          </wp:anchor>
        </w:drawing>
      </w:r>
    </w:p>
    <w:p>
      <w:pPr>
        <w:spacing w:after="0" w:line="72" w:lineRule="exact"/>
        <w:rPr>
          <w:sz w:val="20"/>
          <w:szCs w:val="20"/>
          <w:color w:val="auto"/>
        </w:rPr>
      </w:pPr>
    </w:p>
    <w:p>
      <w:pPr>
        <w:sectPr>
          <w:pgSz w:w="11900" w:h="16838" w:orient="portrait"/>
          <w:cols w:equalWidth="0" w:num="2">
            <w:col w:w="852" w:space="147"/>
            <w:col w:w="10413"/>
          </w:cols>
          <w:pgMar w:left="248" w:top="490" w:right="239" w:bottom="0" w:gutter="0" w:footer="0" w:header="0"/>
          <w:type w:val="continuous"/>
        </w:sectPr>
      </w:pPr>
    </w:p>
    <w:tbl>
      <w:tblPr>
        <w:tblLayout w:type="fixed"/>
        <w:tblInd w:w="52" w:type="dxa"/>
        <w:tblCellMar>
          <w:top w:w="0" w:type="dxa"/>
          <w:left w:w="0" w:type="dxa"/>
          <w:bottom w:w="0" w:type="dxa"/>
          <w:right w:w="0" w:type="dxa"/>
        </w:tblCellMar>
      </w:tblPr>
      <w:tr>
        <w:trPr>
          <w:trHeight w:val="234"/>
        </w:trPr>
        <w:tc>
          <w:tcPr>
            <w:tcW w:w="520" w:type="dxa"/>
            <w:vAlign w:val="bottom"/>
          </w:tcPr>
          <w:p>
            <w:pPr>
              <w:spacing w:after="0"/>
              <w:rPr>
                <w:sz w:val="20"/>
                <w:szCs w:val="20"/>
                <w:color w:val="auto"/>
              </w:rPr>
            </w:pPr>
            <w:r>
              <w:rPr>
                <w:rFonts w:ascii="Arial" w:cs="Arial" w:eastAsia="Arial" w:hAnsi="Arial"/>
                <w:sz w:val="18"/>
                <w:szCs w:val="18"/>
                <w:b w:val="1"/>
                <w:bCs w:val="1"/>
                <w:color w:val="auto"/>
                <w:w w:val="96"/>
              </w:rPr>
              <w:t>Item 2</w:t>
            </w:r>
          </w:p>
        </w:tc>
        <w:tc>
          <w:tcPr>
            <w:tcW w:w="880" w:type="dxa"/>
            <w:vAlign w:val="bottom"/>
          </w:tcPr>
          <w:p>
            <w:pPr>
              <w:ind w:left="20"/>
              <w:spacing w:after="0"/>
              <w:rPr>
                <w:sz w:val="20"/>
                <w:szCs w:val="20"/>
                <w:color w:val="auto"/>
              </w:rPr>
            </w:pPr>
            <w:r>
              <w:rPr>
                <w:rFonts w:ascii="Arial" w:cs="Arial" w:eastAsia="Arial" w:hAnsi="Arial"/>
                <w:sz w:val="18"/>
                <w:szCs w:val="18"/>
                <w:b w:val="1"/>
                <w:bCs w:val="1"/>
                <w:color w:val="auto"/>
              </w:rPr>
              <w:t>(d)</w:t>
            </w:r>
          </w:p>
        </w:tc>
        <w:tc>
          <w:tcPr>
            <w:tcW w:w="9960" w:type="dxa"/>
            <w:vAlign w:val="bottom"/>
          </w:tcPr>
          <w:p>
            <w:pPr>
              <w:ind w:left="40"/>
              <w:spacing w:after="0"/>
              <w:rPr>
                <w:sz w:val="20"/>
                <w:szCs w:val="20"/>
                <w:color w:val="auto"/>
              </w:rPr>
            </w:pPr>
            <w:r>
              <w:rPr>
                <w:rFonts w:ascii="Arial" w:cs="Arial" w:eastAsia="Arial" w:hAnsi="Arial"/>
                <w:sz w:val="18"/>
                <w:szCs w:val="18"/>
                <w:color w:val="auto"/>
              </w:rPr>
              <w:t>Title of Class of Securities</w:t>
            </w: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9960" w:type="dxa"/>
            <w:vAlign w:val="bottom"/>
          </w:tcPr>
          <w:p>
            <w:pPr>
              <w:ind w:left="40"/>
              <w:spacing w:after="0"/>
              <w:rPr>
                <w:sz w:val="20"/>
                <w:szCs w:val="20"/>
                <w:color w:val="auto"/>
              </w:rPr>
            </w:pPr>
            <w:r>
              <w:rPr>
                <w:rFonts w:ascii="Arial" w:cs="Arial" w:eastAsia="Arial" w:hAnsi="Arial"/>
                <w:sz w:val="18"/>
                <w:szCs w:val="18"/>
                <w:color w:val="auto"/>
              </w:rPr>
              <w:t>Common Stock, $0.001 par value per share</w:t>
            </w:r>
          </w:p>
        </w:tc>
        <w:tc>
          <w:tcPr>
            <w:tcW w:w="0" w:type="dxa"/>
            <w:vAlign w:val="bottom"/>
          </w:tcPr>
          <w:p>
            <w:pPr>
              <w:spacing w:after="0"/>
              <w:rPr>
                <w:sz w:val="1"/>
                <w:szCs w:val="1"/>
                <w:color w:val="auto"/>
              </w:rPr>
            </w:pPr>
          </w:p>
        </w:tc>
      </w:tr>
      <w:tr>
        <w:trPr>
          <w:trHeight w:val="54"/>
        </w:trPr>
        <w:tc>
          <w:tcPr>
            <w:tcW w:w="520" w:type="dxa"/>
            <w:vAlign w:val="bottom"/>
            <w:vMerge w:val="restart"/>
          </w:tcPr>
          <w:p>
            <w:pPr>
              <w:spacing w:after="0"/>
              <w:rPr>
                <w:sz w:val="20"/>
                <w:szCs w:val="20"/>
                <w:color w:val="auto"/>
              </w:rPr>
            </w:pPr>
            <w:r>
              <w:rPr>
                <w:rFonts w:ascii="Arial" w:cs="Arial" w:eastAsia="Arial" w:hAnsi="Arial"/>
                <w:sz w:val="18"/>
                <w:szCs w:val="18"/>
                <w:b w:val="1"/>
                <w:bCs w:val="1"/>
                <w:color w:val="auto"/>
                <w:w w:val="96"/>
              </w:rPr>
              <w:t>Item 2</w:t>
            </w:r>
          </w:p>
        </w:tc>
        <w:tc>
          <w:tcPr>
            <w:tcW w:w="88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(e)</w:t>
            </w:r>
          </w:p>
        </w:tc>
        <w:tc>
          <w:tcPr>
            <w:tcW w:w="99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5"/>
        </w:trPr>
        <w:tc>
          <w:tcPr>
            <w:tcW w:w="520" w:type="dxa"/>
            <w:vAlign w:val="bottom"/>
            <w:vMerge w:val="continue"/>
          </w:tcPr>
          <w:p>
            <w:pPr>
              <w:spacing w:after="0"/>
              <w:rPr>
                <w:sz w:val="22"/>
                <w:szCs w:val="22"/>
                <w:color w:val="auto"/>
              </w:rPr>
            </w:pPr>
          </w:p>
        </w:tc>
        <w:tc>
          <w:tcPr>
            <w:tcW w:w="880" w:type="dxa"/>
            <w:vAlign w:val="bottom"/>
            <w:vMerge w:val="continue"/>
          </w:tcPr>
          <w:p>
            <w:pPr>
              <w:spacing w:after="0"/>
              <w:rPr>
                <w:sz w:val="22"/>
                <w:szCs w:val="22"/>
                <w:color w:val="auto"/>
              </w:rPr>
            </w:pPr>
          </w:p>
        </w:tc>
        <w:tc>
          <w:tcPr>
            <w:tcW w:w="9960" w:type="dxa"/>
            <w:vAlign w:val="bottom"/>
          </w:tcPr>
          <w:p>
            <w:pPr>
              <w:ind w:left="40"/>
              <w:spacing w:after="0"/>
              <w:rPr>
                <w:sz w:val="20"/>
                <w:szCs w:val="20"/>
                <w:color w:val="auto"/>
              </w:rPr>
            </w:pPr>
            <w:r>
              <w:rPr>
                <w:rFonts w:ascii="Arial" w:cs="Arial" w:eastAsia="Arial" w:hAnsi="Arial"/>
                <w:sz w:val="18"/>
                <w:szCs w:val="18"/>
                <w:color w:val="auto"/>
              </w:rPr>
              <w:t>CUSIP Number</w:t>
            </w:r>
          </w:p>
        </w:tc>
        <w:tc>
          <w:tcPr>
            <w:tcW w:w="0" w:type="dxa"/>
            <w:vAlign w:val="bottom"/>
          </w:tcPr>
          <w:p>
            <w:pPr>
              <w:spacing w:after="0"/>
              <w:rPr>
                <w:sz w:val="1"/>
                <w:szCs w:val="1"/>
                <w:color w:val="auto"/>
              </w:rPr>
            </w:pPr>
          </w:p>
        </w:tc>
      </w:tr>
      <w:tr>
        <w:trPr>
          <w:trHeight w:val="222"/>
        </w:trPr>
        <w:tc>
          <w:tcPr>
            <w:tcW w:w="5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9960" w:type="dxa"/>
            <w:vAlign w:val="bottom"/>
          </w:tcPr>
          <w:p>
            <w:pPr>
              <w:ind w:left="40"/>
              <w:spacing w:after="0"/>
              <w:rPr>
                <w:sz w:val="20"/>
                <w:szCs w:val="20"/>
                <w:color w:val="auto"/>
              </w:rPr>
            </w:pPr>
            <w:r>
              <w:rPr>
                <w:rFonts w:ascii="Arial" w:cs="Arial" w:eastAsia="Arial" w:hAnsi="Arial"/>
                <w:sz w:val="18"/>
                <w:szCs w:val="18"/>
                <w:color w:val="auto"/>
              </w:rPr>
              <w:t>92840H202</w:t>
            </w:r>
          </w:p>
        </w:tc>
        <w:tc>
          <w:tcPr>
            <w:tcW w:w="0" w:type="dxa"/>
            <w:vAlign w:val="bottom"/>
          </w:tcPr>
          <w:p>
            <w:pPr>
              <w:spacing w:after="0"/>
              <w:rPr>
                <w:sz w:val="1"/>
                <w:szCs w:val="1"/>
                <w:color w:val="auto"/>
              </w:rPr>
            </w:pPr>
          </w:p>
        </w:tc>
      </w:tr>
      <w:tr>
        <w:trPr>
          <w:trHeight w:val="56"/>
        </w:trPr>
        <w:tc>
          <w:tcPr>
            <w:tcW w:w="520" w:type="dxa"/>
            <w:vAlign w:val="bottom"/>
          </w:tcPr>
          <w:p>
            <w:pPr>
              <w:spacing w:after="0"/>
              <w:rPr>
                <w:sz w:val="4"/>
                <w:szCs w:val="4"/>
                <w:color w:val="auto"/>
              </w:rPr>
            </w:pPr>
          </w:p>
        </w:tc>
        <w:tc>
          <w:tcPr>
            <w:tcW w:w="880" w:type="dxa"/>
            <w:vAlign w:val="bottom"/>
          </w:tcPr>
          <w:p>
            <w:pPr>
              <w:spacing w:after="0"/>
              <w:rPr>
                <w:sz w:val="4"/>
                <w:szCs w:val="4"/>
                <w:color w:val="auto"/>
              </w:rPr>
            </w:pPr>
          </w:p>
        </w:tc>
        <w:tc>
          <w:tcPr>
            <w:tcW w:w="99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346" w:lineRule="exact"/>
        <w:rPr>
          <w:sz w:val="20"/>
          <w:szCs w:val="20"/>
          <w:color w:val="auto"/>
        </w:rPr>
      </w:pPr>
    </w:p>
    <w:p>
      <w:pPr>
        <w:ind w:left="52"/>
        <w:spacing w:after="0"/>
        <w:tabs>
          <w:tab w:leader="none" w:pos="972"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If this statement is filed pursuant to §§240.13d-1(b) or 240.13d-2(b) or (c), check whether the person filing is a:</w:t>
      </w:r>
    </w:p>
    <w:p>
      <w:pPr>
        <w:spacing w:after="0" w:line="175" w:lineRule="exact"/>
        <w:rPr>
          <w:sz w:val="20"/>
          <w:szCs w:val="20"/>
          <w:color w:val="auto"/>
        </w:rPr>
      </w:pPr>
    </w:p>
    <w:p>
      <w:pPr>
        <w:ind w:left="1492" w:hanging="493"/>
        <w:spacing w:after="0"/>
        <w:tabs>
          <w:tab w:leader="none" w:pos="1492" w:val="left"/>
        </w:tabs>
        <w:numPr>
          <w:ilvl w:val="0"/>
          <w:numId w:val="10"/>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Broker or dealer registered under section 15 of the Act (15 U.S.C. 78o).</w:t>
      </w:r>
    </w:p>
    <w:p>
      <w:pPr>
        <w:spacing w:after="0" w:line="225" w:lineRule="exact"/>
        <w:rPr>
          <w:rFonts w:ascii="Arial" w:cs="Arial" w:eastAsia="Arial" w:hAnsi="Arial"/>
          <w:sz w:val="18"/>
          <w:szCs w:val="18"/>
          <w:color w:val="auto"/>
        </w:rPr>
      </w:pPr>
    </w:p>
    <w:p>
      <w:pPr>
        <w:ind w:left="1492" w:hanging="493"/>
        <w:spacing w:after="0"/>
        <w:tabs>
          <w:tab w:leader="none" w:pos="1492" w:val="left"/>
        </w:tabs>
        <w:numPr>
          <w:ilvl w:val="0"/>
          <w:numId w:val="10"/>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Bank as defined in section 3(a)(6) of the Act (15 U.S.C. 78c).</w:t>
      </w:r>
    </w:p>
    <w:p>
      <w:pPr>
        <w:spacing w:after="0" w:line="225" w:lineRule="exact"/>
        <w:rPr>
          <w:rFonts w:ascii="Arial" w:cs="Arial" w:eastAsia="Arial" w:hAnsi="Arial"/>
          <w:sz w:val="18"/>
          <w:szCs w:val="18"/>
          <w:color w:val="auto"/>
        </w:rPr>
      </w:pPr>
    </w:p>
    <w:p>
      <w:pPr>
        <w:ind w:left="1492" w:hanging="493"/>
        <w:spacing w:after="0"/>
        <w:tabs>
          <w:tab w:leader="none" w:pos="1492" w:val="left"/>
        </w:tabs>
        <w:numPr>
          <w:ilvl w:val="0"/>
          <w:numId w:val="10"/>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Insurance company as defined in section 3(a)(19) of the Act (15 U.S.C. 78c).</w:t>
      </w:r>
    </w:p>
    <w:p>
      <w:pPr>
        <w:spacing w:after="0" w:line="225" w:lineRule="exact"/>
        <w:rPr>
          <w:rFonts w:ascii="Arial" w:cs="Arial" w:eastAsia="Arial" w:hAnsi="Arial"/>
          <w:sz w:val="18"/>
          <w:szCs w:val="18"/>
          <w:color w:val="auto"/>
        </w:rPr>
      </w:pPr>
    </w:p>
    <w:p>
      <w:pPr>
        <w:ind w:left="1492" w:hanging="493"/>
        <w:spacing w:after="0"/>
        <w:tabs>
          <w:tab w:leader="none" w:pos="1492" w:val="left"/>
        </w:tabs>
        <w:numPr>
          <w:ilvl w:val="0"/>
          <w:numId w:val="10"/>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Investment company registered under section 8 of the Investment Company Act of 1940 (15 U.S.C. 80a-8).</w:t>
      </w:r>
    </w:p>
    <w:p>
      <w:pPr>
        <w:spacing w:after="0" w:line="225" w:lineRule="exact"/>
        <w:rPr>
          <w:rFonts w:ascii="Arial" w:cs="Arial" w:eastAsia="Arial" w:hAnsi="Arial"/>
          <w:sz w:val="18"/>
          <w:szCs w:val="18"/>
          <w:color w:val="auto"/>
        </w:rPr>
      </w:pPr>
    </w:p>
    <w:p>
      <w:pPr>
        <w:ind w:left="1492" w:hanging="493"/>
        <w:spacing w:after="0"/>
        <w:tabs>
          <w:tab w:leader="none" w:pos="1492" w:val="left"/>
        </w:tabs>
        <w:numPr>
          <w:ilvl w:val="0"/>
          <w:numId w:val="10"/>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An investment adviser in accordance with §240.13d-1(b)(1)(ii)(E);</w:t>
      </w:r>
    </w:p>
    <w:p>
      <w:pPr>
        <w:spacing w:after="0" w:line="225" w:lineRule="exact"/>
        <w:rPr>
          <w:rFonts w:ascii="Arial" w:cs="Arial" w:eastAsia="Arial" w:hAnsi="Arial"/>
          <w:sz w:val="18"/>
          <w:szCs w:val="18"/>
          <w:color w:val="auto"/>
        </w:rPr>
      </w:pPr>
    </w:p>
    <w:p>
      <w:pPr>
        <w:ind w:left="1492" w:hanging="493"/>
        <w:spacing w:after="0"/>
        <w:tabs>
          <w:tab w:leader="none" w:pos="1492" w:val="left"/>
        </w:tabs>
        <w:numPr>
          <w:ilvl w:val="0"/>
          <w:numId w:val="10"/>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An employee benefit plan or endowment fund in accordance with §240.13d-1(b)(1)(ii)(F);</w:t>
      </w:r>
    </w:p>
    <w:p>
      <w:pPr>
        <w:spacing w:after="0" w:line="225" w:lineRule="exact"/>
        <w:rPr>
          <w:rFonts w:ascii="Arial" w:cs="Arial" w:eastAsia="Arial" w:hAnsi="Arial"/>
          <w:sz w:val="18"/>
          <w:szCs w:val="18"/>
          <w:color w:val="auto"/>
        </w:rPr>
      </w:pPr>
    </w:p>
    <w:p>
      <w:pPr>
        <w:ind w:left="1492" w:hanging="493"/>
        <w:spacing w:after="0"/>
        <w:tabs>
          <w:tab w:leader="none" w:pos="1492" w:val="left"/>
        </w:tabs>
        <w:numPr>
          <w:ilvl w:val="0"/>
          <w:numId w:val="10"/>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A parent holding company or control person in accordance with §240.13d-1(b)(1)(ii)(G);</w:t>
      </w:r>
    </w:p>
    <w:p>
      <w:pPr>
        <w:spacing w:after="0" w:line="20" w:lineRule="exact"/>
        <w:rPr>
          <w:sz w:val="20"/>
          <w:szCs w:val="20"/>
          <w:color w:val="auto"/>
        </w:rPr>
      </w:pPr>
    </w:p>
    <w:p>
      <w:pPr>
        <w:sectPr>
          <w:pgSz w:w="11900" w:h="16838" w:orient="portrait"/>
          <w:cols w:equalWidth="0" w:num="1">
            <w:col w:w="11412"/>
          </w:cols>
          <w:pgMar w:left="248" w:top="490" w:right="239" w:bottom="0" w:gutter="0" w:footer="0" w:header="0"/>
          <w:type w:val="continuous"/>
        </w:sectPr>
      </w:pPr>
    </w:p>
    <w:bookmarkStart w:id="3" w:name="page4"/>
    <w:bookmarkEnd w:id="3"/>
    <w:p>
      <w:pPr>
        <w:ind w:left="1500" w:hanging="493"/>
        <w:spacing w:after="0"/>
        <w:tabs>
          <w:tab w:leader="none" w:pos="15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A savings association as defined in Section 3(b) of the Federal Deposit Insurance Act (12 U.S.C. 1813);</w:t>
      </w:r>
    </w:p>
    <w:p>
      <w:pPr>
        <w:spacing w:after="0" w:line="225" w:lineRule="exact"/>
        <w:rPr>
          <w:rFonts w:ascii="Arial" w:cs="Arial" w:eastAsia="Arial" w:hAnsi="Arial"/>
          <w:sz w:val="18"/>
          <w:szCs w:val="18"/>
          <w:color w:val="auto"/>
        </w:rPr>
      </w:pPr>
    </w:p>
    <w:p>
      <w:pPr>
        <w:ind w:left="2020" w:right="100" w:hanging="1013"/>
        <w:spacing w:after="0" w:line="277" w:lineRule="auto"/>
        <w:tabs>
          <w:tab w:leader="none" w:pos="1507" w:val="left"/>
        </w:tabs>
        <w:numPr>
          <w:ilvl w:val="0"/>
          <w:numId w:val="11"/>
        </w:numPr>
        <w:rPr>
          <w:rFonts w:ascii="Arial" w:cs="Arial" w:eastAsia="Arial" w:hAnsi="Arial"/>
          <w:sz w:val="18"/>
          <w:szCs w:val="18"/>
          <w:color w:val="auto"/>
        </w:rPr>
      </w:pPr>
      <w:r>
        <w:rPr>
          <w:rFonts w:ascii="Arial" w:cs="Arial" w:eastAsia="Arial" w:hAnsi="Arial"/>
          <w:sz w:val="18"/>
          <w:szCs w:val="18"/>
          <w:color w:val="auto"/>
        </w:rPr>
        <w:t>oA church plan that is excluded from the definition of an investment company under section 3(c)(14) of the Investment Company Act of 1940 (15 U.S.C. 80a-3);</w:t>
      </w:r>
    </w:p>
    <w:p>
      <w:pPr>
        <w:spacing w:after="0" w:line="170" w:lineRule="exact"/>
        <w:rPr>
          <w:rFonts w:ascii="Arial" w:cs="Arial" w:eastAsia="Arial" w:hAnsi="Arial"/>
          <w:sz w:val="18"/>
          <w:szCs w:val="18"/>
          <w:color w:val="auto"/>
        </w:rPr>
      </w:pPr>
    </w:p>
    <w:p>
      <w:pPr>
        <w:ind w:left="1500" w:hanging="493"/>
        <w:spacing w:after="0"/>
        <w:tabs>
          <w:tab w:leader="none" w:pos="15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A non-U.S. institution in accordance with § 240.13d-1(b)(1)(ii)(J);</w:t>
      </w:r>
    </w:p>
    <w:p>
      <w:pPr>
        <w:spacing w:after="0" w:line="16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Group, in accordance with Rule 13d-1(b)(1)(ii)(K). If filing as a non-U.S. institution in accordance with</w:t>
      </w:r>
    </w:p>
    <w:p>
      <w:pPr>
        <w:ind w:left="1000"/>
        <w:spacing w:after="0" w:line="187" w:lineRule="auto"/>
        <w:tabs>
          <w:tab w:leader="none" w:pos="1480" w:val="left"/>
        </w:tabs>
        <w:rPr>
          <w:sz w:val="20"/>
          <w:szCs w:val="20"/>
          <w:color w:val="auto"/>
        </w:rPr>
      </w:pPr>
      <w:r>
        <w:rPr>
          <w:rFonts w:ascii="Arial" w:cs="Arial" w:eastAsia="Arial" w:hAnsi="Arial"/>
          <w:sz w:val="15"/>
          <w:szCs w:val="15"/>
          <w:color w:val="auto"/>
        </w:rPr>
        <w:t>(k)</w:t>
      </w:r>
      <w:r>
        <w:rPr>
          <w:sz w:val="20"/>
          <w:szCs w:val="20"/>
          <w:color w:val="auto"/>
        </w:rPr>
        <w:tab/>
      </w:r>
      <w:r>
        <w:rPr>
          <w:rFonts w:ascii="Arial" w:cs="Arial" w:eastAsia="Arial" w:hAnsi="Arial"/>
          <w:sz w:val="15"/>
          <w:szCs w:val="15"/>
          <w:color w:val="auto"/>
        </w:rPr>
        <w:t>o</w:t>
      </w:r>
    </w:p>
    <w:p>
      <w:pPr>
        <w:spacing w:after="0" w:line="1" w:lineRule="exact"/>
        <w:rPr>
          <w:sz w:val="20"/>
          <w:szCs w:val="20"/>
          <w:color w:val="auto"/>
        </w:rPr>
      </w:pPr>
    </w:p>
    <w:p>
      <w:pPr>
        <w:ind w:left="2020"/>
        <w:spacing w:after="0"/>
        <w:rPr>
          <w:sz w:val="20"/>
          <w:szCs w:val="20"/>
          <w:color w:val="auto"/>
        </w:rPr>
      </w:pPr>
      <w:r>
        <w:rPr>
          <w:rFonts w:ascii="Arial" w:cs="Arial" w:eastAsia="Arial" w:hAnsi="Arial"/>
          <w:sz w:val="18"/>
          <w:szCs w:val="18"/>
          <w:color w:val="auto"/>
        </w:rPr>
        <w:t>§240.13d-1(b)(1)(ii)(J), please specify the type of institution:____________________________</w:t>
      </w:r>
    </w:p>
    <w:p>
      <w:pPr>
        <w:spacing w:after="0" w:line="31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60"/>
        <w:spacing w:after="0"/>
        <w:rPr>
          <w:sz w:val="20"/>
          <w:szCs w:val="20"/>
          <w:color w:val="auto"/>
        </w:rPr>
      </w:pPr>
      <w:r>
        <w:rPr>
          <w:rFonts w:ascii="Arial" w:cs="Arial" w:eastAsia="Arial" w:hAnsi="Arial"/>
          <w:sz w:val="18"/>
          <w:szCs w:val="18"/>
          <w:color w:val="auto"/>
        </w:rPr>
        <w:t xml:space="preserve">CUSIP No: </w:t>
      </w:r>
      <w:r>
        <w:rPr>
          <w:rFonts w:ascii="Arial" w:cs="Arial" w:eastAsia="Arial" w:hAnsi="Arial"/>
          <w:sz w:val="17"/>
          <w:szCs w:val="17"/>
          <w:color w:val="auto"/>
        </w:rPr>
        <w:t>92840H202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23" w:lineRule="exact"/>
        <w:rPr>
          <w:sz w:val="20"/>
          <w:szCs w:val="20"/>
          <w:color w:val="auto"/>
        </w:rPr>
      </w:pPr>
    </w:p>
    <w:p>
      <w:pPr>
        <w:ind w:left="60"/>
        <w:spacing w:after="0"/>
        <w:tabs>
          <w:tab w:leader="none" w:pos="11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Ownership</w:t>
      </w:r>
    </w:p>
    <w:p>
      <w:pPr>
        <w:spacing w:after="0" w:line="121" w:lineRule="exact"/>
        <w:rPr>
          <w:sz w:val="20"/>
          <w:szCs w:val="20"/>
          <w:color w:val="auto"/>
        </w:rPr>
      </w:pPr>
    </w:p>
    <w:p>
      <w:pPr>
        <w:ind w:left="60"/>
        <w:spacing w:after="0"/>
        <w:rPr>
          <w:sz w:val="20"/>
          <w:szCs w:val="20"/>
          <w:color w:val="auto"/>
        </w:rPr>
      </w:pPr>
      <w:r>
        <w:rPr>
          <w:rFonts w:ascii="Arial" w:cs="Arial" w:eastAsia="Arial" w:hAnsi="Arial"/>
          <w:sz w:val="18"/>
          <w:szCs w:val="18"/>
          <w:color w:val="auto"/>
        </w:rPr>
        <w:t>Provide the following information regarding the aggregate number and percentage of the class of securities of the issuer identified in Item 1.</w:t>
      </w:r>
    </w:p>
    <w:p>
      <w:pPr>
        <w:spacing w:after="0" w:line="225" w:lineRule="exact"/>
        <w:rPr>
          <w:sz w:val="20"/>
          <w:szCs w:val="20"/>
          <w:color w:val="auto"/>
        </w:rPr>
      </w:pPr>
    </w:p>
    <w:p>
      <w:pPr>
        <w:ind w:left="720" w:right="380"/>
        <w:spacing w:after="0" w:line="277" w:lineRule="auto"/>
        <w:rPr>
          <w:sz w:val="20"/>
          <w:szCs w:val="20"/>
          <w:color w:val="auto"/>
        </w:rPr>
      </w:pPr>
      <w:r>
        <w:rPr>
          <w:rFonts w:ascii="Arial" w:cs="Arial" w:eastAsia="Arial" w:hAnsi="Arial"/>
          <w:sz w:val="18"/>
          <w:szCs w:val="18"/>
          <w:color w:val="auto"/>
        </w:rPr>
        <w:t>The information required by Items 4(a) – (c) is set forth in Rows 5 – 11 of the cover page for each Reporting Person hereto and is incorporated herein by reference for each such Reporting Person.</w:t>
      </w:r>
    </w:p>
    <w:p>
      <w:pPr>
        <w:spacing w:after="0" w:line="170" w:lineRule="exact"/>
        <w:rPr>
          <w:sz w:val="20"/>
          <w:szCs w:val="20"/>
          <w:color w:val="auto"/>
        </w:rPr>
      </w:pPr>
    </w:p>
    <w:p>
      <w:pPr>
        <w:ind w:left="720" w:right="160"/>
        <w:spacing w:after="0" w:line="277" w:lineRule="auto"/>
        <w:rPr>
          <w:sz w:val="20"/>
          <w:szCs w:val="20"/>
          <w:color w:val="auto"/>
        </w:rPr>
      </w:pPr>
      <w:r>
        <w:rPr>
          <w:rFonts w:ascii="Arial" w:cs="Arial" w:eastAsia="Arial" w:hAnsi="Arial"/>
          <w:sz w:val="18"/>
          <w:szCs w:val="18"/>
          <w:color w:val="auto"/>
        </w:rPr>
        <w:t>The Company’s Prospectus dated December 11 2017, Registration No. 333-221009, filed on December 12, 2017, indicates there were 21,848,974 Shares outstanding as of the completion of the offering of the Shares referred to therein.</w:t>
      </w:r>
    </w:p>
    <w:p>
      <w:pPr>
        <w:spacing w:after="0" w:line="170" w:lineRule="exact"/>
        <w:rPr>
          <w:sz w:val="20"/>
          <w:szCs w:val="20"/>
          <w:color w:val="auto"/>
        </w:rPr>
      </w:pPr>
    </w:p>
    <w:p>
      <w:pPr>
        <w:jc w:val="both"/>
        <w:ind w:left="720"/>
        <w:spacing w:after="0" w:line="264" w:lineRule="auto"/>
        <w:rPr>
          <w:sz w:val="20"/>
          <w:szCs w:val="20"/>
          <w:color w:val="auto"/>
        </w:rPr>
      </w:pPr>
      <w:r>
        <w:rPr>
          <w:rFonts w:ascii="Arial" w:cs="Arial" w:eastAsia="Arial" w:hAnsi="Arial"/>
          <w:sz w:val="18"/>
          <w:szCs w:val="18"/>
          <w:color w:val="auto"/>
        </w:rPr>
        <w:t>Heights Capital Management, Inc., which serves as the investment manager to CVI Investments, Inc., may be deemed to be the beneficial owner of all Shares owned by CVI Investments, Inc. Each of the Reporting Persons hereby disclaims any beneficial ownership of any such Shares, except for their pecuniary interest therein.</w:t>
      </w:r>
    </w:p>
    <w:p>
      <w:pPr>
        <w:spacing w:after="0" w:line="393" w:lineRule="exact"/>
        <w:rPr>
          <w:sz w:val="20"/>
          <w:szCs w:val="20"/>
          <w:color w:val="auto"/>
        </w:rPr>
      </w:pPr>
    </w:p>
    <w:p>
      <w:pPr>
        <w:ind w:left="60"/>
        <w:spacing w:after="0"/>
        <w:tabs>
          <w:tab w:leader="none" w:pos="11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Ownership of Five Percent or Less of a Class</w:t>
      </w:r>
    </w:p>
    <w:p>
      <w:pPr>
        <w:spacing w:after="0" w:line="121" w:lineRule="exact"/>
        <w:rPr>
          <w:sz w:val="20"/>
          <w:szCs w:val="20"/>
          <w:color w:val="auto"/>
        </w:rPr>
      </w:pPr>
    </w:p>
    <w:p>
      <w:pPr>
        <w:ind w:left="60" w:right="20"/>
        <w:spacing w:after="0" w:line="277" w:lineRule="auto"/>
        <w:rPr>
          <w:sz w:val="20"/>
          <w:szCs w:val="20"/>
          <w:color w:val="auto"/>
        </w:rPr>
      </w:pPr>
      <w:r>
        <w:rPr>
          <w:rFonts w:ascii="Arial" w:cs="Arial" w:eastAsia="Arial" w:hAnsi="Arial"/>
          <w:sz w:val="18"/>
          <w:szCs w:val="18"/>
          <w:color w:val="auto"/>
        </w:rPr>
        <w:t>If this statement is being filed to report the fact that as of the date hereof the reporting person has ceased to be the beneficial owner of more than five percent of the class of securities, check the following: o</w:t>
      </w:r>
    </w:p>
    <w:p>
      <w:pPr>
        <w:spacing w:after="0" w:line="383" w:lineRule="exact"/>
        <w:rPr>
          <w:sz w:val="20"/>
          <w:szCs w:val="20"/>
          <w:color w:val="auto"/>
        </w:rPr>
      </w:pPr>
    </w:p>
    <w:p>
      <w:pPr>
        <w:ind w:left="60"/>
        <w:spacing w:after="0"/>
        <w:tabs>
          <w:tab w:leader="none" w:pos="116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Ownership of More than Five Percent on Behalf of Another Person</w:t>
      </w:r>
    </w:p>
    <w:p>
      <w:pPr>
        <w:spacing w:after="0" w:line="121" w:lineRule="exact"/>
        <w:rPr>
          <w:sz w:val="20"/>
          <w:szCs w:val="20"/>
          <w:color w:val="auto"/>
        </w:rPr>
      </w:pPr>
    </w:p>
    <w:p>
      <w:pPr>
        <w:ind w:left="84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37" w:lineRule="exact"/>
        <w:rPr>
          <w:sz w:val="20"/>
          <w:szCs w:val="20"/>
          <w:color w:val="auto"/>
        </w:rPr>
      </w:pPr>
    </w:p>
    <w:p>
      <w:pPr>
        <w:ind w:left="1180" w:right="20" w:hanging="1120"/>
        <w:spacing w:after="0" w:line="282" w:lineRule="auto"/>
        <w:tabs>
          <w:tab w:leader="none" w:pos="116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8"/>
          <w:szCs w:val="18"/>
          <w:b w:val="1"/>
          <w:bCs w:val="1"/>
          <w:color w:val="auto"/>
        </w:rPr>
        <w:t>Identification and Classification of the Subsidiary Which Acquired the Security Being Reported on By the Parent Holding Company or Control Person</w:t>
      </w:r>
    </w:p>
    <w:p>
      <w:pPr>
        <w:spacing w:after="0" w:line="58" w:lineRule="exact"/>
        <w:rPr>
          <w:sz w:val="20"/>
          <w:szCs w:val="20"/>
          <w:color w:val="auto"/>
        </w:rPr>
      </w:pPr>
    </w:p>
    <w:p>
      <w:pPr>
        <w:ind w:left="84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37" w:lineRule="exact"/>
        <w:rPr>
          <w:sz w:val="20"/>
          <w:szCs w:val="20"/>
          <w:color w:val="auto"/>
        </w:rPr>
      </w:pPr>
    </w:p>
    <w:p>
      <w:pPr>
        <w:ind w:left="60"/>
        <w:spacing w:after="0"/>
        <w:tabs>
          <w:tab w:leader="none" w:pos="116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Identification and Classification of Members of the Group</w:t>
      </w:r>
    </w:p>
    <w:p>
      <w:pPr>
        <w:spacing w:after="0" w:line="121" w:lineRule="exact"/>
        <w:rPr>
          <w:sz w:val="20"/>
          <w:szCs w:val="20"/>
          <w:color w:val="auto"/>
        </w:rPr>
      </w:pPr>
    </w:p>
    <w:p>
      <w:pPr>
        <w:ind w:left="84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37" w:lineRule="exact"/>
        <w:rPr>
          <w:sz w:val="20"/>
          <w:szCs w:val="20"/>
          <w:color w:val="auto"/>
        </w:rPr>
      </w:pPr>
    </w:p>
    <w:p>
      <w:pPr>
        <w:ind w:left="60"/>
        <w:spacing w:after="0"/>
        <w:tabs>
          <w:tab w:leader="none" w:pos="116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Notice of Dissolution of Group</w:t>
      </w:r>
    </w:p>
    <w:p>
      <w:pPr>
        <w:spacing w:after="0" w:line="121" w:lineRule="exact"/>
        <w:rPr>
          <w:sz w:val="20"/>
          <w:szCs w:val="20"/>
          <w:color w:val="auto"/>
        </w:rPr>
      </w:pPr>
    </w:p>
    <w:p>
      <w:pPr>
        <w:ind w:left="840"/>
        <w:spacing w:after="0"/>
        <w:rPr>
          <w:sz w:val="20"/>
          <w:szCs w:val="20"/>
          <w:color w:val="auto"/>
        </w:rPr>
      </w:pPr>
      <w:r>
        <w:rPr>
          <w:rFonts w:ascii="Arial" w:cs="Arial" w:eastAsia="Arial" w:hAnsi="Arial"/>
          <w:sz w:val="18"/>
          <w:szCs w:val="18"/>
          <w:color w:val="auto"/>
        </w:rPr>
        <w:t>Not applicable.</w:t>
      </w:r>
    </w:p>
    <w:p>
      <w:pPr>
        <w:spacing w:after="0" w:line="27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60"/>
        <w:spacing w:after="0"/>
        <w:rPr>
          <w:sz w:val="20"/>
          <w:szCs w:val="20"/>
          <w:color w:val="auto"/>
        </w:rPr>
      </w:pPr>
      <w:r>
        <w:rPr>
          <w:rFonts w:ascii="Arial" w:cs="Arial" w:eastAsia="Arial" w:hAnsi="Arial"/>
          <w:sz w:val="18"/>
          <w:szCs w:val="18"/>
          <w:color w:val="auto"/>
        </w:rPr>
        <w:t xml:space="preserve">CUSIP No: </w:t>
      </w:r>
      <w:r>
        <w:rPr>
          <w:rFonts w:ascii="Arial" w:cs="Arial" w:eastAsia="Arial" w:hAnsi="Arial"/>
          <w:sz w:val="17"/>
          <w:szCs w:val="17"/>
          <w:color w:val="auto"/>
        </w:rPr>
        <w:t>92840H202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23" w:lineRule="exact"/>
        <w:rPr>
          <w:sz w:val="20"/>
          <w:szCs w:val="20"/>
          <w:color w:val="auto"/>
        </w:rPr>
      </w:pPr>
    </w:p>
    <w:p>
      <w:pPr>
        <w:ind w:left="60"/>
        <w:spacing w:after="0"/>
        <w:tabs>
          <w:tab w:leader="none" w:pos="116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Certification</w:t>
      </w:r>
    </w:p>
    <w:p>
      <w:pPr>
        <w:spacing w:after="0" w:line="121" w:lineRule="exact"/>
        <w:rPr>
          <w:sz w:val="20"/>
          <w:szCs w:val="20"/>
          <w:color w:val="auto"/>
        </w:rPr>
      </w:pPr>
    </w:p>
    <w:p>
      <w:pPr>
        <w:ind w:left="60" w:right="80" w:firstLine="778"/>
        <w:spacing w:after="0" w:line="264" w:lineRule="auto"/>
        <w:rPr>
          <w:sz w:val="20"/>
          <w:szCs w:val="20"/>
          <w:color w:val="auto"/>
        </w:rPr>
      </w:pPr>
      <w:r>
        <w:rPr>
          <w:rFonts w:ascii="Arial" w:cs="Arial" w:eastAsia="Arial" w:hAnsi="Arial"/>
          <w:sz w:val="18"/>
          <w:szCs w:val="18"/>
          <w:color w:val="auto"/>
        </w:rPr>
        <w:t>By signing below each of the undersigned certifies that, to the best of its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SIGNATURES</w:t>
      </w:r>
    </w:p>
    <w:p>
      <w:pPr>
        <w:spacing w:after="0" w:line="225" w:lineRule="exact"/>
        <w:rPr>
          <w:sz w:val="20"/>
          <w:szCs w:val="20"/>
          <w:color w:val="auto"/>
        </w:rPr>
      </w:pPr>
    </w:p>
    <w:p>
      <w:pPr>
        <w:ind w:right="280" w:firstLine="824"/>
        <w:spacing w:after="0" w:line="277" w:lineRule="auto"/>
        <w:rPr>
          <w:sz w:val="20"/>
          <w:szCs w:val="20"/>
          <w:color w:val="auto"/>
        </w:rPr>
      </w:pPr>
      <w:r>
        <w:rPr>
          <w:rFonts w:ascii="Arial" w:cs="Arial" w:eastAsia="Arial" w:hAnsi="Arial"/>
          <w:sz w:val="18"/>
          <w:szCs w:val="18"/>
          <w:color w:val="auto"/>
        </w:rPr>
        <w:t>After reasonable inquiry and to the best of its knowledge and belief, each of the undersigned certifies that the information with respect to it set forth in this statement is true, complete, and correct.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December 20, 2017</w:t>
      </w:r>
    </w:p>
    <w:p>
      <w:pPr>
        <w:sectPr>
          <w:pgSz w:w="11900" w:h="16838" w:orient="portrait"/>
          <w:cols w:equalWidth="0" w:num="1">
            <w:col w:w="11360"/>
          </w:cols>
          <w:pgMar w:left="240" w:top="247" w:right="299" w:bottom="0" w:gutter="0" w:footer="0" w:header="0"/>
        </w:sectPr>
      </w:pPr>
    </w:p>
    <w:bookmarkStart w:id="4" w:name="page5"/>
    <w:bookmarkEnd w:id="4"/>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500" w:type="dxa"/>
            <w:vAlign w:val="bottom"/>
            <w:gridSpan w:val="2"/>
          </w:tcPr>
          <w:p>
            <w:pPr>
              <w:spacing w:after="0"/>
              <w:rPr>
                <w:sz w:val="20"/>
                <w:szCs w:val="20"/>
                <w:color w:val="auto"/>
              </w:rPr>
            </w:pPr>
            <w:r>
              <w:rPr>
                <w:rFonts w:ascii="Arial" w:cs="Arial" w:eastAsia="Arial" w:hAnsi="Arial"/>
                <w:sz w:val="18"/>
                <w:szCs w:val="18"/>
                <w:color w:val="auto"/>
              </w:rPr>
              <w:t>CVI INVESTMENTS, INC.</w:t>
            </w:r>
          </w:p>
        </w:tc>
        <w:tc>
          <w:tcPr>
            <w:tcW w:w="5920" w:type="dxa"/>
            <w:vAlign w:val="bottom"/>
            <w:gridSpan w:val="2"/>
          </w:tcPr>
          <w:p>
            <w:pPr>
              <w:ind w:left="460"/>
              <w:spacing w:after="0"/>
              <w:rPr>
                <w:sz w:val="20"/>
                <w:szCs w:val="20"/>
                <w:color w:val="auto"/>
              </w:rPr>
            </w:pPr>
            <w:r>
              <w:rPr>
                <w:rFonts w:ascii="Arial" w:cs="Arial" w:eastAsia="Arial" w:hAnsi="Arial"/>
                <w:sz w:val="18"/>
                <w:szCs w:val="18"/>
                <w:color w:val="auto"/>
              </w:rPr>
              <w:t>HEIGHTS CAPITAL MANAGEMENT, INC.</w:t>
            </w:r>
          </w:p>
        </w:tc>
        <w:tc>
          <w:tcPr>
            <w:tcW w:w="40" w:type="dxa"/>
            <w:vAlign w:val="bottom"/>
          </w:tcPr>
          <w:p>
            <w:pPr>
              <w:spacing w:after="0"/>
              <w:rPr>
                <w:sz w:val="20"/>
                <w:szCs w:val="20"/>
                <w:color w:val="auto"/>
              </w:rPr>
            </w:pPr>
          </w:p>
        </w:tc>
      </w:tr>
      <w:tr>
        <w:trPr>
          <w:trHeight w:val="432"/>
        </w:trPr>
        <w:tc>
          <w:tcPr>
            <w:tcW w:w="5500" w:type="dxa"/>
            <w:vAlign w:val="bottom"/>
            <w:gridSpan w:val="2"/>
          </w:tcPr>
          <w:p>
            <w:pPr>
              <w:spacing w:after="0"/>
              <w:rPr>
                <w:sz w:val="20"/>
                <w:szCs w:val="20"/>
                <w:color w:val="auto"/>
              </w:rPr>
            </w:pPr>
            <w:r>
              <w:rPr>
                <w:rFonts w:ascii="Arial" w:cs="Arial" w:eastAsia="Arial" w:hAnsi="Arial"/>
                <w:sz w:val="18"/>
                <w:szCs w:val="18"/>
                <w:color w:val="auto"/>
                <w:w w:val="99"/>
              </w:rPr>
              <w:t>By: Heights Capital Management, Inc. pursuant to a Limited Power of</w:t>
            </w:r>
          </w:p>
        </w:tc>
        <w:tc>
          <w:tcPr>
            <w:tcW w:w="1160" w:type="dxa"/>
            <w:vAlign w:val="bottom"/>
          </w:tcPr>
          <w:p>
            <w:pPr>
              <w:ind w:left="460"/>
              <w:spacing w:after="0"/>
              <w:rPr>
                <w:sz w:val="20"/>
                <w:szCs w:val="20"/>
                <w:color w:val="auto"/>
              </w:rPr>
            </w:pPr>
            <w:r>
              <w:rPr>
                <w:rFonts w:ascii="Arial" w:cs="Arial" w:eastAsia="Arial" w:hAnsi="Arial"/>
                <w:sz w:val="18"/>
                <w:szCs w:val="18"/>
                <w:color w:val="auto"/>
              </w:rPr>
              <w:t>By:</w:t>
            </w:r>
          </w:p>
        </w:tc>
        <w:tc>
          <w:tcPr>
            <w:tcW w:w="47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Brian Sopinsky</w:t>
            </w:r>
          </w:p>
        </w:tc>
        <w:tc>
          <w:tcPr>
            <w:tcW w:w="40" w:type="dxa"/>
            <w:vAlign w:val="bottom"/>
          </w:tcPr>
          <w:p>
            <w:pPr>
              <w:spacing w:after="0"/>
              <w:rPr>
                <w:sz w:val="24"/>
                <w:szCs w:val="24"/>
                <w:color w:val="auto"/>
              </w:rPr>
            </w:pPr>
          </w:p>
        </w:tc>
      </w:tr>
      <w:tr>
        <w:trPr>
          <w:trHeight w:val="195"/>
        </w:trPr>
        <w:tc>
          <w:tcPr>
            <w:tcW w:w="5500" w:type="dxa"/>
            <w:vAlign w:val="bottom"/>
            <w:gridSpan w:val="2"/>
          </w:tcPr>
          <w:p>
            <w:pPr>
              <w:spacing w:after="0" w:line="195" w:lineRule="exact"/>
              <w:rPr>
                <w:sz w:val="20"/>
                <w:szCs w:val="20"/>
                <w:color w:val="auto"/>
              </w:rPr>
            </w:pPr>
            <w:r>
              <w:rPr>
                <w:rFonts w:ascii="Arial" w:cs="Arial" w:eastAsia="Arial" w:hAnsi="Arial"/>
                <w:sz w:val="18"/>
                <w:szCs w:val="18"/>
                <w:color w:val="auto"/>
              </w:rPr>
              <w:t>Attorney, a copy of which is attached as Exhibit I hereto</w:t>
            </w:r>
          </w:p>
        </w:tc>
        <w:tc>
          <w:tcPr>
            <w:tcW w:w="1160" w:type="dxa"/>
            <w:vAlign w:val="bottom"/>
          </w:tcPr>
          <w:p>
            <w:pPr>
              <w:ind w:left="460"/>
              <w:spacing w:after="0" w:line="195" w:lineRule="exact"/>
              <w:rPr>
                <w:sz w:val="20"/>
                <w:szCs w:val="20"/>
                <w:color w:val="auto"/>
              </w:rPr>
            </w:pPr>
            <w:r>
              <w:rPr>
                <w:rFonts w:ascii="Arial" w:cs="Arial" w:eastAsia="Arial" w:hAnsi="Arial"/>
                <w:sz w:val="18"/>
                <w:szCs w:val="18"/>
                <w:color w:val="auto"/>
              </w:rPr>
              <w:t>Name:</w:t>
            </w:r>
          </w:p>
        </w:tc>
        <w:tc>
          <w:tcPr>
            <w:tcW w:w="4760" w:type="dxa"/>
            <w:vAlign w:val="bottom"/>
          </w:tcPr>
          <w:p>
            <w:pPr>
              <w:spacing w:after="0" w:line="195" w:lineRule="exact"/>
              <w:rPr>
                <w:sz w:val="20"/>
                <w:szCs w:val="20"/>
                <w:color w:val="auto"/>
              </w:rPr>
            </w:pPr>
            <w:r>
              <w:rPr>
                <w:rFonts w:ascii="Arial" w:cs="Arial" w:eastAsia="Arial" w:hAnsi="Arial"/>
                <w:sz w:val="18"/>
                <w:szCs w:val="18"/>
                <w:color w:val="auto"/>
              </w:rPr>
              <w:t>Brian Sopinsky</w:t>
            </w:r>
          </w:p>
        </w:tc>
        <w:tc>
          <w:tcPr>
            <w:tcW w:w="40" w:type="dxa"/>
            <w:vAlign w:val="bottom"/>
          </w:tcPr>
          <w:p>
            <w:pPr>
              <w:spacing w:after="0"/>
              <w:rPr>
                <w:sz w:val="16"/>
                <w:szCs w:val="16"/>
                <w:color w:val="auto"/>
              </w:rPr>
            </w:pPr>
          </w:p>
        </w:tc>
      </w:tr>
      <w:tr>
        <w:trPr>
          <w:trHeight w:val="230"/>
        </w:trPr>
        <w:tc>
          <w:tcPr>
            <w:tcW w:w="780" w:type="dxa"/>
            <w:vAlign w:val="bottom"/>
          </w:tcPr>
          <w:p>
            <w:pPr>
              <w:spacing w:after="0"/>
              <w:rPr>
                <w:sz w:val="20"/>
                <w:szCs w:val="20"/>
                <w:color w:val="auto"/>
              </w:rPr>
            </w:pPr>
          </w:p>
        </w:tc>
        <w:tc>
          <w:tcPr>
            <w:tcW w:w="4720" w:type="dxa"/>
            <w:vAlign w:val="bottom"/>
          </w:tcPr>
          <w:p>
            <w:pPr>
              <w:spacing w:after="0"/>
              <w:rPr>
                <w:sz w:val="20"/>
                <w:szCs w:val="20"/>
                <w:color w:val="auto"/>
              </w:rPr>
            </w:pPr>
          </w:p>
        </w:tc>
        <w:tc>
          <w:tcPr>
            <w:tcW w:w="1160" w:type="dxa"/>
            <w:vAlign w:val="bottom"/>
          </w:tcPr>
          <w:p>
            <w:pPr>
              <w:ind w:left="460"/>
              <w:spacing w:after="0"/>
              <w:rPr>
                <w:sz w:val="20"/>
                <w:szCs w:val="20"/>
                <w:color w:val="auto"/>
              </w:rPr>
            </w:pPr>
            <w:r>
              <w:rPr>
                <w:rFonts w:ascii="Arial" w:cs="Arial" w:eastAsia="Arial" w:hAnsi="Arial"/>
                <w:sz w:val="18"/>
                <w:szCs w:val="18"/>
                <w:color w:val="auto"/>
              </w:rPr>
              <w:t>Title:</w:t>
            </w:r>
          </w:p>
        </w:tc>
        <w:tc>
          <w:tcPr>
            <w:tcW w:w="4760" w:type="dxa"/>
            <w:vAlign w:val="bottom"/>
          </w:tcPr>
          <w:p>
            <w:pPr>
              <w:spacing w:after="0"/>
              <w:rPr>
                <w:sz w:val="20"/>
                <w:szCs w:val="20"/>
                <w:color w:val="auto"/>
              </w:rPr>
            </w:pPr>
            <w:r>
              <w:rPr>
                <w:rFonts w:ascii="Arial" w:cs="Arial" w:eastAsia="Arial" w:hAnsi="Arial"/>
                <w:sz w:val="18"/>
                <w:szCs w:val="18"/>
                <w:color w:val="auto"/>
              </w:rPr>
              <w:t>Secretary</w:t>
            </w:r>
          </w:p>
        </w:tc>
        <w:tc>
          <w:tcPr>
            <w:tcW w:w="40" w:type="dxa"/>
            <w:vAlign w:val="bottom"/>
          </w:tcPr>
          <w:p>
            <w:pPr>
              <w:spacing w:after="0"/>
              <w:rPr>
                <w:sz w:val="20"/>
                <w:szCs w:val="20"/>
                <w:color w:val="auto"/>
              </w:rPr>
            </w:pPr>
          </w:p>
        </w:tc>
      </w:tr>
      <w:tr>
        <w:trPr>
          <w:trHeight w:val="432"/>
        </w:trPr>
        <w:tc>
          <w:tcPr>
            <w:tcW w:w="780" w:type="dxa"/>
            <w:vAlign w:val="bottom"/>
          </w:tcPr>
          <w:p>
            <w:pPr>
              <w:spacing w:after="0"/>
              <w:rPr>
                <w:sz w:val="20"/>
                <w:szCs w:val="20"/>
                <w:color w:val="auto"/>
              </w:rPr>
            </w:pPr>
            <w:r>
              <w:rPr>
                <w:rFonts w:ascii="Arial" w:cs="Arial" w:eastAsia="Arial" w:hAnsi="Arial"/>
                <w:sz w:val="18"/>
                <w:szCs w:val="18"/>
                <w:color w:val="auto"/>
              </w:rPr>
              <w:t>By:</w:t>
            </w:r>
          </w:p>
        </w:tc>
        <w:tc>
          <w:tcPr>
            <w:tcW w:w="4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Brian Sopinsky</w:t>
            </w:r>
          </w:p>
        </w:tc>
        <w:tc>
          <w:tcPr>
            <w:tcW w:w="1160" w:type="dxa"/>
            <w:vAlign w:val="bottom"/>
          </w:tcPr>
          <w:p>
            <w:pPr>
              <w:spacing w:after="0"/>
              <w:rPr>
                <w:sz w:val="24"/>
                <w:szCs w:val="24"/>
                <w:color w:val="auto"/>
              </w:rPr>
            </w:pPr>
          </w:p>
        </w:tc>
        <w:tc>
          <w:tcPr>
            <w:tcW w:w="47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95"/>
        </w:trPr>
        <w:tc>
          <w:tcPr>
            <w:tcW w:w="78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720" w:type="dxa"/>
            <w:vAlign w:val="bottom"/>
          </w:tcPr>
          <w:p>
            <w:pPr>
              <w:spacing w:after="0" w:line="195" w:lineRule="exact"/>
              <w:rPr>
                <w:sz w:val="20"/>
                <w:szCs w:val="20"/>
                <w:color w:val="auto"/>
              </w:rPr>
            </w:pPr>
            <w:r>
              <w:rPr>
                <w:rFonts w:ascii="Arial" w:cs="Arial" w:eastAsia="Arial" w:hAnsi="Arial"/>
                <w:sz w:val="18"/>
                <w:szCs w:val="18"/>
                <w:color w:val="auto"/>
              </w:rPr>
              <w:t>Brian Sopinsky</w:t>
            </w:r>
          </w:p>
        </w:tc>
        <w:tc>
          <w:tcPr>
            <w:tcW w:w="1160" w:type="dxa"/>
            <w:vAlign w:val="bottom"/>
          </w:tcPr>
          <w:p>
            <w:pPr>
              <w:spacing w:after="0"/>
              <w:rPr>
                <w:sz w:val="16"/>
                <w:szCs w:val="16"/>
                <w:color w:val="auto"/>
              </w:rPr>
            </w:pPr>
          </w:p>
        </w:tc>
        <w:tc>
          <w:tcPr>
            <w:tcW w:w="476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230"/>
        </w:trPr>
        <w:tc>
          <w:tcPr>
            <w:tcW w:w="780" w:type="dxa"/>
            <w:vAlign w:val="bottom"/>
          </w:tcPr>
          <w:p>
            <w:pPr>
              <w:spacing w:after="0"/>
              <w:rPr>
                <w:sz w:val="20"/>
                <w:szCs w:val="20"/>
                <w:color w:val="auto"/>
              </w:rPr>
            </w:pPr>
            <w:r>
              <w:rPr>
                <w:rFonts w:ascii="Arial" w:cs="Arial" w:eastAsia="Arial" w:hAnsi="Arial"/>
                <w:sz w:val="18"/>
                <w:szCs w:val="18"/>
                <w:color w:val="auto"/>
              </w:rPr>
              <w:t>Title:</w:t>
            </w:r>
          </w:p>
        </w:tc>
        <w:tc>
          <w:tcPr>
            <w:tcW w:w="4720" w:type="dxa"/>
            <w:vAlign w:val="bottom"/>
          </w:tcPr>
          <w:p>
            <w:pPr>
              <w:spacing w:after="0"/>
              <w:rPr>
                <w:sz w:val="20"/>
                <w:szCs w:val="20"/>
                <w:color w:val="auto"/>
              </w:rPr>
            </w:pPr>
            <w:r>
              <w:rPr>
                <w:rFonts w:ascii="Arial" w:cs="Arial" w:eastAsia="Arial" w:hAnsi="Arial"/>
                <w:sz w:val="18"/>
                <w:szCs w:val="18"/>
                <w:color w:val="auto"/>
              </w:rPr>
              <w:t>Secretary</w:t>
            </w:r>
          </w:p>
        </w:tc>
        <w:tc>
          <w:tcPr>
            <w:tcW w:w="1160" w:type="dxa"/>
            <w:vAlign w:val="bottom"/>
          </w:tcPr>
          <w:p>
            <w:pPr>
              <w:spacing w:after="0"/>
              <w:rPr>
                <w:sz w:val="20"/>
                <w:szCs w:val="20"/>
                <w:color w:val="auto"/>
              </w:rPr>
            </w:pPr>
          </w:p>
        </w:tc>
        <w:tc>
          <w:tcPr>
            <w:tcW w:w="476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432"/>
        </w:trPr>
        <w:tc>
          <w:tcPr>
            <w:tcW w:w="780" w:type="dxa"/>
            <w:vAlign w:val="bottom"/>
          </w:tcPr>
          <w:p>
            <w:pPr>
              <w:spacing w:after="0"/>
              <w:rPr>
                <w:sz w:val="24"/>
                <w:szCs w:val="24"/>
                <w:color w:val="auto"/>
              </w:rPr>
            </w:pPr>
          </w:p>
        </w:tc>
        <w:tc>
          <w:tcPr>
            <w:tcW w:w="4720" w:type="dxa"/>
            <w:vAlign w:val="bottom"/>
          </w:tcPr>
          <w:p>
            <w:pPr>
              <w:spacing w:after="0"/>
              <w:rPr>
                <w:sz w:val="24"/>
                <w:szCs w:val="24"/>
                <w:color w:val="auto"/>
              </w:rPr>
            </w:pPr>
          </w:p>
        </w:tc>
        <w:tc>
          <w:tcPr>
            <w:tcW w:w="1160" w:type="dxa"/>
            <w:vAlign w:val="bottom"/>
          </w:tcPr>
          <w:p>
            <w:pPr>
              <w:ind w:left="160"/>
              <w:spacing w:after="0"/>
              <w:rPr>
                <w:sz w:val="20"/>
                <w:szCs w:val="20"/>
                <w:color w:val="auto"/>
              </w:rPr>
            </w:pPr>
            <w:r>
              <w:rPr>
                <w:rFonts w:ascii="Arial" w:cs="Arial" w:eastAsia="Arial" w:hAnsi="Arial"/>
                <w:sz w:val="18"/>
                <w:szCs w:val="18"/>
                <w:color w:val="auto"/>
              </w:rPr>
              <w:t>6</w:t>
            </w:r>
          </w:p>
        </w:tc>
        <w:tc>
          <w:tcPr>
            <w:tcW w:w="47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780" w:type="dxa"/>
            <w:vAlign w:val="bottom"/>
            <w:tcBorders>
              <w:bottom w:val="single" w:sz="8" w:color="808080"/>
            </w:tcBorders>
          </w:tcPr>
          <w:p>
            <w:pPr>
              <w:spacing w:after="0"/>
              <w:rPr>
                <w:sz w:val="11"/>
                <w:szCs w:val="11"/>
                <w:color w:val="auto"/>
              </w:rPr>
            </w:pPr>
          </w:p>
        </w:tc>
        <w:tc>
          <w:tcPr>
            <w:tcW w:w="4720" w:type="dxa"/>
            <w:vAlign w:val="bottom"/>
            <w:tcBorders>
              <w:bottom w:val="single" w:sz="8" w:color="808080"/>
            </w:tcBorders>
          </w:tcPr>
          <w:p>
            <w:pPr>
              <w:spacing w:after="0"/>
              <w:rPr>
                <w:sz w:val="11"/>
                <w:szCs w:val="11"/>
                <w:color w:val="auto"/>
              </w:rPr>
            </w:pPr>
          </w:p>
        </w:tc>
        <w:tc>
          <w:tcPr>
            <w:tcW w:w="1160" w:type="dxa"/>
            <w:vAlign w:val="bottom"/>
            <w:tcBorders>
              <w:bottom w:val="single" w:sz="8" w:color="808080"/>
            </w:tcBorders>
          </w:tcPr>
          <w:p>
            <w:pPr>
              <w:spacing w:after="0"/>
              <w:rPr>
                <w:sz w:val="11"/>
                <w:szCs w:val="11"/>
                <w:color w:val="auto"/>
              </w:rPr>
            </w:pPr>
          </w:p>
        </w:tc>
        <w:tc>
          <w:tcPr>
            <w:tcW w:w="476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84" w:lineRule="exact"/>
        <w:rPr>
          <w:sz w:val="20"/>
          <w:szCs w:val="20"/>
          <w:color w:val="auto"/>
        </w:rPr>
      </w:pPr>
    </w:p>
    <w:p>
      <w:pPr>
        <w:ind w:left="60"/>
        <w:spacing w:after="0"/>
        <w:rPr>
          <w:sz w:val="20"/>
          <w:szCs w:val="20"/>
          <w:color w:val="auto"/>
        </w:rPr>
      </w:pPr>
      <w:r>
        <w:rPr>
          <w:rFonts w:ascii="Arial" w:cs="Arial" w:eastAsia="Arial" w:hAnsi="Arial"/>
          <w:sz w:val="18"/>
          <w:szCs w:val="18"/>
          <w:color w:val="auto"/>
        </w:rPr>
        <w:t xml:space="preserve">CUSIP No: </w:t>
      </w:r>
      <w:r>
        <w:rPr>
          <w:rFonts w:ascii="Arial" w:cs="Arial" w:eastAsia="Arial" w:hAnsi="Arial"/>
          <w:sz w:val="17"/>
          <w:szCs w:val="17"/>
          <w:color w:val="auto"/>
        </w:rPr>
        <w:t>92840H202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920" w:type="dxa"/>
            <w:vAlign w:val="bottom"/>
          </w:tcPr>
          <w:p>
            <w:pPr>
              <w:ind w:left="3520"/>
              <w:spacing w:after="0"/>
              <w:rPr>
                <w:sz w:val="20"/>
                <w:szCs w:val="20"/>
                <w:color w:val="auto"/>
              </w:rPr>
            </w:pPr>
            <w:r>
              <w:rPr>
                <w:rFonts w:ascii="Arial" w:cs="Arial" w:eastAsia="Arial" w:hAnsi="Arial"/>
                <w:sz w:val="18"/>
                <w:szCs w:val="18"/>
                <w:b w:val="1"/>
                <w:bCs w:val="1"/>
                <w:color w:val="auto"/>
              </w:rPr>
              <w:t>EXHIBIT INDEX</w:t>
            </w:r>
          </w:p>
        </w:tc>
        <w:tc>
          <w:tcPr>
            <w:tcW w:w="40" w:type="dxa"/>
            <w:vAlign w:val="bottom"/>
          </w:tcPr>
          <w:p>
            <w:pPr>
              <w:spacing w:after="0"/>
              <w:rPr>
                <w:sz w:val="20"/>
                <w:szCs w:val="20"/>
                <w:color w:val="auto"/>
              </w:rPr>
            </w:pPr>
          </w:p>
        </w:tc>
      </w:tr>
      <w:tr>
        <w:trPr>
          <w:trHeight w:val="365"/>
        </w:trPr>
        <w:tc>
          <w:tcPr>
            <w:tcW w:w="116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340" w:type="dxa"/>
            <w:vAlign w:val="bottom"/>
          </w:tcPr>
          <w:p>
            <w:pPr>
              <w:spacing w:after="0"/>
              <w:rPr>
                <w:sz w:val="24"/>
                <w:szCs w:val="24"/>
                <w:color w:val="auto"/>
              </w:rPr>
            </w:pPr>
          </w:p>
        </w:tc>
        <w:tc>
          <w:tcPr>
            <w:tcW w:w="9920" w:type="dxa"/>
            <w:vAlign w:val="bottom"/>
          </w:tcPr>
          <w:p>
            <w:pPr>
              <w:ind w:left="4460"/>
              <w:spacing w:after="0"/>
              <w:rPr>
                <w:sz w:val="20"/>
                <w:szCs w:val="20"/>
                <w:color w:val="auto"/>
              </w:rPr>
            </w:pPr>
            <w:r>
              <w:rPr>
                <w:rFonts w:ascii="Arial" w:cs="Arial" w:eastAsia="Arial" w:hAnsi="Arial"/>
                <w:sz w:val="14"/>
                <w:szCs w:val="14"/>
                <w:b w:val="1"/>
                <w:bCs w:val="1"/>
                <w:color w:val="auto"/>
              </w:rPr>
              <w:t>DESCRIPTION</w:t>
            </w:r>
          </w:p>
        </w:tc>
        <w:tc>
          <w:tcPr>
            <w:tcW w:w="40" w:type="dxa"/>
            <w:vAlign w:val="bottom"/>
          </w:tcPr>
          <w:p>
            <w:pPr>
              <w:spacing w:after="0"/>
              <w:rPr>
                <w:sz w:val="24"/>
                <w:szCs w:val="24"/>
                <w:color w:val="auto"/>
              </w:rPr>
            </w:pPr>
          </w:p>
        </w:tc>
      </w:tr>
      <w:tr>
        <w:trPr>
          <w:trHeight w:val="195"/>
        </w:trPr>
        <w:tc>
          <w:tcPr>
            <w:tcW w:w="20" w:type="dxa"/>
            <w:vAlign w:val="bottom"/>
          </w:tcPr>
          <w:p>
            <w:pPr>
              <w:spacing w:after="0"/>
              <w:rPr>
                <w:sz w:val="16"/>
                <w:szCs w:val="16"/>
                <w:color w:val="auto"/>
              </w:rPr>
            </w:pPr>
          </w:p>
        </w:tc>
        <w:tc>
          <w:tcPr>
            <w:tcW w:w="11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I</w:t>
            </w:r>
          </w:p>
        </w:tc>
        <w:tc>
          <w:tcPr>
            <w:tcW w:w="340" w:type="dxa"/>
            <w:vAlign w:val="bottom"/>
          </w:tcPr>
          <w:p>
            <w:pPr>
              <w:spacing w:after="0"/>
              <w:rPr>
                <w:sz w:val="16"/>
                <w:szCs w:val="16"/>
                <w:color w:val="auto"/>
              </w:rPr>
            </w:pPr>
          </w:p>
        </w:tc>
        <w:tc>
          <w:tcPr>
            <w:tcW w:w="99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Limited Power of Attorney</w:t>
            </w:r>
          </w:p>
        </w:tc>
        <w:tc>
          <w:tcPr>
            <w:tcW w:w="40" w:type="dxa"/>
            <w:vAlign w:val="bottom"/>
          </w:tcPr>
          <w:p>
            <w:pPr>
              <w:spacing w:after="0"/>
              <w:rPr>
                <w:sz w:val="16"/>
                <w:szCs w:val="16"/>
                <w:color w:val="auto"/>
              </w:rPr>
            </w:pPr>
          </w:p>
        </w:tc>
      </w:tr>
      <w:tr>
        <w:trPr>
          <w:trHeight w:val="230"/>
        </w:trPr>
        <w:tc>
          <w:tcPr>
            <w:tcW w:w="1160" w:type="dxa"/>
            <w:vAlign w:val="bottom"/>
            <w:gridSpan w:val="2"/>
          </w:tcPr>
          <w:p>
            <w:pPr>
              <w:spacing w:after="0"/>
              <w:rPr>
                <w:sz w:val="20"/>
                <w:szCs w:val="20"/>
                <w:color w:val="auto"/>
              </w:rPr>
            </w:pPr>
            <w:r>
              <w:rPr>
                <w:rFonts w:ascii="Arial" w:cs="Arial" w:eastAsia="Arial" w:hAnsi="Arial"/>
                <w:sz w:val="18"/>
                <w:szCs w:val="18"/>
                <w:color w:val="auto"/>
              </w:rPr>
              <w:t>II</w:t>
            </w:r>
          </w:p>
        </w:tc>
        <w:tc>
          <w:tcPr>
            <w:tcW w:w="10260" w:type="dxa"/>
            <w:vAlign w:val="bottom"/>
            <w:gridSpan w:val="2"/>
          </w:tcPr>
          <w:p>
            <w:pPr>
              <w:ind w:left="340"/>
              <w:spacing w:after="0"/>
              <w:rPr>
                <w:sz w:val="20"/>
                <w:szCs w:val="20"/>
                <w:color w:val="auto"/>
              </w:rPr>
            </w:pPr>
            <w:r>
              <w:rPr>
                <w:rFonts w:ascii="Arial" w:cs="Arial" w:eastAsia="Arial" w:hAnsi="Arial"/>
                <w:sz w:val="18"/>
                <w:szCs w:val="18"/>
                <w:color w:val="auto"/>
              </w:rPr>
              <w:t>Joint Filing Agreement</w:t>
            </w:r>
          </w:p>
        </w:tc>
        <w:tc>
          <w:tcPr>
            <w:tcW w:w="40" w:type="dxa"/>
            <w:vAlign w:val="bottom"/>
          </w:tcPr>
          <w:p>
            <w:pPr>
              <w:spacing w:after="0"/>
              <w:rPr>
                <w:sz w:val="20"/>
                <w:szCs w:val="20"/>
                <w:color w:val="auto"/>
              </w:rPr>
            </w:pPr>
          </w:p>
        </w:tc>
      </w:tr>
      <w:tr>
        <w:trPr>
          <w:trHeight w:val="348"/>
        </w:trPr>
        <w:tc>
          <w:tcPr>
            <w:tcW w:w="20" w:type="dxa"/>
            <w:vAlign w:val="bottom"/>
            <w:tcBorders>
              <w:bottom w:val="single" w:sz="8" w:color="808080"/>
            </w:tcBorders>
          </w:tcPr>
          <w:p>
            <w:pPr>
              <w:spacing w:after="0"/>
              <w:rPr>
                <w:sz w:val="24"/>
                <w:szCs w:val="24"/>
                <w:color w:val="auto"/>
              </w:rPr>
            </w:pPr>
          </w:p>
        </w:tc>
        <w:tc>
          <w:tcPr>
            <w:tcW w:w="1140" w:type="dxa"/>
            <w:vAlign w:val="bottom"/>
            <w:tcBorders>
              <w:bottom w:val="single" w:sz="8" w:color="808080"/>
            </w:tcBorders>
          </w:tcPr>
          <w:p>
            <w:pPr>
              <w:spacing w:after="0"/>
              <w:rPr>
                <w:sz w:val="24"/>
                <w:szCs w:val="24"/>
                <w:color w:val="auto"/>
              </w:rPr>
            </w:pPr>
          </w:p>
        </w:tc>
        <w:tc>
          <w:tcPr>
            <w:tcW w:w="340" w:type="dxa"/>
            <w:vAlign w:val="bottom"/>
            <w:tcBorders>
              <w:bottom w:val="single" w:sz="8" w:color="808080"/>
            </w:tcBorders>
          </w:tcPr>
          <w:p>
            <w:pPr>
              <w:spacing w:after="0"/>
              <w:rPr>
                <w:sz w:val="24"/>
                <w:szCs w:val="24"/>
                <w:color w:val="auto"/>
              </w:rPr>
            </w:pPr>
          </w:p>
        </w:tc>
        <w:tc>
          <w:tcPr>
            <w:tcW w:w="992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84" w:lineRule="exact"/>
        <w:rPr>
          <w:sz w:val="20"/>
          <w:szCs w:val="20"/>
          <w:color w:val="auto"/>
        </w:rPr>
      </w:pPr>
    </w:p>
    <w:p>
      <w:pPr>
        <w:ind w:left="60"/>
        <w:spacing w:after="0"/>
        <w:rPr>
          <w:sz w:val="20"/>
          <w:szCs w:val="20"/>
          <w:color w:val="auto"/>
        </w:rPr>
      </w:pPr>
      <w:r>
        <w:rPr>
          <w:rFonts w:ascii="Arial" w:cs="Arial" w:eastAsia="Arial" w:hAnsi="Arial"/>
          <w:sz w:val="18"/>
          <w:szCs w:val="18"/>
          <w:color w:val="auto"/>
        </w:rPr>
        <w:t xml:space="preserve">CUSIP No: </w:t>
      </w:r>
      <w:r>
        <w:rPr>
          <w:rFonts w:ascii="Arial" w:cs="Arial" w:eastAsia="Arial" w:hAnsi="Arial"/>
          <w:sz w:val="17"/>
          <w:szCs w:val="17"/>
          <w:color w:val="auto"/>
        </w:rPr>
        <w:t>92840H202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6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Exhibit I</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LIMITED POWER OF ATTORNEY</w:t>
      </w:r>
    </w:p>
    <w:p>
      <w:pPr>
        <w:spacing w:after="0" w:line="229" w:lineRule="exact"/>
        <w:rPr>
          <w:sz w:val="20"/>
          <w:szCs w:val="20"/>
          <w:color w:val="auto"/>
        </w:rPr>
      </w:pPr>
    </w:p>
    <w:p>
      <w:pPr>
        <w:ind w:right="740"/>
        <w:spacing w:after="0" w:line="308" w:lineRule="auto"/>
        <w:rPr>
          <w:sz w:val="20"/>
          <w:szCs w:val="20"/>
          <w:color w:val="auto"/>
        </w:rPr>
      </w:pPr>
      <w:r>
        <w:rPr>
          <w:rFonts w:ascii="Arial" w:cs="Arial" w:eastAsia="Arial" w:hAnsi="Arial"/>
          <w:sz w:val="17"/>
          <w:szCs w:val="17"/>
          <w:color w:val="auto"/>
        </w:rPr>
        <w:t>THIS LIMITED POWER OF ATTORNEY given on the 16th day of July, 2015 by CVI Investments, Inc. (hereinafter called “the Company”), whose Registered Office is situated at PO Box 309GT, Ugland House, South Church Street, George Town, Grand Cayman, Cayman Islands.</w:t>
      </w:r>
    </w:p>
    <w:p>
      <w:pPr>
        <w:spacing w:after="0" w:line="147"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WHEREAS, by agreement dated July 16, 2015, by and between the Company and Heights Capital Management, Inc., the Company expressly authorized Heights Capital Management, Inc. to enter into transactions in certain designated areas as defined in the Discretionary Investment Management Agreement attached hereto marked “Appendix l.”</w:t>
      </w:r>
    </w:p>
    <w:p>
      <w:pPr>
        <w:spacing w:after="0" w:line="181" w:lineRule="exact"/>
        <w:rPr>
          <w:sz w:val="20"/>
          <w:szCs w:val="20"/>
          <w:color w:val="auto"/>
        </w:rPr>
      </w:pPr>
    </w:p>
    <w:p>
      <w:pPr>
        <w:ind w:left="240" w:right="140"/>
        <w:spacing w:after="0" w:line="254" w:lineRule="auto"/>
        <w:rPr>
          <w:sz w:val="20"/>
          <w:szCs w:val="20"/>
          <w:color w:val="auto"/>
        </w:rPr>
      </w:pPr>
      <w:r>
        <w:rPr>
          <w:rFonts w:ascii="Arial" w:cs="Arial" w:eastAsia="Arial" w:hAnsi="Arial"/>
          <w:sz w:val="18"/>
          <w:szCs w:val="18"/>
          <w:color w:val="auto"/>
        </w:rPr>
        <w:t>NOW THIS DEED WITNESSETH that William Walmsley, Director of the Company, hereby appoints on behalf of the Company the firm of HEIGHTS CAPITAL MANAGEMENT, INC., which through its officers, directors and employees is hereby formally granted limited power of attorney for the purpose of entering into transactions on behalf and for the account of the Company; and to take all actions on behalf of the Company as may be necessary to consummate such transactions, including but not limited to making, negotiating; signing, endorsing, executing, acknowledging and delivering in the name of the Company all applications, contracts, agreements, notes, statements, certificates, proxies and any other instruments of whatever kind and nature as may be necessary or proper in connection with the entering into of such transactions, instructing the transfer of funds where necessary with respect to such transactions, and performing all of the services specified under the Discretionary Investment Management Agreement with respect to such transactions.</w:t>
      </w:r>
    </w:p>
    <w:p>
      <w:pPr>
        <w:spacing w:after="0" w:line="192" w:lineRule="exact"/>
        <w:rPr>
          <w:sz w:val="20"/>
          <w:szCs w:val="20"/>
          <w:color w:val="auto"/>
        </w:rPr>
      </w:pPr>
    </w:p>
    <w:p>
      <w:pPr>
        <w:ind w:left="20"/>
        <w:spacing w:after="0"/>
        <w:rPr>
          <w:sz w:val="20"/>
          <w:szCs w:val="20"/>
          <w:color w:val="auto"/>
        </w:rPr>
      </w:pPr>
      <w:r>
        <w:rPr>
          <w:rFonts w:ascii="Arial" w:cs="Arial" w:eastAsia="Arial" w:hAnsi="Arial"/>
          <w:sz w:val="18"/>
          <w:szCs w:val="18"/>
          <w:color w:val="auto"/>
        </w:rPr>
        <w:t>IN WITNESS WHEREOF, the Company has caused this Limited Power of Attorney to take effect on the day and year above written.</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CVI Investments, Inc.</w:t>
      </w:r>
    </w:p>
    <w:p>
      <w:pPr>
        <w:spacing w:after="0" w:line="200" w:lineRule="exact"/>
        <w:rPr>
          <w:sz w:val="20"/>
          <w:szCs w:val="20"/>
          <w:color w:val="auto"/>
        </w:rPr>
      </w:pPr>
    </w:p>
    <w:p>
      <w:pPr>
        <w:spacing w:after="0" w:line="241" w:lineRule="exact"/>
        <w:rPr>
          <w:sz w:val="20"/>
          <w:szCs w:val="20"/>
          <w:color w:val="auto"/>
        </w:rPr>
      </w:pPr>
    </w:p>
    <w:p>
      <w:pPr>
        <w:ind w:left="5720"/>
        <w:spacing w:after="0"/>
        <w:tabs>
          <w:tab w:leader="none" w:pos="6180" w:val="left"/>
        </w:tabs>
        <w:rPr>
          <w:sz w:val="20"/>
          <w:szCs w:val="20"/>
          <w:color w:val="auto"/>
        </w:rPr>
      </w:pPr>
      <w:r>
        <w:rPr>
          <w:rFonts w:ascii="Arial" w:cs="Arial" w:eastAsia="Arial" w:hAnsi="Arial"/>
          <w:sz w:val="18"/>
          <w:szCs w:val="18"/>
          <w:color w:val="auto"/>
        </w:rPr>
        <w:t>By:</w:t>
        <w:tab/>
        <w:t>/s/ William Walmsley</w:t>
      </w:r>
    </w:p>
    <w:p>
      <w:pPr>
        <w:spacing w:after="0" w:line="2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William Walmsley,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3932555</wp:posOffset>
            </wp:positionH>
            <wp:positionV relativeFrom="paragraph">
              <wp:posOffset>-130810</wp:posOffset>
            </wp:positionV>
            <wp:extent cx="331914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31914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60"/>
        <w:spacing w:after="0"/>
        <w:rPr>
          <w:sz w:val="20"/>
          <w:szCs w:val="20"/>
          <w:color w:val="auto"/>
        </w:rPr>
      </w:pPr>
      <w:r>
        <w:rPr>
          <w:rFonts w:ascii="Arial" w:cs="Arial" w:eastAsia="Arial" w:hAnsi="Arial"/>
          <w:sz w:val="18"/>
          <w:szCs w:val="18"/>
          <w:color w:val="auto"/>
        </w:rPr>
        <w:t xml:space="preserve">CUSIP No: </w:t>
      </w:r>
      <w:r>
        <w:rPr>
          <w:rFonts w:ascii="Arial" w:cs="Arial" w:eastAsia="Arial" w:hAnsi="Arial"/>
          <w:sz w:val="17"/>
          <w:szCs w:val="17"/>
          <w:color w:val="auto"/>
        </w:rPr>
        <w:t>92840H202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7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EXHIBIT II</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JOINT FILING AGREEMENT</w:t>
      </w:r>
    </w:p>
    <w:p>
      <w:pPr>
        <w:spacing w:after="0" w:line="225" w:lineRule="exact"/>
        <w:rPr>
          <w:sz w:val="20"/>
          <w:szCs w:val="20"/>
          <w:color w:val="auto"/>
        </w:rPr>
      </w:pPr>
    </w:p>
    <w:p>
      <w:pPr>
        <w:ind w:right="180"/>
        <w:spacing w:after="0" w:line="288" w:lineRule="auto"/>
        <w:rPr>
          <w:sz w:val="20"/>
          <w:szCs w:val="20"/>
          <w:color w:val="auto"/>
        </w:rPr>
      </w:pPr>
      <w:r>
        <w:rPr>
          <w:rFonts w:ascii="Arial" w:cs="Arial" w:eastAsia="Arial" w:hAnsi="Arial"/>
          <w:sz w:val="16"/>
          <w:szCs w:val="16"/>
          <w:color w:val="auto"/>
        </w:rPr>
        <w:t>This will confirm the agreement by and among the undersigned that the Schedule 13G filed with the Securities and Exchange Commission on or about the date hereof with respect to the beneficial ownership by the undersigned of the shares of Common Stock of VistaGen Therapeutics, Inc., $0.001 par value per share, is being filed, and all amendments thereto will be filed, on behalf of each of the persons and entities named below in accordance with Rule 13d-</w:t>
      </w:r>
    </w:p>
    <w:p>
      <w:pPr>
        <w:ind w:right="220"/>
        <w:spacing w:after="0" w:line="261" w:lineRule="auto"/>
        <w:rPr>
          <w:sz w:val="20"/>
          <w:szCs w:val="20"/>
          <w:color w:val="auto"/>
        </w:rPr>
      </w:pPr>
      <w:r>
        <w:rPr>
          <w:rFonts w:ascii="Arial" w:cs="Arial" w:eastAsia="Arial" w:hAnsi="Arial"/>
          <w:sz w:val="18"/>
          <w:szCs w:val="18"/>
          <w:color w:val="auto"/>
        </w:rPr>
        <w:t>1(k) under the Securities Exchange Act of 1934, as amended. This Agreement may be executed in two or more counterparts, each of which shall be deemed an original, but all of which together shall constitute one and the same instrument.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Dated as of December 20, 2017</w:t>
      </w:r>
    </w:p>
    <w:p>
      <w:pPr>
        <w:sectPr>
          <w:pgSz w:w="11900" w:h="16860" w:orient="portrait"/>
          <w:cols w:equalWidth="0" w:num="1">
            <w:col w:w="11460"/>
          </w:cols>
          <w:pgMar w:left="240" w:top="125" w:right="199" w:bottom="0" w:gutter="0" w:footer="0" w:header="0"/>
        </w:sectPr>
      </w:pPr>
    </w:p>
    <w:p>
      <w:pPr>
        <w:spacing w:after="0" w:line="200" w:lineRule="exact"/>
        <w:rPr>
          <w:sz w:val="20"/>
          <w:szCs w:val="20"/>
          <w:color w:val="auto"/>
        </w:rPr>
      </w:pPr>
    </w:p>
    <w:p>
      <w:pPr>
        <w:spacing w:after="0" w:line="241" w:lineRule="exact"/>
        <w:rPr>
          <w:sz w:val="20"/>
          <w:szCs w:val="20"/>
          <w:color w:val="auto"/>
        </w:rPr>
      </w:pPr>
    </w:p>
    <w:p>
      <w:pPr>
        <w:spacing w:after="0"/>
        <w:tabs>
          <w:tab w:leader="none" w:pos="5940" w:val="left"/>
        </w:tabs>
        <w:rPr>
          <w:sz w:val="20"/>
          <w:szCs w:val="20"/>
          <w:color w:val="auto"/>
        </w:rPr>
      </w:pPr>
      <w:r>
        <w:rPr>
          <w:rFonts w:ascii="Arial" w:cs="Arial" w:eastAsia="Arial" w:hAnsi="Arial"/>
          <w:sz w:val="18"/>
          <w:szCs w:val="18"/>
          <w:color w:val="auto"/>
        </w:rPr>
        <w:t>CVI INVESTMENTS, INC.</w:t>
      </w:r>
      <w:r>
        <w:rPr>
          <w:sz w:val="20"/>
          <w:szCs w:val="20"/>
          <w:color w:val="auto"/>
        </w:rPr>
        <w:tab/>
      </w:r>
      <w:r>
        <w:rPr>
          <w:rFonts w:ascii="Arial" w:cs="Arial" w:eastAsia="Arial" w:hAnsi="Arial"/>
          <w:sz w:val="17"/>
          <w:szCs w:val="17"/>
          <w:color w:val="auto"/>
        </w:rPr>
        <w:t>HEIGHTS CAPITAL MANAGEMENT, INC.</w:t>
      </w:r>
    </w:p>
    <w:p>
      <w:pPr>
        <w:sectPr>
          <w:pgSz w:w="11900" w:h="16860" w:orient="portrait"/>
          <w:cols w:equalWidth="0" w:num="1">
            <w:col w:w="11460"/>
          </w:cols>
          <w:pgMar w:left="240" w:top="125" w:right="199" w:bottom="0" w:gutter="0" w:footer="0" w:header="0"/>
          <w:type w:val="continuous"/>
        </w:sectPr>
      </w:pPr>
    </w:p>
    <w:bookmarkStart w:id="5" w:name="page6"/>
    <w:bookmarkEnd w:id="5"/>
    <w:tbl>
      <w:tblPr>
        <w:tblLayout w:type="fixed"/>
        <w:tblInd w:w="0" w:type="dxa"/>
        <w:tblCellMar>
          <w:top w:w="0" w:type="dxa"/>
          <w:left w:w="0" w:type="dxa"/>
          <w:bottom w:w="0" w:type="dxa"/>
          <w:right w:w="0" w:type="dxa"/>
        </w:tblCellMar>
      </w:tblPr>
      <w:tr>
        <w:trPr>
          <w:trHeight w:val="230"/>
        </w:trPr>
        <w:tc>
          <w:tcPr>
            <w:tcW w:w="5500" w:type="dxa"/>
            <w:vAlign w:val="bottom"/>
            <w:gridSpan w:val="2"/>
          </w:tcPr>
          <w:p>
            <w:pPr>
              <w:spacing w:after="0"/>
              <w:rPr>
                <w:sz w:val="20"/>
                <w:szCs w:val="20"/>
                <w:color w:val="auto"/>
              </w:rPr>
            </w:pPr>
            <w:r>
              <w:rPr>
                <w:rFonts w:ascii="Arial" w:cs="Arial" w:eastAsia="Arial" w:hAnsi="Arial"/>
                <w:sz w:val="18"/>
                <w:szCs w:val="18"/>
                <w:color w:val="auto"/>
                <w:w w:val="99"/>
              </w:rPr>
              <w:t>By: Heights Capital Management, Inc. pursuant to a Limited Power of</w:t>
            </w:r>
          </w:p>
        </w:tc>
        <w:tc>
          <w:tcPr>
            <w:tcW w:w="1160" w:type="dxa"/>
            <w:vAlign w:val="bottom"/>
          </w:tcPr>
          <w:p>
            <w:pPr>
              <w:ind w:left="460"/>
              <w:spacing w:after="0"/>
              <w:rPr>
                <w:sz w:val="20"/>
                <w:szCs w:val="20"/>
                <w:color w:val="auto"/>
              </w:rPr>
            </w:pPr>
            <w:r>
              <w:rPr>
                <w:rFonts w:ascii="Arial" w:cs="Arial" w:eastAsia="Arial" w:hAnsi="Arial"/>
                <w:sz w:val="18"/>
                <w:szCs w:val="18"/>
                <w:color w:val="auto"/>
              </w:rPr>
              <w:t>By:</w:t>
            </w:r>
          </w:p>
        </w:tc>
        <w:tc>
          <w:tcPr>
            <w:tcW w:w="47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Brian Sopinsky</w:t>
            </w:r>
          </w:p>
        </w:tc>
        <w:tc>
          <w:tcPr>
            <w:tcW w:w="40" w:type="dxa"/>
            <w:vAlign w:val="bottom"/>
          </w:tcPr>
          <w:p>
            <w:pPr>
              <w:spacing w:after="0"/>
              <w:rPr>
                <w:sz w:val="20"/>
                <w:szCs w:val="20"/>
                <w:color w:val="auto"/>
              </w:rPr>
            </w:pPr>
          </w:p>
        </w:tc>
      </w:tr>
      <w:tr>
        <w:trPr>
          <w:trHeight w:val="195"/>
        </w:trPr>
        <w:tc>
          <w:tcPr>
            <w:tcW w:w="780" w:type="dxa"/>
            <w:vAlign w:val="bottom"/>
          </w:tcPr>
          <w:p>
            <w:pPr>
              <w:spacing w:after="0" w:line="195" w:lineRule="exact"/>
              <w:rPr>
                <w:sz w:val="20"/>
                <w:szCs w:val="20"/>
                <w:color w:val="auto"/>
              </w:rPr>
            </w:pPr>
            <w:r>
              <w:rPr>
                <w:rFonts w:ascii="Arial" w:cs="Arial" w:eastAsia="Arial" w:hAnsi="Arial"/>
                <w:sz w:val="18"/>
                <w:szCs w:val="18"/>
                <w:color w:val="auto"/>
              </w:rPr>
              <w:t>Attorney</w:t>
            </w:r>
          </w:p>
        </w:tc>
        <w:tc>
          <w:tcPr>
            <w:tcW w:w="4720" w:type="dxa"/>
            <w:vAlign w:val="bottom"/>
          </w:tcPr>
          <w:p>
            <w:pPr>
              <w:spacing w:after="0"/>
              <w:rPr>
                <w:sz w:val="16"/>
                <w:szCs w:val="16"/>
                <w:color w:val="auto"/>
              </w:rPr>
            </w:pPr>
          </w:p>
        </w:tc>
        <w:tc>
          <w:tcPr>
            <w:tcW w:w="1160" w:type="dxa"/>
            <w:vAlign w:val="bottom"/>
          </w:tcPr>
          <w:p>
            <w:pPr>
              <w:ind w:left="460"/>
              <w:spacing w:after="0" w:line="195" w:lineRule="exact"/>
              <w:rPr>
                <w:sz w:val="20"/>
                <w:szCs w:val="20"/>
                <w:color w:val="auto"/>
              </w:rPr>
            </w:pPr>
            <w:r>
              <w:rPr>
                <w:rFonts w:ascii="Arial" w:cs="Arial" w:eastAsia="Arial" w:hAnsi="Arial"/>
                <w:sz w:val="18"/>
                <w:szCs w:val="18"/>
                <w:color w:val="auto"/>
              </w:rPr>
              <w:t>Name:</w:t>
            </w:r>
          </w:p>
        </w:tc>
        <w:tc>
          <w:tcPr>
            <w:tcW w:w="4760" w:type="dxa"/>
            <w:vAlign w:val="bottom"/>
          </w:tcPr>
          <w:p>
            <w:pPr>
              <w:spacing w:after="0" w:line="195" w:lineRule="exact"/>
              <w:rPr>
                <w:sz w:val="20"/>
                <w:szCs w:val="20"/>
                <w:color w:val="auto"/>
              </w:rPr>
            </w:pPr>
            <w:r>
              <w:rPr>
                <w:rFonts w:ascii="Arial" w:cs="Arial" w:eastAsia="Arial" w:hAnsi="Arial"/>
                <w:sz w:val="18"/>
                <w:szCs w:val="18"/>
                <w:color w:val="auto"/>
              </w:rPr>
              <w:t>Brian Sopinsky</w:t>
            </w:r>
          </w:p>
        </w:tc>
        <w:tc>
          <w:tcPr>
            <w:tcW w:w="40" w:type="dxa"/>
            <w:vAlign w:val="bottom"/>
          </w:tcPr>
          <w:p>
            <w:pPr>
              <w:spacing w:after="0"/>
              <w:rPr>
                <w:sz w:val="16"/>
                <w:szCs w:val="16"/>
                <w:color w:val="auto"/>
              </w:rPr>
            </w:pPr>
          </w:p>
        </w:tc>
      </w:tr>
      <w:tr>
        <w:trPr>
          <w:trHeight w:val="230"/>
        </w:trPr>
        <w:tc>
          <w:tcPr>
            <w:tcW w:w="780" w:type="dxa"/>
            <w:vAlign w:val="bottom"/>
          </w:tcPr>
          <w:p>
            <w:pPr>
              <w:spacing w:after="0"/>
              <w:rPr>
                <w:sz w:val="20"/>
                <w:szCs w:val="20"/>
                <w:color w:val="auto"/>
              </w:rPr>
            </w:pPr>
          </w:p>
        </w:tc>
        <w:tc>
          <w:tcPr>
            <w:tcW w:w="4720" w:type="dxa"/>
            <w:vAlign w:val="bottom"/>
          </w:tcPr>
          <w:p>
            <w:pPr>
              <w:spacing w:after="0"/>
              <w:rPr>
                <w:sz w:val="20"/>
                <w:szCs w:val="20"/>
                <w:color w:val="auto"/>
              </w:rPr>
            </w:pPr>
          </w:p>
        </w:tc>
        <w:tc>
          <w:tcPr>
            <w:tcW w:w="1160" w:type="dxa"/>
            <w:vAlign w:val="bottom"/>
          </w:tcPr>
          <w:p>
            <w:pPr>
              <w:ind w:left="460"/>
              <w:spacing w:after="0"/>
              <w:rPr>
                <w:sz w:val="20"/>
                <w:szCs w:val="20"/>
                <w:color w:val="auto"/>
              </w:rPr>
            </w:pPr>
            <w:r>
              <w:rPr>
                <w:rFonts w:ascii="Arial" w:cs="Arial" w:eastAsia="Arial" w:hAnsi="Arial"/>
                <w:sz w:val="18"/>
                <w:szCs w:val="18"/>
                <w:color w:val="auto"/>
              </w:rPr>
              <w:t>Title:</w:t>
            </w:r>
          </w:p>
        </w:tc>
        <w:tc>
          <w:tcPr>
            <w:tcW w:w="4760" w:type="dxa"/>
            <w:vAlign w:val="bottom"/>
          </w:tcPr>
          <w:p>
            <w:pPr>
              <w:spacing w:after="0"/>
              <w:rPr>
                <w:sz w:val="20"/>
                <w:szCs w:val="20"/>
                <w:color w:val="auto"/>
              </w:rPr>
            </w:pPr>
            <w:r>
              <w:rPr>
                <w:rFonts w:ascii="Arial" w:cs="Arial" w:eastAsia="Arial" w:hAnsi="Arial"/>
                <w:sz w:val="18"/>
                <w:szCs w:val="18"/>
                <w:color w:val="auto"/>
              </w:rPr>
              <w:t>Secretary</w:t>
            </w:r>
          </w:p>
        </w:tc>
        <w:tc>
          <w:tcPr>
            <w:tcW w:w="40" w:type="dxa"/>
            <w:vAlign w:val="bottom"/>
          </w:tcPr>
          <w:p>
            <w:pPr>
              <w:spacing w:after="0"/>
              <w:rPr>
                <w:sz w:val="20"/>
                <w:szCs w:val="20"/>
                <w:color w:val="auto"/>
              </w:rPr>
            </w:pPr>
          </w:p>
        </w:tc>
      </w:tr>
      <w:tr>
        <w:trPr>
          <w:trHeight w:val="432"/>
        </w:trPr>
        <w:tc>
          <w:tcPr>
            <w:tcW w:w="780" w:type="dxa"/>
            <w:vAlign w:val="bottom"/>
          </w:tcPr>
          <w:p>
            <w:pPr>
              <w:spacing w:after="0"/>
              <w:rPr>
                <w:sz w:val="20"/>
                <w:szCs w:val="20"/>
                <w:color w:val="auto"/>
              </w:rPr>
            </w:pPr>
            <w:r>
              <w:rPr>
                <w:rFonts w:ascii="Arial" w:cs="Arial" w:eastAsia="Arial" w:hAnsi="Arial"/>
                <w:sz w:val="18"/>
                <w:szCs w:val="18"/>
                <w:color w:val="auto"/>
              </w:rPr>
              <w:t>By:</w:t>
            </w:r>
          </w:p>
        </w:tc>
        <w:tc>
          <w:tcPr>
            <w:tcW w:w="4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Brian Sopinsky</w:t>
            </w:r>
          </w:p>
        </w:tc>
        <w:tc>
          <w:tcPr>
            <w:tcW w:w="1160" w:type="dxa"/>
            <w:vAlign w:val="bottom"/>
          </w:tcPr>
          <w:p>
            <w:pPr>
              <w:spacing w:after="0"/>
              <w:rPr>
                <w:sz w:val="24"/>
                <w:szCs w:val="24"/>
                <w:color w:val="auto"/>
              </w:rPr>
            </w:pPr>
          </w:p>
        </w:tc>
        <w:tc>
          <w:tcPr>
            <w:tcW w:w="47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95"/>
        </w:trPr>
        <w:tc>
          <w:tcPr>
            <w:tcW w:w="78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720" w:type="dxa"/>
            <w:vAlign w:val="bottom"/>
          </w:tcPr>
          <w:p>
            <w:pPr>
              <w:spacing w:after="0" w:line="195" w:lineRule="exact"/>
              <w:rPr>
                <w:sz w:val="20"/>
                <w:szCs w:val="20"/>
                <w:color w:val="auto"/>
              </w:rPr>
            </w:pPr>
            <w:r>
              <w:rPr>
                <w:rFonts w:ascii="Arial" w:cs="Arial" w:eastAsia="Arial" w:hAnsi="Arial"/>
                <w:sz w:val="18"/>
                <w:szCs w:val="18"/>
                <w:color w:val="auto"/>
              </w:rPr>
              <w:t>Brian Sopinsky</w:t>
            </w:r>
          </w:p>
        </w:tc>
        <w:tc>
          <w:tcPr>
            <w:tcW w:w="1160" w:type="dxa"/>
            <w:vAlign w:val="bottom"/>
          </w:tcPr>
          <w:p>
            <w:pPr>
              <w:spacing w:after="0"/>
              <w:rPr>
                <w:sz w:val="16"/>
                <w:szCs w:val="16"/>
                <w:color w:val="auto"/>
              </w:rPr>
            </w:pPr>
          </w:p>
        </w:tc>
        <w:tc>
          <w:tcPr>
            <w:tcW w:w="476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230"/>
        </w:trPr>
        <w:tc>
          <w:tcPr>
            <w:tcW w:w="780" w:type="dxa"/>
            <w:vAlign w:val="bottom"/>
          </w:tcPr>
          <w:p>
            <w:pPr>
              <w:spacing w:after="0"/>
              <w:rPr>
                <w:sz w:val="20"/>
                <w:szCs w:val="20"/>
                <w:color w:val="auto"/>
              </w:rPr>
            </w:pPr>
            <w:r>
              <w:rPr>
                <w:rFonts w:ascii="Arial" w:cs="Arial" w:eastAsia="Arial" w:hAnsi="Arial"/>
                <w:sz w:val="18"/>
                <w:szCs w:val="18"/>
                <w:color w:val="auto"/>
              </w:rPr>
              <w:t>Title:</w:t>
            </w:r>
          </w:p>
        </w:tc>
        <w:tc>
          <w:tcPr>
            <w:tcW w:w="4720" w:type="dxa"/>
            <w:vAlign w:val="bottom"/>
          </w:tcPr>
          <w:p>
            <w:pPr>
              <w:spacing w:after="0"/>
              <w:rPr>
                <w:sz w:val="20"/>
                <w:szCs w:val="20"/>
                <w:color w:val="auto"/>
              </w:rPr>
            </w:pPr>
            <w:r>
              <w:rPr>
                <w:rFonts w:ascii="Arial" w:cs="Arial" w:eastAsia="Arial" w:hAnsi="Arial"/>
                <w:sz w:val="18"/>
                <w:szCs w:val="18"/>
                <w:color w:val="auto"/>
              </w:rPr>
              <w:t>Secretary</w:t>
            </w:r>
          </w:p>
        </w:tc>
        <w:tc>
          <w:tcPr>
            <w:tcW w:w="1160" w:type="dxa"/>
            <w:vAlign w:val="bottom"/>
          </w:tcPr>
          <w:p>
            <w:pPr>
              <w:spacing w:after="0"/>
              <w:rPr>
                <w:sz w:val="20"/>
                <w:szCs w:val="20"/>
                <w:color w:val="auto"/>
              </w:rPr>
            </w:pPr>
          </w:p>
        </w:tc>
        <w:tc>
          <w:tcPr>
            <w:tcW w:w="476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348"/>
        </w:trPr>
        <w:tc>
          <w:tcPr>
            <w:tcW w:w="780" w:type="dxa"/>
            <w:vAlign w:val="bottom"/>
            <w:tcBorders>
              <w:bottom w:val="single" w:sz="8" w:color="808080"/>
            </w:tcBorders>
          </w:tcPr>
          <w:p>
            <w:pPr>
              <w:spacing w:after="0"/>
              <w:rPr>
                <w:sz w:val="24"/>
                <w:szCs w:val="24"/>
                <w:color w:val="auto"/>
              </w:rPr>
            </w:pPr>
          </w:p>
        </w:tc>
        <w:tc>
          <w:tcPr>
            <w:tcW w:w="4720" w:type="dxa"/>
            <w:vAlign w:val="bottom"/>
            <w:tcBorders>
              <w:bottom w:val="single" w:sz="8" w:color="808080"/>
            </w:tcBorders>
          </w:tcPr>
          <w:p>
            <w:pPr>
              <w:spacing w:after="0"/>
              <w:rPr>
                <w:sz w:val="24"/>
                <w:szCs w:val="24"/>
                <w:color w:val="auto"/>
              </w:rPr>
            </w:pPr>
          </w:p>
        </w:tc>
        <w:tc>
          <w:tcPr>
            <w:tcW w:w="1160" w:type="dxa"/>
            <w:vAlign w:val="bottom"/>
            <w:tcBorders>
              <w:bottom w:val="single" w:sz="8" w:color="808080"/>
            </w:tcBorders>
          </w:tcPr>
          <w:p>
            <w:pPr>
              <w:spacing w:after="0"/>
              <w:rPr>
                <w:sz w:val="24"/>
                <w:szCs w:val="24"/>
                <w:color w:val="auto"/>
              </w:rPr>
            </w:pPr>
          </w:p>
        </w:tc>
        <w:tc>
          <w:tcPr>
            <w:tcW w:w="476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sectPr>
      <w:pgSz w:w="11900" w:h="16838" w:orient="portrait"/>
      <w:cols w:equalWidth="0" w:num="1">
        <w:col w:w="11460"/>
      </w:cols>
      <w:pgMar w:left="240" w:top="341" w:right="1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07ED7AB"/>
    <w:multiLevelType w:val="hybridMultilevel"/>
    <w:lvl w:ilvl="0">
      <w:lvlJc w:val="left"/>
      <w:lvlText w:val="o"/>
      <w:numFmt w:val="bullet"/>
      <w:start w:val="1"/>
    </w:lvl>
  </w:abstractNum>
  <w:abstractNum w:abstractNumId="1">
    <w:nsid w:val="2EB141F2"/>
    <w:multiLevelType w:val="hybridMultilevel"/>
    <w:lvl w:ilvl="0">
      <w:lvlJc w:val="left"/>
      <w:lvlText w:val="(%1)"/>
      <w:numFmt w:val="decimal"/>
      <w:start w:val="1"/>
    </w:lvl>
    <w:lvl w:ilvl="1">
      <w:lvlJc w:val="left"/>
      <w:lvlText w:val="(%2)"/>
      <w:numFmt w:val="lowerLetter"/>
      <w:start w:val="1"/>
    </w:lvl>
  </w:abstractNum>
  <w:abstractNum w:abstractNumId="2">
    <w:nsid w:val="41B71EFB"/>
    <w:multiLevelType w:val="hybridMultilevel"/>
    <w:lvl w:ilvl="0">
      <w:lvlJc w:val="left"/>
      <w:lvlText w:val="**"/>
      <w:numFmt w:val="bullet"/>
      <w:start w:val="1"/>
    </w:lvl>
    <w:lvl w:ilvl="1">
      <w:lvlJc w:val="left"/>
      <w:lvlText w:val="%2"/>
      <w:numFmt w:val="decimal"/>
      <w:start w:val="1"/>
    </w:lvl>
    <w:lvl w:ilvl="2">
      <w:lvlJc w:val="left"/>
      <w:lvlText w:val="(%3)"/>
      <w:numFmt w:val="decimal"/>
      <w:start w:val="7"/>
    </w:lvl>
  </w:abstractNum>
  <w:abstractNum w:abstractNumId="3">
    <w:nsid w:val="79E2A9E3"/>
    <w:multiLevelType w:val="hybridMultilevel"/>
    <w:lvl w:ilvl="0">
      <w:lvlJc w:val="left"/>
      <w:lvlText w:val="**"/>
      <w:numFmt w:val="bullet"/>
      <w:start w:val="1"/>
    </w:lvl>
    <w:lvl w:ilvl="1">
      <w:lvlJc w:val="left"/>
      <w:lvlText w:val="(%2)"/>
      <w:numFmt w:val="decimal"/>
      <w:start w:val="9"/>
    </w:lvl>
    <w:lvl w:ilvl="2">
      <w:lvlJc w:val="left"/>
      <w:lvlText w:val="%3"/>
      <w:numFmt w:val="decimal"/>
      <w:start w:val="1"/>
    </w:lvl>
  </w:abstractNum>
  <w:abstractNum w:abstractNumId="4">
    <w:nsid w:val="7545E146"/>
    <w:multiLevelType w:val="hybridMultilevel"/>
    <w:lvl w:ilvl="0">
      <w:lvlJc w:val="left"/>
      <w:lvlText w:val="(%1)"/>
      <w:numFmt w:val="decimal"/>
      <w:start w:val="1"/>
    </w:lvl>
    <w:lvl w:ilvl="1">
      <w:lvlJc w:val="left"/>
      <w:lvlText w:val="(%2)"/>
      <w:numFmt w:val="lowerLetter"/>
      <w:start w:val="1"/>
    </w:lvl>
  </w:abstractNum>
  <w:abstractNum w:abstractNumId="5">
    <w:nsid w:val="515F007C"/>
    <w:multiLevelType w:val="hybridMultilevel"/>
    <w:lvl w:ilvl="0">
      <w:lvlJc w:val="left"/>
      <w:lvlText w:val="%1"/>
      <w:numFmt w:val="decimal"/>
      <w:start w:val="1"/>
    </w:lvl>
    <w:lvl w:ilvl="1">
      <w:lvlJc w:val="left"/>
      <w:lvlText w:val="(%2)"/>
      <w:numFmt w:val="decimal"/>
      <w:start w:val="8"/>
    </w:lvl>
  </w:abstractNum>
  <w:abstractNum w:abstractNumId="6">
    <w:nsid w:val="5BD062C2"/>
    <w:multiLevelType w:val="hybridMultilevel"/>
    <w:lvl w:ilvl="0">
      <w:lvlJc w:val="left"/>
      <w:lvlText w:val="(%1)"/>
      <w:numFmt w:val="decimal"/>
      <w:start w:val="9"/>
    </w:lvl>
    <w:lvl w:ilvl="1">
      <w:lvlJc w:val="left"/>
      <w:lvlText w:val="%2"/>
      <w:numFmt w:val="decimal"/>
      <w:start w:val="1"/>
    </w:lvl>
  </w:abstractNum>
  <w:abstractNum w:abstractNumId="7">
    <w:nsid w:val="12200854"/>
    <w:multiLevelType w:val="hybridMultilevel"/>
    <w:lvl w:ilvl="0">
      <w:lvlJc w:val="left"/>
      <w:lvlText w:val="**"/>
      <w:numFmt w:val="bullet"/>
      <w:start w:val="1"/>
    </w:lvl>
    <w:lvl w:ilvl="1">
      <w:lvlJc w:val="left"/>
      <w:lvlText w:val="(%2)"/>
      <w:numFmt w:val="decimal"/>
      <w:start w:val="11"/>
    </w:lvl>
  </w:abstractNum>
  <w:abstractNum w:abstractNumId="8">
    <w:nsid w:val="4DB127F8"/>
    <w:multiLevelType w:val="hybridMultilevel"/>
    <w:lvl w:ilvl="0">
      <w:lvlJc w:val="left"/>
      <w:lvlText w:val="(%1)"/>
      <w:numFmt w:val="lowerLetter"/>
      <w:start w:val="1"/>
    </w:lvl>
    <w:lvl w:ilvl="1">
      <w:lvlJc w:val="left"/>
      <w:lvlText w:val="(%2)"/>
      <w:numFmt w:val="lowerRoman"/>
      <w:start w:val="1"/>
    </w:lvl>
  </w:abstractNum>
  <w:abstractNum w:abstractNumId="9">
    <w:nsid w:val="216231B"/>
    <w:multiLevelType w:val="hybridMultilevel"/>
    <w:lvl w:ilvl="0">
      <w:lvlJc w:val="left"/>
      <w:lvlText w:val="(%1)"/>
      <w:numFmt w:val="lowerLetter"/>
      <w:start w:val="1"/>
    </w:lvl>
  </w:abstractNum>
  <w:abstractNum w:abstractNumId="10">
    <w:nsid w:val="1F16E9E8"/>
    <w:multiLevelType w:val="hybridMultilevel"/>
    <w:lvl w:ilvl="0">
      <w:lvlJc w:val="left"/>
      <w:lvlText w:val="(%1)"/>
      <w:numFmt w:val="lowerLetter"/>
      <w:start w:val="8"/>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2020-01-19T02:19:12Z</dcterms:created>
  <dcterms:modified xsi:type="dcterms:W3CDTF">2020-01-19T02:19:12Z</dcterms:modified>
</cp:coreProperties>
</file>