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January 6, 2014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000-54014</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19"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980" w:type="dxa"/>
            <w:vAlign w:val="bottom"/>
          </w:tcPr>
          <w:p>
            <w:pPr>
              <w:spacing w:after="0"/>
              <w:rPr>
                <w:sz w:val="17"/>
                <w:szCs w:val="17"/>
                <w:color w:val="auto"/>
              </w:rPr>
            </w:pPr>
          </w:p>
        </w:tc>
        <w:tc>
          <w:tcPr>
            <w:tcW w:w="3580" w:type="dxa"/>
            <w:vAlign w:val="bottom"/>
            <w:gridSpan w:val="3"/>
          </w:tcPr>
          <w:p>
            <w:pPr>
              <w:jc w:val="right"/>
              <w:ind w:right="840"/>
              <w:spacing w:after="0"/>
              <w:rPr>
                <w:sz w:val="20"/>
                <w:szCs w:val="20"/>
                <w:color w:val="auto"/>
              </w:rPr>
            </w:pPr>
            <w:r>
              <w:rPr>
                <w:rFonts w:ascii="Arial" w:cs="Arial" w:eastAsia="Arial" w:hAnsi="Arial"/>
                <w:sz w:val="18"/>
                <w:szCs w:val="18"/>
                <w:color w:val="auto"/>
              </w:rPr>
              <w:t>205093315</w:t>
            </w:r>
          </w:p>
        </w:tc>
      </w:tr>
      <w:tr>
        <w:trPr>
          <w:trHeight w:val="20"/>
        </w:trPr>
        <w:tc>
          <w:tcPr>
            <w:tcW w:w="1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7"/>
        </w:trPr>
        <w:tc>
          <w:tcPr>
            <w:tcW w:w="5400" w:type="dxa"/>
            <w:vAlign w:val="bottom"/>
            <w:gridSpan w:val="3"/>
          </w:tcPr>
          <w:p>
            <w:pPr>
              <w:jc w:val="center"/>
              <w:ind w:right="1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580" w:type="dxa"/>
            <w:vAlign w:val="bottom"/>
            <w:gridSpan w:val="3"/>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343 Allerton Avenue, South San Francisco, California 94080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650-577-3600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10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an ongoing process of evaluating potential business opportunities that we expect will contribute to our future growth. Among our current opportunities, we have entered into a Securities Purchase Agreement, dated April 8, 2013 (as amended, the "Agreement"), with Autilion AG, a company organized and existing under the laws of Switzerland ("Autilion"). Pursuant to the Agreement, Autilion is contractually obligated to purchase a total of 72.0 million restricted shares of our Common Stock at a purchase price of $0.50 per share for aggregate cash proceeds to us of $36.0 million (the "Autilion Financing"). Through January 6, 2014, we have completed a nominal initial closing of the Autilion Financing. Although there can be no assurance that an additional closing of the Autilion Financing will occur, on January 6, 2014, Autilion informed us that it expects us to receive the full $36.0 million committed under the terms of the Agreement between mid-January and mid-February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99" w:lineRule="exact"/>
        <w:rPr>
          <w:sz w:val="20"/>
          <w:szCs w:val="20"/>
          <w:color w:val="auto"/>
        </w:rPr>
      </w:pPr>
    </w:p>
    <w:p>
      <w:pPr>
        <w:spacing w:after="0"/>
        <w:tabs>
          <w:tab w:leader="none" w:pos="520" w:val="left"/>
          <w:tab w:leader="none" w:pos="6340" w:val="left"/>
          <w:tab w:leader="none" w:pos="6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i w:val="1"/>
          <w:iCs w:val="1"/>
          <w:color w:val="auto"/>
        </w:rPr>
        <w:t>January 7,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K. Singh,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70485</wp:posOffset>
            </wp:positionV>
            <wp:extent cx="234061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0610" cy="425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Name: Shawn K. Singh, JD</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2020-01-25T15:49:39Z</dcterms:created>
  <dcterms:modified xsi:type="dcterms:W3CDTF">2020-01-25T15:49:39Z</dcterms:modified>
</cp:coreProperties>
</file>