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Washington, D.C. 20549</w:t>
      </w:r>
    </w:p>
    <w:p>
      <w:pPr>
        <w:spacing w:after="0" w:line="141"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Form 10-K</w:t>
      </w:r>
    </w:p>
    <w:p>
      <w:pPr>
        <w:spacing w:after="0" w:line="149" w:lineRule="exact"/>
        <w:rPr>
          <w:sz w:val="24"/>
          <w:szCs w:val="24"/>
          <w:color w:val="auto"/>
        </w:rPr>
      </w:pPr>
    </w:p>
    <w:p>
      <w:pPr>
        <w:ind w:left="548" w:hanging="548"/>
        <w:spacing w:after="0"/>
        <w:tabs>
          <w:tab w:leader="none" w:pos="548"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172"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3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Arial" w:cs="Arial" w:eastAsia="Arial" w:hAnsi="Arial"/>
                <w:sz w:val="12"/>
                <w:szCs w:val="12"/>
                <w:color w:val="auto"/>
                <w:w w:val="90"/>
              </w:rPr>
              <w:t>For the fiscal year ended: March 31, 2014</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306"/>
        </w:trPr>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2"/>
                <w:szCs w:val="12"/>
                <w:color w:val="auto"/>
                <w:w w:val="93"/>
              </w:rPr>
              <w:t>or</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88"/>
        </w:trPr>
        <w:tc>
          <w:tcPr>
            <w:tcW w:w="300" w:type="dxa"/>
            <w:vAlign w:val="bottom"/>
          </w:tcPr>
          <w:p>
            <w:pPr>
              <w:spacing w:after="0"/>
              <w:rPr>
                <w:sz w:val="20"/>
                <w:szCs w:val="20"/>
                <w:color w:val="auto"/>
              </w:rPr>
            </w:pPr>
            <w:r>
              <w:rPr>
                <w:rFonts w:ascii="Arial" w:cs="Arial" w:eastAsia="Arial" w:hAnsi="Arial"/>
                <w:sz w:val="12"/>
                <w:szCs w:val="12"/>
                <w:color w:val="auto"/>
              </w:rPr>
              <w:t>o</w:t>
            </w:r>
          </w:p>
        </w:tc>
        <w:tc>
          <w:tcPr>
            <w:tcW w:w="7140" w:type="dxa"/>
            <w:vAlign w:val="bottom"/>
            <w:gridSpan w:val="4"/>
          </w:tcPr>
          <w:p>
            <w:pPr>
              <w:ind w:left="240"/>
              <w:spacing w:after="0"/>
              <w:rPr>
                <w:sz w:val="20"/>
                <w:szCs w:val="20"/>
                <w:color w:val="auto"/>
              </w:rPr>
            </w:pPr>
            <w:r>
              <w:rPr>
                <w:rFonts w:ascii="Arial" w:cs="Arial" w:eastAsia="Arial" w:hAnsi="Arial"/>
                <w:sz w:val="12"/>
                <w:szCs w:val="12"/>
                <w:b w:val="1"/>
                <w:bCs w:val="1"/>
                <w:color w:val="auto"/>
              </w:rPr>
              <w:t>Transition Report Pursuant to Section 13 or 15(d) of the Securities Exchange Act of 1934</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6"/>
        </w:trPr>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2"/>
                <w:szCs w:val="12"/>
                <w:color w:val="auto"/>
                <w:w w:val="92"/>
              </w:rPr>
              <w:t>Commission file number: 000-54014</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9"/>
        </w:trPr>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VISTAGEN THERAPEUTICS, INC.</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0"/>
        </w:trPr>
        <w:tc>
          <w:tcPr>
            <w:tcW w:w="3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20" w:type="dxa"/>
            <w:vAlign w:val="bottom"/>
          </w:tcPr>
          <w:p>
            <w:pPr>
              <w:jc w:val="center"/>
              <w:spacing w:after="0"/>
              <w:rPr>
                <w:sz w:val="20"/>
                <w:szCs w:val="20"/>
                <w:color w:val="auto"/>
              </w:rPr>
            </w:pPr>
            <w:r>
              <w:rPr>
                <w:rFonts w:ascii="Arial" w:cs="Arial" w:eastAsia="Arial" w:hAnsi="Arial"/>
                <w:sz w:val="12"/>
                <w:szCs w:val="12"/>
                <w:color w:val="auto"/>
                <w:w w:val="90"/>
              </w:rPr>
              <w:t>(Exact name of registrant as specified in its charter)</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61"/>
        </w:trPr>
        <w:tc>
          <w:tcPr>
            <w:tcW w:w="3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88"/>
              </w:rPr>
              <w:t>Nevada</w:t>
            </w:r>
          </w:p>
        </w:tc>
        <w:tc>
          <w:tcPr>
            <w:tcW w:w="450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w w:val="87"/>
              </w:rPr>
              <w:t>20-5093315</w:t>
            </w:r>
          </w:p>
        </w:tc>
      </w:tr>
      <w:tr>
        <w:trPr>
          <w:trHeight w:val="20"/>
        </w:trPr>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7140" w:type="dxa"/>
            <w:vAlign w:val="bottom"/>
            <w:gridSpan w:val="4"/>
          </w:tcPr>
          <w:p>
            <w:pPr>
              <w:jc w:val="center"/>
              <w:ind w:right="2190"/>
              <w:spacing w:after="0"/>
              <w:rPr>
                <w:sz w:val="20"/>
                <w:szCs w:val="20"/>
                <w:color w:val="auto"/>
              </w:rPr>
            </w:pPr>
            <w:r>
              <w:rPr>
                <w:rFonts w:ascii="Arial" w:cs="Arial" w:eastAsia="Arial" w:hAnsi="Arial"/>
                <w:sz w:val="12"/>
                <w:szCs w:val="12"/>
                <w:color w:val="auto"/>
                <w:w w:val="93"/>
              </w:rPr>
              <w:t>(State or other jurisdiction of incorporation or organization)</w:t>
            </w:r>
          </w:p>
        </w:tc>
        <w:tc>
          <w:tcPr>
            <w:tcW w:w="2140" w:type="dxa"/>
            <w:vAlign w:val="bottom"/>
            <w:gridSpan w:val="3"/>
          </w:tcPr>
          <w:p>
            <w:pPr>
              <w:jc w:val="center"/>
              <w:ind w:left="340"/>
              <w:spacing w:after="0"/>
              <w:rPr>
                <w:sz w:val="20"/>
                <w:szCs w:val="20"/>
                <w:color w:val="auto"/>
              </w:rPr>
            </w:pPr>
            <w:r>
              <w:rPr>
                <w:rFonts w:ascii="Arial" w:cs="Arial" w:eastAsia="Arial" w:hAnsi="Arial"/>
                <w:sz w:val="12"/>
                <w:szCs w:val="12"/>
                <w:color w:val="auto"/>
                <w:w w:val="94"/>
              </w:rPr>
              <w:t>(I.R.S. Employer Identification No.)</w:t>
            </w:r>
          </w:p>
        </w:tc>
      </w:tr>
    </w:tbl>
    <w:p>
      <w:pPr>
        <w:spacing w:after="0" w:line="14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343 Allerton Avenue</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South San Francisco, California 94080</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u w:val="single" w:color="auto"/>
          <w:color w:val="auto"/>
        </w:rPr>
        <w:t>(650) 577-3600</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w:t>
      </w:r>
    </w:p>
    <w:p>
      <w:pPr>
        <w:spacing w:after="0" w:line="155"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168"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None</w:t>
      </w:r>
    </w:p>
    <w:p>
      <w:pPr>
        <w:spacing w:after="0" w:line="168"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168"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Common Stock, par value $0.001 per share</w:t>
      </w:r>
    </w:p>
    <w:p>
      <w:pPr>
        <w:sectPr>
          <w:pgSz w:w="11900" w:h="16838" w:orient="portrait"/>
          <w:cols w:equalWidth="0" w:num="1">
            <w:col w:w="11488"/>
          </w:cols>
          <w:pgMar w:left="212" w:top="253" w:right="199" w:bottom="1440" w:gutter="0" w:footer="0" w:header="0"/>
        </w:sectPr>
      </w:pPr>
    </w:p>
    <w:p>
      <w:pPr>
        <w:spacing w:after="0" w:line="172"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1"/>
          <w:szCs w:val="11"/>
          <w:color w:val="auto"/>
        </w:rPr>
        <w:t>Yes  o No  S</w:t>
      </w:r>
    </w:p>
    <w:p>
      <w:pPr>
        <w:spacing w:after="0" w:line="162" w:lineRule="exact"/>
        <w:rPr>
          <w:sz w:val="24"/>
          <w:szCs w:val="24"/>
          <w:color w:val="auto"/>
        </w:rPr>
      </w:pPr>
    </w:p>
    <w:p>
      <w:pPr>
        <w:sectPr>
          <w:pgSz w:w="11900" w:h="16838" w:orient="portrait"/>
          <w:cols w:equalWidth="0" w:num="2">
            <w:col w:w="5628" w:space="120"/>
            <w:col w:w="5740"/>
          </w:cols>
          <w:pgMar w:left="212" w:top="253" w:right="199" w:bottom="1440" w:gutter="0" w:footer="0" w:header="0"/>
          <w:type w:val="continuous"/>
        </w:sectPr>
      </w:pPr>
    </w:p>
    <w:p>
      <w:pPr>
        <w:ind w:left="8"/>
        <w:spacing w:after="0"/>
        <w:rPr>
          <w:sz w:val="20"/>
          <w:szCs w:val="20"/>
          <w:color w:val="auto"/>
        </w:rPr>
      </w:pPr>
      <w:r>
        <w:rPr>
          <w:rFonts w:ascii="Arial" w:cs="Arial" w:eastAsia="Arial" w:hAnsi="Arial"/>
          <w:sz w:val="10"/>
          <w:szCs w:val="10"/>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1"/>
          <w:szCs w:val="11"/>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  x</w:t>
      </w:r>
    </w:p>
    <w:p>
      <w:pPr>
        <w:spacing w:after="0" w:line="150" w:lineRule="exact"/>
        <w:rPr>
          <w:sz w:val="24"/>
          <w:szCs w:val="24"/>
          <w:color w:val="auto"/>
        </w:rPr>
      </w:pPr>
    </w:p>
    <w:p>
      <w:pPr>
        <w:sectPr>
          <w:pgSz w:w="11900" w:h="16838" w:orient="portrait"/>
          <w:cols w:equalWidth="0" w:num="3">
            <w:col w:w="5348" w:space="120"/>
            <w:col w:w="320" w:space="120"/>
            <w:col w:w="5580"/>
          </w:cols>
          <w:pgMar w:left="212" w:top="253" w:right="199" w:bottom="1440" w:gutter="0" w:footer="0" w:header="0"/>
          <w:type w:val="continuous"/>
        </w:sectPr>
      </w:pPr>
    </w:p>
    <w:p>
      <w:pPr>
        <w:ind w:left="8"/>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5" w:lineRule="exact"/>
        <w:rPr>
          <w:sz w:val="24"/>
          <w:szCs w:val="24"/>
          <w:color w:val="auto"/>
        </w:rPr>
      </w:pPr>
    </w:p>
    <w:p>
      <w:pPr>
        <w:ind w:left="8"/>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o</w:t>
      </w:r>
    </w:p>
    <w:p>
      <w:pPr>
        <w:spacing w:after="0" w:line="115" w:lineRule="exact"/>
        <w:rPr>
          <w:sz w:val="24"/>
          <w:szCs w:val="24"/>
          <w:color w:val="auto"/>
        </w:rPr>
      </w:pPr>
    </w:p>
    <w:p>
      <w:pPr>
        <w:ind w:left="8"/>
        <w:spacing w:after="0" w:line="276"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15" w:lineRule="exact"/>
        <w:rPr>
          <w:sz w:val="24"/>
          <w:szCs w:val="24"/>
          <w:color w:val="auto"/>
        </w:rPr>
      </w:pPr>
    </w:p>
    <w:p>
      <w:pPr>
        <w:ind w:left="8"/>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88"/>
          </w:cols>
          <w:pgMar w:left="212" w:top="253" w:right="199" w:bottom="1440" w:gutter="0" w:footer="0" w:header="0"/>
          <w:type w:val="continuous"/>
        </w:sectPr>
      </w:pPr>
    </w:p>
    <w:p>
      <w:pPr>
        <w:spacing w:after="0" w:line="115" w:lineRule="exact"/>
        <w:rPr>
          <w:sz w:val="24"/>
          <w:szCs w:val="24"/>
          <w:color w:val="auto"/>
        </w:rPr>
      </w:pPr>
    </w:p>
    <w:p>
      <w:pPr>
        <w:ind w:left="8"/>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tabs>
          <w:tab w:leader="none" w:pos="1420" w:val="left"/>
        </w:tabs>
        <w:rPr>
          <w:sz w:val="20"/>
          <w:szCs w:val="20"/>
          <w:color w:val="auto"/>
        </w:rPr>
      </w:pPr>
      <w:r>
        <w:rPr>
          <w:rFonts w:ascii="Arial" w:cs="Arial" w:eastAsia="Arial" w:hAnsi="Arial"/>
          <w:sz w:val="12"/>
          <w:szCs w:val="12"/>
          <w:color w:val="auto"/>
        </w:rPr>
        <w:t>Non-accelerated filer</w:t>
      </w:r>
      <w:r>
        <w:rPr>
          <w:sz w:val="20"/>
          <w:szCs w:val="20"/>
          <w:color w:val="auto"/>
        </w:rPr>
        <w:tab/>
      </w: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15" w:lineRule="exact"/>
        <w:rPr>
          <w:sz w:val="24"/>
          <w:szCs w:val="24"/>
          <w:color w:val="auto"/>
        </w:rPr>
      </w:pPr>
    </w:p>
    <w:p>
      <w:pPr>
        <w:sectPr>
          <w:pgSz w:w="11900" w:h="16838" w:orient="portrait"/>
          <w:cols w:equalWidth="0" w:num="7">
            <w:col w:w="1068" w:space="420"/>
            <w:col w:w="600" w:space="720"/>
            <w:col w:w="800" w:space="420"/>
            <w:col w:w="460" w:space="720"/>
            <w:col w:w="2340" w:space="720"/>
            <w:col w:w="1320" w:space="420"/>
            <w:col w:w="1480"/>
          </w:cols>
          <w:pgMar w:left="212" w:top="253" w:right="199" w:bottom="1440" w:gutter="0" w:footer="0" w:header="0"/>
          <w:type w:val="continuous"/>
        </w:sectPr>
      </w:pPr>
    </w:p>
    <w:p>
      <w:pPr>
        <w:ind w:left="4968"/>
        <w:spacing w:after="0"/>
        <w:rPr>
          <w:sz w:val="20"/>
          <w:szCs w:val="20"/>
          <w:color w:val="auto"/>
        </w:rPr>
      </w:pPr>
      <w:r>
        <w:rPr>
          <w:rFonts w:ascii="Arial" w:cs="Arial" w:eastAsia="Arial" w:hAnsi="Arial"/>
          <w:sz w:val="11"/>
          <w:szCs w:val="11"/>
          <w:color w:val="auto"/>
        </w:rPr>
        <w:t>(Do not check if a smaller reporting company)</w:t>
      </w:r>
    </w:p>
    <w:p>
      <w:pPr>
        <w:sectPr>
          <w:pgSz w:w="11900" w:h="16838" w:orient="portrait"/>
          <w:cols w:equalWidth="0" w:num="1">
            <w:col w:w="11488"/>
          </w:cols>
          <w:pgMar w:left="212" w:top="253" w:right="199" w:bottom="1440" w:gutter="0" w:footer="0" w:header="0"/>
          <w:type w:val="continuous"/>
        </w:sectPr>
      </w:pPr>
    </w:p>
    <w:p>
      <w:pPr>
        <w:spacing w:after="0" w:line="153"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Yes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2"/>
          <w:szCs w:val="12"/>
          <w:color w:val="auto"/>
        </w:rPr>
        <w:t>No  x</w:t>
      </w:r>
    </w:p>
    <w:p>
      <w:pPr>
        <w:spacing w:after="0" w:line="150" w:lineRule="exact"/>
        <w:rPr>
          <w:sz w:val="24"/>
          <w:szCs w:val="24"/>
          <w:color w:val="auto"/>
        </w:rPr>
      </w:pPr>
    </w:p>
    <w:p>
      <w:pPr>
        <w:sectPr>
          <w:pgSz w:w="11900" w:h="16838" w:orient="portrait"/>
          <w:cols w:equalWidth="0" w:num="3">
            <w:col w:w="4948" w:space="120"/>
            <w:col w:w="320" w:space="120"/>
            <w:col w:w="5980"/>
          </w:cols>
          <w:pgMar w:left="212" w:top="253" w:right="199" w:bottom="1440" w:gutter="0" w:footer="0" w:header="0"/>
          <w:type w:val="continuous"/>
        </w:sectPr>
      </w:pPr>
    </w:p>
    <w:p>
      <w:pPr>
        <w:ind w:left="8"/>
        <w:spacing w:after="0"/>
        <w:rPr>
          <w:sz w:val="20"/>
          <w:szCs w:val="20"/>
          <w:color w:val="auto"/>
        </w:rPr>
      </w:pPr>
      <w:r>
        <w:rPr>
          <w:rFonts w:ascii="Arial" w:cs="Arial" w:eastAsia="Arial" w:hAnsi="Arial"/>
          <w:sz w:val="10"/>
          <w:szCs w:val="10"/>
          <w:color w:val="auto"/>
        </w:rPr>
        <w:t>The aggregate market value of the common stock of the registrant held by non-affiliates of the registrant on September 30, 2013, the last business day of the registrant’s second fiscal quarter was: $9,655,600.</w:t>
      </w:r>
    </w:p>
    <w:p>
      <w:pPr>
        <w:spacing w:after="0" w:line="173" w:lineRule="exact"/>
        <w:rPr>
          <w:sz w:val="24"/>
          <w:szCs w:val="24"/>
          <w:color w:val="auto"/>
        </w:rPr>
      </w:pPr>
    </w:p>
    <w:p>
      <w:pPr>
        <w:ind w:left="8"/>
        <w:spacing w:after="0"/>
        <w:rPr>
          <w:sz w:val="20"/>
          <w:szCs w:val="20"/>
          <w:color w:val="auto"/>
        </w:rPr>
      </w:pPr>
      <w:r>
        <w:rPr>
          <w:rFonts w:ascii="Arial" w:cs="Arial" w:eastAsia="Arial" w:hAnsi="Arial"/>
          <w:sz w:val="12"/>
          <w:szCs w:val="12"/>
          <w:color w:val="auto"/>
        </w:rPr>
        <w:t>As of June 19, 2014 there were 25,451,877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194945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53"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940" w:type="dxa"/>
            <w:vAlign w:val="bottom"/>
            <w:gridSpan w:val="5"/>
          </w:tcPr>
          <w:p>
            <w:pPr>
              <w:ind w:left="240"/>
              <w:spacing w:after="0"/>
              <w:rPr>
                <w:sz w:val="20"/>
                <w:szCs w:val="20"/>
                <w:color w:val="auto"/>
              </w:rPr>
            </w:pPr>
            <w:r>
              <w:rPr>
                <w:rFonts w:ascii="Arial" w:cs="Arial" w:eastAsia="Arial" w:hAnsi="Arial"/>
                <w:sz w:val="12"/>
                <w:szCs w:val="12"/>
                <w:b w:val="1"/>
                <w:bCs w:val="1"/>
                <w:color w:val="auto"/>
              </w:rPr>
              <w:t>TABLE OF CONTENTS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Item No.</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Page No.</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gridSpan w:val="11"/>
            <w:shd w:val="clear" w:color="auto" w:fill="CCEEFF"/>
          </w:tcPr>
          <w:p>
            <w:pPr>
              <w:spacing w:after="0" w:line="115" w:lineRule="exact"/>
              <w:rPr>
                <w:rFonts w:ascii="Arial" w:cs="Arial" w:eastAsia="Arial" w:hAnsi="Arial"/>
                <w:sz w:val="12"/>
                <w:szCs w:val="12"/>
                <w:b w:val="1"/>
                <w:bCs w:val="1"/>
                <w:color w:val="0000EE"/>
              </w:rPr>
            </w:pPr>
            <w:hyperlink w:anchor="page4">
              <w:r>
                <w:rPr>
                  <w:rFonts w:ascii="Arial" w:cs="Arial" w:eastAsia="Arial" w:hAnsi="Arial"/>
                  <w:sz w:val="12"/>
                  <w:szCs w:val="12"/>
                  <w:b w:val="1"/>
                  <w:bCs w:val="1"/>
                  <w:color w:val="0000EE"/>
                </w:rPr>
                <w:t>PART I</w:t>
              </w:r>
            </w:hyperlink>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760" w:type="dxa"/>
            <w:vAlign w:val="bottom"/>
            <w:tcBorders>
              <w:top w:val="single" w:sz="8" w:color="CCEEFF"/>
            </w:tcBorders>
            <w:gridSpan w:val="7"/>
          </w:tcPr>
          <w:p>
            <w:pPr>
              <w:spacing w:after="0"/>
              <w:rPr>
                <w:sz w:val="10"/>
                <w:szCs w:val="10"/>
                <w:color w:val="auto"/>
              </w:rPr>
            </w:pPr>
          </w:p>
        </w:tc>
        <w:tc>
          <w:tcPr>
            <w:tcW w:w="100" w:type="dxa"/>
            <w:vAlign w:val="bottom"/>
            <w:tcBorders>
              <w:top w:val="single" w:sz="8" w:color="CCEEFF"/>
            </w:tcBorders>
          </w:tcPr>
          <w:p>
            <w:pPr>
              <w:spacing w:after="0"/>
              <w:rPr>
                <w:rFonts w:ascii="Arial" w:cs="Arial" w:eastAsia="Arial" w:hAnsi="Arial"/>
                <w:sz w:val="10"/>
                <w:szCs w:val="10"/>
                <w:color w:val="0000EE"/>
                <w:w w:val="71"/>
              </w:rPr>
            </w:pPr>
            <w:hyperlink w:anchor="page4">
              <w:r>
                <w:rPr>
                  <w:rFonts w:ascii="Arial" w:cs="Arial" w:eastAsia="Arial" w:hAnsi="Arial"/>
                  <w:sz w:val="10"/>
                  <w:szCs w:val="10"/>
                  <w:color w:val="0000EE"/>
                  <w:w w:val="71"/>
                </w:rPr>
                <w:t>1.</w:t>
              </w:r>
            </w:hyperlink>
          </w:p>
        </w:tc>
        <w:tc>
          <w:tcPr>
            <w:tcW w:w="8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40" w:type="dxa"/>
            <w:vAlign w:val="bottom"/>
            <w:tcBorders>
              <w:top w:val="single" w:sz="8" w:color="CCEEFF"/>
            </w:tcBorders>
            <w:gridSpan w:val="17"/>
          </w:tcPr>
          <w:p>
            <w:pPr>
              <w:spacing w:after="0" w:line="117" w:lineRule="exact"/>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680" w:type="dxa"/>
            <w:vAlign w:val="bottom"/>
            <w:tcBorders>
              <w:top w:val="single" w:sz="8" w:color="CCEEFF"/>
            </w:tcBorders>
          </w:tcPr>
          <w:p>
            <w:pPr>
              <w:jc w:val="right"/>
              <w:spacing w:after="0" w:line="117"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spacing w:after="0" w:line="117" w:lineRule="exact"/>
              <w:rPr>
                <w:rFonts w:ascii="Arial" w:cs="Arial" w:eastAsia="Arial" w:hAnsi="Arial"/>
                <w:sz w:val="12"/>
                <w:szCs w:val="12"/>
                <w:color w:val="0000EE"/>
              </w:rPr>
            </w:pPr>
            <w:hyperlink w:anchor="page25">
              <w:r>
                <w:rPr>
                  <w:rFonts w:ascii="Arial" w:cs="Arial" w:eastAsia="Arial" w:hAnsi="Arial"/>
                  <w:sz w:val="12"/>
                  <w:szCs w:val="12"/>
                  <w:color w:val="0000EE"/>
                </w:rPr>
                <w:t>1A.</w:t>
              </w:r>
            </w:hyperlink>
          </w:p>
        </w:tc>
        <w:tc>
          <w:tcPr>
            <w:tcW w:w="120" w:type="dxa"/>
            <w:vAlign w:val="bottom"/>
            <w:shd w:val="clear" w:color="auto" w:fill="CCEEFF"/>
          </w:tcPr>
          <w:p>
            <w:pPr>
              <w:spacing w:after="0"/>
              <w:rPr>
                <w:sz w:val="10"/>
                <w:szCs w:val="10"/>
                <w:color w:val="auto"/>
              </w:rPr>
            </w:pPr>
          </w:p>
        </w:tc>
        <w:tc>
          <w:tcPr>
            <w:tcW w:w="8840" w:type="dxa"/>
            <w:vAlign w:val="bottom"/>
            <w:gridSpan w:val="17"/>
            <w:shd w:val="clear" w:color="auto" w:fill="CCEEFF"/>
          </w:tcPr>
          <w:p>
            <w:pPr>
              <w:spacing w:after="0" w:line="117" w:lineRule="exact"/>
              <w:rPr>
                <w:rFonts w:ascii="Arial" w:cs="Arial" w:eastAsia="Arial" w:hAnsi="Arial"/>
                <w:sz w:val="12"/>
                <w:szCs w:val="12"/>
                <w:color w:val="0000EE"/>
              </w:rPr>
            </w:pPr>
            <w:hyperlink w:anchor="page25">
              <w:r>
                <w:rPr>
                  <w:rFonts w:ascii="Arial" w:cs="Arial" w:eastAsia="Arial" w:hAnsi="Arial"/>
                  <w:sz w:val="12"/>
                  <w:szCs w:val="12"/>
                  <w:color w:val="0000EE"/>
                </w:rPr>
                <w:t>Risk Factors</w:t>
              </w:r>
            </w:hyperlink>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gridSpan w:val="2"/>
          </w:tcPr>
          <w:p>
            <w:pPr>
              <w:spacing w:after="0" w:line="117" w:lineRule="exact"/>
              <w:rPr>
                <w:rFonts w:ascii="Arial" w:cs="Arial" w:eastAsia="Arial" w:hAnsi="Arial"/>
                <w:sz w:val="12"/>
                <w:szCs w:val="12"/>
                <w:color w:val="0000EE"/>
                <w:w w:val="88"/>
              </w:rPr>
            </w:pPr>
            <w:hyperlink w:anchor="page54">
              <w:r>
                <w:rPr>
                  <w:rFonts w:ascii="Arial" w:cs="Arial" w:eastAsia="Arial" w:hAnsi="Arial"/>
                  <w:sz w:val="12"/>
                  <w:szCs w:val="12"/>
                  <w:color w:val="0000EE"/>
                  <w:w w:val="88"/>
                </w:rPr>
                <w:t>1B.</w:t>
              </w:r>
            </w:hyperlink>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40" w:type="dxa"/>
            <w:vAlign w:val="bottom"/>
            <w:gridSpan w:val="17"/>
          </w:tcPr>
          <w:p>
            <w:pPr>
              <w:spacing w:after="0" w:line="117" w:lineRule="exact"/>
              <w:rPr>
                <w:rFonts w:ascii="Arial" w:cs="Arial" w:eastAsia="Arial" w:hAnsi="Arial"/>
                <w:sz w:val="12"/>
                <w:szCs w:val="12"/>
                <w:color w:val="0000EE"/>
              </w:rPr>
            </w:pPr>
            <w:hyperlink w:anchor="page54">
              <w:r>
                <w:rPr>
                  <w:rFonts w:ascii="Arial" w:cs="Arial" w:eastAsia="Arial" w:hAnsi="Arial"/>
                  <w:sz w:val="12"/>
                  <w:szCs w:val="12"/>
                  <w:color w:val="0000EE"/>
                </w:rPr>
                <w:t>Unresolved Staff Comments</w:t>
              </w:r>
            </w:hyperlink>
          </w:p>
        </w:tc>
        <w:tc>
          <w:tcPr>
            <w:tcW w:w="680" w:type="dxa"/>
            <w:vAlign w:val="bottom"/>
          </w:tcPr>
          <w:p>
            <w:pPr>
              <w:jc w:val="right"/>
              <w:spacing w:after="0" w:line="117"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gridSpan w:val="8"/>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2.</w:t>
              </w:r>
            </w:hyperlink>
          </w:p>
        </w:tc>
        <w:tc>
          <w:tcPr>
            <w:tcW w:w="80" w:type="dxa"/>
            <w:vAlign w:val="bottom"/>
            <w:tcBorders>
              <w:top w:val="single" w:sz="8" w:color="0000EE"/>
              <w:lef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tcBorders>
              <w:top w:val="single" w:sz="8" w:color="0000EE"/>
            </w:tcBorders>
            <w:gridSpan w:val="7"/>
            <w:shd w:val="clear" w:color="auto" w:fill="CCEEFF"/>
          </w:tcPr>
          <w:p>
            <w:pPr>
              <w:spacing w:after="0" w:line="117" w:lineRule="exact"/>
              <w:rPr>
                <w:rFonts w:ascii="Arial" w:cs="Arial" w:eastAsia="Arial" w:hAnsi="Arial"/>
                <w:sz w:val="12"/>
                <w:szCs w:val="12"/>
                <w:color w:val="0000EE"/>
              </w:rPr>
            </w:pPr>
            <w:hyperlink w:anchor="page54">
              <w:r>
                <w:rPr>
                  <w:rFonts w:ascii="Arial" w:cs="Arial" w:eastAsia="Arial" w:hAnsi="Arial"/>
                  <w:sz w:val="12"/>
                  <w:szCs w:val="12"/>
                  <w:color w:val="0000EE"/>
                </w:rPr>
                <w:t>Properties</w:t>
              </w:r>
            </w:hyperlink>
          </w:p>
        </w:tc>
        <w:tc>
          <w:tcPr>
            <w:tcW w:w="7480" w:type="dxa"/>
            <w:vAlign w:val="bottom"/>
            <w:gridSpan w:val="10"/>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120" w:type="dxa"/>
            <w:vAlign w:val="bottom"/>
            <w:gridSpan w:val="8"/>
          </w:tcPr>
          <w:p>
            <w:pPr>
              <w:spacing w:after="0"/>
              <w:rPr>
                <w:sz w:val="10"/>
                <w:szCs w:val="10"/>
                <w:color w:val="auto"/>
              </w:rPr>
            </w:pPr>
          </w:p>
        </w:tc>
        <w:tc>
          <w:tcPr>
            <w:tcW w:w="100" w:type="dxa"/>
            <w:vAlign w:val="bottom"/>
          </w:tcPr>
          <w:p>
            <w:pPr>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3.</w:t>
              </w:r>
            </w:hyperlink>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40" w:type="dxa"/>
            <w:vAlign w:val="bottom"/>
            <w:gridSpan w:val="17"/>
          </w:tcPr>
          <w:p>
            <w:pPr>
              <w:spacing w:after="0" w:line="117" w:lineRule="exact"/>
              <w:rPr>
                <w:rFonts w:ascii="Arial" w:cs="Arial" w:eastAsia="Arial" w:hAnsi="Arial"/>
                <w:sz w:val="12"/>
                <w:szCs w:val="12"/>
                <w:color w:val="0000EE"/>
              </w:rPr>
            </w:pPr>
            <w:hyperlink w:anchor="page54">
              <w:r>
                <w:rPr>
                  <w:rFonts w:ascii="Arial" w:cs="Arial" w:eastAsia="Arial" w:hAnsi="Arial"/>
                  <w:sz w:val="12"/>
                  <w:szCs w:val="12"/>
                  <w:color w:val="0000EE"/>
                </w:rPr>
                <w:t>Legal Proceedings</w:t>
              </w:r>
            </w:hyperlink>
          </w:p>
        </w:tc>
        <w:tc>
          <w:tcPr>
            <w:tcW w:w="680" w:type="dxa"/>
            <w:vAlign w:val="bottom"/>
          </w:tcPr>
          <w:p>
            <w:pPr>
              <w:jc w:val="right"/>
              <w:spacing w:after="0" w:line="117"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20" w:type="dxa"/>
            <w:vAlign w:val="bottom"/>
            <w:tcBorders>
              <w:bottom w:val="single" w:sz="8" w:color="CCEEFF"/>
            </w:tcBorders>
            <w:gridSpan w:val="8"/>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spacing w:after="0"/>
              <w:rPr>
                <w:rFonts w:ascii="Arial" w:cs="Arial" w:eastAsia="Arial" w:hAnsi="Arial"/>
                <w:sz w:val="10"/>
                <w:szCs w:val="10"/>
                <w:color w:val="0000EE"/>
                <w:w w:val="71"/>
              </w:rPr>
            </w:pPr>
            <w:hyperlink w:anchor="page54">
              <w:r>
                <w:rPr>
                  <w:rFonts w:ascii="Arial" w:cs="Arial" w:eastAsia="Arial" w:hAnsi="Arial"/>
                  <w:sz w:val="10"/>
                  <w:szCs w:val="10"/>
                  <w:color w:val="0000EE"/>
                  <w:w w:val="71"/>
                </w:rPr>
                <w:t>4.</w:t>
              </w:r>
            </w:hyperlink>
          </w:p>
        </w:tc>
        <w:tc>
          <w:tcPr>
            <w:tcW w:w="80" w:type="dxa"/>
            <w:vAlign w:val="bottom"/>
            <w:tcBorders>
              <w:left w:val="single" w:sz="8" w:color="CCEEFF"/>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0000EE"/>
            </w:tcBorders>
            <w:gridSpan w:val="5"/>
            <w:shd w:val="clear" w:color="auto" w:fill="CCEEFF"/>
          </w:tcPr>
          <w:p>
            <w:pPr>
              <w:spacing w:after="0" w:line="117" w:lineRule="exact"/>
              <w:rPr>
                <w:rFonts w:ascii="Arial" w:cs="Arial" w:eastAsia="Arial" w:hAnsi="Arial"/>
                <w:sz w:val="12"/>
                <w:szCs w:val="12"/>
                <w:color w:val="0000EE"/>
                <w:w w:val="90"/>
              </w:rPr>
            </w:pPr>
            <w:hyperlink w:anchor="page54">
              <w:r>
                <w:rPr>
                  <w:rFonts w:ascii="Arial" w:cs="Arial" w:eastAsia="Arial" w:hAnsi="Arial"/>
                  <w:sz w:val="12"/>
                  <w:szCs w:val="12"/>
                  <w:color w:val="0000EE"/>
                  <w:w w:val="90"/>
                </w:rPr>
                <w:t>Mine Safety Disclosures</w:t>
              </w:r>
            </w:hyperlink>
          </w:p>
        </w:tc>
        <w:tc>
          <w:tcPr>
            <w:tcW w:w="7660" w:type="dxa"/>
            <w:vAlign w:val="bottom"/>
            <w:tcBorders>
              <w:bottom w:val="single" w:sz="8" w:color="CCEEFF"/>
            </w:tcBorders>
            <w:gridSpan w:val="12"/>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20" w:type="dxa"/>
            <w:vAlign w:val="bottom"/>
            <w:gridSpan w:val="11"/>
          </w:tcPr>
          <w:p>
            <w:pPr>
              <w:spacing w:after="0" w:line="117" w:lineRule="exact"/>
              <w:rPr>
                <w:rFonts w:ascii="Arial" w:cs="Arial" w:eastAsia="Arial" w:hAnsi="Arial"/>
                <w:sz w:val="12"/>
                <w:szCs w:val="12"/>
                <w:b w:val="1"/>
                <w:bCs w:val="1"/>
                <w:color w:val="0000EE"/>
              </w:rPr>
            </w:pPr>
            <w:hyperlink w:anchor="page55">
              <w:r>
                <w:rPr>
                  <w:rFonts w:ascii="Arial" w:cs="Arial" w:eastAsia="Arial" w:hAnsi="Arial"/>
                  <w:sz w:val="12"/>
                  <w:szCs w:val="12"/>
                  <w:b w:val="1"/>
                  <w:bCs w:val="1"/>
                  <w:color w:val="0000EE"/>
                </w:rPr>
                <w:t>PART II</w:t>
              </w:r>
            </w:hyperlink>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top w:val="single" w:sz="8" w:color="0000EE"/>
            </w:tcBorders>
            <w:gridSpan w:val="2"/>
            <w:shd w:val="clear" w:color="auto" w:fill="CCEEFF"/>
          </w:tcPr>
          <w:p>
            <w:pPr>
              <w:spacing w:after="0"/>
              <w:rPr>
                <w:sz w:val="10"/>
                <w:szCs w:val="10"/>
                <w:color w:val="auto"/>
              </w:rPr>
            </w:pPr>
          </w:p>
        </w:tc>
        <w:tc>
          <w:tcPr>
            <w:tcW w:w="720" w:type="dxa"/>
            <w:vAlign w:val="bottom"/>
            <w:gridSpan w:val="6"/>
            <w:shd w:val="clear" w:color="auto" w:fill="CCEEFF"/>
          </w:tcPr>
          <w:p>
            <w:pPr>
              <w:spacing w:after="0"/>
              <w:rPr>
                <w:sz w:val="10"/>
                <w:szCs w:val="10"/>
                <w:color w:val="auto"/>
              </w:rPr>
            </w:pPr>
          </w:p>
        </w:tc>
        <w:tc>
          <w:tcPr>
            <w:tcW w:w="100" w:type="dxa"/>
            <w:vAlign w:val="bottom"/>
            <w:shd w:val="clear" w:color="auto" w:fill="CCEEFF"/>
          </w:tcPr>
          <w:p>
            <w:pPr>
              <w:spacing w:after="0"/>
              <w:rPr>
                <w:rFonts w:ascii="Arial" w:cs="Arial" w:eastAsia="Arial" w:hAnsi="Arial"/>
                <w:sz w:val="10"/>
                <w:szCs w:val="10"/>
                <w:color w:val="0000EE"/>
                <w:w w:val="71"/>
              </w:rPr>
            </w:pPr>
            <w:hyperlink w:anchor="page55">
              <w:r>
                <w:rPr>
                  <w:rFonts w:ascii="Arial" w:cs="Arial" w:eastAsia="Arial" w:hAnsi="Arial"/>
                  <w:sz w:val="10"/>
                  <w:szCs w:val="10"/>
                  <w:color w:val="0000EE"/>
                  <w:w w:val="71"/>
                </w:rPr>
                <w:t>5.</w:t>
              </w:r>
            </w:hyperlink>
          </w:p>
        </w:tc>
        <w:tc>
          <w:tcPr>
            <w:tcW w:w="80" w:type="dxa"/>
            <w:vAlign w:val="bottom"/>
            <w:tcBorders>
              <w:lef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40" w:type="dxa"/>
            <w:vAlign w:val="bottom"/>
            <w:gridSpan w:val="17"/>
            <w:shd w:val="clear" w:color="auto" w:fill="CCEEFF"/>
          </w:tcPr>
          <w:p>
            <w:pPr>
              <w:spacing w:after="0" w:line="117" w:lineRule="exact"/>
              <w:rPr>
                <w:rFonts w:ascii="Arial" w:cs="Arial" w:eastAsia="Arial" w:hAnsi="Arial"/>
                <w:sz w:val="12"/>
                <w:szCs w:val="12"/>
                <w:color w:val="0000EE"/>
              </w:rPr>
            </w:pPr>
            <w:hyperlink w:anchor="page55">
              <w:r>
                <w:rPr>
                  <w:rFonts w:ascii="Arial" w:cs="Arial" w:eastAsia="Arial" w:hAnsi="Arial"/>
                  <w:sz w:val="12"/>
                  <w:szCs w:val="12"/>
                  <w:color w:val="0000EE"/>
                </w:rPr>
                <w:t>Market for Registrant’s Common Equity, Related Stockholder Matters and Issuer Purchases of Equity Securities</w:t>
              </w:r>
            </w:hyperlink>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tcBorders>
              <w:top w:val="single" w:sz="8" w:color="CCEEFF"/>
            </w:tcBorders>
            <w:gridSpan w:val="8"/>
          </w:tcPr>
          <w:p>
            <w:pPr>
              <w:spacing w:after="0"/>
              <w:rPr>
                <w:sz w:val="10"/>
                <w:szCs w:val="10"/>
                <w:color w:val="auto"/>
              </w:rPr>
            </w:pPr>
          </w:p>
        </w:tc>
        <w:tc>
          <w:tcPr>
            <w:tcW w:w="100" w:type="dxa"/>
            <w:vAlign w:val="bottom"/>
            <w:tcBorders>
              <w:top w:val="single" w:sz="8" w:color="0000EE"/>
              <w:bottom w:val="single" w:sz="8" w:color="0000EE"/>
            </w:tcBorders>
          </w:tcPr>
          <w:p>
            <w:pPr>
              <w:spacing w:after="0"/>
              <w:rPr>
                <w:rFonts w:ascii="Arial" w:cs="Arial" w:eastAsia="Arial" w:hAnsi="Arial"/>
                <w:sz w:val="10"/>
                <w:szCs w:val="10"/>
                <w:color w:val="0000EE"/>
                <w:w w:val="71"/>
              </w:rPr>
            </w:pPr>
            <w:hyperlink w:anchor="page56">
              <w:r>
                <w:rPr>
                  <w:rFonts w:ascii="Arial" w:cs="Arial" w:eastAsia="Arial" w:hAnsi="Arial"/>
                  <w:sz w:val="10"/>
                  <w:szCs w:val="10"/>
                  <w:color w:val="0000EE"/>
                  <w:w w:val="71"/>
                </w:rPr>
                <w:t>6.</w:t>
              </w:r>
            </w:hyperlink>
          </w:p>
        </w:tc>
        <w:tc>
          <w:tcPr>
            <w:tcW w:w="8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4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8"/>
              </w:rPr>
            </w:pPr>
            <w:hyperlink w:anchor="page56">
              <w:r>
                <w:rPr>
                  <w:rFonts w:ascii="Arial" w:cs="Arial" w:eastAsia="Arial" w:hAnsi="Arial"/>
                  <w:sz w:val="12"/>
                  <w:szCs w:val="12"/>
                  <w:color w:val="0000EE"/>
                  <w:w w:val="88"/>
                </w:rPr>
                <w:t>Selected Financial Data</w:t>
              </w:r>
            </w:hyperlink>
          </w:p>
        </w:tc>
        <w:tc>
          <w:tcPr>
            <w:tcW w:w="4240" w:type="dxa"/>
            <w:vAlign w:val="bottom"/>
            <w:tcBorders>
              <w:top w:val="single" w:sz="8" w:color="0000EE"/>
            </w:tcBorders>
            <w:gridSpan w:val="12"/>
          </w:tcPr>
          <w:p>
            <w:pPr>
              <w:spacing w:after="0"/>
              <w:rPr>
                <w:sz w:val="10"/>
                <w:szCs w:val="10"/>
                <w:color w:val="auto"/>
              </w:rPr>
            </w:pPr>
          </w:p>
        </w:tc>
        <w:tc>
          <w:tcPr>
            <w:tcW w:w="346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jc w:val="right"/>
              <w:spacing w:after="0" w:line="117" w:lineRule="exact"/>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gridSpan w:val="8"/>
            <w:shd w:val="clear" w:color="auto" w:fill="CCEEFF"/>
          </w:tcPr>
          <w:p>
            <w:pPr>
              <w:spacing w:after="0"/>
              <w:rPr>
                <w:sz w:val="10"/>
                <w:szCs w:val="10"/>
                <w:color w:val="auto"/>
              </w:rPr>
            </w:pPr>
          </w:p>
        </w:tc>
        <w:tc>
          <w:tcPr>
            <w:tcW w:w="100" w:type="dxa"/>
            <w:vAlign w:val="bottom"/>
            <w:shd w:val="clear" w:color="auto" w:fill="CCEEFF"/>
          </w:tcPr>
          <w:p>
            <w:pPr>
              <w:spacing w:after="0"/>
              <w:rPr>
                <w:rFonts w:ascii="Arial" w:cs="Arial" w:eastAsia="Arial" w:hAnsi="Arial"/>
                <w:sz w:val="10"/>
                <w:szCs w:val="10"/>
                <w:color w:val="0000EE"/>
                <w:w w:val="71"/>
              </w:rPr>
            </w:pPr>
            <w:hyperlink w:anchor="page57">
              <w:r>
                <w:rPr>
                  <w:rFonts w:ascii="Arial" w:cs="Arial" w:eastAsia="Arial" w:hAnsi="Arial"/>
                  <w:sz w:val="10"/>
                  <w:szCs w:val="10"/>
                  <w:color w:val="0000EE"/>
                  <w:w w:val="71"/>
                </w:rPr>
                <w:t>7.</w:t>
              </w:r>
            </w:hyperlink>
          </w:p>
        </w:tc>
        <w:tc>
          <w:tcPr>
            <w:tcW w:w="80" w:type="dxa"/>
            <w:vAlign w:val="bottom"/>
            <w:tcBorders>
              <w:lef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40" w:type="dxa"/>
            <w:vAlign w:val="bottom"/>
            <w:gridSpan w:val="17"/>
            <w:shd w:val="clear" w:color="auto" w:fill="CCEEFF"/>
          </w:tcPr>
          <w:p>
            <w:pPr>
              <w:spacing w:after="0" w:line="117" w:lineRule="exact"/>
              <w:rPr>
                <w:rFonts w:ascii="Arial" w:cs="Arial" w:eastAsia="Arial" w:hAnsi="Arial"/>
                <w:sz w:val="12"/>
                <w:szCs w:val="12"/>
                <w:color w:val="0000EE"/>
              </w:rPr>
            </w:pPr>
            <w:hyperlink w:anchor="page57">
              <w:r>
                <w:rPr>
                  <w:rFonts w:ascii="Arial" w:cs="Arial" w:eastAsia="Arial" w:hAnsi="Arial"/>
                  <w:sz w:val="12"/>
                  <w:szCs w:val="12"/>
                  <w:color w:val="0000EE"/>
                </w:rPr>
                <w:t>Management’s Discussion and Analysis of Financial Condition and Results of Operations</w:t>
              </w:r>
            </w:hyperlink>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80" w:type="dxa"/>
            <w:vAlign w:val="bottom"/>
            <w:tcBorders>
              <w:right w:val="single" w:sz="8" w:color="CCEEFF"/>
            </w:tcBorders>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spacing w:after="0" w:line="117" w:lineRule="exact"/>
              <w:rPr>
                <w:rFonts w:ascii="Arial" w:cs="Arial" w:eastAsia="Arial" w:hAnsi="Arial"/>
                <w:sz w:val="12"/>
                <w:szCs w:val="12"/>
                <w:color w:val="0000EE"/>
              </w:rPr>
            </w:pPr>
            <w:hyperlink w:anchor="page71">
              <w:r>
                <w:rPr>
                  <w:rFonts w:ascii="Arial" w:cs="Arial" w:eastAsia="Arial" w:hAnsi="Arial"/>
                  <w:sz w:val="12"/>
                  <w:szCs w:val="12"/>
                  <w:color w:val="0000EE"/>
                </w:rPr>
                <w:t>7A.</w:t>
              </w:r>
            </w:hyperlink>
          </w:p>
        </w:tc>
        <w:tc>
          <w:tcPr>
            <w:tcW w:w="120" w:type="dxa"/>
            <w:vAlign w:val="bottom"/>
          </w:tcPr>
          <w:p>
            <w:pPr>
              <w:spacing w:after="0"/>
              <w:rPr>
                <w:sz w:val="10"/>
                <w:szCs w:val="10"/>
                <w:color w:val="auto"/>
              </w:rPr>
            </w:pPr>
          </w:p>
        </w:tc>
        <w:tc>
          <w:tcPr>
            <w:tcW w:w="8840" w:type="dxa"/>
            <w:vAlign w:val="bottom"/>
            <w:gridSpan w:val="17"/>
          </w:tcPr>
          <w:p>
            <w:pPr>
              <w:spacing w:after="0" w:line="117" w:lineRule="exact"/>
              <w:rPr>
                <w:rFonts w:ascii="Arial" w:cs="Arial" w:eastAsia="Arial" w:hAnsi="Arial"/>
                <w:sz w:val="12"/>
                <w:szCs w:val="12"/>
                <w:color w:val="0000EE"/>
              </w:rPr>
            </w:pPr>
            <w:hyperlink w:anchor="page71">
              <w:r>
                <w:rPr>
                  <w:rFonts w:ascii="Arial" w:cs="Arial" w:eastAsia="Arial" w:hAnsi="Arial"/>
                  <w:sz w:val="12"/>
                  <w:szCs w:val="12"/>
                  <w:color w:val="0000EE"/>
                </w:rPr>
                <w:t>Quantitative and Qualitative Disclosures About Market Risk</w:t>
              </w:r>
            </w:hyperlink>
          </w:p>
        </w:tc>
        <w:tc>
          <w:tcPr>
            <w:tcW w:w="680" w:type="dxa"/>
            <w:vAlign w:val="bottom"/>
          </w:tcPr>
          <w:p>
            <w:pPr>
              <w:jc w:val="right"/>
              <w:spacing w:after="0" w:line="117" w:lineRule="exact"/>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tcBorders>
              <w:bottom w:val="single" w:sz="8" w:color="CCEEFF"/>
            </w:tcBorders>
            <w:gridSpan w:val="8"/>
            <w:shd w:val="clear" w:color="auto" w:fill="CCEEFF"/>
          </w:tcPr>
          <w:p>
            <w:pPr>
              <w:spacing w:after="0"/>
              <w:rPr>
                <w:sz w:val="10"/>
                <w:szCs w:val="10"/>
                <w:color w:val="auto"/>
              </w:rPr>
            </w:pPr>
          </w:p>
        </w:tc>
        <w:tc>
          <w:tcPr>
            <w:tcW w:w="100" w:type="dxa"/>
            <w:vAlign w:val="bottom"/>
            <w:tcBorders>
              <w:top w:val="single" w:sz="8" w:color="0000EE"/>
              <w:bottom w:val="single" w:sz="8" w:color="0000EE"/>
            </w:tcBorders>
            <w:shd w:val="clear" w:color="auto" w:fill="CCEEFF"/>
          </w:tcPr>
          <w:p>
            <w:pPr>
              <w:spacing w:after="0"/>
              <w:rPr>
                <w:rFonts w:ascii="Arial" w:cs="Arial" w:eastAsia="Arial" w:hAnsi="Arial"/>
                <w:sz w:val="10"/>
                <w:szCs w:val="10"/>
                <w:color w:val="0000EE"/>
                <w:w w:val="71"/>
              </w:rPr>
            </w:pPr>
            <w:hyperlink w:anchor="page72">
              <w:r>
                <w:rPr>
                  <w:rFonts w:ascii="Arial" w:cs="Arial" w:eastAsia="Arial" w:hAnsi="Arial"/>
                  <w:sz w:val="10"/>
                  <w:szCs w:val="10"/>
                  <w:color w:val="0000EE"/>
                  <w:w w:val="71"/>
                </w:rPr>
                <w:t>8.</w:t>
              </w:r>
            </w:hyperlink>
          </w:p>
        </w:tc>
        <w:tc>
          <w:tcPr>
            <w:tcW w:w="80" w:type="dxa"/>
            <w:vAlign w:val="bottom"/>
            <w:tcBorders>
              <w:top w:val="single" w:sz="8" w:color="0000EE"/>
              <w:left w:val="single" w:sz="8" w:color="CCEEFF"/>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220" w:type="dxa"/>
            <w:vAlign w:val="bottom"/>
            <w:tcBorders>
              <w:top w:val="single" w:sz="8" w:color="0000EE"/>
              <w:bottom w:val="single" w:sz="8" w:color="0000EE"/>
            </w:tcBorders>
            <w:gridSpan w:val="10"/>
            <w:shd w:val="clear" w:color="auto" w:fill="CCEEFF"/>
          </w:tcPr>
          <w:p>
            <w:pPr>
              <w:spacing w:after="0" w:line="117" w:lineRule="exact"/>
              <w:rPr>
                <w:rFonts w:ascii="Arial" w:cs="Arial" w:eastAsia="Arial" w:hAnsi="Arial"/>
                <w:sz w:val="12"/>
                <w:szCs w:val="12"/>
                <w:color w:val="0000EE"/>
                <w:w w:val="88"/>
              </w:rPr>
            </w:pPr>
            <w:hyperlink w:anchor="page72">
              <w:r>
                <w:rPr>
                  <w:rFonts w:ascii="Arial" w:cs="Arial" w:eastAsia="Arial" w:hAnsi="Arial"/>
                  <w:sz w:val="12"/>
                  <w:szCs w:val="12"/>
                  <w:color w:val="0000EE"/>
                  <w:w w:val="88"/>
                </w:rPr>
                <w:t>Financial Statements and Supplementary Data</w:t>
              </w:r>
            </w:hyperlink>
          </w:p>
        </w:tc>
        <w:tc>
          <w:tcPr>
            <w:tcW w:w="680" w:type="dxa"/>
            <w:vAlign w:val="bottom"/>
            <w:tcBorders>
              <w:top w:val="single" w:sz="8" w:color="0000EE"/>
              <w:bottom w:val="single" w:sz="8" w:color="CCEEFF"/>
            </w:tcBorders>
            <w:gridSpan w:val="2"/>
            <w:shd w:val="clear" w:color="auto" w:fill="CCEEFF"/>
          </w:tcPr>
          <w:p>
            <w:pPr>
              <w:spacing w:after="0"/>
              <w:rPr>
                <w:sz w:val="10"/>
                <w:szCs w:val="10"/>
                <w:color w:val="auto"/>
              </w:rPr>
            </w:pPr>
          </w:p>
        </w:tc>
        <w:tc>
          <w:tcPr>
            <w:tcW w:w="5940" w:type="dxa"/>
            <w:vAlign w:val="bottom"/>
            <w:tcBorders>
              <w:bottom w:val="single" w:sz="8" w:color="CCEEFF"/>
            </w:tcBorders>
            <w:gridSpan w:val="5"/>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gridSpan w:val="8"/>
          </w:tcPr>
          <w:p>
            <w:pPr>
              <w:spacing w:after="0"/>
              <w:rPr>
                <w:sz w:val="10"/>
                <w:szCs w:val="10"/>
                <w:color w:val="auto"/>
              </w:rPr>
            </w:pPr>
          </w:p>
        </w:tc>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124">
              <w:r>
                <w:rPr>
                  <w:rFonts w:ascii="Arial" w:cs="Arial" w:eastAsia="Arial" w:hAnsi="Arial"/>
                  <w:sz w:val="10"/>
                  <w:szCs w:val="10"/>
                  <w:color w:val="0000EE"/>
                  <w:w w:val="71"/>
                </w:rPr>
                <w:t>9.</w:t>
              </w:r>
            </w:hyperlink>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tcBorders>
              <w:bottom w:val="single" w:sz="8" w:color="0000EE"/>
            </w:tcBorders>
            <w:gridSpan w:val="14"/>
          </w:tcPr>
          <w:p>
            <w:pPr>
              <w:spacing w:after="0" w:line="117" w:lineRule="exact"/>
              <w:rPr>
                <w:rFonts w:ascii="Arial" w:cs="Arial" w:eastAsia="Arial" w:hAnsi="Arial"/>
                <w:sz w:val="12"/>
                <w:szCs w:val="12"/>
                <w:color w:val="0000EE"/>
                <w:w w:val="89"/>
              </w:rPr>
            </w:pPr>
            <w:hyperlink w:anchor="page124">
              <w:r>
                <w:rPr>
                  <w:rFonts w:ascii="Arial" w:cs="Arial" w:eastAsia="Arial" w:hAnsi="Arial"/>
                  <w:sz w:val="12"/>
                  <w:szCs w:val="12"/>
                  <w:color w:val="0000EE"/>
                  <w:w w:val="89"/>
                </w:rPr>
                <w:t>Changes in and Disagreements with Accountants on Accounting and Financial Disclosure</w:t>
              </w:r>
            </w:hyperlink>
          </w:p>
        </w:tc>
        <w:tc>
          <w:tcPr>
            <w:tcW w:w="4520" w:type="dxa"/>
            <w:vAlign w:val="bottom"/>
            <w:gridSpan w:val="3"/>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spacing w:after="0" w:line="117" w:lineRule="exact"/>
              <w:rPr>
                <w:rFonts w:ascii="Arial" w:cs="Arial" w:eastAsia="Arial" w:hAnsi="Arial"/>
                <w:sz w:val="12"/>
                <w:szCs w:val="12"/>
                <w:color w:val="0000EE"/>
              </w:rPr>
            </w:pPr>
            <w:hyperlink w:anchor="page124">
              <w:r>
                <w:rPr>
                  <w:rFonts w:ascii="Arial" w:cs="Arial" w:eastAsia="Arial" w:hAnsi="Arial"/>
                  <w:sz w:val="12"/>
                  <w:szCs w:val="12"/>
                  <w:color w:val="0000EE"/>
                </w:rPr>
                <w:t>9A.</w:t>
              </w:r>
            </w:hyperlink>
          </w:p>
        </w:tc>
        <w:tc>
          <w:tcPr>
            <w:tcW w:w="120" w:type="dxa"/>
            <w:vAlign w:val="bottom"/>
            <w:shd w:val="clear" w:color="auto" w:fill="CCEEFF"/>
          </w:tcPr>
          <w:p>
            <w:pPr>
              <w:spacing w:after="0"/>
              <w:rPr>
                <w:sz w:val="10"/>
                <w:szCs w:val="10"/>
                <w:color w:val="auto"/>
              </w:rPr>
            </w:pPr>
          </w:p>
        </w:tc>
        <w:tc>
          <w:tcPr>
            <w:tcW w:w="8840" w:type="dxa"/>
            <w:vAlign w:val="bottom"/>
            <w:gridSpan w:val="17"/>
            <w:shd w:val="clear" w:color="auto" w:fill="CCEEFF"/>
          </w:tcPr>
          <w:p>
            <w:pPr>
              <w:spacing w:after="0" w:line="117" w:lineRule="exact"/>
              <w:rPr>
                <w:rFonts w:ascii="Arial" w:cs="Arial" w:eastAsia="Arial" w:hAnsi="Arial"/>
                <w:sz w:val="12"/>
                <w:szCs w:val="12"/>
                <w:color w:val="0000EE"/>
              </w:rPr>
            </w:pPr>
            <w:hyperlink w:anchor="page124">
              <w:r>
                <w:rPr>
                  <w:rFonts w:ascii="Arial" w:cs="Arial" w:eastAsia="Arial" w:hAnsi="Arial"/>
                  <w:sz w:val="12"/>
                  <w:szCs w:val="12"/>
                  <w:color w:val="0000EE"/>
                </w:rPr>
                <w:t>Controls and Procedures</w:t>
              </w:r>
            </w:hyperlink>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80" w:type="dxa"/>
            <w:vAlign w:val="bottom"/>
            <w:tcBorders>
              <w:top w:val="single" w:sz="8" w:color="0000EE"/>
              <w:bottom w:val="single" w:sz="8" w:color="0000EE"/>
            </w:tcBorders>
            <w:gridSpan w:val="2"/>
          </w:tcPr>
          <w:p>
            <w:pPr>
              <w:spacing w:after="0" w:line="117" w:lineRule="exact"/>
              <w:rPr>
                <w:rFonts w:ascii="Arial" w:cs="Arial" w:eastAsia="Arial" w:hAnsi="Arial"/>
                <w:sz w:val="12"/>
                <w:szCs w:val="12"/>
                <w:color w:val="0000EE"/>
                <w:w w:val="88"/>
              </w:rPr>
            </w:pPr>
            <w:hyperlink w:anchor="page124">
              <w:r>
                <w:rPr>
                  <w:rFonts w:ascii="Arial" w:cs="Arial" w:eastAsia="Arial" w:hAnsi="Arial"/>
                  <w:sz w:val="12"/>
                  <w:szCs w:val="12"/>
                  <w:color w:val="0000EE"/>
                  <w:w w:val="88"/>
                </w:rPr>
                <w:t>9B.</w:t>
              </w:r>
            </w:hyperlink>
          </w:p>
        </w:tc>
        <w:tc>
          <w:tcPr>
            <w:tcW w:w="5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0" w:type="dxa"/>
            <w:vAlign w:val="bottom"/>
            <w:tcBorders>
              <w:top w:val="single" w:sz="8" w:color="0000EE"/>
              <w:bottom w:val="single" w:sz="8" w:color="0000EE"/>
            </w:tcBorders>
            <w:gridSpan w:val="3"/>
          </w:tcPr>
          <w:p>
            <w:pPr>
              <w:spacing w:after="0" w:line="117" w:lineRule="exact"/>
              <w:rPr>
                <w:rFonts w:ascii="Arial" w:cs="Arial" w:eastAsia="Arial" w:hAnsi="Arial"/>
                <w:sz w:val="12"/>
                <w:szCs w:val="12"/>
                <w:color w:val="0000EE"/>
                <w:w w:val="92"/>
              </w:rPr>
            </w:pPr>
            <w:hyperlink w:anchor="page124">
              <w:r>
                <w:rPr>
                  <w:rFonts w:ascii="Arial" w:cs="Arial" w:eastAsia="Arial" w:hAnsi="Arial"/>
                  <w:sz w:val="12"/>
                  <w:szCs w:val="12"/>
                  <w:color w:val="0000EE"/>
                  <w:w w:val="92"/>
                </w:rPr>
                <w:t>Other Information</w:t>
              </w:r>
            </w:hyperlink>
          </w:p>
        </w:tc>
        <w:tc>
          <w:tcPr>
            <w:tcW w:w="300" w:type="dxa"/>
            <w:vAlign w:val="bottom"/>
            <w:tcBorders>
              <w:top w:val="single" w:sz="8" w:color="0000EE"/>
            </w:tcBorders>
            <w:gridSpan w:val="2"/>
          </w:tcPr>
          <w:p>
            <w:pPr>
              <w:spacing w:after="0"/>
              <w:rPr>
                <w:sz w:val="10"/>
                <w:szCs w:val="10"/>
                <w:color w:val="auto"/>
              </w:rPr>
            </w:pPr>
          </w:p>
        </w:tc>
        <w:tc>
          <w:tcPr>
            <w:tcW w:w="7660" w:type="dxa"/>
            <w:vAlign w:val="bottom"/>
            <w:tcBorders>
              <w:top w:val="single" w:sz="8" w:color="CCEEFF"/>
            </w:tcBorders>
            <w:gridSpan w:val="12"/>
          </w:tcPr>
          <w:p>
            <w:pPr>
              <w:spacing w:after="0"/>
              <w:rPr>
                <w:sz w:val="10"/>
                <w:szCs w:val="10"/>
                <w:color w:val="auto"/>
              </w:rPr>
            </w:pPr>
          </w:p>
        </w:tc>
        <w:tc>
          <w:tcPr>
            <w:tcW w:w="680" w:type="dxa"/>
            <w:vAlign w:val="bottom"/>
            <w:tcBorders>
              <w:top w:val="single" w:sz="8" w:color="CCEEFF"/>
            </w:tcBorders>
          </w:tcPr>
          <w:p>
            <w:pPr>
              <w:jc w:val="right"/>
              <w:spacing w:after="0" w:line="117" w:lineRule="exact"/>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 w:type="dxa"/>
            <w:vAlign w:val="bottom"/>
            <w:tcBorders>
              <w:bottom w:val="single" w:sz="8" w:color="0000EE"/>
            </w:tcBorders>
            <w:gridSpan w:val="4"/>
            <w:shd w:val="clear" w:color="auto" w:fill="CCEEFF"/>
          </w:tcPr>
          <w:p>
            <w:pPr>
              <w:spacing w:after="0" w:line="117" w:lineRule="exact"/>
              <w:rPr>
                <w:rFonts w:ascii="Arial" w:cs="Arial" w:eastAsia="Arial" w:hAnsi="Arial"/>
                <w:sz w:val="12"/>
                <w:szCs w:val="12"/>
                <w:b w:val="1"/>
                <w:bCs w:val="1"/>
                <w:color w:val="0000EE"/>
                <w:w w:val="95"/>
              </w:rPr>
            </w:pPr>
            <w:hyperlink w:anchor="page125">
              <w:r>
                <w:rPr>
                  <w:rFonts w:ascii="Arial" w:cs="Arial" w:eastAsia="Arial" w:hAnsi="Arial"/>
                  <w:sz w:val="12"/>
                  <w:szCs w:val="12"/>
                  <w:b w:val="1"/>
                  <w:bCs w:val="1"/>
                  <w:color w:val="0000EE"/>
                  <w:w w:val="95"/>
                </w:rPr>
                <w:t>PART III</w:t>
              </w:r>
            </w:hyperlink>
          </w:p>
        </w:tc>
        <w:tc>
          <w:tcPr>
            <w:tcW w:w="1360" w:type="dxa"/>
            <w:vAlign w:val="bottom"/>
            <w:tcBorders>
              <w:bottom w:val="single" w:sz="8" w:color="CCEEFF"/>
            </w:tcBorders>
            <w:gridSpan w:val="7"/>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left w:val="single" w:sz="8" w:color="CCEEFF"/>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right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34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gridSpan w:val="8"/>
          </w:tcPr>
          <w:p>
            <w:pPr>
              <w:spacing w:after="0"/>
              <w:rPr>
                <w:sz w:val="10"/>
                <w:szCs w:val="10"/>
                <w:color w:val="auto"/>
              </w:rPr>
            </w:pPr>
          </w:p>
        </w:tc>
        <w:tc>
          <w:tcPr>
            <w:tcW w:w="100" w:type="dxa"/>
            <w:vAlign w:val="bottom"/>
          </w:tcPr>
          <w:p>
            <w:pPr>
              <w:spacing w:after="0"/>
              <w:rPr>
                <w:rFonts w:ascii="Arial" w:cs="Arial" w:eastAsia="Arial" w:hAnsi="Arial"/>
                <w:sz w:val="6"/>
                <w:szCs w:val="6"/>
                <w:color w:val="0000EE"/>
                <w:w w:val="71"/>
              </w:rPr>
            </w:pPr>
            <w:hyperlink w:anchor="page125">
              <w:r>
                <w:rPr>
                  <w:rFonts w:ascii="Arial" w:cs="Arial" w:eastAsia="Arial" w:hAnsi="Arial"/>
                  <w:sz w:val="6"/>
                  <w:szCs w:val="6"/>
                  <w:color w:val="0000EE"/>
                  <w:w w:val="71"/>
                </w:rPr>
                <w:t>10.</w:t>
              </w:r>
            </w:hyperlink>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40" w:type="dxa"/>
            <w:vAlign w:val="bottom"/>
            <w:gridSpan w:val="17"/>
          </w:tcPr>
          <w:p>
            <w:pPr>
              <w:spacing w:after="0" w:line="117" w:lineRule="exact"/>
              <w:rPr>
                <w:rFonts w:ascii="Arial" w:cs="Arial" w:eastAsia="Arial" w:hAnsi="Arial"/>
                <w:sz w:val="12"/>
                <w:szCs w:val="12"/>
                <w:color w:val="0000EE"/>
              </w:rPr>
            </w:pPr>
            <w:hyperlink w:anchor="page125">
              <w:r>
                <w:rPr>
                  <w:rFonts w:ascii="Arial" w:cs="Arial" w:eastAsia="Arial" w:hAnsi="Arial"/>
                  <w:sz w:val="12"/>
                  <w:szCs w:val="12"/>
                  <w:color w:val="0000EE"/>
                </w:rPr>
                <w:t>Directors, Executive Officers and Corporate Governance</w:t>
              </w:r>
            </w:hyperlink>
          </w:p>
        </w:tc>
        <w:tc>
          <w:tcPr>
            <w:tcW w:w="680" w:type="dxa"/>
            <w:vAlign w:val="bottom"/>
          </w:tcPr>
          <w:p>
            <w:pPr>
              <w:jc w:val="right"/>
              <w:spacing w:after="0" w:line="117" w:lineRule="exact"/>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tcBorders>
              <w:bottom w:val="single" w:sz="8" w:color="CCEEFF"/>
            </w:tcBorders>
            <w:gridSpan w:val="8"/>
            <w:shd w:val="clear" w:color="auto" w:fill="CCEEFF"/>
          </w:tcPr>
          <w:p>
            <w:pPr>
              <w:spacing w:after="0"/>
              <w:rPr>
                <w:sz w:val="10"/>
                <w:szCs w:val="10"/>
                <w:color w:val="auto"/>
              </w:rPr>
            </w:pPr>
          </w:p>
        </w:tc>
        <w:tc>
          <w:tcPr>
            <w:tcW w:w="100" w:type="dxa"/>
            <w:vAlign w:val="bottom"/>
            <w:tcBorders>
              <w:top w:val="single" w:sz="8" w:color="0000EE"/>
              <w:bottom w:val="single" w:sz="8" w:color="0000EE"/>
            </w:tcBorders>
            <w:shd w:val="clear" w:color="auto" w:fill="CCEEFF"/>
          </w:tcPr>
          <w:p>
            <w:pPr>
              <w:spacing w:after="0"/>
              <w:rPr>
                <w:rFonts w:ascii="Arial" w:cs="Arial" w:eastAsia="Arial" w:hAnsi="Arial"/>
                <w:sz w:val="6"/>
                <w:szCs w:val="6"/>
                <w:color w:val="0000EE"/>
                <w:w w:val="71"/>
              </w:rPr>
            </w:pPr>
            <w:hyperlink w:anchor="page131">
              <w:r>
                <w:rPr>
                  <w:rFonts w:ascii="Arial" w:cs="Arial" w:eastAsia="Arial" w:hAnsi="Arial"/>
                  <w:sz w:val="6"/>
                  <w:szCs w:val="6"/>
                  <w:color w:val="0000EE"/>
                  <w:w w:val="71"/>
                </w:rPr>
                <w:t>11.</w:t>
              </w:r>
            </w:hyperlink>
          </w:p>
        </w:tc>
        <w:tc>
          <w:tcPr>
            <w:tcW w:w="80" w:type="dxa"/>
            <w:vAlign w:val="bottom"/>
            <w:tcBorders>
              <w:left w:val="single" w:sz="8" w:color="CCEEFF"/>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top w:val="single" w:sz="8" w:color="0000EE"/>
              <w:bottom w:val="single" w:sz="8" w:color="0000EE"/>
            </w:tcBorders>
            <w:gridSpan w:val="6"/>
            <w:shd w:val="clear" w:color="auto" w:fill="CCEEFF"/>
          </w:tcPr>
          <w:p>
            <w:pPr>
              <w:spacing w:after="0" w:line="117" w:lineRule="exact"/>
              <w:rPr>
                <w:rFonts w:ascii="Arial" w:cs="Arial" w:eastAsia="Arial" w:hAnsi="Arial"/>
                <w:sz w:val="12"/>
                <w:szCs w:val="12"/>
                <w:color w:val="0000EE"/>
                <w:w w:val="88"/>
              </w:rPr>
            </w:pPr>
            <w:hyperlink w:anchor="page131">
              <w:r>
                <w:rPr>
                  <w:rFonts w:ascii="Arial" w:cs="Arial" w:eastAsia="Arial" w:hAnsi="Arial"/>
                  <w:sz w:val="12"/>
                  <w:szCs w:val="12"/>
                  <w:color w:val="0000EE"/>
                  <w:w w:val="88"/>
                </w:rPr>
                <w:t>Executive Compensation</w:t>
              </w:r>
            </w:hyperlink>
          </w:p>
        </w:tc>
        <w:tc>
          <w:tcPr>
            <w:tcW w:w="1520" w:type="dxa"/>
            <w:vAlign w:val="bottom"/>
            <w:tcBorders>
              <w:top w:val="single" w:sz="8" w:color="0000EE"/>
              <w:bottom w:val="single" w:sz="8" w:color="CCEEFF"/>
            </w:tcBorders>
            <w:gridSpan w:val="5"/>
            <w:shd w:val="clear" w:color="auto" w:fill="CCEEFF"/>
          </w:tcPr>
          <w:p>
            <w:pPr>
              <w:spacing w:after="0"/>
              <w:rPr>
                <w:sz w:val="10"/>
                <w:szCs w:val="10"/>
                <w:color w:val="auto"/>
              </w:rPr>
            </w:pPr>
          </w:p>
        </w:tc>
        <w:tc>
          <w:tcPr>
            <w:tcW w:w="6120" w:type="dxa"/>
            <w:vAlign w:val="bottom"/>
            <w:tcBorders>
              <w:bottom w:val="single" w:sz="8" w:color="CCEEFF"/>
            </w:tcBorders>
            <w:gridSpan w:val="6"/>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gridSpan w:val="8"/>
          </w:tcPr>
          <w:p>
            <w:pPr>
              <w:spacing w:after="0"/>
              <w:rPr>
                <w:sz w:val="10"/>
                <w:szCs w:val="10"/>
                <w:color w:val="auto"/>
              </w:rPr>
            </w:pPr>
          </w:p>
        </w:tc>
        <w:tc>
          <w:tcPr>
            <w:tcW w:w="100" w:type="dxa"/>
            <w:vAlign w:val="bottom"/>
            <w:tcBorders>
              <w:bottom w:val="single" w:sz="8" w:color="0000EE"/>
            </w:tcBorders>
          </w:tcPr>
          <w:p>
            <w:pPr>
              <w:spacing w:after="0"/>
              <w:rPr>
                <w:rFonts w:ascii="Arial" w:cs="Arial" w:eastAsia="Arial" w:hAnsi="Arial"/>
                <w:sz w:val="6"/>
                <w:szCs w:val="6"/>
                <w:color w:val="0000EE"/>
                <w:w w:val="71"/>
              </w:rPr>
            </w:pPr>
            <w:hyperlink w:anchor="page139">
              <w:r>
                <w:rPr>
                  <w:rFonts w:ascii="Arial" w:cs="Arial" w:eastAsia="Arial" w:hAnsi="Arial"/>
                  <w:sz w:val="6"/>
                  <w:szCs w:val="6"/>
                  <w:color w:val="0000EE"/>
                  <w:w w:val="71"/>
                </w:rPr>
                <w:t>12.</w:t>
              </w:r>
            </w:hyperlink>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Borders>
              <w:bottom w:val="single" w:sz="8" w:color="0000EE"/>
            </w:tcBorders>
            <w:gridSpan w:val="15"/>
          </w:tcPr>
          <w:p>
            <w:pPr>
              <w:spacing w:after="0" w:line="117" w:lineRule="exact"/>
              <w:rPr>
                <w:rFonts w:ascii="Arial" w:cs="Arial" w:eastAsia="Arial" w:hAnsi="Arial"/>
                <w:sz w:val="12"/>
                <w:szCs w:val="12"/>
                <w:color w:val="0000EE"/>
                <w:w w:val="90"/>
              </w:rPr>
            </w:pPr>
            <w:hyperlink w:anchor="page139">
              <w:r>
                <w:rPr>
                  <w:rFonts w:ascii="Arial" w:cs="Arial" w:eastAsia="Arial" w:hAnsi="Arial"/>
                  <w:sz w:val="12"/>
                  <w:szCs w:val="12"/>
                  <w:color w:val="0000EE"/>
                  <w:w w:val="90"/>
                </w:rPr>
                <w:t>Security Ownership of Certain Beneficial Owners and Management and Related Stockholder Matters</w:t>
              </w:r>
            </w:hyperlink>
          </w:p>
        </w:tc>
        <w:tc>
          <w:tcPr>
            <w:tcW w:w="3980" w:type="dxa"/>
            <w:vAlign w:val="bottom"/>
            <w:gridSpan w:val="2"/>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tcBorders>
              <w:bottom w:val="single" w:sz="8" w:color="CCEEFF"/>
            </w:tcBorders>
            <w:gridSpan w:val="8"/>
            <w:shd w:val="clear" w:color="auto" w:fill="CCEEFF"/>
          </w:tcPr>
          <w:p>
            <w:pPr>
              <w:spacing w:after="0"/>
              <w:rPr>
                <w:sz w:val="10"/>
                <w:szCs w:val="10"/>
                <w:color w:val="auto"/>
              </w:rPr>
            </w:pPr>
          </w:p>
        </w:tc>
        <w:tc>
          <w:tcPr>
            <w:tcW w:w="100" w:type="dxa"/>
            <w:vAlign w:val="bottom"/>
            <w:tcBorders>
              <w:bottom w:val="single" w:sz="8" w:color="0000EE"/>
            </w:tcBorders>
            <w:shd w:val="clear" w:color="auto" w:fill="CCEEFF"/>
          </w:tcPr>
          <w:p>
            <w:pPr>
              <w:spacing w:after="0"/>
              <w:rPr>
                <w:rFonts w:ascii="Arial" w:cs="Arial" w:eastAsia="Arial" w:hAnsi="Arial"/>
                <w:sz w:val="6"/>
                <w:szCs w:val="6"/>
                <w:color w:val="0000EE"/>
                <w:w w:val="71"/>
              </w:rPr>
            </w:pPr>
            <w:hyperlink w:anchor="page146">
              <w:r>
                <w:rPr>
                  <w:rFonts w:ascii="Arial" w:cs="Arial" w:eastAsia="Arial" w:hAnsi="Arial"/>
                  <w:sz w:val="6"/>
                  <w:szCs w:val="6"/>
                  <w:color w:val="0000EE"/>
                  <w:w w:val="71"/>
                </w:rPr>
                <w:t>13.</w:t>
              </w:r>
            </w:hyperlink>
          </w:p>
        </w:tc>
        <w:tc>
          <w:tcPr>
            <w:tcW w:w="80" w:type="dxa"/>
            <w:vAlign w:val="bottom"/>
            <w:tcBorders>
              <w:left w:val="single" w:sz="8" w:color="CCEEFF"/>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640" w:type="dxa"/>
            <w:vAlign w:val="bottom"/>
            <w:tcBorders>
              <w:bottom w:val="single" w:sz="8" w:color="0000EE"/>
            </w:tcBorders>
            <w:gridSpan w:val="13"/>
            <w:shd w:val="clear" w:color="auto" w:fill="CCEEFF"/>
          </w:tcPr>
          <w:p>
            <w:pPr>
              <w:spacing w:after="0" w:line="117" w:lineRule="exact"/>
              <w:rPr>
                <w:rFonts w:ascii="Arial" w:cs="Arial" w:eastAsia="Arial" w:hAnsi="Arial"/>
                <w:sz w:val="12"/>
                <w:szCs w:val="12"/>
                <w:color w:val="0000EE"/>
                <w:w w:val="89"/>
              </w:rPr>
            </w:pPr>
            <w:hyperlink w:anchor="page146">
              <w:r>
                <w:rPr>
                  <w:rFonts w:ascii="Arial" w:cs="Arial" w:eastAsia="Arial" w:hAnsi="Arial"/>
                  <w:sz w:val="12"/>
                  <w:szCs w:val="12"/>
                  <w:color w:val="0000EE"/>
                  <w:w w:val="89"/>
                </w:rPr>
                <w:t>Certain Relationships and Related Transactions, and Director Independence</w:t>
              </w:r>
            </w:hyperlink>
          </w:p>
        </w:tc>
        <w:tc>
          <w:tcPr>
            <w:tcW w:w="5200" w:type="dxa"/>
            <w:vAlign w:val="bottom"/>
            <w:tcBorders>
              <w:bottom w:val="single" w:sz="8" w:color="CCEEFF"/>
            </w:tcBorders>
            <w:gridSpan w:val="4"/>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gridSpan w:val="8"/>
          </w:tcPr>
          <w:p>
            <w:pPr>
              <w:spacing w:after="0"/>
              <w:rPr>
                <w:sz w:val="10"/>
                <w:szCs w:val="10"/>
                <w:color w:val="auto"/>
              </w:rPr>
            </w:pPr>
          </w:p>
        </w:tc>
        <w:tc>
          <w:tcPr>
            <w:tcW w:w="100" w:type="dxa"/>
            <w:vAlign w:val="bottom"/>
          </w:tcPr>
          <w:p>
            <w:pPr>
              <w:spacing w:after="0"/>
              <w:rPr>
                <w:rFonts w:ascii="Arial" w:cs="Arial" w:eastAsia="Arial" w:hAnsi="Arial"/>
                <w:sz w:val="6"/>
                <w:szCs w:val="6"/>
                <w:color w:val="0000EE"/>
                <w:w w:val="71"/>
              </w:rPr>
            </w:pPr>
            <w:hyperlink w:anchor="page147">
              <w:r>
                <w:rPr>
                  <w:rFonts w:ascii="Arial" w:cs="Arial" w:eastAsia="Arial" w:hAnsi="Arial"/>
                  <w:sz w:val="6"/>
                  <w:szCs w:val="6"/>
                  <w:color w:val="0000EE"/>
                  <w:w w:val="71"/>
                </w:rPr>
                <w:t>14.</w:t>
              </w:r>
            </w:hyperlink>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40" w:type="dxa"/>
            <w:vAlign w:val="bottom"/>
            <w:gridSpan w:val="17"/>
          </w:tcPr>
          <w:p>
            <w:pPr>
              <w:spacing w:after="0" w:line="117" w:lineRule="exact"/>
              <w:rPr>
                <w:rFonts w:ascii="Arial" w:cs="Arial" w:eastAsia="Arial" w:hAnsi="Arial"/>
                <w:sz w:val="12"/>
                <w:szCs w:val="12"/>
                <w:color w:val="0000EE"/>
              </w:rPr>
            </w:pPr>
            <w:hyperlink w:anchor="page147">
              <w:r>
                <w:rPr>
                  <w:rFonts w:ascii="Arial" w:cs="Arial" w:eastAsia="Arial" w:hAnsi="Arial"/>
                  <w:sz w:val="12"/>
                  <w:szCs w:val="12"/>
                  <w:color w:val="0000EE"/>
                </w:rPr>
                <w:t>Principal Accountant Fees and Services</w:t>
              </w:r>
            </w:hyperlink>
          </w:p>
        </w:tc>
        <w:tc>
          <w:tcPr>
            <w:tcW w:w="680" w:type="dxa"/>
            <w:vAlign w:val="bottom"/>
          </w:tcPr>
          <w:p>
            <w:pPr>
              <w:jc w:val="right"/>
              <w:spacing w:after="0" w:line="117" w:lineRule="exact"/>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gridSpan w:val="8"/>
            <w:shd w:val="clear" w:color="auto" w:fill="CCEEFF"/>
          </w:tcPr>
          <w:p>
            <w:pPr>
              <w:spacing w:after="0" w:line="117" w:lineRule="exact"/>
              <w:rPr>
                <w:rFonts w:ascii="Arial" w:cs="Arial" w:eastAsia="Arial" w:hAnsi="Arial"/>
                <w:sz w:val="12"/>
                <w:szCs w:val="12"/>
                <w:b w:val="1"/>
                <w:bCs w:val="1"/>
                <w:color w:val="0000EE"/>
              </w:rPr>
            </w:pPr>
            <w:hyperlink w:anchor="page149">
              <w:r>
                <w:rPr>
                  <w:rFonts w:ascii="Arial" w:cs="Arial" w:eastAsia="Arial" w:hAnsi="Arial"/>
                  <w:sz w:val="12"/>
                  <w:szCs w:val="12"/>
                  <w:b w:val="1"/>
                  <w:bCs w:val="1"/>
                  <w:color w:val="0000EE"/>
                </w:rPr>
                <w:t>PART IV</w:t>
              </w:r>
            </w:hyperlink>
          </w:p>
        </w:tc>
        <w:tc>
          <w:tcPr>
            <w:tcW w:w="100" w:type="dxa"/>
            <w:vAlign w:val="bottom"/>
            <w:tcBorders>
              <w:top w:val="single" w:sz="8" w:color="0000EE"/>
            </w:tcBorders>
            <w:shd w:val="clear" w:color="auto" w:fill="CCEEFF"/>
          </w:tcPr>
          <w:p>
            <w:pPr>
              <w:spacing w:after="0"/>
              <w:rPr>
                <w:sz w:val="10"/>
                <w:szCs w:val="10"/>
                <w:color w:val="auto"/>
              </w:rPr>
            </w:pPr>
          </w:p>
        </w:tc>
        <w:tc>
          <w:tcPr>
            <w:tcW w:w="600" w:type="dxa"/>
            <w:vAlign w:val="bottom"/>
            <w:tcBorders>
              <w:left w:val="single" w:sz="8" w:color="CCEEFF"/>
            </w:tcBorders>
            <w:gridSpan w:val="2"/>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top w:val="single" w:sz="8" w:color="0000EE"/>
            </w:tcBorders>
            <w:shd w:val="clear" w:color="auto" w:fill="CCEEFF"/>
          </w:tcPr>
          <w:p>
            <w:pPr>
              <w:spacing w:after="0"/>
              <w:rPr>
                <w:sz w:val="10"/>
                <w:szCs w:val="10"/>
                <w:color w:val="auto"/>
              </w:rPr>
            </w:pPr>
          </w:p>
        </w:tc>
        <w:tc>
          <w:tcPr>
            <w:tcW w:w="180" w:type="dxa"/>
            <w:vAlign w:val="bottom"/>
            <w:tcBorders>
              <w:top w:val="single" w:sz="8" w:color="0000EE"/>
              <w:left w:val="single" w:sz="8" w:color="CCEEFF"/>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540" w:type="dxa"/>
            <w:vAlign w:val="bottom"/>
            <w:tcBorders>
              <w:top w:val="single" w:sz="8" w:color="0000EE"/>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40" w:type="dxa"/>
            <w:vAlign w:val="bottom"/>
            <w:tcBorders>
              <w:top w:val="single" w:sz="8" w:color="0000EE"/>
            </w:tcBorders>
            <w:gridSpan w:val="3"/>
          </w:tcPr>
          <w:p>
            <w:pPr>
              <w:spacing w:after="0"/>
              <w:rPr>
                <w:sz w:val="10"/>
                <w:szCs w:val="10"/>
                <w:color w:val="auto"/>
              </w:rPr>
            </w:pPr>
          </w:p>
        </w:tc>
        <w:tc>
          <w:tcPr>
            <w:tcW w:w="680" w:type="dxa"/>
            <w:vAlign w:val="bottom"/>
            <w:tcBorders>
              <w:top w:val="single" w:sz="8" w:color="CCEEFF"/>
            </w:tcBorders>
            <w:gridSpan w:val="5"/>
          </w:tcPr>
          <w:p>
            <w:pPr>
              <w:spacing w:after="0"/>
              <w:rPr>
                <w:sz w:val="10"/>
                <w:szCs w:val="10"/>
                <w:color w:val="auto"/>
              </w:rPr>
            </w:pPr>
          </w:p>
        </w:tc>
        <w:tc>
          <w:tcPr>
            <w:tcW w:w="100" w:type="dxa"/>
            <w:vAlign w:val="bottom"/>
            <w:tcBorders>
              <w:top w:val="single" w:sz="8" w:color="CCEEFF"/>
            </w:tcBorders>
          </w:tcPr>
          <w:p>
            <w:pPr>
              <w:spacing w:after="0"/>
              <w:rPr>
                <w:rFonts w:ascii="Arial" w:cs="Arial" w:eastAsia="Arial" w:hAnsi="Arial"/>
                <w:sz w:val="6"/>
                <w:szCs w:val="6"/>
                <w:color w:val="0000EE"/>
                <w:w w:val="71"/>
              </w:rPr>
            </w:pPr>
            <w:hyperlink w:anchor="page149">
              <w:r>
                <w:rPr>
                  <w:rFonts w:ascii="Arial" w:cs="Arial" w:eastAsia="Arial" w:hAnsi="Arial"/>
                  <w:sz w:val="6"/>
                  <w:szCs w:val="6"/>
                  <w:color w:val="0000EE"/>
                  <w:w w:val="71"/>
                </w:rPr>
                <w:t>15.</w:t>
              </w:r>
            </w:hyperlink>
          </w:p>
        </w:tc>
        <w:tc>
          <w:tcPr>
            <w:tcW w:w="8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840" w:type="dxa"/>
            <w:vAlign w:val="bottom"/>
            <w:tcBorders>
              <w:top w:val="single" w:sz="8" w:color="CCEEFF"/>
            </w:tcBorders>
            <w:gridSpan w:val="17"/>
          </w:tcPr>
          <w:p>
            <w:pPr>
              <w:spacing w:after="0" w:line="117" w:lineRule="exact"/>
              <w:rPr>
                <w:rFonts w:ascii="Arial" w:cs="Arial" w:eastAsia="Arial" w:hAnsi="Arial"/>
                <w:sz w:val="12"/>
                <w:szCs w:val="12"/>
                <w:color w:val="0000EE"/>
              </w:rPr>
            </w:pPr>
            <w:hyperlink w:anchor="page149">
              <w:r>
                <w:rPr>
                  <w:rFonts w:ascii="Arial" w:cs="Arial" w:eastAsia="Arial" w:hAnsi="Arial"/>
                  <w:sz w:val="12"/>
                  <w:szCs w:val="12"/>
                  <w:color w:val="0000EE"/>
                </w:rPr>
                <w:t>Exhibits and Financial Statement Schedules</w:t>
              </w:r>
            </w:hyperlink>
          </w:p>
        </w:tc>
        <w:tc>
          <w:tcPr>
            <w:tcW w:w="680" w:type="dxa"/>
            <w:vAlign w:val="bottom"/>
            <w:tcBorders>
              <w:top w:val="single" w:sz="8" w:color="CCEEFF"/>
            </w:tcBorders>
          </w:tcPr>
          <w:p>
            <w:pPr>
              <w:jc w:val="right"/>
              <w:spacing w:after="0" w:line="117" w:lineRule="exact"/>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gridSpan w:val="8"/>
            <w:shd w:val="clear" w:color="auto" w:fill="CCEEFF"/>
          </w:tcPr>
          <w:p>
            <w:pPr>
              <w:spacing w:after="0" w:line="117" w:lineRule="exact"/>
              <w:rPr>
                <w:rFonts w:ascii="Arial" w:cs="Arial" w:eastAsia="Arial" w:hAnsi="Arial"/>
                <w:sz w:val="12"/>
                <w:szCs w:val="12"/>
                <w:b w:val="1"/>
                <w:bCs w:val="1"/>
                <w:color w:val="0000EE"/>
              </w:rPr>
            </w:pPr>
            <w:hyperlink w:anchor="page153">
              <w:r>
                <w:rPr>
                  <w:rFonts w:ascii="Arial" w:cs="Arial" w:eastAsia="Arial" w:hAnsi="Arial"/>
                  <w:sz w:val="12"/>
                  <w:szCs w:val="12"/>
                  <w:b w:val="1"/>
                  <w:bCs w:val="1"/>
                  <w:color w:val="0000EE"/>
                </w:rPr>
                <w:t>SIGNATURES</w:t>
              </w:r>
            </w:hyperlink>
          </w:p>
        </w:tc>
        <w:tc>
          <w:tcPr>
            <w:tcW w:w="100" w:type="dxa"/>
            <w:vAlign w:val="bottom"/>
            <w:tcBorders>
              <w:top w:val="single" w:sz="8" w:color="0000EE"/>
            </w:tcBorders>
            <w:shd w:val="clear" w:color="auto" w:fill="CCEEFF"/>
          </w:tcPr>
          <w:p>
            <w:pPr>
              <w:spacing w:after="0"/>
              <w:rPr>
                <w:sz w:val="10"/>
                <w:szCs w:val="10"/>
                <w:color w:val="auto"/>
              </w:rPr>
            </w:pPr>
          </w:p>
        </w:tc>
        <w:tc>
          <w:tcPr>
            <w:tcW w:w="600" w:type="dxa"/>
            <w:vAlign w:val="bottom"/>
            <w:tcBorders>
              <w:left w:val="single" w:sz="8" w:color="CCEEFF"/>
            </w:tcBorders>
            <w:gridSpan w:val="2"/>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top w:val="single" w:sz="8" w:color="0000EE"/>
            </w:tcBorders>
            <w:shd w:val="clear" w:color="auto" w:fill="CCEEFF"/>
          </w:tcPr>
          <w:p>
            <w:pPr>
              <w:spacing w:after="0"/>
              <w:rPr>
                <w:sz w:val="10"/>
                <w:szCs w:val="10"/>
                <w:color w:val="auto"/>
              </w:rPr>
            </w:pPr>
          </w:p>
        </w:tc>
        <w:tc>
          <w:tcPr>
            <w:tcW w:w="180" w:type="dxa"/>
            <w:vAlign w:val="bottom"/>
            <w:tcBorders>
              <w:top w:val="single" w:sz="8" w:color="0000EE"/>
              <w:left w:val="single" w:sz="8" w:color="CCEEFF"/>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540" w:type="dxa"/>
            <w:vAlign w:val="bottom"/>
            <w:tcBorders>
              <w:top w:val="single" w:sz="8" w:color="0000EE"/>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820" w:type="dxa"/>
            <w:vAlign w:val="bottom"/>
            <w:gridSpan w:val="11"/>
          </w:tcPr>
          <w:p>
            <w:pPr>
              <w:spacing w:after="0" w:line="117" w:lineRule="exact"/>
              <w:rPr>
                <w:rFonts w:ascii="Arial" w:cs="Arial" w:eastAsia="Arial" w:hAnsi="Arial"/>
                <w:sz w:val="12"/>
                <w:szCs w:val="12"/>
                <w:b w:val="1"/>
                <w:bCs w:val="1"/>
                <w:color w:val="0000EE"/>
              </w:rPr>
            </w:pPr>
            <w:hyperlink w:anchor="page149">
              <w:r>
                <w:rPr>
                  <w:rFonts w:ascii="Arial" w:cs="Arial" w:eastAsia="Arial" w:hAnsi="Arial"/>
                  <w:sz w:val="12"/>
                  <w:szCs w:val="12"/>
                  <w:b w:val="1"/>
                  <w:bCs w:val="1"/>
                  <w:color w:val="0000EE"/>
                </w:rPr>
                <w:t>EXHIBIT INDEX</w:t>
              </w:r>
            </w:hyperlink>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 w:name="page3"/>
    <w:bookmarkEnd w:id="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This Annual Report on Form 10-K includes forward-looking statements. All statements contained in this Annual Report on Form 10-K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on Form 10-K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 w:name="page4"/>
    <w:bookmarkEnd w:id="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were first incorporated in California on May 26, 1998. We merged with Excaliber Enterprises, Ltd., a Nevada corporation (Excaliber), a publicly held company, on May 11, 2011, and shortly thereafter changed our name to “VistaGen Therapeutics, Inc.” Unless the context otherwise requires, the words “VistaGen Therapeutics, Inc.” “VistaGen,” “we,” “the Company,” “us” and “our” refer to VistaGen Therapeutics, Inc., a Nevada corporation. “VistaGen California” refers to VistaGen Therapeutics, Inc., a California corporation and our wholly owned subsidiary.</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are a stem cell company headquartered in South San Francisco, California focused on drug rescue and regenerative medicine. We believe </w:t>
      </w:r>
      <w:r>
        <w:rPr>
          <w:rFonts w:ascii="Arial" w:cs="Arial" w:eastAsia="Arial" w:hAnsi="Arial"/>
          <w:sz w:val="12"/>
          <w:szCs w:val="12"/>
          <w:i w:val="1"/>
          <w:iCs w:val="1"/>
          <w:color w:val="auto"/>
        </w:rPr>
        <w:t>better cells lead to better medicine</w:t>
      </w:r>
      <w:r>
        <w:rPr>
          <w:rFonts w:ascii="Arial" w:cs="Arial" w:eastAsia="Arial" w:hAnsi="Arial"/>
          <w:sz w:val="12"/>
          <w:szCs w:val="12"/>
          <w:color w:val="auto"/>
        </w:rPr>
        <w:t>™ and that the key to making better cells is precisely controlling the differentiation of human pluripotent stem cells, which are the building blocks of all cells of the human body. For over 15 years, our stem cell research, development teams and collaborators have focused on controlling the differentiation of pluripotent stem cells to produce multiple types of mature, functional, adult human cells, with emphasis on human heart and liver cells.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stem cell technology platform - Human Clinical Trials in a Test Tube™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Our stem cell technology platform, which we refer to as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is based on a combination of proprietary and exclusively licensed technologies for controlling the differentiation of human pluripotent stem cells into multiple types of mature, functional, adult human cells that we use, or plan to develop, to reproduce complex human biology and disease. We are currently producing human heart cells and liver cells for our drug rescue applications. However, we also intend to advance, internally and through collaborative research projects, production of pluripotent stem cell-derived blood, bone, cartilage, and pancreatic beta-islet cells and explore ways to leverage our stem cell technology platform for regenerative medicine purposes. Our interest in the regenerative medicine arena is on developing novel human disease models for discovery of small molecule drugs and biologics that activate the endogenous growth and healing processes enabling the body to repair tissue damage caused by certain degenerative diseases.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Using mature cardiomyocytes (heart cells) differentiated from human pluripotent stem cells, we have developed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 a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 used to assess new drug candidates for potential cardiac toxicity before they are tested in humans.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capable of predicting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both toxic and non-toxic, of small molecule drug candidates with greater speed and precision than the long-established, surrogate safety models most often used in drug development, including models using animal cells or live animals, and cellular assays using cadaver, immortalized or transformed cells. Our pluripotent stem cell derived cardiomyocytes (heart cells) and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are key components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and drug rescue programs.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LiverSafe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Using mature, functional adult hepatocytes (liver cells) derived from human pluripotent stem cells, we are correlating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second novel stem cell technology-based bioassay system, with reported clinical results. We believe </w:t>
      </w:r>
      <w:r>
        <w:rPr>
          <w:rFonts w:ascii="Arial" w:cs="Arial" w:eastAsia="Arial" w:hAnsi="Arial"/>
          <w:sz w:val="11"/>
          <w:szCs w:val="11"/>
          <w:i w:val="1"/>
          <w:iCs w:val="1"/>
          <w:color w:val="auto"/>
        </w:rPr>
        <w:t xml:space="preserve">LiverSafe </w:t>
      </w:r>
      <w:r>
        <w:rPr>
          <w:rFonts w:ascii="Arial" w:cs="Arial" w:eastAsia="Arial" w:hAnsi="Arial"/>
          <w:sz w:val="11"/>
          <w:szCs w:val="11"/>
          <w:color w:val="auto"/>
        </w:rPr>
        <w:t>3D will enable us to assess, early in development, new drug candidates for potential drug-induced liver toxicity and particularly metabolism issues that can result in serious adverse drug-drug interactions, before animal or human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testing. We plan to use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the clinically predictive liver biology insight we believe it will provide us, to expand the scope of our commercial opportunities related to drug rescue.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Drug Rescue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believe drug rescue, using our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the foundation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is the highest-value near term commercial application of the human cells we produce. Detailed information is available to us in the public domain regarding the efficacy, pharmacology, formulation and toxicity of promising small molecule drug candidates developed by pharmaceutical and biotechnology companies which have failed due to unexpected heart or liver toxicity. These failed but still promising drug candidates, which we refer to as </w:t>
      </w:r>
      <w:r>
        <w:rPr>
          <w:rFonts w:ascii="Arial" w:cs="Arial" w:eastAsia="Arial" w:hAnsi="Arial"/>
          <w:sz w:val="12"/>
          <w:szCs w:val="12"/>
          <w:i w:val="1"/>
          <w:iCs w:val="1"/>
          <w:color w:val="auto"/>
        </w:rPr>
        <w:t>Drug Rescue Candidates</w:t>
      </w:r>
      <w:r>
        <w:rPr>
          <w:rFonts w:ascii="Arial" w:cs="Arial" w:eastAsia="Arial" w:hAnsi="Arial"/>
          <w:sz w:val="12"/>
          <w:szCs w:val="12"/>
          <w:color w:val="auto"/>
        </w:rPr>
        <w:t>™, have already been optimized and tested by a pharmaceutical or biotechnology company and assessed for efficacy and commercial potential.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 w:name="page5"/>
    <w:bookmarkEnd w:id="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Failure of promising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due to unexpected human clinical toxicity highlights the need for new paradigms to evaluate potential heart and liver toxicity early in drug development. While efforts of pharmaceutical and biotechnology companies to improve their prediction of such human clinical toxicity for new drug candidates is ongoing, the existence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offers us an opportunity to use our novel stem cell technology to take advantage of prior third-party investment 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with early signs of efficacy, by significantly reducing the toxicity that caused them to be terminated, and bring new, safer versions back into development protected by new intellectual property. We refer 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intend to produce with our medicinal chemistry collaborator and validate internally in our bioassay systems as </w:t>
      </w:r>
      <w:r>
        <w:rPr>
          <w:rFonts w:ascii="Arial" w:cs="Arial" w:eastAsia="Arial" w:hAnsi="Arial"/>
          <w:sz w:val="11"/>
          <w:szCs w:val="11"/>
          <w:i w:val="1"/>
          <w:iCs w:val="1"/>
          <w:color w:val="auto"/>
        </w:rPr>
        <w:t>Drug Rescue Variants</w:t>
      </w:r>
      <w:r>
        <w:rPr>
          <w:rFonts w:ascii="Arial" w:cs="Arial" w:eastAsia="Arial" w:hAnsi="Arial"/>
          <w:sz w:val="11"/>
          <w:szCs w:val="11"/>
          <w:color w:val="auto"/>
        </w:rPr>
        <w:t>™.</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 xml:space="preserve">Through stem cell technology-based drug rescue, our objective is to become a leading source of proprietary, small molecule drug candidates to the global pharmaceutical industry. We have designed our drug rescue model to leverage publicly available information and substantial prior investment by pharmaceutical companies and others 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The key commercial objective of our drug rescue model is to generate revenue from license, development and commercialization arrangements involving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anticipate that each validated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will be suitable as a promising new drug development program, either internally or in collaboration with a strategic partner.</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Drug Rescue Strategy</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We believe the pre-existing public domain knowledge base supporting the therapeutic and commercial potential of our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will provide us with a valuable head start as we launch our drug rescue programs. Leveraging the substantial prior investments by global pharmaceutical companies and others in discovery, optimization and efficacy validation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is an essential component of our drug rescue strategy.</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current drug rescue emphasis is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discontinued prior to FDA market approval due to unexpected cardiac safety concerns. By using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biological insight not previously available when the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was originally discovered and developed, we believe we can demonstrate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proof-of-concept as to the efficacy and safety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earlier in development and with substantially less investment in discovery, efficacy optimization and development than was required of the pharmaceutical companies prior to their decision to terminate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key elements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strategy are as follows:</w:t>
      </w:r>
    </w:p>
    <w:p>
      <w:pPr>
        <w:spacing w:after="0" w:line="168" w:lineRule="exact"/>
        <w:rPr>
          <w:sz w:val="20"/>
          <w:szCs w:val="20"/>
          <w:color w:val="auto"/>
        </w:rPr>
      </w:pPr>
    </w:p>
    <w:p>
      <w:pPr>
        <w:jc w:val="both"/>
        <w:ind w:left="420" w:hanging="227"/>
        <w:spacing w:after="0" w:line="263"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preferred provider of contract medicinal chemistry and contract clinical development and regulatory services, respectively;</w:t>
      </w:r>
    </w:p>
    <w:p>
      <w:pPr>
        <w:spacing w:after="0" w:line="140" w:lineRule="exact"/>
        <w:rPr>
          <w:rFonts w:ascii="Arial" w:cs="Arial" w:eastAsia="Arial" w:hAnsi="Arial"/>
          <w:sz w:val="12"/>
          <w:szCs w:val="12"/>
          <w:color w:val="auto"/>
        </w:rPr>
      </w:pPr>
    </w:p>
    <w:p>
      <w:pPr>
        <w:ind w:left="420" w:right="20" w:hanging="227"/>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leverage substantial prior research and development investments made by global pharmaceutical companies and others to analyze internally the therapeutic and commercial potential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as important criteria for selection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0" w:hanging="227"/>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important and more comprehensive biological insights not available when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were originally discovered and developed by pharmaceutical companies;</w:t>
      </w:r>
    </w:p>
    <w:p>
      <w:pPr>
        <w:spacing w:after="0" w:line="132" w:lineRule="exact"/>
        <w:rPr>
          <w:rFonts w:ascii="Arial" w:cs="Arial" w:eastAsia="Arial" w:hAnsi="Arial"/>
          <w:sz w:val="12"/>
          <w:szCs w:val="12"/>
          <w:color w:val="auto"/>
        </w:rPr>
      </w:pPr>
    </w:p>
    <w:p>
      <w:pPr>
        <w:ind w:left="420" w:hanging="227"/>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leverage our internal knowledgebase about each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specific chemistry to design and produce a portfolio of novel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each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pre-existing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models to assess the efficacy and cardiac safety of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identify and validate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internally develop validated lead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or out-license them to a global pharmaceutical company in revenue-generating agreements providing for the full development, market approval and commercial sale.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 w:name="page6"/>
    <w:bookmarkEnd w:id="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believe our exclusive focus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established therapeutic and commercial potential, and our ability to build on that valuable head start using our expertise in human biology, will help us to generate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Rescue Variants </w:t>
      </w:r>
      <w:r>
        <w:rPr>
          <w:rFonts w:ascii="Arial" w:cs="Arial" w:eastAsia="Arial" w:hAnsi="Arial"/>
          <w:sz w:val="12"/>
          <w:szCs w:val="12"/>
          <w:color w:val="auto"/>
        </w:rPr>
        <w:t>without incurring certain high costs and risks typically inherent in drug discovery and development. Although we plan to continue to identify</w:t>
      </w:r>
      <w:r>
        <w:rPr>
          <w:rFonts w:ascii="Arial" w:cs="Arial" w:eastAsia="Arial" w:hAnsi="Arial"/>
          <w:sz w:val="12"/>
          <w:szCs w:val="12"/>
          <w:i w:val="1"/>
          <w:iCs w:val="1"/>
          <w:color w:val="auto"/>
        </w:rPr>
        <w:t xml:space="preserve"> Drug Rescue Candidates </w:t>
      </w:r>
      <w:r>
        <w:rPr>
          <w:rFonts w:ascii="Arial" w:cs="Arial" w:eastAsia="Arial" w:hAnsi="Arial"/>
          <w:sz w:val="12"/>
          <w:szCs w:val="12"/>
          <w:color w:val="auto"/>
        </w:rPr>
        <w:t>in the public domain, we may also seek to acquire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rights to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available to us in the public domain through in-licensing arrangements with third-parties.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Strategic Licensing of Drug Rescue Variants</w:t>
      </w:r>
    </w:p>
    <w:p>
      <w:pPr>
        <w:spacing w:after="0" w:line="168"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We believe many pharmaceutical companies are experiencing, and will continue to experience, critical research and development productivity issues, as measured by their lack of, or very low number of, FDA-approved products each year during the past decade. For example, in 2013, the U.S. pharmaceutical industry invested over $51 billion in research and development and the Center for Drug Evaluation and Research (</w:t>
      </w:r>
      <w:r>
        <w:rPr>
          <w:rFonts w:ascii="Arial" w:cs="Arial" w:eastAsia="Arial" w:hAnsi="Arial"/>
          <w:sz w:val="10"/>
          <w:szCs w:val="10"/>
          <w:i w:val="1"/>
          <w:iCs w:val="1"/>
          <w:color w:val="auto"/>
        </w:rPr>
        <w:t>CDER</w:t>
      </w:r>
      <w:r>
        <w:rPr>
          <w:rFonts w:ascii="Arial" w:cs="Arial" w:eastAsia="Arial" w:hAnsi="Arial"/>
          <w:sz w:val="10"/>
          <w:szCs w:val="10"/>
          <w:color w:val="auto"/>
        </w:rPr>
        <w:t>) of the FDA approved a total of only 39 novel drugs, known as New Molecular Entities (</w:t>
      </w:r>
      <w:r>
        <w:rPr>
          <w:rFonts w:ascii="Arial" w:cs="Arial" w:eastAsia="Arial" w:hAnsi="Arial"/>
          <w:sz w:val="10"/>
          <w:szCs w:val="10"/>
          <w:i w:val="1"/>
          <w:iCs w:val="1"/>
          <w:color w:val="auto"/>
        </w:rPr>
        <w:t>NMEs</w:t>
      </w:r>
      <w:r>
        <w:rPr>
          <w:rFonts w:ascii="Arial" w:cs="Arial" w:eastAsia="Arial" w:hAnsi="Arial"/>
          <w:sz w:val="10"/>
          <w:szCs w:val="10"/>
          <w:color w:val="auto"/>
        </w:rPr>
        <w:t>). In 2013, CDER approved only 27 NMEs, thirteen of which NME approvals (48%) were received by only five pharmaceutical companies, including Bayer (two), GlaxoSmithKline (four), Johnson &amp; Johnson (three), Roche (two) and Takeda (two). Despite remarkable levels of research and development investment by the global pharmaceutical industry as a whole, since 2003, the FDA has only approved an average of approximately 26 NMEs per year. In addition, we believe many pharmaceutical companies with established products that are no longer patent protected are also experiencing substantial market pressure from generic competition.</w:t>
      </w:r>
    </w:p>
    <w:p>
      <w:pPr>
        <w:spacing w:after="0" w:line="116"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 xml:space="preserve">As a result of research and development productivity issues, diminishing product pipelines and generic competition, we believe there is and will continue to be a critical need among pharmaceutical companies to license or acquire the new, safer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are focused on developing, including companies that originally discovered, developed and ultimately discontinued the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select for our drug rescue programs.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Once we achieve proof-of-concept (</w:t>
      </w:r>
      <w:r>
        <w:rPr>
          <w:rFonts w:ascii="Arial" w:cs="Arial" w:eastAsia="Arial" w:hAnsi="Arial"/>
          <w:sz w:val="12"/>
          <w:szCs w:val="12"/>
          <w:i w:val="1"/>
          <w:iCs w:val="1"/>
          <w:color w:val="auto"/>
        </w:rPr>
        <w:t>POC</w:t>
      </w:r>
      <w:r>
        <w:rPr>
          <w:rFonts w:ascii="Arial" w:cs="Arial" w:eastAsia="Arial" w:hAnsi="Arial"/>
          <w:sz w:val="12"/>
          <w:szCs w:val="12"/>
          <w:color w:val="auto"/>
        </w:rPr>
        <w:t xml:space="preser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as to the efficacy and safety of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intend to announce the results of our internal POC studies and, at that time, consider whether we will seek to license that </w:t>
      </w:r>
      <w:r>
        <w:rPr>
          <w:rFonts w:ascii="Arial" w:cs="Arial" w:eastAsia="Arial" w:hAnsi="Arial"/>
          <w:sz w:val="12"/>
          <w:szCs w:val="12"/>
          <w:i w:val="1"/>
          <w:iCs w:val="1"/>
          <w:color w:val="auto"/>
        </w:rPr>
        <w:t xml:space="preserve">Drug Rescue Variant </w:t>
      </w:r>
      <w:r>
        <w:rPr>
          <w:rFonts w:ascii="Arial" w:cs="Arial" w:eastAsia="Arial" w:hAnsi="Arial"/>
          <w:sz w:val="12"/>
          <w:szCs w:val="12"/>
          <w:color w:val="auto"/>
        </w:rPr>
        <w:t>to a pharmaceutical company, including the company that developed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 or further develop it internally on our own. If we decide to license a lead</w:t>
      </w:r>
      <w:r>
        <w:rPr>
          <w:rFonts w:ascii="Arial" w:cs="Arial" w:eastAsia="Arial" w:hAnsi="Arial"/>
          <w:sz w:val="12"/>
          <w:szCs w:val="12"/>
          <w:i w:val="1"/>
          <w:iCs w:val="1"/>
          <w:color w:val="auto"/>
        </w:rPr>
        <w:t xml:space="preserve"> Drug Rescue Variant </w:t>
      </w:r>
      <w:r>
        <w:rPr>
          <w:rFonts w:ascii="Arial" w:cs="Arial" w:eastAsia="Arial" w:hAnsi="Arial"/>
          <w:sz w:val="12"/>
          <w:szCs w:val="12"/>
          <w:color w:val="auto"/>
        </w:rPr>
        <w:t>to a pharmaceutical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that we will receive licensing revenue through payments to us from the license upon signing the license agreement, achievement of development and regulatory milestones, and, if approved and marketed, upon commercial sales.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Regenerative Medicine and Drug Discovery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Although we believe the best and most valuable near term commercial application of our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is for small molecule drug rescue, we also believe stem cell technology-based regenerative medicine has the potential to transform healthcare in the U.S. over the next decade by altering the fundamental mechanisms of disease. We are interested in exploring ways to leverage our stem cell technology platform for regenerative medicine purposes, with emphasis on developing novel human disease models for discovery of small molecule drugs with regenerative and therapeutic potential. Our regenerative medicine focus will be based on our expertise in human biology, differentiation of human pluripotent stem cells to develop functional adult human cells and tissues involved in human disease, including blood, bone, cartilage, heart, liver and insulin-producing pancreatic beta-islet cells, and our expertise in formulating customized biological assays with the cells we produce. Among our key objectives will be to explore regenerative medicine opportunities through pilot nonclinical proof-of-concept studies, after which we intend to assess any potential opportunities for further development and commercialization of therapeutically and commercially promising regenerative medicine programs and novel, customized, disease-specific biological assays, either on our own or with strategic partners.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 w:name="page7"/>
    <w:bookmarkEnd w:id="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 for Neuropathic Pain, Epilepsy and Depression</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With $8.8 million of grant funding awarded from the U.S. National Institutes of Health, we have successfully completed Phase 1 development of AV-101. AV-101, also known as “L-4-chlorokynurenine” and “4-Cl-KYN”,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Our AV-101 IND application, on file with the FDA, covers clinical development for neuropathic pain. However, we believe the Phase 1 AV-101 safety studies completed to date will support development of AV-101 for multiple indications, including epilepsy, depression and Parkinson’s disease. We intend to seek potential opportunities for further clinical development and commercialization of AV-101 for neuropathic pain, epilepsy, depression and Parkinson’s disease, on our own or with strategic partners. In the event that we successfully complete one or more strategic partnering arrangements for AV-101, we plan to use the net proceeds from such an arrangement(s) to expand our stem cell technology-based drug rescue and regenerative medicine programs.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Basics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Human pluripotent stem cells (</w:t>
      </w:r>
      <w:r>
        <w:rPr>
          <w:rFonts w:ascii="Arial" w:cs="Arial" w:eastAsia="Arial" w:hAnsi="Arial"/>
          <w:sz w:val="11"/>
          <w:szCs w:val="11"/>
          <w:i w:val="1"/>
          <w:iCs w:val="1"/>
          <w:color w:val="auto"/>
        </w:rPr>
        <w:t>hPSCs</w:t>
      </w:r>
      <w:r>
        <w:rPr>
          <w:rFonts w:ascii="Arial" w:cs="Arial" w:eastAsia="Arial" w:hAnsi="Arial"/>
          <w:sz w:val="11"/>
          <w:szCs w:val="11"/>
          <w:color w:val="auto"/>
        </w:rPr>
        <w:t>) can be differentiated into all of the more than 200 types of cells in the human body, expanded readily, and have diverse medical research, drug discovery, drug rescue, drug development and therapeutic applications. We believe hPSCs can be used to develop numerous cell types, tissues and customized biological assays that can mimic complex human biology, including heart and liver biology for drug rescue.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Human pluripotent stem cells are either embryonic stem cells (</w:t>
      </w:r>
      <w:r>
        <w:rPr>
          <w:rFonts w:ascii="Arial" w:cs="Arial" w:eastAsia="Arial" w:hAnsi="Arial"/>
          <w:sz w:val="12"/>
          <w:szCs w:val="12"/>
          <w:i w:val="1"/>
          <w:iCs w:val="1"/>
          <w:color w:val="auto"/>
        </w:rPr>
        <w:t>hESCs</w:t>
      </w:r>
      <w:r>
        <w:rPr>
          <w:rFonts w:ascii="Arial" w:cs="Arial" w:eastAsia="Arial" w:hAnsi="Arial"/>
          <w:sz w:val="12"/>
          <w:szCs w:val="12"/>
          <w:color w:val="auto"/>
        </w:rPr>
        <w:t>) or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these mature cells as the basis for formulating our novel, customized bioassay systems to test the safety and efficacy of new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These cells also have potential for diverse regenerative medicine applications.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 Embryonic Stem Cells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Human embryonic stem cells are derived from excess embryos that develop from eggs that have been fertilized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Human embryonic stem cells have the greatest and most documented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 w:name="page8"/>
    <w:bookmarkEnd w:id="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Induced Pluripotent Stem Celli</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It is also possible to obtain hPSC lines from individuals without the use of embryos. Induced pluripotent stem cells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Although there are remaining questions in the field about the lifespan, clinical utility and safety of iPSCs, we believe the biology and differentiation capabilities of hESCs and iPSCs are likely to be comparable for drug rescue purposes.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There are, however, specific situations in which we may prefer to use one or the other type of hPSC. For example, we may prefer to use iPSCs for potential drug discovery applications based on the relative ease of generating iPSCs from:</w:t>
      </w:r>
    </w:p>
    <w:p>
      <w:pPr>
        <w:spacing w:after="0" w:line="182" w:lineRule="exact"/>
        <w:rPr>
          <w:sz w:val="20"/>
          <w:szCs w:val="20"/>
          <w:color w:val="auto"/>
        </w:rPr>
      </w:pPr>
    </w:p>
    <w:p>
      <w:pPr>
        <w:ind w:left="1300" w:hanging="301"/>
        <w:spacing w:after="0"/>
        <w:tabs>
          <w:tab w:leader="none" w:pos="1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individuals with specific inheritable diseases and conditions that predispose the individual to respond differently to drugs; or</w:t>
      </w:r>
    </w:p>
    <w:p>
      <w:pPr>
        <w:spacing w:after="0" w:line="150" w:lineRule="exact"/>
        <w:rPr>
          <w:rFonts w:ascii="Arial" w:cs="Arial" w:eastAsia="Arial" w:hAnsi="Arial"/>
          <w:sz w:val="12"/>
          <w:szCs w:val="12"/>
          <w:color w:val="auto"/>
        </w:rPr>
      </w:pPr>
    </w:p>
    <w:p>
      <w:pPr>
        <w:ind w:left="1300" w:hanging="301"/>
        <w:spacing w:after="0"/>
        <w:tabs>
          <w:tab w:leader="none" w:pos="1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individuals with specific variations in genes that directly affect drug levels in the body or alter the manner or efficiency of their metabolism, breakdown and/or elimination of drugs.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and formulate novel, customized biological assays to model specific diseases and genetic conditions for drug discovery and drug rescue purposes.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Proprietary Stem Cell Differentiation Protocols</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Over fifteen years of research, together with Dr. Gordon Keller, our co-founder and Chairman of our Scientific Advisory Board, we have developed proprietary differentiation protocols covering key conditions involved in the differentiation of hPSCs into multiple types of mature human cells. The human cells generated by following these proprietary differentiation protocols are integral to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believe they support more clinically-predictive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w:t>
      </w:r>
      <w:r>
        <w:rPr>
          <w:rFonts w:ascii="Arial" w:cs="Arial" w:eastAsia="Arial" w:hAnsi="Arial"/>
          <w:sz w:val="12"/>
          <w:szCs w:val="12"/>
          <w:i w:val="1"/>
          <w:iCs w:val="1"/>
          <w:color w:val="auto"/>
        </w:rPr>
        <w:t>UHN</w:t>
      </w:r>
      <w:r>
        <w:rPr>
          <w:rFonts w:ascii="Arial" w:cs="Arial" w:eastAsia="Arial" w:hAnsi="Arial"/>
          <w:sz w:val="12"/>
          <w:szCs w:val="12"/>
          <w:color w:val="auto"/>
        </w:rPr>
        <w:t>) relate to proprietary stem cell differentiation protocols developed by Dr. Keller and involve precisely-coordinated temporal and quantitative conditions and interaction of biological molecules, including:</w:t>
      </w:r>
    </w:p>
    <w:p>
      <w:pPr>
        <w:spacing w:after="0" w:line="144" w:lineRule="exact"/>
        <w:rPr>
          <w:sz w:val="20"/>
          <w:szCs w:val="20"/>
          <w:color w:val="auto"/>
        </w:rPr>
      </w:pPr>
    </w:p>
    <w:p>
      <w:pPr>
        <w:ind w:left="1300" w:hanging="301"/>
        <w:spacing w:after="0"/>
        <w:tabs>
          <w:tab w:leader="none" w:pos="1300" w:val="left"/>
        </w:tabs>
        <w:numPr>
          <w:ilvl w:val="0"/>
          <w:numId w:val="4"/>
        </w:numPr>
        <w:rPr>
          <w:rFonts w:ascii="Arial" w:cs="Arial" w:eastAsia="Arial" w:hAnsi="Arial"/>
          <w:sz w:val="11"/>
          <w:szCs w:val="11"/>
          <w:color w:val="auto"/>
        </w:rPr>
      </w:pPr>
      <w:r>
        <w:rPr>
          <w:rFonts w:ascii="Arial" w:cs="Arial" w:eastAsia="Arial" w:hAnsi="Arial"/>
          <w:sz w:val="11"/>
          <w:szCs w:val="11"/>
          <w:color w:val="auto"/>
        </w:rPr>
        <w:t>specific growth and differentiation factors used in the tissue culture medium, applied in specific combinations, at critical concentrations, and at critical times unique to each desired human cell type;</w:t>
      </w:r>
    </w:p>
    <w:p>
      <w:pPr>
        <w:spacing w:after="0" w:line="161" w:lineRule="exact"/>
        <w:rPr>
          <w:rFonts w:ascii="Arial" w:cs="Arial" w:eastAsia="Arial" w:hAnsi="Arial"/>
          <w:sz w:val="11"/>
          <w:szCs w:val="11"/>
          <w:color w:val="auto"/>
        </w:rPr>
      </w:pPr>
    </w:p>
    <w:p>
      <w:pPr>
        <w:ind w:left="1300" w:hanging="301"/>
        <w:spacing w:after="0"/>
        <w:tabs>
          <w:tab w:leader="none" w:pos="13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1300" w:hanging="301"/>
        <w:spacing w:after="0"/>
        <w:tabs>
          <w:tab w:leader="none" w:pos="1300" w:val="left"/>
        </w:tabs>
        <w:numPr>
          <w:ilvl w:val="0"/>
          <w:numId w:val="4"/>
        </w:numPr>
        <w:rPr>
          <w:rFonts w:ascii="Arial" w:cs="Arial" w:eastAsia="Arial" w:hAnsi="Arial"/>
          <w:sz w:val="11"/>
          <w:szCs w:val="11"/>
          <w:color w:val="auto"/>
        </w:rPr>
      </w:pPr>
      <w:r>
        <w:rPr>
          <w:rFonts w:ascii="Arial" w:cs="Arial" w:eastAsia="Arial" w:hAnsi="Arial"/>
          <w:sz w:val="11"/>
          <w:szCs w:val="11"/>
          <w:color w:val="auto"/>
        </w:rPr>
        <w:t>biological markers characteristic of precursor cells, which are committed to becoming specific human cells and tissues, and which can be used to identify, enrich and purify the desired mature human cell type.</w:t>
      </w:r>
    </w:p>
    <w:p>
      <w:pPr>
        <w:spacing w:after="0" w:line="162"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will allow us to assess the toxicity profile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other new drug candidates for a wide range of diseases and conditions with greater speed and precision than nonclinical surrogate safety models most often currently used in drug development.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 w:name="page9"/>
    <w:bookmarkEnd w:id="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Factors that Direct and Stimulate the Differentiation Process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The proprietary and licensed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allow us to direct and stimulate the differentiation process of hPSCs. As an example, for hESCs, the epiblast is the first stage in differentiation. One biological factor that controls the first fate decision of the epiblast is the relative concentrations of serum growth factors and activin, a protein involved in early differentiation and many cell fate decisions. Substituting explicit amounts of defined growth factors in place of ill-defined animal serum, and adding the optimal amount of activin is an important step in inducing the reproducible development of functional cells and, in our view, is essential for the development of a robust, efficient, and reproducible model of human cellular differentiation suitable for drug rescue. The use of activin in these applications is core to many of the claims in the patent applications underlying our licensed hPSC technology. Replacing activin with continuous exposure to ill-defined and variable animal serum results in an inefficient and variable differentiation of the human heart, liver, blood and cells of other organs. See “Intellectual Property – Icahn School of Medicine at Mount Sinai Exclusive Licenses.”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activin, Dr. Keller’s studies have identified a number of other growth and developmental factors that play important roles in the differentiation of hESCs. Some of the patents and patent applications underlying our licensed hPSC technology are directed to the use of a variety of specific growth factors that increase the efficiency (yield) and reproducibility of the hPSC differentiation process. We have exclusive rights to certain patents and patent applications with claims relating to growth factor concentrations for hESC differentiation that we believe are core and essential for drug rescue and development. See “Intellectual Property – Icahn School of Medicine at Mount Sinai Exclusive Licenses” and “National Jewish Health Exclusive Licenses.”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Developmental Genes That Direct and Stimulate the Stem Cell Differentiation Process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For the purpose of creating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hESCs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Cell Purification Approaches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proprietary protocols we have licensed and developed for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certain type of functionally mature cell. These proprietary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cardiomyocytes. Due to their functionality and purity, we believe these cell cultures are ideal for drug rescue.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3D “Micro-Organ” Culture Systems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addition to standard two-dimensional (</w:t>
      </w:r>
      <w:r>
        <w:rPr>
          <w:rFonts w:ascii="Arial" w:cs="Arial" w:eastAsia="Arial" w:hAnsi="Arial"/>
          <w:sz w:val="12"/>
          <w:szCs w:val="12"/>
          <w:i w:val="1"/>
          <w:iCs w:val="1"/>
          <w:color w:val="auto"/>
        </w:rPr>
        <w:t>2D</w:t>
      </w:r>
      <w:r>
        <w:rPr>
          <w:rFonts w:ascii="Arial" w:cs="Arial" w:eastAsia="Arial" w:hAnsi="Arial"/>
          <w:sz w:val="12"/>
          <w:szCs w:val="12"/>
          <w:color w:val="auto"/>
        </w:rPr>
        <w:t xml:space="preserve">) cultures which work well for some cell types and cellular assays, the proprietary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enable us to grow large numbers of normal, non-transformed, human cells to produce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3D “micro-organ” culture systems. For example, for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we grow large numbers of normal, non-transformed, mature human heart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 w:name="page10"/>
    <w:bookmarkEnd w:id="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Medicinal Chemistry</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are core components of our drug rescue business model. Working with our strategic contract medicinal chemistry partner, Synterys, Inc., we are focused on using our stem cell biology to generate a pipeline of effective and safe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of once-promising company drug candidates in a more efficient and cost-effective manner than the processes currently used for drug development.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CardioSafe 3D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limitations of current preclinical drug testing systems used by pharmaceutical companies contribute to the high failure rate of drug candidates. Unexpected cardiotoxicity is one of the top two major safety-related reasons for failure of both drugs and drug candidates. Incorporating human pluripotent stem cell-derived cardiomyocyte (hPSC-CM) assays early in preclinical development offers the potential to improve clinical predictability, decrease rescue and development costs, and avoid adverse patient effects, late-stage clinical termination, and product recall from the market.</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With our proprietary human pluripotent stem cell technology, we can generate fully-functional hPSC-CMs at a high level of purity (&gt;95%), without genetic modification or antibiotic selection. This is important because genetic modification and antibiotic selection can distort the ratios of cardiac cell types and have a direct impact on the ultimate results and clinical predictivity of the assay. In addition to expressing all of the key ion channels of the human heart (calcium, potassium and sodium) and various cardiomyocytic markers of the human heart, our hPSC-CMs function reliably in all cardiac toxicity assays relevant to cardiac drug effects developed and tested to date.</w:t>
      </w:r>
    </w:p>
    <w:p>
      <w:pPr>
        <w:spacing w:after="0" w:line="12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Utilizing fully functional hPSC-CMs that underlie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have validated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to screen for both cardiomyopathy (or direct cardiomyocyte cytotoxicity) and arrhythmogenesis (or development of irregular beating patterns).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sensitive, stable, reproducible and capable of generating data enabling a more accurate prediction of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and other new drug candidates than is possible with existing preclinical testing systems.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have developed and validated two functional components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screening system to assess multiple different categories of cardiac toxicities. The first consists of a suite of five fluorescence or luminescence based high-throughput hPSC-CM assays. 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assays measure drug-induced cardiomyopathy, including the following:</w:t>
      </w:r>
    </w:p>
    <w:p>
      <w:pPr>
        <w:spacing w:after="0" w:line="133" w:lineRule="exact"/>
        <w:rPr>
          <w:sz w:val="20"/>
          <w:szCs w:val="20"/>
          <w:color w:val="auto"/>
        </w:rPr>
      </w:pPr>
    </w:p>
    <w:p>
      <w:pPr>
        <w:ind w:left="960" w:hanging="145"/>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cell viability;</w:t>
      </w:r>
    </w:p>
    <w:p>
      <w:pPr>
        <w:spacing w:after="0" w:line="14" w:lineRule="exact"/>
        <w:rPr>
          <w:rFonts w:ascii="Arial" w:cs="Arial" w:eastAsia="Arial" w:hAnsi="Arial"/>
          <w:sz w:val="12"/>
          <w:szCs w:val="12"/>
          <w:color w:val="auto"/>
        </w:rPr>
      </w:pPr>
    </w:p>
    <w:p>
      <w:pPr>
        <w:ind w:left="960" w:hanging="145"/>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apoptosis;</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mitochondrial membrane depolarization;</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oxidative stress; and</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color w:val="auto"/>
        </w:rPr>
        <w:t>energy metabolism disruption.</w:t>
      </w:r>
    </w:p>
    <w:p>
      <w:pPr>
        <w:spacing w:after="0" w:line="15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biological assays were correlated to reported clinical results of reference compounds known to be cardiotoxic in humans versus compounds known to be safe in humans. These reference compounds were representative of eight different drug classes, including:</w:t>
      </w:r>
    </w:p>
    <w:p>
      <w:pPr>
        <w:spacing w:after="0" w:line="133" w:lineRule="exact"/>
        <w:rPr>
          <w:sz w:val="20"/>
          <w:szCs w:val="20"/>
          <w:color w:val="auto"/>
        </w:rPr>
      </w:pPr>
    </w:p>
    <w:p>
      <w:pPr>
        <w:ind w:left="960" w:hanging="145"/>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Ion channel blockers: amiodarone, nifedipine;</w:t>
      </w:r>
    </w:p>
    <w:p>
      <w:pPr>
        <w:spacing w:after="0" w:line="14" w:lineRule="exact"/>
        <w:rPr>
          <w:rFonts w:ascii="Arial" w:cs="Arial" w:eastAsia="Arial" w:hAnsi="Arial"/>
          <w:sz w:val="12"/>
          <w:szCs w:val="12"/>
          <w:color w:val="auto"/>
        </w:rPr>
      </w:pPr>
    </w:p>
    <w:p>
      <w:pPr>
        <w:ind w:left="960" w:hanging="145"/>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hERG trafficking blockers: pentamidine, amoxapine;</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α-1 adrenoreceptors: doxazosin;</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Protein and DNA synthesis inhibitors: emetine;</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DNA intercalating agents: doxorubicin;</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Antibiotics: ampicillin, cefazolin;</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NSAID: aspirin; and</w:t>
      </w:r>
    </w:p>
    <w:p>
      <w:pPr>
        <w:spacing w:after="0" w:line="6" w:lineRule="exact"/>
        <w:rPr>
          <w:rFonts w:ascii="Arial" w:cs="Arial" w:eastAsia="Arial" w:hAnsi="Arial"/>
          <w:sz w:val="12"/>
          <w:szCs w:val="12"/>
          <w:color w:val="auto"/>
        </w:rPr>
      </w:pPr>
    </w:p>
    <w:p>
      <w:pPr>
        <w:ind w:left="960" w:hanging="145"/>
        <w:spacing w:after="0"/>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color w:val="auto"/>
        </w:rPr>
        <w:t>Kinase inhibitors: staurosporine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 w:name="page11"/>
    <w:bookmarkEnd w:id="1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This suite of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assays provided measurement of cardiac drug effects with high sensitivity that are consistent with the expected cardiac responses to each of these compounds. Based on our results, we believe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provide valuable and more comprehensive bio-analytical tools for both assessing the effects of pharmaceutical compounds on cardiac cytotoxicity and for elucidating the specific mechanisms of cardiac toxicity,</w:t>
      </w:r>
      <w:r>
        <w:rPr>
          <w:rFonts w:ascii="Arial" w:cs="Arial" w:eastAsia="Arial" w:hAnsi="Arial"/>
          <w:sz w:val="12"/>
          <w:szCs w:val="12"/>
          <w:i w:val="1"/>
          <w:iCs w:val="1"/>
          <w:color w:val="auto"/>
        </w:rPr>
        <w:t xml:space="preserve"> </w:t>
      </w:r>
      <w:r>
        <w:rPr>
          <w:rFonts w:ascii="Arial" w:cs="Arial" w:eastAsia="Arial" w:hAnsi="Arial"/>
          <w:sz w:val="12"/>
          <w:szCs w:val="12"/>
          <w:color w:val="auto"/>
        </w:rPr>
        <w:t>thereby laying a solid foundation for our drug rescue programs.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other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 sensitive and reliable medium throughput multi-electrode array (</w:t>
      </w:r>
      <w:r>
        <w:rPr>
          <w:rFonts w:ascii="Arial" w:cs="Arial" w:eastAsia="Arial" w:hAnsi="Arial"/>
          <w:sz w:val="12"/>
          <w:szCs w:val="12"/>
          <w:i w:val="1"/>
          <w:iCs w:val="1"/>
          <w:color w:val="auto"/>
        </w:rPr>
        <w:t>MEA</w:t>
      </w:r>
      <w:r>
        <w:rPr>
          <w:rFonts w:ascii="Arial" w:cs="Arial" w:eastAsia="Arial" w:hAnsi="Arial"/>
          <w:sz w:val="12"/>
          <w:szCs w:val="12"/>
          <w:color w:val="auto"/>
        </w:rPr>
        <w:t xml:space="preserve">) assay developed to predict drug-induced alterations of electrophysiological function of the human heart. We have validated (correlated with reported clinical results) this key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with twelve drugs, each with known toxic or non-toxic cardiac effects in humans. These twelve validation compounds are as follows:</w:t>
      </w:r>
    </w:p>
    <w:p>
      <w:pPr>
        <w:spacing w:after="0" w:line="141" w:lineRule="exact"/>
        <w:rPr>
          <w:sz w:val="20"/>
          <w:szCs w:val="20"/>
          <w:color w:val="auto"/>
        </w:rPr>
      </w:pPr>
    </w:p>
    <w:p>
      <w:pPr>
        <w:ind w:left="860" w:hanging="219"/>
        <w:spacing w:after="0"/>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One FDA-approved drug (aspirin) without cardiac liability to serve as a negative control;</w:t>
      </w:r>
    </w:p>
    <w:p>
      <w:pPr>
        <w:spacing w:after="0" w:line="14" w:lineRule="exact"/>
        <w:rPr>
          <w:rFonts w:ascii="Arial" w:cs="Arial" w:eastAsia="Arial" w:hAnsi="Arial"/>
          <w:sz w:val="12"/>
          <w:szCs w:val="12"/>
          <w:color w:val="auto"/>
        </w:rPr>
      </w:pPr>
    </w:p>
    <w:p>
      <w:pPr>
        <w:ind w:left="860" w:hanging="219"/>
        <w:spacing w:after="0"/>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Five FDA-approved drugs (astemizole, sotalol, cisapride, terfenadine and sertindole) that were withdrawn from the market due to heart toxicity concerns;</w:t>
      </w:r>
    </w:p>
    <w:p>
      <w:pPr>
        <w:spacing w:after="0" w:line="6" w:lineRule="exact"/>
        <w:rPr>
          <w:rFonts w:ascii="Arial" w:cs="Arial" w:eastAsia="Arial" w:hAnsi="Arial"/>
          <w:sz w:val="12"/>
          <w:szCs w:val="12"/>
          <w:color w:val="auto"/>
        </w:rPr>
      </w:pPr>
    </w:p>
    <w:p>
      <w:pPr>
        <w:ind w:left="740" w:right="520" w:hanging="99"/>
        <w:spacing w:after="0" w:line="250"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Five FDA-approved drugs (fexofenadine, nifedipine, verapamil, lidocaine and propranolol) that have certain measurable clinical non-toxic cardiac effects. Note: fexofenadine is a non-cardiotoxic drug variant of terfenadine; and</w:t>
      </w:r>
    </w:p>
    <w:p>
      <w:pPr>
        <w:ind w:left="860" w:hanging="219"/>
        <w:spacing w:after="0"/>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One research compound (E-4031) failed in Phase I human clinical study before being discontinued due to heart toxicity concerns.</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11"/>
          <w:szCs w:val="11"/>
          <w:color w:val="auto"/>
        </w:rPr>
        <w:t xml:space="preserve">We have validated that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MEA assay was reproducible and consistent with the known human cardiac effects of all the twelve compounds studied, based on the mechanisms of action and dosage of the compounds. For instance, by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we were able to distinguish between the cardiac effects of terfenadine (Seldane</w:t>
      </w:r>
      <w:r>
        <w:rPr>
          <w:rFonts w:ascii="Arial" w:cs="Arial" w:eastAsia="Arial" w:hAnsi="Arial"/>
          <w:sz w:val="15"/>
          <w:szCs w:val="15"/>
          <w:color w:val="auto"/>
          <w:vertAlign w:val="superscript"/>
        </w:rPr>
        <w:t>TM</w:t>
      </w:r>
      <w:r>
        <w:rPr>
          <w:rFonts w:ascii="Arial" w:cs="Arial" w:eastAsia="Arial" w:hAnsi="Arial"/>
          <w:sz w:val="11"/>
          <w:szCs w:val="11"/>
          <w:color w:val="auto"/>
        </w:rPr>
        <w:t>), withdrawn by the FDA due to cardiotoxicity, and the cardiac effects of the close structurally related fexofenadine (Allegra</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the non-cardiotoxic chemical variant of terfenadine, which remains on the market. Our validation data suggest that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provides valuable and more comprehensive bio-analytical tools for preclinical cardiac safety screening of drug candidates, which we believe will contribute to the efficient identification of novel, safer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 our drug rescue programs.</w:t>
      </w:r>
    </w:p>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To further evaluate the potential of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predict cardiac toxicity of drug candidates, including </w:t>
      </w:r>
      <w:r>
        <w:rPr>
          <w:rFonts w:ascii="Arial" w:cs="Arial" w:eastAsia="Arial" w:hAnsi="Arial"/>
          <w:sz w:val="11"/>
          <w:szCs w:val="11"/>
          <w:i w:val="1"/>
          <w:iCs w:val="1"/>
          <w:color w:val="auto"/>
        </w:rPr>
        <w:t>Drug Rescue Variants</w:t>
      </w:r>
      <w:r>
        <w:rPr>
          <w:rFonts w:ascii="Arial" w:cs="Arial" w:eastAsia="Arial" w:hAnsi="Arial"/>
          <w:sz w:val="11"/>
          <w:szCs w:val="11"/>
          <w:color w:val="auto"/>
        </w:rPr>
        <w:t>, we have assessed cardiac effects induced by small molecule kinase inhibitors (</w:t>
      </w:r>
      <w:r>
        <w:rPr>
          <w:rFonts w:ascii="Arial" w:cs="Arial" w:eastAsia="Arial" w:hAnsi="Arial"/>
          <w:sz w:val="11"/>
          <w:szCs w:val="11"/>
          <w:i w:val="1"/>
          <w:iCs w:val="1"/>
          <w:color w:val="auto"/>
        </w:rPr>
        <w:t>KIs</w:t>
      </w:r>
      <w:r>
        <w:rPr>
          <w:rFonts w:ascii="Arial" w:cs="Arial" w:eastAsia="Arial" w:hAnsi="Arial"/>
          <w:sz w:val="11"/>
          <w:szCs w:val="11"/>
          <w:color w:val="auto"/>
        </w:rPr>
        <w:t>), which belong to a new category of drugs that have revolutionized cancer therapy due to decreased systemic toxicity and an increased tumor cell specific effect compared to classic cancer drugs. Since 1998, the FDA has approved approximately thirty small molecule KIs for cancer therapy. However, many KIs have been implicated in causing serious adverse cardiac events in patients which were not identified during preclinical drug development.</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In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detected cardiac toxicities of well-known anti-cancer KIs, all of which were cardiac toxicities not previously identified during the pre-FDA approval development process for each compound studied. This important validation set of compounds is as follows:</w:t>
      </w:r>
    </w:p>
    <w:p>
      <w:pPr>
        <w:spacing w:after="0" w:line="133" w:lineRule="exact"/>
        <w:rPr>
          <w:sz w:val="20"/>
          <w:szCs w:val="20"/>
          <w:color w:val="auto"/>
        </w:rPr>
      </w:pPr>
    </w:p>
    <w:p>
      <w:pPr>
        <w:ind w:left="1260" w:hanging="148"/>
        <w:spacing w:after="0"/>
        <w:tabs>
          <w:tab w:leader="none" w:pos="1260" w:val="left"/>
        </w:tabs>
        <w:numPr>
          <w:ilvl w:val="1"/>
          <w:numId w:val="8"/>
        </w:numPr>
        <w:rPr>
          <w:rFonts w:ascii="Arial" w:cs="Arial" w:eastAsia="Arial" w:hAnsi="Arial"/>
          <w:sz w:val="12"/>
          <w:szCs w:val="12"/>
          <w:color w:val="auto"/>
        </w:rPr>
      </w:pPr>
      <w:r>
        <w:rPr>
          <w:rFonts w:ascii="Arial" w:cs="Arial" w:eastAsia="Arial" w:hAnsi="Arial"/>
          <w:sz w:val="12"/>
          <w:szCs w:val="12"/>
          <w:color w:val="auto"/>
        </w:rPr>
        <w:t>Inhibitors to growth factor receptors: sunitinib, axitinib, imatinib, dasatinib, sorafenib, erlotinib, Lapatinib, tyrphostin and AG1478;</w:t>
      </w:r>
    </w:p>
    <w:p>
      <w:pPr>
        <w:spacing w:after="0" w:line="14" w:lineRule="exact"/>
        <w:rPr>
          <w:rFonts w:ascii="Arial" w:cs="Arial" w:eastAsia="Arial" w:hAnsi="Arial"/>
          <w:sz w:val="12"/>
          <w:szCs w:val="12"/>
          <w:color w:val="auto"/>
        </w:rPr>
      </w:pPr>
    </w:p>
    <w:p>
      <w:pPr>
        <w:ind w:left="1260" w:hanging="148"/>
        <w:spacing w:after="0"/>
        <w:tabs>
          <w:tab w:leader="none" w:pos="1260" w:val="left"/>
        </w:tabs>
        <w:numPr>
          <w:ilvl w:val="1"/>
          <w:numId w:val="8"/>
        </w:numPr>
        <w:rPr>
          <w:rFonts w:ascii="Arial" w:cs="Arial" w:eastAsia="Arial" w:hAnsi="Arial"/>
          <w:sz w:val="12"/>
          <w:szCs w:val="12"/>
          <w:color w:val="auto"/>
        </w:rPr>
      </w:pPr>
      <w:r>
        <w:rPr>
          <w:rFonts w:ascii="Arial" w:cs="Arial" w:eastAsia="Arial" w:hAnsi="Arial"/>
          <w:sz w:val="12"/>
          <w:szCs w:val="12"/>
          <w:color w:val="auto"/>
        </w:rPr>
        <w:t>Inhibitors to the mTOR pathway: everolimus, temsirolimus;</w:t>
      </w:r>
    </w:p>
    <w:p>
      <w:pPr>
        <w:spacing w:after="0" w:line="6" w:lineRule="exact"/>
        <w:rPr>
          <w:rFonts w:ascii="Arial" w:cs="Arial" w:eastAsia="Arial" w:hAnsi="Arial"/>
          <w:sz w:val="12"/>
          <w:szCs w:val="12"/>
          <w:color w:val="auto"/>
        </w:rPr>
      </w:pPr>
    </w:p>
    <w:p>
      <w:pPr>
        <w:ind w:left="1240" w:hanging="146"/>
        <w:spacing w:after="0"/>
        <w:tabs>
          <w:tab w:leader="none" w:pos="12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Inhibitors to cell cycle regulators: tozasertib, barasertib, alvocidib;</w:t>
      </w:r>
    </w:p>
    <w:p>
      <w:pPr>
        <w:spacing w:after="0" w:line="6" w:lineRule="exact"/>
        <w:rPr>
          <w:rFonts w:ascii="Arial" w:cs="Arial" w:eastAsia="Arial" w:hAnsi="Arial"/>
          <w:sz w:val="12"/>
          <w:szCs w:val="12"/>
          <w:color w:val="auto"/>
        </w:rPr>
      </w:pPr>
    </w:p>
    <w:p>
      <w:pPr>
        <w:ind w:left="1240" w:hanging="146"/>
        <w:spacing w:after="0"/>
        <w:tabs>
          <w:tab w:leader="none" w:pos="12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Inhibitors to the PI3K pathway : perifosine, LY294002, XL765;</w:t>
      </w:r>
    </w:p>
    <w:p>
      <w:pPr>
        <w:spacing w:after="0" w:line="6" w:lineRule="exact"/>
        <w:rPr>
          <w:rFonts w:ascii="Arial" w:cs="Arial" w:eastAsia="Arial" w:hAnsi="Arial"/>
          <w:sz w:val="12"/>
          <w:szCs w:val="12"/>
          <w:color w:val="auto"/>
        </w:rPr>
      </w:pPr>
    </w:p>
    <w:p>
      <w:pPr>
        <w:ind w:left="1240" w:hanging="146"/>
        <w:spacing w:after="0"/>
        <w:tabs>
          <w:tab w:leader="none" w:pos="12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Inhibitors to the MEK pathway: PD325901, AZD6264; and</w:t>
      </w:r>
    </w:p>
    <w:p>
      <w:pPr>
        <w:spacing w:after="0" w:line="6" w:lineRule="exact"/>
        <w:rPr>
          <w:rFonts w:ascii="Arial" w:cs="Arial" w:eastAsia="Arial" w:hAnsi="Arial"/>
          <w:sz w:val="12"/>
          <w:szCs w:val="12"/>
          <w:color w:val="auto"/>
        </w:rPr>
      </w:pPr>
    </w:p>
    <w:p>
      <w:pPr>
        <w:ind w:left="1240" w:hanging="146"/>
        <w:spacing w:after="0"/>
        <w:tabs>
          <w:tab w:leader="none" w:pos="12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Inhibitors to the JAK and other pathways: lestaurtinib.</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validation data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successfully detected cardiotoxicity induced by all of the representative compounds, concordant with now-reported adverse cardiac events from each of the different KI categories.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 system is able to distinguish between cardiotoxic and safe compounds, and even between those which inhibit the same kinase pathways. For instance, both sunitinib and axitinib are the inhibitors to VEGFR, PDGFR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and c-Kit pathways, and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assays indicate that sunitinib is cardiotoxic and axitinib is safe, outcomes which are consistent with the reported clinical outcomes.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 w:name="page12"/>
    <w:bookmarkEnd w:id="1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 xml:space="preserve">Furthermore, the cardiotoxicity profile of each KI studied provided clues as to the potential mechanism(s) causing the cardiac cytotoxicity of each compound. For example, cardiac cytotoxicity induced by perifosine showed apoptotic responses at lower concentrations, while imatinib was most active in the oxidative stress assays. In addition, no cardiac toxicity or alteration in electrophysiology was detected with drugs that do not have a cardiac liability, emphasizing the specificity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Having information on the pathways associated with the toxic effects of compounds provides important clues for novel medicinal chemistry approaches and compound modifications for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drug rescue programs.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enables the sensitive measurement of drug effects with results that are consistent with reported clinical responses to the compounds. For example, our data indicated that sunitinib and dasatinib caused QT prolongation, arrhythmia, and/or altered contraction rates in hPSC-CMs, which are consistent with clinical observations.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data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improve clinical predictivity as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preclinical cardiac safety assay, helping not only to identify potential cardiac toxicities, but also to discover important potential mechanisms of cardiotoxicity.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may be effectively used to identify novel,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 reduced heart toxicity. By providing more accurate, comprehensive and timely indications of alterations in electrophysiological activity as well as direct heart toxicity of drug candidates than animal models or cellular assay systems currently used by pharmaceutical companies,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support the central premise of our drug rescue business model: by using our hPSC-derived human heart and liver cell bioassay systems at the front end of the drug development process, we have the opportunity to leverage substantial prior investment by pharmaceutical companies and others in drug discovery and efficacy optimization of once-promising drug candidates that have been terminated prior to FDA approval due to unexpected heart or liver toxicity concerns.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LiverSafe 3D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LiverSafe </w:t>
      </w:r>
      <w:r>
        <w:rPr>
          <w:rFonts w:ascii="Arial" w:cs="Arial" w:eastAsia="Arial" w:hAnsi="Arial"/>
          <w:sz w:val="12"/>
          <w:szCs w:val="12"/>
          <w:color w:val="auto"/>
        </w:rPr>
        <w:t>3D is a powerful new</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hepatotoxicity assay system that goes a step beyond the current commercially available gold standard primary (human cadaver) hepatocyte assays. By combining the flexibility of an</w:t>
      </w:r>
      <w:r>
        <w:rPr>
          <w:rFonts w:ascii="Arial" w:cs="Arial" w:eastAsia="Arial" w:hAnsi="Arial"/>
          <w:sz w:val="12"/>
          <w:szCs w:val="12"/>
          <w:i w:val="1"/>
          <w:iCs w:val="1"/>
          <w:color w:val="auto"/>
        </w:rPr>
        <w:t xml:space="preserve"> in vitro</w:t>
      </w:r>
      <w:r>
        <w:rPr>
          <w:rFonts w:ascii="Arial" w:cs="Arial" w:eastAsia="Arial" w:hAnsi="Arial"/>
          <w:sz w:val="12"/>
          <w:szCs w:val="12"/>
          <w:color w:val="auto"/>
        </w:rPr>
        <w:t>, non-transformed human cell-based assay system with the renewable, reproducible sourcing of human pluripotent stem cells (</w:t>
      </w:r>
      <w:r>
        <w:rPr>
          <w:rFonts w:ascii="Arial" w:cs="Arial" w:eastAsia="Arial" w:hAnsi="Arial"/>
          <w:sz w:val="12"/>
          <w:szCs w:val="12"/>
          <w:i w:val="1"/>
          <w:iCs w:val="1"/>
          <w:color w:val="auto"/>
        </w:rPr>
        <w:t>hPSCs</w:t>
      </w:r>
      <w:r>
        <w:rPr>
          <w:rFonts w:ascii="Arial" w:cs="Arial" w:eastAsia="Arial" w:hAnsi="Arial"/>
          <w:sz w:val="12"/>
          <w:szCs w:val="12"/>
          <w:color w:val="auto"/>
        </w:rPr>
        <w:t xml:space="preserve">), the functional hPSC-derived hepatocytes we produce for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can be maintained in a healthy state for much longer than the current gold standard hepatocyte assays, greatly enhancing the reliability of hepatotoxicity testing for our drug rescue programs.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Until now, reliable human cell-based hepatotoxicity screening platforms have been difficult to establish for high throughput drug development with currently available primary hepatocyte systems. Primary hepatocytes have a short lifespan in culture, during which time they rapidly lose their drug metabolizing capabilities and develop signs of cellular stress. Furthermore, these commercially available primary hepatocytes have significant batch-to-batch genetic variation that alters the function of drug metabolism genes and their critical enzyme activity levels due to the use of hepatocytes from different sources. Additionally, primary hepatocytes are derived from individuals with significant differences in health status, with unknown effects on hepatocyte function. Consequently, it is difficult to maintain quantitative reproducibility using currently available primary hepatocyte assays, and this leads to limitations in the quality and clinical predictiviy of the results and conclusions drawn from these assays.</w:t>
      </w:r>
    </w:p>
    <w:p>
      <w:pPr>
        <w:spacing w:after="0" w:line="14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The foregoing limitations have led many in the field to believe that hPSC-derived hepatocyte assays offer a better alternative to the current gold standard primary hepatocyte assays. This belief is mainly due to the fact that hepatocytes derived from the same hPSC line are genetically identical, normal, non-transformed (that is, not tumor-derived) human cells derived from hPSCs. Importantly, hPSC-derived hepatocytes can be indefinitely propagated and frozen down into large, uniform, quality-controlled cell banks.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drug metabolizing enzymes, such as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is a critical liver enzyme responsible for metabolizing approximately 50% of the FDA-approved drugs currently available on the market. It is an important and well-accepted functional gene found almost exclusively in mature, adult hepatocytes.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is the key functional marker that we have used to optimize our hepatocyte differentiation cultures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believe our optimized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enables us to generate more mature hPSC-derived hepatocytes than are currently available from others in the field and that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provides the unique ability to specifically select for mature </w:t>
      </w:r>
      <w:r>
        <w:rPr>
          <w:rFonts w:ascii="Arial" w:cs="Arial" w:eastAsia="Arial" w:hAnsi="Arial"/>
          <w:sz w:val="11"/>
          <w:szCs w:val="11"/>
          <w:i w:val="1"/>
          <w:iCs w:val="1"/>
          <w:color w:val="auto"/>
        </w:rPr>
        <w:t>CYP3A4</w:t>
      </w:r>
      <w:r>
        <w:rPr>
          <w:rFonts w:ascii="Arial" w:cs="Arial" w:eastAsia="Arial" w:hAnsi="Arial"/>
          <w:sz w:val="11"/>
          <w:szCs w:val="11"/>
          <w:color w:val="auto"/>
        </w:rPr>
        <w:t>-expressing human hepatocytes.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 w:name="page13"/>
    <w:bookmarkEnd w:id="1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We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using hPSC differentiation protocols adapted from the laboratory of our co-founder, Dr. Gordon Keller, and our proprietary hPSC cell line, 3A4BLA. This 3A4BLA cell line is a human embryonic stem cell (</w:t>
      </w:r>
      <w:r>
        <w:rPr>
          <w:rFonts w:ascii="Arial" w:cs="Arial" w:eastAsia="Arial" w:hAnsi="Arial"/>
          <w:sz w:val="11"/>
          <w:szCs w:val="11"/>
          <w:i w:val="1"/>
          <w:iCs w:val="1"/>
          <w:color w:val="auto"/>
        </w:rPr>
        <w:t>hESC</w:t>
      </w:r>
      <w:r>
        <w:rPr>
          <w:rFonts w:ascii="Arial" w:cs="Arial" w:eastAsia="Arial" w:hAnsi="Arial"/>
          <w:sz w:val="11"/>
          <w:szCs w:val="11"/>
          <w:color w:val="auto"/>
        </w:rPr>
        <w:t xml:space="preserve">) line that contains a humanized BLA functional “reporter” that targets the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gene in a manner resulting in the expression of BLA only in cells that also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This allows us to visualize by fluorescence cells that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based on expression of the BLA reporter. By producing a cell line capable of tracking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-expressing cells by cell sorting. However, even in the absence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contain greater than 80% ALBUMIN-positive cells and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mRNA expression reaching levels nearly 60-fold higher than side-by-side 38-week human fetal liver controls.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hepatocytes secrete urea and ALBUMIN at levels that exceed commercially-available primary hepatocytes, and they also store both glycogen and lipids, characteristics that are required of functional, mature adult hepatocytes. Importantly, expression of fetal liver markers decreases over the time course of differentiation of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hepatocytes. This decreased expression is expected and essential during maturation of hepatocytes, but it has rarely been reported by others in publications describing their hPSC-derived hepatocytes. With the addition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can be highly enriched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-BLA-positive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message in the positive cell population reaching greater than 30% that of an adult human liver pool control. To our knowledge, this level of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exceeds levels reported by others in the literature.</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most important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relate to “Phase I” and “Phase II” drug metabolism, which are functional characteristics of mature adult hepatocytes. We have validated these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by demonstrating its ability to metabolize known substrates, such as testosterone, and its ability to respond properly to known inducers of Phase I-mediated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metabolism, such as rifampicin. Moreover,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hepatocytes demonstrate Phase II-mediated testosterone metabolism levels that exceed commercially 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and to apply specific hepatotoxic screening assays, such as ALBUMIN and urea secretion assays.</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We believe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is a powerful, genetically identical, renewable, and reproducible hepatotoxicity assay system for drug rescue and development that provides great advantages over currently available primary hepatocyte assays. We have demonstrated that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even in the absence of cell sorting, secrete adult hepatocyte levels of ALBUMIN and urea and contain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historically difficult to achieve in hPSC differentiation cultures. The proprietary 3A4BLA cell line component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allows us the unique opportunity to enrich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resulting in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reaching greater than 30% of an adult human liver pool, and to the best of our knowledge, a level higher than described in current literature. Most importantly for drug rescue and development purposes, our hPSC-derived hepatocytes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metabolize known substrates and respond to known inducers in a manner expected only of mature adult hepatocytes, paving the way for our final validation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as a novel hepatotoxicity assay system that can improve clinical predictivity, decrease the cost of drug rescue and development, reduce use of live animal studies, and improve drug safety.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successfully completed Phase I development of AV-101, also known as “L-4-chlorokynurenine” or “4-Cl-KYN”. AV-101 is a prodrug candidate for the treatment of neuropathic pain, epilepsy and depression. Our AV-101 IND application, on file with the FDA, covers our Phase I clinical development for neuropathic pain. However, we believe the safety studies done in Phase I development of AV-101 will support development of AV-101 for other indications, including epilepsy, depression and potentially other neurological diseases, such as Parkinson’s disease.</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NIH awarded us $8.8 million of grant funding for our preclinical and Phase 1 clinical development of AV-101. During 2014, we plan to seek strategic partnering arrangements for further development and commercialization of AV-101 for neuropathic pain, epilepsy, depression and potentially neurodegenerative diseases related to aging.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 w:name="page14"/>
    <w:bookmarkEnd w:id="1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AV-101 is an orally-available, non-sedating, pro-drug that is converted in the brain into an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which regulates the N-methyl-D-aspartate (</w:t>
      </w:r>
      <w:r>
        <w:rPr>
          <w:rFonts w:ascii="Arial" w:cs="Arial" w:eastAsia="Arial" w:hAnsi="Arial"/>
          <w:sz w:val="11"/>
          <w:szCs w:val="11"/>
          <w:i w:val="1"/>
          <w:iCs w:val="1"/>
          <w:color w:val="auto"/>
        </w:rPr>
        <w:t>NMDA</w:t>
      </w:r>
      <w:r>
        <w:rPr>
          <w:rFonts w:ascii="Arial" w:cs="Arial" w:eastAsia="Arial" w:hAnsi="Arial"/>
          <w:sz w:val="11"/>
          <w:szCs w:val="11"/>
          <w:color w:val="auto"/>
        </w:rPr>
        <w:t>)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1"/>
          <w:szCs w:val="11"/>
          <w:color w:val="auto"/>
        </w:rPr>
        <w:t>The effect of AV-101 on chronic neuropathic pain due to inflammation and nerve damage was assessed in rats by using the Chung nerve ligation model. AV-101 effects were compared to either saline and MK-801, or gabapentin (Neurontin</w:t>
      </w:r>
      <w:r>
        <w:rPr>
          <w:rFonts w:ascii="Arial" w:cs="Arial" w:eastAsia="Arial" w:hAnsi="Arial"/>
          <w:sz w:val="15"/>
          <w:szCs w:val="15"/>
          <w:color w:val="auto"/>
          <w:vertAlign w:val="superscript"/>
        </w:rPr>
        <w:t>TM</w:t>
      </w:r>
      <w:r>
        <w:rPr>
          <w:rFonts w:ascii="Arial" w:cs="Arial" w:eastAsia="Arial" w:hAnsi="Arial"/>
          <w:sz w:val="11"/>
          <w:szCs w:val="11"/>
          <w:color w:val="auto"/>
        </w:rPr>
        <w:t>) as positive controls. Similar to the therapeutic effects seen in the acute formalin and thermal pain models, AV-101 had a positive effect on chronic neuropathic pain in the Chung model that were greater than two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Transactions and Relationships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Strategic collaborations are a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1" w:lineRule="exact"/>
        <w:rPr>
          <w:sz w:val="20"/>
          <w:szCs w:val="20"/>
          <w:color w:val="auto"/>
        </w:rPr>
      </w:pPr>
    </w:p>
    <w:p>
      <w:pPr>
        <w:ind w:left="1300" w:hanging="301"/>
        <w:spacing w:after="0"/>
        <w:tabs>
          <w:tab w:leader="none" w:pos="13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academic research institutions, such as Duke University and UHN, for hPSC technology research and development;</w:t>
      </w:r>
    </w:p>
    <w:p>
      <w:pPr>
        <w:spacing w:after="0" w:line="150" w:lineRule="exact"/>
        <w:rPr>
          <w:rFonts w:ascii="Arial" w:cs="Arial" w:eastAsia="Arial" w:hAnsi="Arial"/>
          <w:sz w:val="12"/>
          <w:szCs w:val="12"/>
          <w:color w:val="auto"/>
        </w:rPr>
      </w:pPr>
    </w:p>
    <w:p>
      <w:pPr>
        <w:ind w:left="1300" w:hanging="301"/>
        <w:spacing w:after="0"/>
        <w:tabs>
          <w:tab w:leader="none" w:pos="13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contract medicinal chemistry companies, such as Synterys, Inc., to analyze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design, produce and analyze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1300" w:hanging="301"/>
        <w:spacing w:after="0"/>
        <w:tabs>
          <w:tab w:leader="none" w:pos="13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contract clinical development and regulatory organizations (</w:t>
      </w:r>
      <w:r>
        <w:rPr>
          <w:rFonts w:ascii="Arial" w:cs="Arial" w:eastAsia="Arial" w:hAnsi="Arial"/>
          <w:sz w:val="12"/>
          <w:szCs w:val="12"/>
          <w:i w:val="1"/>
          <w:iCs w:val="1"/>
          <w:color w:val="auto"/>
        </w:rPr>
        <w:t>CROs</w:t>
      </w:r>
      <w:r>
        <w:rPr>
          <w:rFonts w:ascii="Arial" w:cs="Arial" w:eastAsia="Arial" w:hAnsi="Arial"/>
          <w:sz w:val="12"/>
          <w:szCs w:val="12"/>
          <w:color w:val="auto"/>
        </w:rPr>
        <w:t>), such as Cato Research, Ltd., for regulatory expertise and clinical development support.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McEwen Centre for Regenerative Medicine, University Health Network</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in Ontario, Canada is a major landmark in Canada’s healthcare system. UHN is one of the world’s largest research hospitals, with major research in transplantation, cardiology, neurosciences, oncology, surgical innovation, infectious diseases and genomic medicine. Providing care to the community for more than two centuries, UHN brings together the talent and resources needed to achieve global impact and provide exemplary patient care, research and education.</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McEwen Centre for Regenerative Medicine (</w:t>
      </w:r>
      <w:r>
        <w:rPr>
          <w:rFonts w:ascii="Arial" w:cs="Arial" w:eastAsia="Arial" w:hAnsi="Arial"/>
          <w:sz w:val="12"/>
          <w:szCs w:val="12"/>
          <w:i w:val="1"/>
          <w:iCs w:val="1"/>
          <w:color w:val="auto"/>
        </w:rPr>
        <w:t>McEwen Centre</w:t>
      </w:r>
      <w:r>
        <w:rPr>
          <w:rFonts w:ascii="Arial" w:cs="Arial" w:eastAsia="Arial" w:hAnsi="Arial"/>
          <w:sz w:val="12"/>
          <w:szCs w:val="12"/>
          <w:color w:val="auto"/>
        </w:rPr>
        <w:t>) is a world-renowned center for stem cell biology and regenerative medicine and a world-class stem cell research facility affiliated with UHN. Dr. Gordon Keller, our co-founder and Chairman of our Scientific Advisory Board, is Director of the McEwen Centre. Dr. Keller’s lab is one of the world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 w:name="page15"/>
    <w:bookmarkEnd w:id="1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Research Consortium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joined the Cardiac Safety Research Consortium (</w:t>
      </w:r>
      <w:r>
        <w:rPr>
          <w:rFonts w:ascii="Arial" w:cs="Arial" w:eastAsia="Arial" w:hAnsi="Arial"/>
          <w:sz w:val="12"/>
          <w:szCs w:val="12"/>
          <w:i w:val="1"/>
          <w:iCs w:val="1"/>
          <w:color w:val="auto"/>
        </w:rPr>
        <w:t>CERC</w:t>
      </w:r>
      <w:r>
        <w:rPr>
          <w:rFonts w:ascii="Arial" w:cs="Arial" w:eastAsia="Arial" w:hAnsi="Arial"/>
          <w:sz w:val="12"/>
          <w:szCs w:val="12"/>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Technical Committee of the Health and Environmental Sciences Institute – FDA’s CIPA Initiative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41"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(inward and outward currents), (ii) providing more complete, accurate assessment of proarrhythmic effects on human cardiac electrophysiology, and (iii) focusing on Torsades de Pointes proarrhythmia rather than surrogate QT prolongation alone.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Centre for Commercialization of Regenerative Medicine</w:t>
      </w:r>
    </w:p>
    <w:p>
      <w:pPr>
        <w:spacing w:after="0" w:line="168"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The Toronto-based Centre for Commercialization of Regenerative Medicine (</w:t>
      </w:r>
      <w:r>
        <w:rPr>
          <w:rFonts w:ascii="Arial" w:cs="Arial" w:eastAsia="Arial" w:hAnsi="Arial"/>
          <w:sz w:val="10"/>
          <w:szCs w:val="10"/>
          <w:i w:val="1"/>
          <w:iCs w:val="1"/>
          <w:color w:val="auto"/>
        </w:rPr>
        <w:t>CCRM</w:t>
      </w:r>
      <w:r>
        <w:rPr>
          <w:rFonts w:ascii="Arial" w:cs="Arial" w:eastAsia="Arial" w:hAnsi="Arial"/>
          <w:sz w:val="10"/>
          <w:szCs w:val="10"/>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for Regenerative Medicine offers a solid foundation and unique opportunities for expanding the commercial applications of our </w:t>
      </w:r>
      <w:r>
        <w:rPr>
          <w:rFonts w:ascii="Arial" w:cs="Arial" w:eastAsia="Arial" w:hAnsi="Arial"/>
          <w:sz w:val="12"/>
          <w:szCs w:val="12"/>
          <w:i w:val="1"/>
          <w:iCs w:val="1"/>
          <w:color w:val="auto"/>
        </w:rPr>
        <w:t>Human Clinical Trials in a</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Test Tube </w:t>
      </w:r>
      <w:r>
        <w:rPr>
          <w:rFonts w:ascii="Arial" w:cs="Arial" w:eastAsia="Arial" w:hAnsi="Arial"/>
          <w:sz w:val="12"/>
          <w:szCs w:val="12"/>
          <w:color w:val="auto"/>
        </w:rPr>
        <w:t>platform by building multi-party collaborations with CCRM and members of its Industry Consortium. We believe these collaborations have the potential to transform medicine and accelerate significant advances in human health</w:t>
      </w:r>
      <w:r>
        <w:rPr>
          <w:rFonts w:ascii="Arial" w:cs="Arial" w:eastAsia="Arial" w:hAnsi="Arial"/>
          <w:sz w:val="12"/>
          <w:szCs w:val="12"/>
          <w:i w:val="1"/>
          <w:iCs w:val="1"/>
          <w:color w:val="auto"/>
        </w:rPr>
        <w:t xml:space="preserve"> </w:t>
      </w:r>
      <w:r>
        <w:rPr>
          <w:rFonts w:ascii="Arial" w:cs="Arial" w:eastAsia="Arial" w:hAnsi="Arial"/>
          <w:sz w:val="12"/>
          <w:szCs w:val="12"/>
          <w:color w:val="auto"/>
        </w:rPr>
        <w:t>and wellness that stem cell technologies and regenerative medicine promise.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Duke University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In May 2013, we announced that our scientists together with researchers at Duke University combined our human stem cell-derived heart cells with Duke’s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Achieving this capability represents a potentially significant breakthrough in heart cell-based therapies and in testing new medicines for potential heart toxicity and potential therapeutic benefits impacting heart disease.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are among several key development points from the study:</w:t>
      </w:r>
    </w:p>
    <w:p>
      <w:pPr>
        <w:spacing w:after="0" w:line="168" w:lineRule="exact"/>
        <w:rPr>
          <w:sz w:val="20"/>
          <w:szCs w:val="20"/>
          <w:color w:val="auto"/>
        </w:rPr>
      </w:pPr>
    </w:p>
    <w:p>
      <w:pPr>
        <w:ind w:left="200" w:hanging="115"/>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optimized 3D environment of a cardiac tissue patch yields advanced levels of structural and functional maturation of human cardiomyocytes that produce expected responses to drugs;</w:t>
      </w:r>
    </w:p>
    <w:p>
      <w:pPr>
        <w:spacing w:after="0" w:line="168" w:lineRule="exact"/>
        <w:rPr>
          <w:rFonts w:ascii="Arial" w:cs="Arial" w:eastAsia="Arial" w:hAnsi="Arial"/>
          <w:sz w:val="12"/>
          <w:szCs w:val="12"/>
          <w:color w:val="auto"/>
        </w:rPr>
      </w:pPr>
    </w:p>
    <w:p>
      <w:pPr>
        <w:ind w:left="200" w:hanging="115"/>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Human cardiomyocyte maturation in an optimized 3D patch environment is enhanced relative to that found in industry standard 2D cultures;</w:t>
      </w:r>
    </w:p>
    <w:p>
      <w:pPr>
        <w:spacing w:after="0" w:line="168" w:lineRule="exact"/>
        <w:rPr>
          <w:rFonts w:ascii="Arial" w:cs="Arial" w:eastAsia="Arial" w:hAnsi="Arial"/>
          <w:sz w:val="12"/>
          <w:szCs w:val="12"/>
          <w:color w:val="auto"/>
        </w:rPr>
      </w:pPr>
    </w:p>
    <w:p>
      <w:pPr>
        <w:ind w:left="200" w:hanging="115"/>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No genetic modifications were used to produce, purify, or mature cardiomyocytes, suggesting potential for future therapeutic applications;</w:t>
      </w:r>
    </w:p>
    <w:p>
      <w:pPr>
        <w:spacing w:after="0" w:line="168" w:lineRule="exact"/>
        <w:rPr>
          <w:rFonts w:ascii="Arial" w:cs="Arial" w:eastAsia="Arial" w:hAnsi="Arial"/>
          <w:sz w:val="12"/>
          <w:szCs w:val="12"/>
          <w:color w:val="auto"/>
        </w:rPr>
      </w:pPr>
    </w:p>
    <w:p>
      <w:pPr>
        <w:ind w:left="200" w:hanging="115"/>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2.2-180 fold higher contractile force generation compared to previous studies;</w:t>
      </w:r>
    </w:p>
    <w:p>
      <w:pPr>
        <w:spacing w:after="0" w:line="168" w:lineRule="exact"/>
        <w:rPr>
          <w:rFonts w:ascii="Arial" w:cs="Arial" w:eastAsia="Arial" w:hAnsi="Arial"/>
          <w:sz w:val="12"/>
          <w:szCs w:val="12"/>
          <w:color w:val="auto"/>
        </w:rPr>
      </w:pPr>
    </w:p>
    <w:p>
      <w:pPr>
        <w:ind w:left="200" w:hanging="115"/>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Based on a force per cardiomyocyte metric, cardiac tissue engineering methodology that used VistaGen’s cardiomyocytes exhibited 4-700-fold higher efficiency than previously reported; and</w:t>
      </w:r>
    </w:p>
    <w:p>
      <w:pPr>
        <w:spacing w:after="0" w:line="168" w:lineRule="exact"/>
        <w:rPr>
          <w:rFonts w:ascii="Arial" w:cs="Arial" w:eastAsia="Arial" w:hAnsi="Arial"/>
          <w:sz w:val="12"/>
          <w:szCs w:val="12"/>
          <w:color w:val="auto"/>
        </w:rPr>
      </w:pPr>
    </w:p>
    <w:p>
      <w:pPr>
        <w:ind w:left="200" w:hanging="115"/>
        <w:spacing w:after="0"/>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velocities of electrical signal propagation 5-fold higher compared to previous reports in human engineered cardiac tissues.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and Cato BioVentures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Cato Research</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Cato Research is a contract research and development organization (</w:t>
      </w:r>
      <w:r>
        <w:rPr>
          <w:rFonts w:ascii="Arial" w:cs="Arial" w:eastAsia="Arial" w:hAnsi="Arial"/>
          <w:sz w:val="10"/>
          <w:szCs w:val="10"/>
          <w:i w:val="1"/>
          <w:iCs w:val="1"/>
          <w:color w:val="auto"/>
        </w:rPr>
        <w:t>CRO</w:t>
      </w:r>
      <w:r>
        <w:rPr>
          <w:rFonts w:ascii="Arial" w:cs="Arial" w:eastAsia="Arial" w:hAnsi="Arial"/>
          <w:sz w:val="10"/>
          <w:szCs w:val="10"/>
          <w:color w:val="auto"/>
        </w:rPr>
        <w:t xml:space="preserve">), with international resources dedicated to helping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Should we elect to advance development of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internally rather than license or sell them at an early-stage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Cato BioVentures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Cato BioVentures</w:t>
      </w:r>
      <w:r>
        <w:rPr>
          <w:rFonts w:ascii="Arial" w:cs="Arial" w:eastAsia="Arial" w:hAnsi="Arial"/>
          <w:sz w:val="12"/>
          <w:szCs w:val="12"/>
          <w:color w:val="auto"/>
        </w:rPr>
        <w:t xml:space="preserve">), is the venture capital affiliate of Cato Research. Through strategic CRO service agreements with Cato Research, Cato BioVentures invests in therapeutics and medical devices, as well as platform technologies such as our stem cell technology-based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 w:name="page17"/>
    <w:bookmarkEnd w:id="1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Our Relationship with Cato Research and Cato BioVentures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Cato Research is our primary CRO for development of AV-101. Cato BioVentures is among our largest, long-term institutional investors.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As a result of the access Cato Research has to potential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from its biotechnology and pharmaceutical industry network, as well as Cato BioVentures’ strategic long term equity interest in VistaGen,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internally on our own rather than out-license them to strategic partners.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 National Institutes of Health</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Since our inception in 1998,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xml:space="preserve">) has awarded us $11.3 million in non-dilutive research and development grants, including $2.3 million to support research and development of our </w:t>
      </w:r>
      <w:r>
        <w:rPr>
          <w:rFonts w:ascii="Arial" w:cs="Arial" w:eastAsia="Arial" w:hAnsi="Arial"/>
          <w:sz w:val="12"/>
          <w:szCs w:val="12"/>
          <w:i w:val="1"/>
          <w:iCs w:val="1"/>
          <w:color w:val="auto"/>
        </w:rPr>
        <w:t>Human Clinical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Trials in a Test Tube </w:t>
      </w:r>
      <w:r>
        <w:rPr>
          <w:rFonts w:ascii="Arial" w:cs="Arial" w:eastAsia="Arial" w:hAnsi="Arial"/>
          <w:sz w:val="12"/>
          <w:szCs w:val="12"/>
          <w:color w:val="auto"/>
        </w:rPr>
        <w:t>platform and $8.8 million for nonclinical and Phase 1 clinical development of AV-101, our small molecule drug candidate which has successfully completed Phase 1 clinical development in the U.S. for neuropathic</w:t>
      </w:r>
      <w:r>
        <w:rPr>
          <w:rFonts w:ascii="Arial" w:cs="Arial" w:eastAsia="Arial" w:hAnsi="Arial"/>
          <w:sz w:val="12"/>
          <w:szCs w:val="12"/>
          <w:i w:val="1"/>
          <w:iCs w:val="1"/>
          <w:color w:val="auto"/>
        </w:rPr>
        <w:t xml:space="preserve"> </w:t>
      </w:r>
      <w:r>
        <w:rPr>
          <w:rFonts w:ascii="Arial" w:cs="Arial" w:eastAsia="Arial" w:hAnsi="Arial"/>
          <w:sz w:val="12"/>
          <w:szCs w:val="12"/>
          <w:color w:val="auto"/>
        </w:rPr>
        <w:t>pain and other potential diseases and conditions, including epilepsy and depression.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California Institute for Regenerative Medicine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California Institute for Regenerative Medicine (</w:t>
      </w:r>
      <w:r>
        <w:rPr>
          <w:rFonts w:ascii="Arial" w:cs="Arial" w:eastAsia="Arial" w:hAnsi="Arial"/>
          <w:sz w:val="12"/>
          <w:szCs w:val="12"/>
          <w:i w:val="1"/>
          <w:iCs w:val="1"/>
          <w:color w:val="auto"/>
        </w:rPr>
        <w:t>CIRM</w:t>
      </w:r>
      <w:r>
        <w:rPr>
          <w:rFonts w:ascii="Arial" w:cs="Arial" w:eastAsia="Arial" w:hAnsi="Arial"/>
          <w:sz w:val="12"/>
          <w:szCs w:val="12"/>
          <w:color w:val="auto"/>
        </w:rPr>
        <w:t>) funds stem cell research at academic research institutions and companies throughout California. CIRM was established in 2004 with the passage of Stem Cell Initiative (Proposition 71)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stem cell-derived human liver cells. This funded research and development focused on the improvement of techniques and the production of engineered human ES Cell lines used to develop mature functional human liver cells as a biological system for testing drugs.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Celsis In Vitro Technologies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In March 2013, we entered into a strategic collaboration with Celsis In Vitro Technologies (</w:t>
      </w:r>
      <w:r>
        <w:rPr>
          <w:rFonts w:ascii="Arial" w:cs="Arial" w:eastAsia="Arial" w:hAnsi="Arial"/>
          <w:sz w:val="11"/>
          <w:szCs w:val="11"/>
          <w:i w:val="1"/>
          <w:iCs w:val="1"/>
          <w:color w:val="auto"/>
        </w:rPr>
        <w:t>Celsis IVT</w:t>
      </w:r>
      <w:r>
        <w:rPr>
          <w:rFonts w:ascii="Arial" w:cs="Arial" w:eastAsia="Arial" w:hAnsi="Arial"/>
          <w:sz w:val="11"/>
          <w:szCs w:val="11"/>
          <w:color w:val="auto"/>
        </w:rPr>
        <w:t xml:space="preserve">), a premier global provider of specialized in vitro products for drug metabolism, drug-drug interaction and toxicity screening, focused on characterizing and functionally benchmarking our human liver cell platform,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r>
        <w:rPr>
          <w:rFonts w:ascii="Arial" w:cs="Arial" w:eastAsia="Arial" w:hAnsi="Arial"/>
          <w:sz w:val="11"/>
          <w:szCs w:val="11"/>
          <w:i w:val="1"/>
          <w:iCs w:val="1"/>
          <w:color w:val="auto"/>
        </w:rPr>
        <w:t>™</w:t>
      </w:r>
      <w:r>
        <w:rPr>
          <w:rFonts w:ascii="Arial" w:cs="Arial" w:eastAsia="Arial" w:hAnsi="Arial"/>
          <w:sz w:val="11"/>
          <w:szCs w:val="11"/>
          <w:color w:val="auto"/>
        </w:rPr>
        <w:t xml:space="preserve"> with Celsis IVT products for studying and predicting drug metabolism. We intend to utilize Celsis IVT’s experience and expertise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metabolism to help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r>
        <w:rPr>
          <w:rFonts w:ascii="Arial" w:cs="Arial" w:eastAsia="Arial" w:hAnsi="Arial"/>
          <w:sz w:val="15"/>
          <w:szCs w:val="15"/>
          <w:color w:val="auto"/>
          <w:vertAlign w:val="superscript"/>
        </w:rPr>
        <w:t>TM</w:t>
      </w:r>
      <w:r>
        <w:rPr>
          <w:rFonts w:ascii="Arial" w:cs="Arial" w:eastAsia="Arial" w:hAnsi="Arial"/>
          <w:sz w:val="11"/>
          <w:szCs w:val="11"/>
          <w:color w:val="auto"/>
        </w:rPr>
        <w:t xml:space="preserve">. We anticipate that Celsis IVT will not only validate our human liver cells in traditional pharmaceutical metabolism assays, but also will determine genetic variations in our human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Collaborating with Celsis IVT scientists, we are focused on the following four key objectives:</w:t>
      </w:r>
    </w:p>
    <w:p>
      <w:pPr>
        <w:spacing w:after="0" w:line="168" w:lineRule="exact"/>
        <w:rPr>
          <w:sz w:val="20"/>
          <w:szCs w:val="20"/>
          <w:color w:val="auto"/>
        </w:rPr>
      </w:pPr>
    </w:p>
    <w:p>
      <w:pPr>
        <w:ind w:left="420" w:hanging="227"/>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Optimize techniques to handle and maintain primary human cryopreserved primary liver cells as reference controls for various drug development assays;</w:t>
      </w:r>
    </w:p>
    <w:p>
      <w:pPr>
        <w:spacing w:after="0" w:line="168" w:lineRule="exact"/>
        <w:rPr>
          <w:rFonts w:ascii="Arial" w:cs="Arial" w:eastAsia="Arial" w:hAnsi="Arial"/>
          <w:sz w:val="12"/>
          <w:szCs w:val="12"/>
          <w:color w:val="auto"/>
        </w:rPr>
      </w:pPr>
    </w:p>
    <w:p>
      <w:pPr>
        <w:ind w:left="420" w:hanging="227"/>
        <w:spacing w:after="0" w:line="276"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Develop a stable supply of characterized and validated human cryopreserved primary liver cells to serve as internal controls and provide benchmark comparisons for the characterization of our pluripotent stem cell-derived liver cells;</w:t>
      </w:r>
    </w:p>
    <w:p>
      <w:pPr>
        <w:spacing w:after="0" w:line="132" w:lineRule="exact"/>
        <w:rPr>
          <w:rFonts w:ascii="Arial" w:cs="Arial" w:eastAsia="Arial" w:hAnsi="Arial"/>
          <w:sz w:val="12"/>
          <w:szCs w:val="12"/>
          <w:color w:val="auto"/>
        </w:rPr>
      </w:pPr>
    </w:p>
    <w:p>
      <w:pPr>
        <w:ind w:left="420" w:hanging="227"/>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Characterize our human pluripotent stem cell-derived liver cells using many of the same industry-standardized assays used to characterize primary human liver cells; and</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Produce a joint publication of the characterization of our pluripotent stem cell-derived human liver cells.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an industry leader in the development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primary hepatocyte technology, we believe Celsis IVT has extensive resources to aid us in the benchmarking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 industry standards. We anticipate this collaboration will lead to the further validation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predicting liver toxicity and drug metabolism issues before costly human clinical trials.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Synterys, Inc.</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December 2011, we entered into a strategic medicinal chemistry collaboration agreement with Synterys, Inc. (</w:t>
      </w:r>
      <w:r>
        <w:rPr>
          <w:rFonts w:ascii="Arial" w:cs="Arial" w:eastAsia="Arial" w:hAnsi="Arial"/>
          <w:sz w:val="12"/>
          <w:szCs w:val="12"/>
          <w:i w:val="1"/>
          <w:iCs w:val="1"/>
          <w:color w:val="auto"/>
        </w:rPr>
        <w:t>Synterys</w:t>
      </w:r>
      <w:r>
        <w:rPr>
          <w:rFonts w:ascii="Arial" w:cs="Arial" w:eastAsia="Arial" w:hAnsi="Arial"/>
          <w:sz w:val="12"/>
          <w:szCs w:val="12"/>
          <w:color w:val="auto"/>
        </w:rPr>
        <w:t xml:space="preserve">), a leading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Underlying our Human Clinical Trials in a Test Tube Platform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established our intellectual property rights to the technology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through a combination of exclusive and non-exclusive licenses, patent,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141" w:lineRule="exact"/>
        <w:rPr>
          <w:sz w:val="20"/>
          <w:szCs w:val="20"/>
          <w:color w:val="auto"/>
        </w:rPr>
      </w:pPr>
    </w:p>
    <w:p>
      <w:pPr>
        <w:ind w:left="1300" w:hanging="301"/>
        <w:spacing w:after="0"/>
        <w:tabs>
          <w:tab w:leader="none" w:pos="13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combination of growth factors (molecules that stimulate the growth of cells);</w:t>
      </w:r>
    </w:p>
    <w:p>
      <w:pPr>
        <w:spacing w:after="0" w:line="150" w:lineRule="exact"/>
        <w:rPr>
          <w:rFonts w:ascii="Arial" w:cs="Arial" w:eastAsia="Arial" w:hAnsi="Arial"/>
          <w:sz w:val="12"/>
          <w:szCs w:val="12"/>
          <w:color w:val="auto"/>
        </w:rPr>
      </w:pPr>
    </w:p>
    <w:p>
      <w:pPr>
        <w:ind w:left="1300" w:hanging="301"/>
        <w:spacing w:after="0"/>
        <w:tabs>
          <w:tab w:leader="none" w:pos="13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1300" w:hanging="301"/>
        <w:spacing w:after="0"/>
        <w:tabs>
          <w:tab w:leader="none" w:pos="13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precise selection of immature cell populations for further growth and development.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By influencing key branch points in the cellular differentiation process, our pluripotent stem cell technologies can produce fully-differentiated, non-transformed, highly functional human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an efficient, highly pure and reproducible process.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of the date of this report, we either own or have licensed 43 issued U.S. patents and 12 U.S. patent applications and certain foreign counterparts relating to the stem cell technologies that underlie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Our material rights and obligations with respect to these patents and patent applications are summarized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National Jewish Health (NJH) 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exclusive licenses to seven issued U.S. patents held by NJH, certain of which expire in November 2014.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Under this license agreement, we may become required to pay to NJH 1% of our total revenues up to $30 million in each calendar year and 0.5% of all revenues for amounts greater than $30 million, with minimum annual payments of $25,000. Additionally, we may become obligated under the agreement to make certain royalty payments on sales of products based on NJH’s patents or the sublicensing of such technology. The royalty payments are subject to anti-stacking provisions which would reduce our payments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8" w:name="page19"/>
    <w:bookmarkEnd w:id="1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Icahn School of Medicine at Mount Sinai School (MSSM) 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an exclusive, field restricted, license to two U.S. patents and two U.S. patent applications, and their foreign counterparts filed by MSSM. Foreign counterparts have been filed in Australia (two), Canada (two), Europe (two), Japan, Hong Kong and Singapore. Two of the U.S. applications have been issued and the foreign counterparts in Australia and Singapore have been issued, while a counterpart in Europe is pending. These patent applications have claims covering composition of matter relating to specific populations of cells and precursors, methods to produce such cells, and applications of such cells, including:</w:t>
      </w:r>
    </w:p>
    <w:p>
      <w:pPr>
        <w:spacing w:after="0" w:line="141" w:lineRule="exact"/>
        <w:rPr>
          <w:sz w:val="20"/>
          <w:szCs w:val="20"/>
          <w:color w:val="auto"/>
        </w:rPr>
      </w:pPr>
    </w:p>
    <w:p>
      <w:pPr>
        <w:ind w:left="1300" w:hanging="301"/>
        <w:spacing w:after="0"/>
        <w:tabs>
          <w:tab w:leader="none" w:pos="13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use of certain growth factors to generate mesoderm (that is, the precursors capable of developing into cells of the heart, blood system, connective tissues, and vascular system) from hESCs;</w:t>
      </w:r>
    </w:p>
    <w:p>
      <w:pPr>
        <w:spacing w:after="0" w:line="161" w:lineRule="exact"/>
        <w:rPr>
          <w:rFonts w:ascii="Arial" w:cs="Arial" w:eastAsia="Arial" w:hAnsi="Arial"/>
          <w:sz w:val="11"/>
          <w:szCs w:val="11"/>
          <w:color w:val="auto"/>
        </w:rPr>
      </w:pPr>
    </w:p>
    <w:p>
      <w:pPr>
        <w:ind w:left="1300" w:hanging="301"/>
        <w:spacing w:after="0" w:line="276" w:lineRule="auto"/>
        <w:tabs>
          <w:tab w:leader="none" w:pos="13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14" w:lineRule="exact"/>
        <w:rPr>
          <w:rFonts w:ascii="Arial" w:cs="Arial" w:eastAsia="Arial" w:hAnsi="Arial"/>
          <w:sz w:val="12"/>
          <w:szCs w:val="12"/>
          <w:color w:val="auto"/>
        </w:rPr>
      </w:pPr>
    </w:p>
    <w:p>
      <w:pPr>
        <w:ind w:left="1300" w:hanging="301"/>
        <w:spacing w:after="0"/>
        <w:tabs>
          <w:tab w:leader="none" w:pos="13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 xml:space="preserve">applications of cells derived from mesoderm and endoderm precursors, especially those relating to drug discovery and testing for applications in the field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and development applications.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This license agreement requires us to pay annual license and patent prosecution and maintenance fees and royalty payments based on product sales and services that are covered by the MSSM patent applications, as well as for any revenues received from sublicensing. Any drug candidates that we develop, including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Wisconsin Alumni Research Foundation (WARF) Non-Exclusive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non-exclusive licenses to over 30 issued stem cell-related U.S. patents, 14 stem cell-related U.S. patent applications, and certain foreign counterparts held by WARF, for applications in the field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development. Foreign counterparts have been filed in Australia, Canada, Europe, China, India, Hong Kong, Israel, Brazil, South Korea, India, Mexico, and New Zealand. The subject matter of these patents includes specific hESC lines and composition of matter and use claims relating to hESCs important to drug discovery, and drug rescue screening. We have rights to:</w:t>
      </w:r>
    </w:p>
    <w:p>
      <w:pPr>
        <w:spacing w:after="0" w:line="141" w:lineRule="exact"/>
        <w:rPr>
          <w:sz w:val="20"/>
          <w:szCs w:val="20"/>
          <w:color w:val="auto"/>
        </w:rPr>
      </w:pPr>
    </w:p>
    <w:p>
      <w:pPr>
        <w:ind w:left="1300" w:hanging="301"/>
        <w:spacing w:after="0"/>
        <w:tabs>
          <w:tab w:leader="none" w:pos="1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use the technology for internal research and drug development;</w:t>
      </w:r>
    </w:p>
    <w:p>
      <w:pPr>
        <w:spacing w:after="0" w:line="150" w:lineRule="exact"/>
        <w:rPr>
          <w:rFonts w:ascii="Arial" w:cs="Arial" w:eastAsia="Arial" w:hAnsi="Arial"/>
          <w:sz w:val="12"/>
          <w:szCs w:val="12"/>
          <w:color w:val="auto"/>
        </w:rPr>
      </w:pPr>
    </w:p>
    <w:p>
      <w:pPr>
        <w:ind w:left="1300" w:hanging="301"/>
        <w:spacing w:after="0"/>
        <w:tabs>
          <w:tab w:leader="none" w:pos="1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provide discovery and screening services to third parties; and</w:t>
      </w:r>
    </w:p>
    <w:p>
      <w:pPr>
        <w:spacing w:after="0" w:line="150" w:lineRule="exact"/>
        <w:rPr>
          <w:rFonts w:ascii="Arial" w:cs="Arial" w:eastAsia="Arial" w:hAnsi="Arial"/>
          <w:sz w:val="12"/>
          <w:szCs w:val="12"/>
          <w:color w:val="auto"/>
        </w:rPr>
      </w:pPr>
    </w:p>
    <w:p>
      <w:pPr>
        <w:ind w:left="1300" w:hanging="301"/>
        <w:spacing w:after="0"/>
        <w:tabs>
          <w:tab w:leader="none" w:pos="1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market and sell research products (that is, cellular assays incorporating the licensed technology).</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This license agreement requires us to make royalty payments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Patents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filed two U.S. patent applications on liver stem cells and their applications in drug development relating to toxicity testing, both of which have issued. Of the related international filings, European, Canadian and Korean patents were issued. The European patent has been validated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material patents currently related to the generation of human heart and liver cells for use in connection with our drug rescue activities are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Territory</w:t>
            </w:r>
          </w:p>
        </w:tc>
        <w:tc>
          <w:tcPr>
            <w:tcW w:w="140" w:type="dxa"/>
            <w:vAlign w:val="bottom"/>
          </w:tcPr>
          <w:p>
            <w:pPr>
              <w:spacing w:after="0"/>
              <w:rPr>
                <w:sz w:val="13"/>
                <w:szCs w:val="13"/>
                <w:color w:val="auto"/>
              </w:rPr>
            </w:pPr>
          </w:p>
        </w:tc>
        <w:tc>
          <w:tcPr>
            <w:tcW w:w="11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Patent No.</w:t>
            </w:r>
          </w:p>
        </w:tc>
        <w:tc>
          <w:tcPr>
            <w:tcW w:w="140" w:type="dxa"/>
            <w:vAlign w:val="bottom"/>
          </w:tcPr>
          <w:p>
            <w:pPr>
              <w:spacing w:after="0"/>
              <w:rPr>
                <w:sz w:val="13"/>
                <w:szCs w:val="13"/>
                <w:color w:val="auto"/>
              </w:rPr>
            </w:pPr>
          </w:p>
        </w:tc>
        <w:tc>
          <w:tcPr>
            <w:tcW w:w="5040" w:type="dxa"/>
            <w:vAlign w:val="bottom"/>
            <w:tcBorders>
              <w:bottom w:val="single" w:sz="8" w:color="auto"/>
            </w:tcBorders>
          </w:tcPr>
          <w:p>
            <w:pPr>
              <w:ind w:left="1900"/>
              <w:spacing w:after="0"/>
              <w:rPr>
                <w:sz w:val="20"/>
                <w:szCs w:val="20"/>
                <w:color w:val="auto"/>
              </w:rPr>
            </w:pPr>
            <w:r>
              <w:rPr>
                <w:rFonts w:ascii="Arial" w:cs="Arial" w:eastAsia="Arial" w:hAnsi="Arial"/>
                <w:sz w:val="12"/>
                <w:szCs w:val="12"/>
                <w:b w:val="1"/>
                <w:bCs w:val="1"/>
                <w:color w:val="auto"/>
              </w:rPr>
              <w:t>General Subject Matter</w:t>
            </w:r>
          </w:p>
        </w:tc>
        <w:tc>
          <w:tcPr>
            <w:tcW w:w="140" w:type="dxa"/>
            <w:vAlign w:val="bottom"/>
          </w:tcPr>
          <w:p>
            <w:pPr>
              <w:spacing w:after="0"/>
              <w:rPr>
                <w:sz w:val="13"/>
                <w:szCs w:val="13"/>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Expiration</w:t>
            </w:r>
          </w:p>
        </w:tc>
      </w:tr>
      <w:tr>
        <w:trPr>
          <w:trHeight w:val="142"/>
        </w:trPr>
        <w:tc>
          <w:tcPr>
            <w:tcW w:w="2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US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7,763,466</w:t>
            </w:r>
          </w:p>
        </w:tc>
        <w:tc>
          <w:tcPr>
            <w:tcW w:w="14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Method to produce endoderm cells</w:t>
            </w:r>
          </w:p>
        </w:tc>
        <w:tc>
          <w:tcPr>
            <w:tcW w:w="140" w:type="dxa"/>
            <w:vAlign w:val="bottom"/>
            <w:shd w:val="clear" w:color="auto" w:fill="CCEEFF"/>
          </w:tcPr>
          <w:p>
            <w:pPr>
              <w:spacing w:after="0"/>
              <w:rPr>
                <w:sz w:val="12"/>
                <w:szCs w:val="12"/>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May 2025</w:t>
            </w:r>
          </w:p>
        </w:tc>
      </w:tr>
      <w:tr>
        <w:trPr>
          <w:trHeight w:val="144"/>
        </w:trPr>
        <w:tc>
          <w:tcPr>
            <w:tcW w:w="2280" w:type="dxa"/>
            <w:vAlign w:val="bottom"/>
          </w:tcPr>
          <w:p>
            <w:pPr>
              <w:jc w:val="center"/>
              <w:spacing w:after="0"/>
              <w:rPr>
                <w:sz w:val="20"/>
                <w:szCs w:val="20"/>
                <w:color w:val="auto"/>
              </w:rPr>
            </w:pPr>
            <w:r>
              <w:rPr>
                <w:rFonts w:ascii="Arial" w:cs="Arial" w:eastAsia="Arial" w:hAnsi="Arial"/>
                <w:sz w:val="12"/>
                <w:szCs w:val="12"/>
                <w:color w:val="auto"/>
                <w:w w:val="95"/>
              </w:rPr>
              <w:t>US</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7,955,849</w:t>
            </w:r>
          </w:p>
        </w:tc>
        <w:tc>
          <w:tcPr>
            <w:tcW w:w="140" w:type="dxa"/>
            <w:vAlign w:val="bottom"/>
          </w:tcPr>
          <w:p>
            <w:pPr>
              <w:spacing w:after="0"/>
              <w:rPr>
                <w:sz w:val="12"/>
                <w:szCs w:val="12"/>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Method of enriching population of mesoderm cells</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Arial" w:cs="Arial" w:eastAsia="Arial" w:hAnsi="Arial"/>
                <w:sz w:val="12"/>
                <w:szCs w:val="12"/>
                <w:color w:val="auto"/>
                <w:w w:val="94"/>
              </w:rPr>
              <w:t>May 2023</w:t>
            </w:r>
          </w:p>
        </w:tc>
      </w:tr>
      <w:tr>
        <w:trPr>
          <w:trHeight w:val="144"/>
        </w:trPr>
        <w:tc>
          <w:tcPr>
            <w:tcW w:w="2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US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8,143,009</w:t>
            </w:r>
          </w:p>
        </w:tc>
        <w:tc>
          <w:tcPr>
            <w:tcW w:w="140" w:type="dxa"/>
            <w:vAlign w:val="bottom"/>
            <w:shd w:val="clear" w:color="auto" w:fill="CCEEFF"/>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Toxicity typing using liver stem cells</w:t>
            </w:r>
          </w:p>
        </w:tc>
        <w:tc>
          <w:tcPr>
            <w:tcW w:w="140" w:type="dxa"/>
            <w:vAlign w:val="bottom"/>
            <w:shd w:val="clear" w:color="auto" w:fill="CCEEFF"/>
          </w:tcPr>
          <w:p>
            <w:pPr>
              <w:spacing w:after="0"/>
              <w:rPr>
                <w:sz w:val="12"/>
                <w:szCs w:val="12"/>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June 2023</w:t>
            </w:r>
          </w:p>
        </w:tc>
      </w:tr>
      <w:tr>
        <w:trPr>
          <w:trHeight w:val="153"/>
        </w:trPr>
        <w:tc>
          <w:tcPr>
            <w:tcW w:w="2280" w:type="dxa"/>
            <w:vAlign w:val="bottom"/>
          </w:tcPr>
          <w:p>
            <w:pPr>
              <w:jc w:val="center"/>
              <w:spacing w:after="0"/>
              <w:rPr>
                <w:sz w:val="20"/>
                <w:szCs w:val="20"/>
                <w:color w:val="auto"/>
              </w:rPr>
            </w:pPr>
            <w:r>
              <w:rPr>
                <w:rFonts w:ascii="Arial" w:cs="Arial" w:eastAsia="Arial" w:hAnsi="Arial"/>
                <w:sz w:val="12"/>
                <w:szCs w:val="12"/>
                <w:color w:val="auto"/>
                <w:w w:val="95"/>
              </w:rPr>
              <w:t>US</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8,512,957</w:t>
            </w:r>
          </w:p>
        </w:tc>
        <w:tc>
          <w:tcPr>
            <w:tcW w:w="140" w:type="dxa"/>
            <w:vAlign w:val="bottom"/>
          </w:tcPr>
          <w:p>
            <w:pPr>
              <w:spacing w:after="0"/>
              <w:rPr>
                <w:sz w:val="13"/>
                <w:szCs w:val="13"/>
                <w:color w:val="auto"/>
              </w:rPr>
            </w:pPr>
          </w:p>
        </w:tc>
        <w:tc>
          <w:tcPr>
            <w:tcW w:w="5040" w:type="dxa"/>
            <w:vAlign w:val="bottom"/>
          </w:tcPr>
          <w:p>
            <w:pPr>
              <w:spacing w:after="0"/>
              <w:rPr>
                <w:sz w:val="20"/>
                <w:szCs w:val="20"/>
                <w:color w:val="auto"/>
              </w:rPr>
            </w:pPr>
            <w:r>
              <w:rPr>
                <w:rFonts w:ascii="Arial" w:cs="Arial" w:eastAsia="Arial" w:hAnsi="Arial"/>
                <w:sz w:val="12"/>
                <w:szCs w:val="12"/>
                <w:color w:val="auto"/>
              </w:rPr>
              <w:t>Toxicity typing using liver stem cells</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2"/>
                <w:szCs w:val="12"/>
                <w:color w:val="auto"/>
                <w:w w:val="89"/>
              </w:rPr>
              <w:t>June 2021</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AV-101, we have filed three new U.S. patent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 Secrets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Collaborations and Intellectual Property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University Health Network, McEwen Centre for Regenerative Medicine, Toronto, Ontario</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 xml:space="preserve">We have a long-term strategic stem cell research collaboration with our co-founder, Dr. Gordon Keller, Director of the UHN’s McEwen Centre, focused on, among other things, developing improved methods for differentiation of cardiomyocytes (heart cells) from pluripotent stem cells, and their uses in biological assay systems for drug discovery and development. Pursuant to our sponsored research collaboration agreement with UHN, we have the right to acquire exclusive worldwide rights to any inventions arising from studies we sponsor, under pre-negotiated license terms. Such pre-negotiated terms provide for royalty payments based on product sales that incorporate the licensed technology and milestone payments based on the achievement of certain events. Any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We also have the exclusive option to sponsor research for similar cartilage, liver, pancreas and blood cell projects with similar licensing rights.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sponsored research collaboration agreement with UHN, as amended, has a term of ten years, ending on September 18, 2017. Our 2012/2013 sponsored research project budget under the agreement ended on September 30, 2013. We are currently in discussions with Dr. Keller and UHN regarding the scope of our future sponsored research project budget under the agreement, and we anticipate finalizing such budget within the near term.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0" w:name="page21"/>
    <w:bookmarkEnd w:id="2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UHN License for Stem Cell Culture Technology</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 April 2012, we licensed breakthrough stem cell culture technology from UHN’s McEwen Centre. We intend to utilize the licensed technology to develop hematopoietic precursor stem cells from human pluripotent stem cells, with the goal of developing drug screening and cell therapy applications for human blood system disorders. The breakthrough technology is included in a new United States patent application. We believe this stem cell technology dramatically advances our ability to produce and purify this important blood stem cell precursor for both in vitro drug screening and in vivo cell therapy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AV-101-Related Intellectual Property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have exclusive licenses to issued U.S. patents related to the use and function of AV-101, and various central nervous system (</w:t>
      </w:r>
      <w:r>
        <w:rPr>
          <w:rFonts w:ascii="Arial" w:cs="Arial" w:eastAsia="Arial" w:hAnsi="Arial"/>
          <w:sz w:val="12"/>
          <w:szCs w:val="12"/>
          <w:i w:val="1"/>
          <w:iCs w:val="1"/>
          <w:color w:val="auto"/>
        </w:rPr>
        <w:t>CNS</w:t>
      </w:r>
      <w:r>
        <w:rPr>
          <w:rFonts w:ascii="Arial" w:cs="Arial" w:eastAsia="Arial" w:hAnsi="Arial"/>
          <w:sz w:val="12"/>
          <w:szCs w:val="12"/>
          <w:color w:val="auto"/>
        </w:rPr>
        <w:t>)-active molecules related to AV-101. These patents are held by the University of Maryland, Baltimore, the Cornell Research Foundation, Inc. and Aventis, Inc. The principle U.S. method of use patent related to AV-101 expired in February 2011. Foreign counterparts to that U.S. patent expired in February 2012. However, in 2013 and through the date of this report, we have filed three new U.S. patent applications relating to AV-101. 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2"/>
          <w:szCs w:val="12"/>
          <w:i w:val="1"/>
          <w:iCs w:val="1"/>
          <w:color w:val="auto"/>
        </w:rPr>
        <w:t>FDCA</w:t>
      </w:r>
      <w:r>
        <w:rPr>
          <w:rFonts w:ascii="Arial" w:cs="Arial" w:eastAsia="Arial" w:hAnsi="Arial"/>
          <w:sz w:val="12"/>
          <w:szCs w:val="12"/>
          <w:color w:val="auto"/>
        </w:rPr>
        <w:t>). The FDA’s New Drug Product Exclusivity is available for new chemical entities (</w:t>
      </w:r>
      <w:r>
        <w:rPr>
          <w:rFonts w:ascii="Arial" w:cs="Arial" w:eastAsia="Arial" w:hAnsi="Arial"/>
          <w:sz w:val="12"/>
          <w:szCs w:val="12"/>
          <w:i w:val="1"/>
          <w:iCs w:val="1"/>
          <w:color w:val="auto"/>
        </w:rPr>
        <w:t>NCEs</w:t>
      </w:r>
      <w:r>
        <w:rPr>
          <w:rFonts w:ascii="Arial" w:cs="Arial" w:eastAsia="Arial" w:hAnsi="Arial"/>
          <w:sz w:val="12"/>
          <w:szCs w:val="12"/>
          <w:color w:val="auto"/>
        </w:rPr>
        <w:t>)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2"/>
          <w:szCs w:val="12"/>
          <w:i w:val="1"/>
          <w:iCs w:val="1"/>
          <w:color w:val="auto"/>
        </w:rPr>
        <w:t>ANDA</w:t>
      </w:r>
      <w:r>
        <w:rPr>
          <w:rFonts w:ascii="Arial" w:cs="Arial" w:eastAsia="Arial" w:hAnsi="Arial"/>
          <w:sz w:val="12"/>
          <w:szCs w:val="12"/>
          <w:color w:val="auto"/>
        </w:rPr>
        <w:t>s), during the five-year exclusivity period, except that such applications may be submitted after four years if they contain a certification of patent invalidity or non-infringement.</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Under the terms of our license agreement, we may be obligated to make royalty payments on 2% of net sales of products using the unexpired patent rights, if any, including products containing compounds covered by the patent rights. Additionally, we may be required to pay a 1% royalty on net sales of combination products that use unexpired patent rights, if any, or contain compounds covered by the patent rights. Consequently, future sales of AV-101 may be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research and development expense was approximately $2.5 million and $3.4 million for the years ended March 31, 2014 and 2013, respectively, or approximately 49% of our operating expenses for each of the years ended March 31, 2014 and 2013. Our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1" w:name="page22"/>
    <w:bookmarkEnd w:id="2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We believe that our human pluripotent stem cell (</w:t>
      </w:r>
      <w:r>
        <w:rPr>
          <w:rFonts w:ascii="Arial" w:cs="Arial" w:eastAsia="Arial" w:hAnsi="Arial"/>
          <w:sz w:val="11"/>
          <w:szCs w:val="11"/>
          <w:i w:val="1"/>
          <w:iCs w:val="1"/>
          <w:color w:val="auto"/>
        </w:rPr>
        <w:t>hPSC</w:t>
      </w:r>
      <w:r>
        <w:rPr>
          <w:rFonts w:ascii="Arial" w:cs="Arial" w:eastAsia="Arial" w:hAnsi="Arial"/>
          <w:sz w:val="11"/>
          <w:szCs w:val="11"/>
          <w:color w:val="auto"/>
        </w:rPr>
        <w:t xml:space="preserve">) technology platform,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the hPSC-derived human cells we produce, and the customized human cell-based assay systems we have formulated and developed are capable of being competitive in the diverse and rapidly growing global stem cell and regenerative medicine markets, including markets involving the sale of hPSC-derived cells to third-parties for their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and safety testing, contract predictive toxicology drug screening services for third parties, internal drug discovery, development and rescue of new molecular entities (</w:t>
      </w:r>
      <w:r>
        <w:rPr>
          <w:rFonts w:ascii="Arial" w:cs="Arial" w:eastAsia="Arial" w:hAnsi="Arial"/>
          <w:sz w:val="11"/>
          <w:szCs w:val="11"/>
          <w:i w:val="1"/>
          <w:iCs w:val="1"/>
          <w:color w:val="auto"/>
        </w:rPr>
        <w:t>NMEs</w:t>
      </w:r>
      <w:r>
        <w:rPr>
          <w:rFonts w:ascii="Arial" w:cs="Arial" w:eastAsia="Arial" w:hAnsi="Arial"/>
          <w:sz w:val="11"/>
          <w:szCs w:val="11"/>
          <w:color w:val="auto"/>
        </w:rPr>
        <w:t xml:space="preserve">), and regenerative medicine, including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cell therapy research and development. A representative list of such biopharmaceutical companies pursuing one or more of these potential applications of adult and/or pluripotent stem cell technology includes the following: Acea Biosciences, Advanced Cell Technology, Athersys, BioTime, Cellectis Bioresearch, Cellular Dynamics, Cellerant Therapeutics, Cytori Therapeutics,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We anticipate that acceptance and use of hPSC technology for drug development and regenerative medicine will continue to occur and increase at pharmaceutical and biotechnology companies in the future.</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believe the best and most valuable near term commercial application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is internal production of NMEs, which we refer to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through small molecule drug rescue. We believe that the stem cell technologies underlying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and our primary focus on opportunities to produce small molecule NMEs through drug rescue provide us substantial competitive advantages associated with application of human biology at the front end of the drug development process, before animal and human testing. Although we believe that our model for the application of human pluripotent stem cell technology for drug rescue is novel, significant competition may arise or otherwise increase considerably as the acceptance and use of hPSC technology, the sale of hPSC-derived human heart and liver cells, and the availability of hPSC-related contract predictive toxicology screening services, for drug discovery, development and rescue, as well as cell therapy and regenerative medicine, continue to become more widespread throughout the academic research community and the pharmaceutical and biotechnology industries. In addition, significant competition may arise from those academic research institutions, contract research organizations, and biopharmaceutical companies currently producing or capable of producing, currently using or capable of using, hPSC-derived heart cells and liver cells for third-party sales, contract screening or cell therapy research and development, that elect or their customers elect to transform their current business operations to include internal drug rescue and development of small molecule NMEs in a manner similar to our drug rescue model.</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With respect to AV-101, we believe that a range of pharmaceutical and biotechnology companies have programs to develop small molecule drug candidates for the treatment of neuropathic pain, epilepsy, depression, Parkinson’s disease and other neurological conditions and diseases, including Abbott Laboratories, GlaxoSmithKline, Johnson &amp; Johnson, Novartis, and Pfizer. We expect that AV-101 will have to compete with a variety of therapeutic products and procedures. With respect to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are able to produce, we anticipate that a range of pharmaceutical and biotechnology companies will have programs to develop small molecule drug candidates or biologics for the treatment of the diseases or conditions targeted by each such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2" w:name="page23"/>
    <w:bookmarkEnd w:id="2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Companies seeking FDA approval to sell a new prescription drug in the United States must test it in various ways. Currently, first are laboratory and animal tests. Next are tests in humans to see if the drug candidate is safe and effective when used to treat or diagnose a disease. After testing the drug candidate, the company developing it then sends the FDA an application called a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Some drug candidates are made out of biologic materials, including human cells, such as the human cells derived from human pluripotent stem cells. Instead of an NDA, new biologic drug candidates are approved using a Biologics License Application (</w:t>
      </w:r>
      <w:r>
        <w:rPr>
          <w:rFonts w:ascii="Arial" w:cs="Arial" w:eastAsia="Arial" w:hAnsi="Arial"/>
          <w:sz w:val="12"/>
          <w:szCs w:val="12"/>
          <w:i w:val="1"/>
          <w:iCs w:val="1"/>
          <w:color w:val="auto"/>
        </w:rPr>
        <w:t>BLA</w:t>
      </w:r>
      <w:r>
        <w:rPr>
          <w:rFonts w:ascii="Arial" w:cs="Arial" w:eastAsia="Arial" w:hAnsi="Arial"/>
          <w:sz w:val="12"/>
          <w:szCs w:val="12"/>
          <w:color w:val="auto"/>
        </w:rPr>
        <w:t>). Whether an NDA or a BLA, the application includes:</w:t>
      </w:r>
    </w:p>
    <w:p>
      <w:pPr>
        <w:spacing w:after="0" w:line="125" w:lineRule="exact"/>
        <w:rPr>
          <w:sz w:val="20"/>
          <w:szCs w:val="20"/>
          <w:color w:val="auto"/>
        </w:rPr>
      </w:pPr>
    </w:p>
    <w:p>
      <w:pPr>
        <w:ind w:left="420" w:hanging="227"/>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drug candidate’s test results;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manufacturing information to demonstrate the company developing the drug candidate can properly manufacture it; and</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proposed label for the drug candidate, which provides necessary information about the drug candidate, including uses for which it has been shown to be effective, possible risks, and how to use it.</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If a review by FDA physicians and scientists shows the drug candidate's benefits outweigh its known risks and the drug candidate can be manufactured in a way that ensures a quality product, the drug candidate is approved and can be marketed in the United States.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New drug and biological product development and approval takes many years, involves the expenditure of substantial resources and is uncertain to succeed. Many new drug and biological candidates appear promising in early stages of development but ultimately do not reach the market because they cannot meet FDA or other regulatory requirements. In addition, the current regulatory framework may change through regulatory, legislative or judicial actions or that additional regulations will not arise during development that may affect approval, delay the submission or review of an application.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activities required before a new drug or biological candidate may be approved for marketing in the U.S. begin with nonclinical testing, which includes laboratory evaluation and animal studies to assess the potential safety and efficacy of the product as formulated. Results of nonclinical studies are summarized in an Investigational New Drug (</w:t>
      </w:r>
      <w:r>
        <w:rPr>
          <w:rFonts w:ascii="Arial" w:cs="Arial" w:eastAsia="Arial" w:hAnsi="Arial"/>
          <w:sz w:val="12"/>
          <w:szCs w:val="12"/>
          <w:i w:val="1"/>
          <w:iCs w:val="1"/>
          <w:color w:val="auto"/>
        </w:rPr>
        <w:t>IND</w:t>
      </w:r>
      <w:r>
        <w:rPr>
          <w:rFonts w:ascii="Arial" w:cs="Arial" w:eastAsia="Arial" w:hAnsi="Arial"/>
          <w:sz w:val="12"/>
          <w:szCs w:val="12"/>
          <w:color w:val="auto"/>
        </w:rPr>
        <w:t>) application to the FDA. Human clinical trials may begin 30 days following submission of an IND application, unless the FDA requires additional time to review the application or raise questions.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w:t>
      </w:r>
      <w:r>
        <w:rPr>
          <w:rFonts w:ascii="Arial" w:cs="Arial" w:eastAsia="Arial" w:hAnsi="Arial"/>
          <w:sz w:val="12"/>
          <w:szCs w:val="12"/>
          <w:i w:val="1"/>
          <w:iCs w:val="1"/>
          <w:color w:val="auto"/>
        </w:rPr>
        <w:t>IRB</w:t>
      </w:r>
      <w:r>
        <w:rPr>
          <w:rFonts w:ascii="Arial" w:cs="Arial" w:eastAsia="Arial" w:hAnsi="Arial"/>
          <w:sz w:val="12"/>
          <w:szCs w:val="12"/>
          <w:color w:val="auto"/>
        </w:rPr>
        <w:t>)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3" w:name="page24"/>
    <w:bookmarkEnd w:id="2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2"/>
          <w:szCs w:val="12"/>
          <w:i w:val="1"/>
          <w:iCs w:val="1"/>
          <w:color w:val="auto"/>
        </w:rPr>
        <w:t>ISSCR</w:t>
      </w:r>
      <w:r>
        <w:rPr>
          <w:rFonts w:ascii="Arial" w:cs="Arial" w:eastAsia="Arial" w:hAnsi="Arial"/>
          <w:sz w:val="12"/>
          <w:szCs w:val="12"/>
          <w:color w:val="auto"/>
        </w:rPr>
        <w:t>), or the NIH. These procedures and documentation have been reviewed by an external Stem Cell Research Oversight Committee, and all cell lines we use have been approved under one or more of these guidelines.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U.S. government and its agencies on July 7, 2009 published guidelines for the ethical derivation of hESCs required for receiving federal funding for hESC research. Should we seek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2"/>
          <w:szCs w:val="12"/>
          <w:i w:val="1"/>
          <w:iCs w:val="1"/>
          <w:color w:val="auto"/>
        </w:rPr>
        <w:t>Guidelines</w:t>
      </w:r>
      <w:r>
        <w:rPr>
          <w:rFonts w:ascii="Arial" w:cs="Arial" w:eastAsia="Arial" w:hAnsi="Arial"/>
          <w:sz w:val="12"/>
          <w:szCs w:val="12"/>
          <w:color w:val="auto"/>
        </w:rPr>
        <w:t xml:space="preserve">) issued by the Canadian Institutes of Health Research; the Tri-Council Statement: Ethical Conduct for Research Involving Humans (the </w:t>
      </w:r>
      <w:r>
        <w:rPr>
          <w:rFonts w:ascii="Arial" w:cs="Arial" w:eastAsia="Arial" w:hAnsi="Arial"/>
          <w:sz w:val="12"/>
          <w:szCs w:val="12"/>
          <w:i w:val="1"/>
          <w:iCs w:val="1"/>
          <w:color w:val="auto"/>
        </w:rPr>
        <w:t>TCPS</w:t>
      </w:r>
      <w:r>
        <w:rPr>
          <w:rFonts w:ascii="Arial" w:cs="Arial" w:eastAsia="Arial" w:hAnsi="Arial"/>
          <w:sz w:val="12"/>
          <w:szCs w:val="12"/>
          <w:color w:val="auto"/>
        </w:rPr>
        <w:t xml:space="preserve">); and the Assisted Human Reproduction Act (the </w:t>
      </w:r>
      <w:r>
        <w:rPr>
          <w:rFonts w:ascii="Arial" w:cs="Arial" w:eastAsia="Arial" w:hAnsi="Arial"/>
          <w:sz w:val="12"/>
          <w:szCs w:val="12"/>
          <w:i w:val="1"/>
          <w:iCs w:val="1"/>
          <w:color w:val="auto"/>
        </w:rPr>
        <w:t>Act</w:t>
      </w:r>
      <w:r>
        <w:rPr>
          <w:rFonts w:ascii="Arial" w:cs="Arial" w:eastAsia="Arial" w:hAnsi="Arial"/>
          <w:sz w:val="12"/>
          <w:szCs w:val="12"/>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not currently conducting stem cell research in Canada. We are, however, sponsoring pluripotent stem cell research by Dr. Gordon Keller at UHN’s McEwen Centre. We anticipate conducting pluripotent stem cell research (with both hESCs and hiPSCs), in collaboration with Dr. Keller and his research team, at UHN during 2014 and beyond pursuant to our long term sponsored research collaboration with Dr. Keller and UHN. Should the provisions of the Act come into force, we may have to apply for a license for all hESC research we may sponsor or conduct in Canada and ensure compliance of such research with the provisions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4" w:name="page25"/>
    <w:bookmarkEnd w:id="2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Subsidiaries and Inter-Corporate Relationships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wholly-owned subsidiaries are managed by our senior management team based in South San Francisco, California.</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have ten full-time employees, four of whom have doctorate degrees. Seven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and public company reporting, information technology, facilities, legal, stock plan administration, investor relations and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“Business – Strategic Transactions and Relationships.”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None of our employees is represented by a labor union or is subject to a collective bargaining agreement. We believe that our current relationship with all of our employees is good.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Our business does not require us to comply with any particular environmental regulations.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Investing in our common stock involves a high degree of risk. You should consider carefully the risks and uncertainties described below, together with all of the other information in this Annual Report on Form 10-K, including our financial statements and related notes, before deciding whether to purchase shares of our common stock. If any of the following risks are realized, our business, financial condition and results of operations could be materially and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Strategy</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are a development stage biotechnology company with no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a development stage biotechnology company. Since inception, we have generated approximately $16.4 million of revenues from strategic collaborations and grant awards. However,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23" w:lineRule="exact"/>
        <w:rPr>
          <w:sz w:val="20"/>
          <w:szCs w:val="20"/>
          <w:color w:val="auto"/>
        </w:rPr>
      </w:pPr>
    </w:p>
    <w:p>
      <w:pPr>
        <w:ind w:left="420" w:hanging="227"/>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obtain adequate capital resources and manage our spending as costs and expenses increase due to research, production, development, regulatory approval and commercialization of product candidates.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Moreover, we and any future strategic partner will need to receive regulatory approval for any new drug candidate, including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biological candidate or regenerative medicine product before it may be marketed and distributed. Such regulatory approval will require, among numerous other things, completing carefully controlled and well-designed clinical trials demonstrating the safety and efficacy of each new product candidate. This process is lengthy, expensive and uncertain. As a company, we have limited experience developing new drug candidates,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biological candidates or regenerative medicine products, including conducting clinical trials and in other areas required for the successful development and commercialization of therapeutic products. Such trials will require additional financial and management resources, third-party collaborators with the requisite clinical experience or reliance on third party clinical investigators, contract research organizations and independent consultants. Relying on third parties may force us to encounter delays that are outside of our control, which could materially harm our business.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we are unsuccessful in accomplishing these fundamental objectives, or if we encounter delays in the regulatory approval process beyond our control, we may not be able to develop product candidates, raise capital, expand our business or continue our operations.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5" w:name="page26"/>
    <w:bookmarkEnd w:id="2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produce product candidates, including Drug Rescue Variants, using stem cell technology, human cells derived from stem cells, our proprietary human cell-based bioassay systems and medicinal chemistry</w:t>
      </w: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 and we cannot provide any assurance that we will successfully produce Drug Rescue Variants or other product candidates, or that, if produced, any of our Drug Rescue Variants or other product candidates will be developed and commercialized.</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Research programs designed to identify and produce product candidates,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require substantial technical, financial and human resources, whether or not any product candidates are ultimately identified and produced. In particular, our drug rescue programs may initially show promise in identifying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yet fail to yield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suitable for preclinical, clinical development or commercialization for many reasons, including the following:</w:t>
      </w:r>
    </w:p>
    <w:p>
      <w:pPr>
        <w:spacing w:after="0" w:line="141" w:lineRule="exact"/>
        <w:rPr>
          <w:sz w:val="20"/>
          <w:szCs w:val="20"/>
          <w:color w:val="auto"/>
        </w:rPr>
      </w:pPr>
    </w:p>
    <w:p>
      <w:pPr>
        <w:ind w:left="420" w:hanging="227"/>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our research methodology may not be successful in identifying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competitors may develop alternatives that render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on further study, be shown to have harmful side effects or other characteristics that indicate it is unlikely to be effective or otherwise does not meet applicable regulatory criteria;</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not be capable of being produced in commercial quantities at an acceptable cost, or at all; or</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not be accepted as safe and effective by regulatory authorities, patients, the medical community or third-party payors.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future success depends heavily on our ability to use stem cell technology, human cells derived from stem cells, proprietary human cell-based bioassay systems, especially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medicinal chemistry to produce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Rescue Variants </w:t>
      </w:r>
      <w:r>
        <w:rPr>
          <w:rFonts w:ascii="Arial" w:cs="Arial" w:eastAsia="Arial" w:hAnsi="Arial"/>
          <w:sz w:val="12"/>
          <w:szCs w:val="12"/>
          <w:color w:val="auto"/>
        </w:rPr>
        <w:t>and, develop, obtain regulatory approval for, and commercialize lead</w:t>
      </w:r>
      <w:r>
        <w:rPr>
          <w:rFonts w:ascii="Arial" w:cs="Arial" w:eastAsia="Arial" w:hAnsi="Arial"/>
          <w:sz w:val="12"/>
          <w:szCs w:val="12"/>
          <w:i w:val="1"/>
          <w:iCs w:val="1"/>
          <w:color w:val="auto"/>
        </w:rPr>
        <w:t xml:space="preserve"> Drug Rescue Variants</w:t>
      </w:r>
      <w:r>
        <w:rPr>
          <w:rFonts w:ascii="Arial" w:cs="Arial" w:eastAsia="Arial" w:hAnsi="Arial"/>
          <w:sz w:val="12"/>
          <w:szCs w:val="12"/>
          <w:color w:val="auto"/>
        </w:rPr>
        <w:t>, on our own or in strategic collaborations, which may never occur. We currently generate no revenues, and we may never be able</w:t>
      </w:r>
      <w:r>
        <w:rPr>
          <w:rFonts w:ascii="Arial" w:cs="Arial" w:eastAsia="Arial" w:hAnsi="Arial"/>
          <w:sz w:val="12"/>
          <w:szCs w:val="12"/>
          <w:i w:val="1"/>
          <w:iCs w:val="1"/>
          <w:color w:val="auto"/>
        </w:rPr>
        <w:t xml:space="preserve"> </w:t>
      </w:r>
      <w:r>
        <w:rPr>
          <w:rFonts w:ascii="Arial" w:cs="Arial" w:eastAsia="Arial" w:hAnsi="Arial"/>
          <w:sz w:val="12"/>
          <w:szCs w:val="12"/>
          <w:color w:val="auto"/>
        </w:rPr>
        <w:t>to develop or commercialize a marketable drug.</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have limited operating history with respect to the identification and assessment of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no operating history with respect to the production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we may never be able to produce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If we are unable to identify suitable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for our drug rescue programs, including AV-101, or produce suitable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license to and preclinical and clinical development by pharmaceutical companies and others, we may not be able to obtain sufficient revenues in future periods, which likely would result in significant harm to our financial position and adversely impact our stock price. There are a number of factors, in addition to the utility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that may impact our ability to identify and assess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produce, develop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independently or with strategic partners, including:</w:t>
      </w:r>
    </w:p>
    <w:p>
      <w:pPr>
        <w:spacing w:after="0" w:line="144" w:lineRule="exact"/>
        <w:rPr>
          <w:sz w:val="20"/>
          <w:szCs w:val="20"/>
          <w:color w:val="auto"/>
        </w:rPr>
      </w:pPr>
    </w:p>
    <w:p>
      <w:pPr>
        <w:ind w:left="680" w:hanging="356"/>
        <w:spacing w:after="0"/>
        <w:tabs>
          <w:tab w:leader="none" w:pos="6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our ability to 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obtain sufficient quantities of them, and assess them using our assay systems;</w:t>
      </w:r>
    </w:p>
    <w:p>
      <w:pPr>
        <w:spacing w:after="0" w:line="150" w:lineRule="exact"/>
        <w:rPr>
          <w:rFonts w:ascii="Arial" w:cs="Arial" w:eastAsia="Arial" w:hAnsi="Arial"/>
          <w:sz w:val="12"/>
          <w:szCs w:val="12"/>
          <w:color w:val="auto"/>
        </w:rPr>
      </w:pPr>
    </w:p>
    <w:p>
      <w:pPr>
        <w:ind w:left="680" w:hanging="356"/>
        <w:spacing w:after="0" w:line="276" w:lineRule="auto"/>
        <w:tabs>
          <w:tab w:leader="none" w:pos="6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if we seek to rescue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that are not available to us in the public domain, the extent to which third parties may be willing to license or sell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to us on commercially reasonable terms;</w:t>
      </w:r>
    </w:p>
    <w:p>
      <w:pPr>
        <w:spacing w:after="0" w:line="114" w:lineRule="exact"/>
        <w:rPr>
          <w:rFonts w:ascii="Arial" w:cs="Arial" w:eastAsia="Arial" w:hAnsi="Arial"/>
          <w:sz w:val="12"/>
          <w:szCs w:val="12"/>
          <w:color w:val="auto"/>
        </w:rPr>
      </w:pPr>
    </w:p>
    <w:p>
      <w:pPr>
        <w:ind w:left="680" w:hanging="356"/>
        <w:spacing w:after="0"/>
        <w:tabs>
          <w:tab w:leader="none" w:pos="6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61" w:lineRule="exact"/>
        <w:rPr>
          <w:rFonts w:ascii="Arial" w:cs="Arial" w:eastAsia="Arial" w:hAnsi="Arial"/>
          <w:sz w:val="11"/>
          <w:szCs w:val="11"/>
          <w:color w:val="auto"/>
        </w:rPr>
      </w:pPr>
    </w:p>
    <w:p>
      <w:pPr>
        <w:ind w:left="680" w:right="20" w:hanging="356"/>
        <w:spacing w:after="0" w:line="276" w:lineRule="auto"/>
        <w:tabs>
          <w:tab w:leader="none" w:pos="6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financial resources available to us to develop and commercialize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internally, or, if we license them to strategic partners, the resources such partners choose to dedicate to development and commercialization of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licensed from us.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Even if we do produce a </w:t>
      </w:r>
      <w:r>
        <w:rPr>
          <w:rFonts w:ascii="Arial" w:cs="Arial" w:eastAsia="Arial" w:hAnsi="Arial"/>
          <w:sz w:val="11"/>
          <w:szCs w:val="11"/>
          <w:i w:val="1"/>
          <w:iCs w:val="1"/>
          <w:color w:val="auto"/>
        </w:rPr>
        <w:t>Drug Rescue Variant</w:t>
      </w:r>
      <w:r>
        <w:rPr>
          <w:rFonts w:ascii="Arial" w:cs="Arial" w:eastAsia="Arial" w:hAnsi="Arial"/>
          <w:sz w:val="11"/>
          <w:szCs w:val="11"/>
          <w:color w:val="auto"/>
        </w:rPr>
        <w:t>, we can give no assurance that we will be able to develop and commercialize it as a marketable drug</w:t>
      </w:r>
      <w:r>
        <w:rPr>
          <w:rFonts w:ascii="Arial" w:cs="Arial" w:eastAsia="Arial" w:hAnsi="Arial"/>
          <w:sz w:val="11"/>
          <w:szCs w:val="11"/>
          <w:i w:val="1"/>
          <w:iCs w:val="1"/>
          <w:color w:val="auto"/>
        </w:rPr>
        <w:t>,</w:t>
      </w:r>
      <w:r>
        <w:rPr>
          <w:rFonts w:ascii="Arial" w:cs="Arial" w:eastAsia="Arial" w:hAnsi="Arial"/>
          <w:sz w:val="11"/>
          <w:szCs w:val="11"/>
          <w:color w:val="auto"/>
        </w:rPr>
        <w:t xml:space="preserve"> on our own or in a strategic collaboration. Before we generate any revenues from product sales, we must produce additional product candidates through drug rescue and we or our potential strategic collaborator must complete preclinical and clinical development of one or more of our product candidates, conduct human subject research,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6" w:name="page27"/>
    <w:bookmarkEnd w:id="2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have not previously submitted a biologics license application, or BLA, or a new drug application or NDA, to the FDA, or similar drug approval filings to comparable foreign authorities, for any product candidate.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or our potential collaborator may also seek regulatory approval to commercialize our product candidates in the United States, the European Union and potentially in additional foreign countries. While the scope of regulatory approval is similar in other countries, to obtain separate regulatory approval in many other countries we must comply with numerous and varying regulatory requirements of such countries regarding safety and efficacy, clinical trials and commercial sales, pricing and distribution of our product candidates, and we cannot predict success in these jurisdictions.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Our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internal validation studies have not been subjected to extensive external peer review or validation.</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Our proprietary internal studies conducted to validate the utility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for drug rescue, including our ability to use it to predict the cardiac effects, both toxic and nontoxic,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have not been subjected to extensive external peer review or validation. It is possible, therefore, that the results we have obtained from our successful internal validation studies may not be replicable by external peer reviewers. We are currently focused on identifying and assessing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available in the public domain. However, should we seek to license or acquire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from third-parties, and such third-parties cannot replicate our results or do not have confidence in the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it may be difficult for us to acquire from them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which might be of interest to us. Even if such results can be replicated by external peer reviewers or other third-parties, they may nevertheless conclude that their current screening models are better than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that a license to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we seek from them is not warranted. Our drug rescue business model is predicated on our ability to identify and, if information is not otherwise available in the public domain, obtain licenses from third-parties to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of interest to us. If third-party licenses are required, and if we cannot obtain such licenses to on reasonable terms, or at all, our business may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Variants, then our drug rescue business will be adversely affected.</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have successfully developed proprietary protocols for controlling the differentiation of human pluripotent stem cells to produce functional, mature, adult liver cells. However, we have not yet fully validated our ability to use the human liver cells we produce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predict important biological effects, both toxic and nontoxic, of reference drugs,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drug rescue and regenerative medicine.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7" w:name="page28"/>
    <w:bookmarkEnd w:id="2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when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Variants for which there proves to be no demand.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To generate revenue from our drug rescue activities, we must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demand within the healthcare marketplace, and, if we intend to out-license a particular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for development and commercialization prior to market approval, then also among pharmaceutical companies and other potential strategic collaborators. However, we may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no or limited demand in the healthcare market and/or among pharmaceutical companies and others. If we misinterpret market conditions, underestimate development costs and/or seek to rescue the wrong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we may fail to generate sufficient revenue or other value, on our own or in collaboration with others, to justify our investments, and our drug rescue business may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Our human pluripotent stem cell technology is new and technically complex, and the time and resources necessary to develop new cell types and customized bioassay systems are difficult to predict in advance. We intend to devote significant personnel and financial resources to research and development activities designed to expand, in the case of drug rescue, and explore, in the case of regenerative medicine, potential applications of our </w:t>
      </w:r>
      <w:r>
        <w:rPr>
          <w:rFonts w:ascii="Arial" w:cs="Arial" w:eastAsia="Arial" w:hAnsi="Arial"/>
          <w:sz w:val="11"/>
          <w:szCs w:val="11"/>
          <w:i w:val="1"/>
          <w:iCs w:val="1"/>
          <w:color w:val="auto"/>
        </w:rPr>
        <w:t>Human Clinical Trials in a</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Test Tube </w:t>
      </w:r>
      <w:r>
        <w:rPr>
          <w:rFonts w:ascii="Arial" w:cs="Arial" w:eastAsia="Arial" w:hAnsi="Arial"/>
          <w:sz w:val="11"/>
          <w:szCs w:val="11"/>
          <w:color w:val="auto"/>
        </w:rPr>
        <w:t>platform. In particular, we are planning to conduct development programs related to producing and using functional, mature adult liver cells to validate</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as a novel bioassay system for drug rescue, as well as</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exploratory nonclinical regenerative medicine programs involving blood, bone, cartilage, heart, liver and insulin-producing pancreatic beta-islet cells.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t>
      </w:r>
      <w:r>
        <w:rPr>
          <w:rFonts w:ascii="Arial" w:cs="Arial" w:eastAsia="Arial" w:hAnsi="Arial"/>
          <w:sz w:val="11"/>
          <w:szCs w:val="11"/>
          <w:i w:val="1"/>
          <w:iCs w:val="1"/>
          <w:color w:val="auto"/>
        </w:rPr>
        <w:t>Drug Rescue Variants</w:t>
      </w:r>
      <w:r>
        <w:rPr>
          <w:rFonts w:ascii="Arial" w:cs="Arial" w:eastAsia="Arial" w:hAnsi="Arial"/>
          <w:sz w:val="11"/>
          <w:szCs w:val="11"/>
          <w:color w:val="auto"/>
        </w:rPr>
        <w:t>,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liver and pancreatic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liver and insulin-producing pancreatic beta-islet cells could have a substantial adverse effect on our potential drug rescue and regenerative medicine business opportunities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keep up with rapid technological changes in our field, we will be unable to operate profitably.</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effectively than we can to new opportunities. In light of these advantages, even if our technology is effective in producing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potential development partners might prefer new drug candidates available from others or develop their own new drug candidates in lieu of licensing or purchasing our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Rescue Variants</w:t>
      </w:r>
      <w:r>
        <w:rPr>
          <w:rFonts w:ascii="Arial" w:cs="Arial" w:eastAsia="Arial" w:hAnsi="Arial"/>
          <w:sz w:val="11"/>
          <w:szCs w:val="11"/>
          <w:color w:val="auto"/>
        </w:rPr>
        <w:t>. We may not be able to compete effectively against these organizations. Our failure to compete effectively could materially and adversely affect our business, financial condition and results of operations.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8" w:name="page29"/>
    <w:bookmarkEnd w:id="2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 candidates before, or more successfully, than we do.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Our future success depends on our ability to demonstrate and maintain a competitive advantage with respect to the design,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competitors may succeed in developing product candidates for the same indications we are pursuing before we do, obtaining regulatory approval for competing products or gaining acceptance of their products within the same markets that we are targeting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either on our own or in collaboration with a strategic partner, we are not "first to market" with one of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competitive position could be compromised because it may be more difficult for us or our partner to obtain marketing approval for our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successfully market it as a second competitor. We expect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commercialize, either independently or in collaboration, will compete with products from other companies in the biotechnology and pharmaceutical industries.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80" w:lineRule="exact"/>
        <w:rPr>
          <w:sz w:val="20"/>
          <w:szCs w:val="20"/>
          <w:color w:val="auto"/>
        </w:rPr>
      </w:pPr>
    </w:p>
    <w:p>
      <w:pPr>
        <w:ind w:left="420" w:hanging="227"/>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design, develop, produce and commercialize, either on our own or with collaborators,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are superior to other products in development or in the market;</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attract qualified scientific, medical, sales and marketing and commercial personnel or collaborators;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obtain patent and/or other proprietary protection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obtain, either on our own or in collaboration with strategic partners, required regulatory approvals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Established competitors may invest heavily to quickly discover and develop novel compounds that could make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Other companies, academic institutions, government agencies and other public and private research organizations are conducting research, seeking patent protection and establishing collaborative arrangements for research, development and marketing of assays similar to ours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produce. These companies and institutions also compete with us in recruiting and retaining qualified scientific and management personnel, obtaining collaborators and licensees, as well as in acquiring technologies complementary to our programs.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a result of the foregoing, our competitors may develop more effective or more affordable products, or achieve earlier patent protection or product commercialization than we will. Most significantly, competitive products may render any technologies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develop obsolete, which would negatively impact our business and ability to sustain operations.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With respect to drug rescue,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These established companies have a competitive advantage over us due to their size, cash resources and greater clinical development and commercialization capabilities. In addition, companies that perceive us to be a competitor may be unwilling to sell or license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rights to us. We have limited experience in negotiating licenses to drug candidates and there can be no assurances that we will be able to acquire or obtain licenses to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in the future, on commercially reasonable terms, if at all, should we elect to pursue such third-party licenses. If we are unable to acquire or obtain licenses to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seek, our business may be adversely affected.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9" w:name="page30"/>
    <w:bookmarkEnd w:id="2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political commentary regarding such research and development could impair our ability to conduct or sponsor certain potential collaborative research and development programs and adversely affect the market price of our common stock.</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Some of our most important ongoing and planned research and development programs involve the use of human embryonic stem cells (</w:t>
      </w:r>
      <w:r>
        <w:rPr>
          <w:rFonts w:ascii="Arial" w:cs="Arial" w:eastAsia="Arial" w:hAnsi="Arial"/>
          <w:sz w:val="11"/>
          <w:szCs w:val="11"/>
          <w:i w:val="1"/>
          <w:iCs w:val="1"/>
          <w:color w:val="auto"/>
        </w:rPr>
        <w:t>hESCs</w:t>
      </w:r>
      <w:r>
        <w:rPr>
          <w:rFonts w:ascii="Arial" w:cs="Arial" w:eastAsia="Arial" w:hAnsi="Arial"/>
          <w:sz w:val="11"/>
          <w:szCs w:val="11"/>
          <w:color w:val="auto"/>
        </w:rPr>
        <w:t xml:space="preserve">).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fertilization (</w:t>
      </w:r>
      <w:r>
        <w:rPr>
          <w:rFonts w:ascii="Arial" w:cs="Arial" w:eastAsia="Arial" w:hAnsi="Arial"/>
          <w:sz w:val="11"/>
          <w:szCs w:val="11"/>
          <w:i w:val="1"/>
          <w:iCs w:val="1"/>
          <w:color w:val="auto"/>
        </w:rPr>
        <w:t>IVF</w:t>
      </w:r>
      <w:r>
        <w:rPr>
          <w:rFonts w:ascii="Arial" w:cs="Arial" w:eastAsia="Arial" w:hAnsi="Arial"/>
          <w:sz w:val="11"/>
          <w:szCs w:val="11"/>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or our plans to pursue pilot nonclinical regenerative medicine studies involving human cells derived from iPSCs, because their derivation does not involve the use of embryonic tissues.</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Human Clinical Trials in a Test Tube platform could be harmed.</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use both hESCs and iPSCs for drug rescue purposes. However, we anticipate that our future exploratory research and development focused on potential regenerative medicine applications of our </w:t>
      </w:r>
      <w:r>
        <w:rPr>
          <w:rFonts w:ascii="Arial" w:cs="Arial" w:eastAsia="Arial" w:hAnsi="Arial"/>
          <w:sz w:val="11"/>
          <w:szCs w:val="11"/>
          <w:i w:val="1"/>
          <w:iCs w:val="1"/>
          <w:color w:val="auto"/>
        </w:rPr>
        <w:t>Human Clinical Trials in a Test</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Tube </w:t>
      </w:r>
      <w:r>
        <w:rPr>
          <w:rFonts w:ascii="Arial" w:cs="Arial" w:eastAsia="Arial" w:hAnsi="Arial"/>
          <w:sz w:val="11"/>
          <w:szCs w:val="11"/>
          <w:color w:val="auto"/>
        </w:rPr>
        <w:t>platform primarily will involve iPSCs. With respect to iPSCs, we believe scientists are still somewhat uncertain about the clinical utility, life span, and safety of such cells, and whether such cells differ in any clinically significant</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ways from hESCs. If we discover that iPSCs will not be useful for whatever reason for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this would negatively affect our ability to explore expansion of our platform, including, in particular, where it would be preferable to use iPSCs to reproduce rather than approximate the effects of certain specific genetic variations.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trials and commercialize our Drug Rescue Variants.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Our success depends in part on our continued ability to attract, retain and motivate highly qualified management and scientific and technical personnel. We are highly dependent upon our senior management, as well as other employees, consultants and scientific collaborators. As of June 1, 2014, we had 10 full-time employees, which may make us more reliant on our individual employees than companies with a greater number of employees. Although none of our key scientific personnel or members of our senior management has informed us that he or she intends to resign or retire in the near future, the loss of services of any of these individuals could delay or prevent the successful development of potential expansions and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and our production of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or disrupt our administrative functions.</w:t>
      </w:r>
    </w:p>
    <w:p>
      <w:pPr>
        <w:spacing w:after="0" w:line="127"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0" w:name="page31"/>
    <w:bookmarkEnd w:id="3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we rely on consultants and advisors, including scientific and clinical advisors, to assist us in formulating our research and development strategy, including our drug rescue strategy. Our consultants and advisors may be employed by employers other than us and may have commitments under consulting or advisory contracts with other entities that may limit their availability to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we seek to advance our proposed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programs,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develop and validate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If we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regenerative medicine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7" w:lineRule="exact"/>
        <w:rPr>
          <w:sz w:val="20"/>
          <w:szCs w:val="20"/>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decreased demand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products that we may develop;</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 w:name="page32"/>
    <w:bookmarkEnd w:id="3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To the extent we enter into licensing or collaboration agreements to develop and commercialize our product candidates, including Drug Rescue Variants, our dependence on such relationships may adversely affect our business.</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any </w:t>
      </w:r>
      <w:r>
        <w:rPr>
          <w:rFonts w:ascii="Arial" w:cs="Arial" w:eastAsia="Arial" w:hAnsi="Arial"/>
          <w:sz w:val="11"/>
          <w:szCs w:val="11"/>
          <w:i w:val="1"/>
          <w:iCs w:val="1"/>
          <w:color w:val="auto"/>
        </w:rPr>
        <w:t>Drug Rescue Variants</w:t>
      </w:r>
      <w:r>
        <w:rPr>
          <w:rFonts w:ascii="Arial" w:cs="Arial" w:eastAsia="Arial" w:hAnsi="Arial"/>
          <w:sz w:val="11"/>
          <w:szCs w:val="11"/>
          <w:color w:val="auto"/>
        </w:rPr>
        <w:t>, may depend on our ability to enter into such agreements with third-party collaborators. We face significant competition in seeking 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14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cannot provide any assurance that our future collaborations will not terminate development before achievement of revenue-generating milestones or market approval, that our future collaborative arrangements will result in successful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that we will derive any revenues from such future arrangements. The failure of any collaborator to conduct, successfully and diligently, their collaborative activities relating to the product candidate we license or sell to them would have a material adverse effect on us. Additionally, to the extent that we are unable to license or sell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to pharmaceutical companies or others, we would require substantial additional capital to undertake development and commercialization activities for any such product candidate on our own, and that substantial additional capital may not be available to us on a timely basis, on reasonable terms, or at all.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2" w:name="page33"/>
    <w:bookmarkEnd w:id="3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123" w:lineRule="exact"/>
        <w:rPr>
          <w:sz w:val="20"/>
          <w:szCs w:val="20"/>
          <w:color w:val="auto"/>
        </w:rPr>
      </w:pPr>
    </w:p>
    <w:p>
      <w:pPr>
        <w:ind w:left="420" w:hanging="227"/>
        <w:spacing w:after="0" w:line="323" w:lineRule="auto"/>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09" w:lineRule="exact"/>
        <w:rPr>
          <w:rFonts w:ascii="Arial" w:cs="Arial" w:eastAsia="Arial" w:hAnsi="Arial"/>
          <w:sz w:val="11"/>
          <w:szCs w:val="11"/>
          <w:color w:val="auto"/>
        </w:rPr>
      </w:pPr>
    </w:p>
    <w:p>
      <w:pPr>
        <w:ind w:left="420" w:hanging="227"/>
        <w:spacing w:after="0" w:line="323" w:lineRule="auto"/>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09" w:lineRule="exact"/>
        <w:rPr>
          <w:rFonts w:ascii="Arial" w:cs="Arial" w:eastAsia="Arial" w:hAnsi="Arial"/>
          <w:sz w:val="11"/>
          <w:szCs w:val="11"/>
          <w:color w:val="auto"/>
        </w:rPr>
      </w:pPr>
    </w:p>
    <w:p>
      <w:pPr>
        <w:jc w:val="both"/>
        <w:ind w:left="420" w:hanging="227"/>
        <w:spacing w:after="0" w:line="259"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w:t>
      </w:r>
      <w:r>
        <w:rPr>
          <w:rFonts w:ascii="Arial" w:cs="Arial" w:eastAsia="Arial" w:hAnsi="Arial"/>
          <w:sz w:val="12"/>
          <w:szCs w:val="12"/>
          <w:i w:val="1"/>
          <w:iCs w:val="1"/>
          <w:color w:val="auto"/>
        </w:rPr>
        <w:t>HIPAA</w:t>
      </w:r>
      <w:r>
        <w:rPr>
          <w:rFonts w:ascii="Arial" w:cs="Arial" w:eastAsia="Arial" w:hAnsi="Arial"/>
          <w:sz w:val="12"/>
          <w:szCs w:val="12"/>
          <w:color w:val="auto"/>
        </w:rPr>
        <w:t>), as amended by the Health Information Technology for Economic and Clinical Health Act (</w:t>
      </w:r>
      <w:r>
        <w:rPr>
          <w:rFonts w:ascii="Arial" w:cs="Arial" w:eastAsia="Arial" w:hAnsi="Arial"/>
          <w:sz w:val="12"/>
          <w:szCs w:val="12"/>
          <w:i w:val="1"/>
          <w:iCs w:val="1"/>
          <w:color w:val="auto"/>
        </w:rPr>
        <w:t>HITECH</w:t>
      </w:r>
      <w:r>
        <w:rPr>
          <w:rFonts w:ascii="Arial" w:cs="Arial" w:eastAsia="Arial" w:hAnsi="Arial"/>
          <w:sz w:val="12"/>
          <w:szCs w:val="12"/>
          <w:color w:val="auto"/>
        </w:rPr>
        <w:t>),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42" w:lineRule="exact"/>
        <w:rPr>
          <w:rFonts w:ascii="Arial" w:cs="Arial" w:eastAsia="Arial" w:hAnsi="Arial"/>
          <w:sz w:val="12"/>
          <w:szCs w:val="12"/>
          <w:color w:val="auto"/>
        </w:rPr>
      </w:pPr>
    </w:p>
    <w:p>
      <w:pPr>
        <w:ind w:left="420" w:hanging="227"/>
        <w:spacing w:after="0" w:line="276"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ind w:left="420" w:hanging="227"/>
        <w:spacing w:after="0" w:line="276" w:lineRule="auto"/>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32" w:lineRule="exact"/>
        <w:rPr>
          <w:rFonts w:ascii="Arial" w:cs="Arial" w:eastAsia="Arial" w:hAnsi="Arial"/>
          <w:sz w:val="12"/>
          <w:szCs w:val="12"/>
          <w:color w:val="auto"/>
        </w:rPr>
      </w:pPr>
    </w:p>
    <w:p>
      <w:pPr>
        <w:jc w:val="both"/>
        <w:ind w:left="420" w:hanging="227"/>
        <w:spacing w:after="0" w:line="298" w:lineRule="auto"/>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23" w:lineRule="exact"/>
        <w:rPr>
          <w:rFonts w:ascii="Arial" w:cs="Arial" w:eastAsia="Arial" w:hAnsi="Arial"/>
          <w:sz w:val="11"/>
          <w:szCs w:val="11"/>
          <w:color w:val="auto"/>
        </w:rPr>
      </w:pPr>
    </w:p>
    <w:p>
      <w:pPr>
        <w:ind w:left="420" w:hanging="227"/>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analogous anti-kickback, fraud and abuse and healthcare laws and regulations in foreign countries.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3" w:name="page34"/>
    <w:bookmarkEnd w:id="3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33"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4" w:name="page35"/>
    <w:bookmarkEnd w:id="3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To the extent that our future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4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human cell-based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Our human cells and human cell-based bioassay systems,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intend to rely on third-party contract manufacturers to produce our product candidate supplies and we intend to rely on such third-party manufacturers to produce commercial supplies of any approved product candidates we develop on our own. Any failure by a third-party manufacturer to produce for us supplies of product candidates we elect to develop on our own may delay or impair our ability to initiate or complete clinical trials, commercialize our product candidates, or continue to sell any products we commercialize.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do not currently own or operate any manufacturing facilities, and we lack sufficient internal staff to produce product candidate supplies ourselves. As a result, we plan to work with third-party contract manufacturers to produce sufficient quantities of our product candidates for future preclinical and clinical testing and commercialization. If we are unable to arrange for such a third-party manufacturing source, or fail to do so on commercially reasonable terms or on a timely basis, we or our potential strategic partner may not be able to successfully produce, develop, and market our product candidates or may be delayed in doing so.</w:t>
      </w:r>
    </w:p>
    <w:p>
      <w:pPr>
        <w:spacing w:after="0" w:line="14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w:t>
      </w:r>
      <w:r>
        <w:rPr>
          <w:rFonts w:ascii="Arial" w:cs="Arial" w:eastAsia="Arial" w:hAnsi="Arial"/>
          <w:sz w:val="11"/>
          <w:szCs w:val="11"/>
          <w:i w:val="1"/>
          <w:iCs w:val="1"/>
          <w:color w:val="auto"/>
        </w:rPr>
        <w:t>Drug Rescue Variants</w:t>
      </w:r>
      <w:r>
        <w:rPr>
          <w:rFonts w:ascii="Arial" w:cs="Arial" w:eastAsia="Arial" w:hAnsi="Arial"/>
          <w:sz w:val="11"/>
          <w:szCs w:val="11"/>
          <w:color w:val="auto"/>
        </w:rPr>
        <w:t>.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5" w:name="page36"/>
    <w:bookmarkEnd w:id="3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16" w:lineRule="auto"/>
        <w:rPr>
          <w:sz w:val="20"/>
          <w:szCs w:val="20"/>
          <w:color w:val="auto"/>
        </w:rPr>
      </w:pPr>
      <w:r>
        <w:rPr>
          <w:rFonts w:ascii="Arial" w:cs="Arial" w:eastAsia="Arial" w:hAnsi="Arial"/>
          <w:sz w:val="10"/>
          <w:szCs w:val="10"/>
          <w:color w:val="auto"/>
        </w:rPr>
        <w:t>We have limited staffing. 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in the future, we are unable to enter into licensing or collaboration agreements for the sales, marketing and distribution of our Drug Rescue Variants and other product candidates, such as AV-101, we may not be successful in commercializing our Drug Rescue Variants and other product candidates.</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We currently have a relatively small number of employees and do not have a sales or marketing infrastructure, and we, including our executive officers, do not have any significant sales, marketing or distribution experience. We will be opportunistic in seeking to collaborate with others to develop and commercialize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and future products if and when they are developed and approved.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the risks of earthquakes, fire, floods and other natural catastrophic events, and to interruption by man-made problems such as computer viruses or terrorism.</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Our corporate headquarters are located in the San Francisco Bay Area, a region known for seismic activity. A significant natural disaster, such as an earthquake, fire or a flood, could harm our business. In addition, our servers are vulnerable to computer viruses, break-ins and similar disruptions from unauthorized tampering with our computer systems. In addition, acts of terrorism or war could cause disruptions in our business or the economy as a whole.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6" w:name="page37"/>
    <w:bookmarkEnd w:id="3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to ensure compliance with corporate governance, federal securities law and accounting requirements.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Since becoming a public company by means of a strategic reverse merger in 2011, we have been subject to the reporting requirements of the Securities Exchange Act of 1934, as amended (</w:t>
      </w:r>
      <w:r>
        <w:rPr>
          <w:rFonts w:ascii="Arial" w:cs="Arial" w:eastAsia="Arial" w:hAnsi="Arial"/>
          <w:sz w:val="11"/>
          <w:szCs w:val="11"/>
          <w:i w:val="1"/>
          <w:iCs w:val="1"/>
          <w:color w:val="auto"/>
        </w:rPr>
        <w:t>Exchange Act</w:t>
      </w:r>
      <w:r>
        <w:rPr>
          <w:rFonts w:ascii="Arial" w:cs="Arial" w:eastAsia="Arial" w:hAnsi="Arial"/>
          <w:sz w:val="11"/>
          <w:szCs w:val="11"/>
          <w:color w:val="auto"/>
        </w:rPr>
        <w:t>), which requires that we file annual, quarterly and current reports with respect to our business and financial condition, and the rules and regulations implemented by the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filing and internal control reporting requirements imposed by federal securities laws, rules and regulations are rigorous and we may not be able to continue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federal securities laws, rules or regulations could subject us to fines or regulatory actions, which may materially adversely affect our business, results of operations and financial condition.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7" w:name="page38"/>
    <w:bookmarkEnd w:id="3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Production, Development, and Regulatory Approval of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Even if we are able to begin clinical trails for a Drug Rescue Variant, we may encounter considerable delays and/or expend considerable resources without producing a marketable product capable of generating revenue.</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We may never generate revenues from sales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any other product because of a variety of risks inherent in our business, including the following:</w:t>
      </w:r>
    </w:p>
    <w:p>
      <w:pPr>
        <w:spacing w:after="0" w:line="150" w:lineRule="exact"/>
        <w:rPr>
          <w:sz w:val="20"/>
          <w:szCs w:val="20"/>
          <w:color w:val="auto"/>
        </w:rPr>
      </w:pPr>
    </w:p>
    <w:p>
      <w:pPr>
        <w:ind w:left="920" w:hanging="425"/>
        <w:spacing w:after="0"/>
        <w:tabs>
          <w:tab w:leader="none" w:pos="9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clinical trials may not demonstrate the safety and efficacy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w:t>
      </w:r>
    </w:p>
    <w:p>
      <w:pPr>
        <w:spacing w:after="0" w:line="150" w:lineRule="exact"/>
        <w:rPr>
          <w:rFonts w:ascii="Arial" w:cs="Arial" w:eastAsia="Arial" w:hAnsi="Arial"/>
          <w:sz w:val="12"/>
          <w:szCs w:val="12"/>
          <w:color w:val="auto"/>
        </w:rPr>
      </w:pPr>
    </w:p>
    <w:p>
      <w:pPr>
        <w:ind w:left="920" w:hanging="425"/>
        <w:spacing w:after="0"/>
        <w:tabs>
          <w:tab w:leader="none" w:pos="9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completion of nonclinical or clinical trials may be delayed, or costs of nonclinical or clinical trials may exceed anticipated amounts;</w:t>
      </w:r>
    </w:p>
    <w:p>
      <w:pPr>
        <w:spacing w:after="0" w:line="150" w:lineRule="exact"/>
        <w:rPr>
          <w:rFonts w:ascii="Arial" w:cs="Arial" w:eastAsia="Arial" w:hAnsi="Arial"/>
          <w:sz w:val="12"/>
          <w:szCs w:val="12"/>
          <w:color w:val="auto"/>
        </w:rPr>
      </w:pPr>
    </w:p>
    <w:p>
      <w:pPr>
        <w:ind w:left="920" w:hanging="425"/>
        <w:spacing w:after="0" w:line="276" w:lineRule="auto"/>
        <w:tabs>
          <w:tab w:leader="none" w:pos="9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we may not be able to obtain regulatory approval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 or we may experience delays in obtaining any such approval;</w:t>
      </w:r>
    </w:p>
    <w:p>
      <w:pPr>
        <w:spacing w:after="0" w:line="114" w:lineRule="exact"/>
        <w:rPr>
          <w:rFonts w:ascii="Arial" w:cs="Arial" w:eastAsia="Arial" w:hAnsi="Arial"/>
          <w:sz w:val="12"/>
          <w:szCs w:val="12"/>
          <w:color w:val="auto"/>
        </w:rPr>
      </w:pPr>
    </w:p>
    <w:p>
      <w:pPr>
        <w:ind w:left="920" w:hanging="425"/>
        <w:spacing w:after="0" w:line="276" w:lineRule="auto"/>
        <w:tabs>
          <w:tab w:leader="none" w:pos="9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we may not be able to manufacture, or have manufactured for us,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economically, timely and on a commercial scale;</w:t>
      </w:r>
    </w:p>
    <w:p>
      <w:pPr>
        <w:spacing w:after="0" w:line="114" w:lineRule="exact"/>
        <w:rPr>
          <w:rFonts w:ascii="Arial" w:cs="Arial" w:eastAsia="Arial" w:hAnsi="Arial"/>
          <w:sz w:val="12"/>
          <w:szCs w:val="12"/>
          <w:color w:val="auto"/>
        </w:rPr>
      </w:pPr>
    </w:p>
    <w:p>
      <w:pPr>
        <w:ind w:left="920" w:hanging="425"/>
        <w:spacing w:after="0"/>
        <w:tabs>
          <w:tab w:leader="none" w:pos="9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we and any licensees of ours may not be able to successfully market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w:t>
      </w:r>
    </w:p>
    <w:p>
      <w:pPr>
        <w:spacing w:after="0" w:line="150" w:lineRule="exact"/>
        <w:rPr>
          <w:rFonts w:ascii="Arial" w:cs="Arial" w:eastAsia="Arial" w:hAnsi="Arial"/>
          <w:sz w:val="12"/>
          <w:szCs w:val="12"/>
          <w:color w:val="auto"/>
        </w:rPr>
      </w:pPr>
    </w:p>
    <w:p>
      <w:pPr>
        <w:ind w:left="920" w:hanging="425"/>
        <w:spacing w:after="0"/>
        <w:tabs>
          <w:tab w:leader="none" w:pos="9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 xml:space="preserve">physicians may not prescribe our products, or patients or third party payors may not accept our </w:t>
      </w:r>
      <w:r>
        <w:rPr>
          <w:rFonts w:ascii="Arial" w:cs="Arial" w:eastAsia="Arial" w:hAnsi="Arial"/>
          <w:sz w:val="11"/>
          <w:szCs w:val="11"/>
          <w:i w:val="1"/>
          <w:iCs w:val="1"/>
          <w:color w:val="auto"/>
        </w:rPr>
        <w:t>Drug Rescue Variants</w:t>
      </w:r>
      <w:r>
        <w:rPr>
          <w:rFonts w:ascii="Arial" w:cs="Arial" w:eastAsia="Arial" w:hAnsi="Arial"/>
          <w:sz w:val="11"/>
          <w:szCs w:val="11"/>
          <w:color w:val="auto"/>
        </w:rPr>
        <w:t>, other drug candidates, biological candidates or regenerative medicine product candidates;</w:t>
      </w:r>
    </w:p>
    <w:p>
      <w:pPr>
        <w:spacing w:after="0" w:line="161" w:lineRule="exact"/>
        <w:rPr>
          <w:rFonts w:ascii="Arial" w:cs="Arial" w:eastAsia="Arial" w:hAnsi="Arial"/>
          <w:sz w:val="11"/>
          <w:szCs w:val="11"/>
          <w:color w:val="auto"/>
        </w:rPr>
      </w:pPr>
    </w:p>
    <w:p>
      <w:pPr>
        <w:ind w:left="920" w:hanging="425"/>
        <w:spacing w:after="0"/>
        <w:tabs>
          <w:tab w:leader="none" w:pos="9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others may have proprietary rights which prevent us from marketing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and</w:t>
      </w:r>
    </w:p>
    <w:p>
      <w:pPr>
        <w:spacing w:after="0" w:line="150" w:lineRule="exact"/>
        <w:rPr>
          <w:rFonts w:ascii="Arial" w:cs="Arial" w:eastAsia="Arial" w:hAnsi="Arial"/>
          <w:sz w:val="12"/>
          <w:szCs w:val="12"/>
          <w:color w:val="auto"/>
        </w:rPr>
      </w:pPr>
    </w:p>
    <w:p>
      <w:pPr>
        <w:ind w:left="920" w:hanging="425"/>
        <w:spacing w:after="0"/>
        <w:tabs>
          <w:tab w:leader="none" w:pos="9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competitors may sell similar, superior or lower-cost products.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38" w:name="page39"/>
    <w:bookmarkEnd w:id="3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 the event we are able to begin a clinical trial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our or our collaborator’s future clinical trials may be delayed or halted for many reasons, including:</w:t>
      </w:r>
    </w:p>
    <w:p>
      <w:pPr>
        <w:spacing w:after="0" w:line="168" w:lineRule="exact"/>
        <w:rPr>
          <w:sz w:val="20"/>
          <w:szCs w:val="20"/>
          <w:color w:val="auto"/>
        </w:rPr>
      </w:pPr>
    </w:p>
    <w:p>
      <w:pPr>
        <w:ind w:left="420" w:right="20" w:hanging="227"/>
        <w:spacing w:after="0" w:line="276" w:lineRule="auto"/>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delays or failure reaching agreement on acceptable terms with prospective contract manufacturing organizations (</w:t>
      </w:r>
      <w:r>
        <w:rPr>
          <w:rFonts w:ascii="Arial" w:cs="Arial" w:eastAsia="Arial" w:hAnsi="Arial"/>
          <w:sz w:val="12"/>
          <w:szCs w:val="12"/>
          <w:i w:val="1"/>
          <w:iCs w:val="1"/>
          <w:color w:val="auto"/>
        </w:rPr>
        <w:t>CMOs</w:t>
      </w:r>
      <w:r>
        <w:rPr>
          <w:rFonts w:ascii="Arial" w:cs="Arial" w:eastAsia="Arial" w:hAnsi="Arial"/>
          <w:sz w:val="12"/>
          <w:szCs w:val="12"/>
          <w:color w:val="auto"/>
        </w:rPr>
        <w:t>), contract research organizations (</w:t>
      </w:r>
      <w:r>
        <w:rPr>
          <w:rFonts w:ascii="Arial" w:cs="Arial" w:eastAsia="Arial" w:hAnsi="Arial"/>
          <w:sz w:val="12"/>
          <w:szCs w:val="12"/>
          <w:i w:val="1"/>
          <w:iCs w:val="1"/>
          <w:color w:val="auto"/>
        </w:rPr>
        <w:t>CROs</w:t>
      </w:r>
      <w:r>
        <w:rPr>
          <w:rFonts w:ascii="Arial" w:cs="Arial" w:eastAsia="Arial" w:hAnsi="Arial"/>
          <w:sz w:val="12"/>
          <w:szCs w:val="12"/>
          <w:color w:val="auto"/>
        </w:rPr>
        <w:t>),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failure of third-party contractors, such as CROs and CMOs, or investigators to comply with regulatory requirements or otherwise meet their contractual obligations in a timely manner;</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delays or failure in obtaining the necessary approvals from regulators or institutional review boards (IRBs) in order to commence a clinical trial at a prospective trial site;</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inability to manufacture, or obtain from third parties, a supply of drug product sufficient to complete preclinical studies and clinical trials;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FDA requiring alterations to study designs, preclinical strategy or manufacturing plans;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delays in patient enrollment, and variability in the number and types of patients available for clinical trials, or high drop-out rates of patients;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clinical trial sites deviating from trial protocols or dropping out of a trial and/or the inability to add new clinical trial sites;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difficulty in maintaining contact with patients after treatment, resulting in incomplete data;</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poor effectiveness of our product candidates during clinical trials;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safety issues, including serious adverse events associated with our product candidates and patients' exposure to unacceptable health risks;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receipt by a competitor of marketing approval for a product targeting an indication that one of our product candidates targets, such that we are not "first to market" with our product candidate;</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governmental or regulatory delays and changes in regulatory requirements, policy and guidelines; or</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varying interpretations of data by the FDA and similar foreign regulatory agencies.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or our collaborator could also encounter delays if a clinical trial is suspended or terminated by us, our collaborator, the IRBs of the institutions in which a trial is being conducted, by the Data Safety Monitoring Board (</w:t>
      </w:r>
      <w:r>
        <w:rPr>
          <w:rFonts w:ascii="Arial" w:cs="Arial" w:eastAsia="Arial" w:hAnsi="Arial"/>
          <w:sz w:val="12"/>
          <w:szCs w:val="12"/>
          <w:i w:val="1"/>
          <w:iCs w:val="1"/>
          <w:color w:val="auto"/>
        </w:rPr>
        <w:t>DSMB</w:t>
      </w:r>
      <w:r>
        <w:rPr>
          <w:rFonts w:ascii="Arial" w:cs="Arial" w:eastAsia="Arial" w:hAnsi="Arial"/>
          <w:sz w:val="12"/>
          <w:szCs w:val="12"/>
          <w:color w:val="auto"/>
        </w:rPr>
        <w:t>)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Moreover, if we or our collaborators are able to complete a clinical trial of a product candidate, the results of such trial may not be adequate to support marketing approval. For any such trial, if the FDA disagrees with the choice of primary endpoint or the results for the primary endpoint are not robust or significant relative to control, are subject to confounding factors, or are not adequately supported by other study endpoints, including overall survival or complete response rate, the FDA may refuse to approve a Biologics License Application (</w:t>
      </w:r>
      <w:r>
        <w:rPr>
          <w:rFonts w:ascii="Arial" w:cs="Arial" w:eastAsia="Arial" w:hAnsi="Arial"/>
          <w:sz w:val="11"/>
          <w:szCs w:val="11"/>
          <w:i w:val="1"/>
          <w:iCs w:val="1"/>
          <w:color w:val="auto"/>
        </w:rPr>
        <w:t>BLA</w:t>
      </w:r>
      <w:r>
        <w:rPr>
          <w:rFonts w:ascii="Arial" w:cs="Arial" w:eastAsia="Arial" w:hAnsi="Arial"/>
          <w:sz w:val="11"/>
          <w:szCs w:val="11"/>
          <w:color w:val="auto"/>
        </w:rPr>
        <w:t>) or New Drug Application (</w:t>
      </w:r>
      <w:r>
        <w:rPr>
          <w:rFonts w:ascii="Arial" w:cs="Arial" w:eastAsia="Arial" w:hAnsi="Arial"/>
          <w:sz w:val="11"/>
          <w:szCs w:val="11"/>
          <w:i w:val="1"/>
          <w:iCs w:val="1"/>
          <w:color w:val="auto"/>
        </w:rPr>
        <w:t>NDA</w:t>
      </w:r>
      <w:r>
        <w:rPr>
          <w:rFonts w:ascii="Arial" w:cs="Arial" w:eastAsia="Arial" w:hAnsi="Arial"/>
          <w:sz w:val="11"/>
          <w:szCs w:val="11"/>
          <w:color w:val="auto"/>
        </w:rPr>
        <w:t>). The FDA may require additional clinical trials as a condition for approving our product candidates.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w:t>
      </w:r>
      <w:r>
        <w:rPr>
          <w:rFonts w:ascii="Arial" w:cs="Arial" w:eastAsia="Arial" w:hAnsi="Arial"/>
          <w:sz w:val="12"/>
          <w:szCs w:val="12"/>
          <w:i w:val="1"/>
          <w:iCs w:val="1"/>
          <w:color w:val="auto"/>
        </w:rPr>
        <w:t>IRB</w:t>
      </w:r>
      <w:r>
        <w:rPr>
          <w:rFonts w:ascii="Arial" w:cs="Arial" w:eastAsia="Arial" w:hAnsi="Arial"/>
          <w:sz w:val="12"/>
          <w:szCs w:val="12"/>
          <w:color w:val="auto"/>
        </w:rPr>
        <w:t>)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Our or our collaborator’s future clinical trials can be delayed or halted for many reasons, including:</w:t>
      </w:r>
    </w:p>
    <w:p>
      <w:pPr>
        <w:spacing w:after="0" w:line="168" w:lineRule="exact"/>
        <w:rPr>
          <w:sz w:val="20"/>
          <w:szCs w:val="20"/>
          <w:color w:val="auto"/>
        </w:rPr>
      </w:pPr>
    </w:p>
    <w:p>
      <w:pPr>
        <w:ind w:left="420" w:right="20" w:hanging="227"/>
        <w:spacing w:after="0" w:line="276" w:lineRule="auto"/>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delays or failure reaching agreement on acceptable terms with prospective contract manufacturing organizations (</w:t>
      </w:r>
      <w:r>
        <w:rPr>
          <w:rFonts w:ascii="Arial" w:cs="Arial" w:eastAsia="Arial" w:hAnsi="Arial"/>
          <w:sz w:val="12"/>
          <w:szCs w:val="12"/>
          <w:i w:val="1"/>
          <w:iCs w:val="1"/>
          <w:color w:val="auto"/>
        </w:rPr>
        <w:t>CMOs</w:t>
      </w:r>
      <w:r>
        <w:rPr>
          <w:rFonts w:ascii="Arial" w:cs="Arial" w:eastAsia="Arial" w:hAnsi="Arial"/>
          <w:sz w:val="12"/>
          <w:szCs w:val="12"/>
          <w:color w:val="auto"/>
        </w:rPr>
        <w:t>), contract research organizations (</w:t>
      </w:r>
      <w:r>
        <w:rPr>
          <w:rFonts w:ascii="Arial" w:cs="Arial" w:eastAsia="Arial" w:hAnsi="Arial"/>
          <w:sz w:val="12"/>
          <w:szCs w:val="12"/>
          <w:i w:val="1"/>
          <w:iCs w:val="1"/>
          <w:color w:val="auto"/>
        </w:rPr>
        <w:t>CROs</w:t>
      </w:r>
      <w:r>
        <w:rPr>
          <w:rFonts w:ascii="Arial" w:cs="Arial" w:eastAsia="Arial" w:hAnsi="Arial"/>
          <w:sz w:val="12"/>
          <w:szCs w:val="12"/>
          <w:color w:val="auto"/>
        </w:rPr>
        <w:t>), and clinical trial sites, the terms of which can be subject to extensive negotiation and may vary significantly among different CROs and trial sites;</w:t>
      </w:r>
    </w:p>
    <w:p>
      <w:pPr>
        <w:spacing w:after="0" w:line="114"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failure of third-party contractors, such as CROs and CMOs, or investigators to comply with regulatory requirements or otherwise meet their contractual obligations in a timely manner;</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delays or failure in obtaining the necessary approvals from regulators or IRBs in order to commence a clinical trial at a prospective trial site;</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inability to manufacture, or obtain from third parties, a supply of drug product sufficient to complete preclinical studies and clinical trials;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FDA requiring alterations to study designs, preclinical strategy or manufacturing plans;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delays in patient enrollment, and variability in the number and types of patients available for clinical trials, or high drop-out rates of patients;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clinical trial sites deviating from trial protocols or dropping out of a trial and/or the inability to add new clinical trial sites;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difficulty in maintaining contact with patients after treatment, resulting in incomplete data;</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poor effectiveness of our product candidates during clinical trials;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safety issues, including serious adverse events associated with our product candidates and patients' exposure to unacceptable health risks;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receipt by a competitor of marketing approval for a product targeting an indication that one of our product candidates targets, such that we are not "first to market" with our product candidate;</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governmental or regulatory delays and changes in regulatory requirements, policy and guidelines; or</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varying interpretations of data by the FDA and similar foreign regulatory agencies.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or our collaborator could also encounter delays if a clinical trial is suspended or terminated by us, our collaborator, the IRBs of the institutions in which a trial is being conducted, by the Data Safety Monitoring Board (</w:t>
      </w:r>
      <w:r>
        <w:rPr>
          <w:rFonts w:ascii="Arial" w:cs="Arial" w:eastAsia="Arial" w:hAnsi="Arial"/>
          <w:sz w:val="12"/>
          <w:szCs w:val="12"/>
          <w:i w:val="1"/>
          <w:iCs w:val="1"/>
          <w:color w:val="auto"/>
        </w:rPr>
        <w:t>DSMB</w:t>
      </w:r>
      <w:r>
        <w:rPr>
          <w:rFonts w:ascii="Arial" w:cs="Arial" w:eastAsia="Arial" w:hAnsi="Arial"/>
          <w:sz w:val="12"/>
          <w:szCs w:val="12"/>
          <w:color w:val="auto"/>
        </w:rPr>
        <w:t>)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Moreover, if we or our collaborators are able to complete a clinical trial of a product candidate, the results of such trial may not be adequate to support marketing approval. For any such trial, if the FDA disagrees with the choice of primary endpoint or the results for the primary endpoint are not robust or significant relative to control, are subject to confounding factors, or are not adequately supported by other study endpoints, including overall survival or complete response rate, the FDA may refuse to approve a BLA or NDA. The FDA may require additional clinical trials as a condition for approving our product candidates.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0" w:name="page41"/>
    <w:bookmarkEnd w:id="4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If we or our collaborator experience delays in the completion of,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our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Even if we receive regulatory approval for any of our Drug Rescue Variants or other product candidates,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Any regulatory approvals that we or our potential strategic partners receive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49" w:lineRule="exact"/>
        <w:rPr>
          <w:sz w:val="20"/>
          <w:szCs w:val="20"/>
          <w:color w:val="auto"/>
        </w:rPr>
      </w:pPr>
    </w:p>
    <w:p>
      <w:pPr>
        <w:ind w:left="420" w:hanging="227"/>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withdrawal of the product from the market, or voluntary or mandatory product recalls;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warning letters or holds on clinical trials;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refusal by the FDA to approve pending applications or supplements to approved applications filed by us or our strategic partners, or suspension or revocation of product license approvals;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injunctions, fines or the imposition of other civil or criminal penalties.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2" w:name="page43"/>
    <w:bookmarkEnd w:id="4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Capital Requirements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incurred significant net losses in each fiscal year since our inception, including net losses of $3.0 million and $12.9 million during the fiscal years ending March 31, 2014 and 2013, respectively. As of March 31, 2014, we had an accumulated deficit of $70.6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we expect that our general and administrative expenses will increase in the event we achieve our goal of obtaining a listing on a national securities exchange. The net losses we incur may fluctuate from quarter to quarter.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we do not successfully develop, license, sell or obtain regulatory approval for our future product candidates and effectively manufacture, market and sell, or collaborate to accomplish such activities,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Since our inception, most of our resources have been dedicated to research and development of the drug rescue capabilities of our human pluripotent stem cell technology. In particular, we have expended substantial resources developing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we will continue to expend substantial resources for the foreseeable future developing</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These expenditures will include costs associated with</w:t>
      </w:r>
      <w:r>
        <w:rPr>
          <w:rFonts w:ascii="Arial" w:cs="Arial" w:eastAsia="Arial" w:hAnsi="Arial"/>
          <w:sz w:val="11"/>
          <w:szCs w:val="11"/>
          <w:i w:val="1"/>
          <w:iCs w:val="1"/>
          <w:color w:val="auto"/>
        </w:rPr>
        <w:t xml:space="preserve"> </w:t>
      </w:r>
      <w:r>
        <w:rPr>
          <w:rFonts w:ascii="Arial" w:cs="Arial" w:eastAsia="Arial" w:hAnsi="Arial"/>
          <w:sz w:val="11"/>
          <w:szCs w:val="11"/>
          <w:color w:val="auto"/>
        </w:rPr>
        <w:t>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109" w:lineRule="exact"/>
        <w:rPr>
          <w:sz w:val="20"/>
          <w:szCs w:val="20"/>
          <w:color w:val="auto"/>
        </w:rPr>
      </w:pPr>
    </w:p>
    <w:p>
      <w:pPr>
        <w:jc w:val="both"/>
        <w:ind w:right="20"/>
        <w:spacing w:after="0" w:line="257" w:lineRule="auto"/>
        <w:rPr>
          <w:sz w:val="20"/>
          <w:szCs w:val="20"/>
          <w:color w:val="auto"/>
        </w:rPr>
      </w:pPr>
      <w:r>
        <w:rPr>
          <w:rFonts w:ascii="Arial" w:cs="Arial" w:eastAsia="Arial" w:hAnsi="Arial"/>
          <w:sz w:val="12"/>
          <w:szCs w:val="12"/>
          <w:color w:val="auto"/>
        </w:rPr>
        <w:t xml:space="preserve">We have no current source of revenue to sustain our present activities, and we do not expect to generate revenue until, and unless, we out-license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and/or AV-101 to a third party,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and may seek additional capital due to favorable market conditions or strategic considerations even if we believe we have sufficient funds for our current or future operating plans.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3" w:name="page44"/>
    <w:bookmarkEnd w:id="4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 xml:space="preserve">the number and characteristics of the product candidates we pursue, including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50" w:lineRule="exact"/>
        <w:rPr>
          <w:rFonts w:ascii="Arial" w:cs="Arial" w:eastAsia="Arial" w:hAnsi="Arial"/>
          <w:sz w:val="12"/>
          <w:szCs w:val="12"/>
          <w:color w:val="auto"/>
        </w:rPr>
      </w:pPr>
    </w:p>
    <w:p>
      <w:pPr>
        <w:ind w:left="420" w:right="20" w:hanging="227"/>
        <w:spacing w:after="0" w:line="276"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14"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 delay, limit, reduce or terminate drug rescue programs, preclinical studies, clinical trials or other research and development activities for one or more of our product candidates, or cease or reduce our operating activities and/or sell or license to third parties some or all of our intellectual property, any of which could harm our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will cause dilution to our existing stockholders, and may restrict our operations or require us to relinquish rights to our technologies or product candidates.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will need to seek additional capital through a combination of private and public equity offerings, debt financings, strategic partnerships and alliances and licensing arrangements. 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4" w:name="page45"/>
    <w:bookmarkEnd w:id="4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consolidated financial statements for the year ended March 31, 2014 included in Item 8 of this Annual Report on Form 10-K have been prepared assuming we will continue to operate as a going concern. However, due to our ongoing operating losses and our accumulated deficit, there is doubt about our ability to continue as a going concern. Because we continue to experience net operating losses, our ability to continue as a going concern is subject to our ability to generate a profit and/or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its securities or from alternative sources, it may be required to reduce, defer, or discontinue certain of its research and development activities or it may not be able to continue as a going concern.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If we do not generate sufficient taxable income we may not be able to use a material portion, or any portion, of our existing net operating losses (</w:t>
      </w:r>
      <w:r>
        <w:rPr>
          <w:rFonts w:ascii="Arial" w:cs="Arial" w:eastAsia="Arial" w:hAnsi="Arial"/>
          <w:sz w:val="10"/>
          <w:szCs w:val="10"/>
          <w:i w:val="1"/>
          <w:iCs w:val="1"/>
          <w:color w:val="auto"/>
        </w:rPr>
        <w:t>NOLs</w:t>
      </w:r>
      <w:r>
        <w:rPr>
          <w:rFonts w:ascii="Arial" w:cs="Arial" w:eastAsia="Arial" w:hAnsi="Arial"/>
          <w:sz w:val="10"/>
          <w:szCs w:val="10"/>
          <w:color w:val="auto"/>
        </w:rPr>
        <w:t>).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a future equity-based financing, series of equity-based financings or otherwise,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utilize certain technologies that are licensed to us, including key aspects of our Human Clinical Trials in a Test Tube platform. If the licensors terminate the licenses or fail to maintain or enforce the underlying patents, our competitive position and market share will be harmed, and our business could be adversely affected.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for non-payment of license fees, non-reimbursement of patent expenses, or otherwise,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license rights are further subject to the validity of the owner’s intellectual property rights. As such, we are dependent on our licensors to defend the viability of these patents and patent applications.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5" w:name="page46"/>
    <w:bookmarkEnd w:id="4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Certain of our license agreements are subject to termination by the licensor in specific circumstances, including non-payment of license fees, royalties and patent-related expenses.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or other amounts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44"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Variants we may generate or develop in connection with any such third-party licenses.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If, instead of identifying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based on information available to us in the public domain, we seek to in-license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generate and develop. If we are unable to obtain ownership or substantial economic participation rights over intellectual property related to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we generate, our business may be adversely affected.</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ability to protect our intellectual property and proprietary technology through patents and other means is uncertain, and we could be unsuccessful in obtaining adequate patent protection for one or more of our product candidates.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6" w:name="page47"/>
    <w:bookmarkEnd w:id="4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patent positions of companies in the life sciences industry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be certain that patents we have filed or may file in the future will be issued or granted, or that issued or granted patents will not later be found to be invalid and/or unenforceable. The standards applied by the United States Patent and Trademark Office (</w:t>
      </w:r>
      <w:r>
        <w:rPr>
          <w:rFonts w:ascii="Arial" w:cs="Arial" w:eastAsia="Arial" w:hAnsi="Arial"/>
          <w:sz w:val="11"/>
          <w:szCs w:val="11"/>
          <w:i w:val="1"/>
          <w:iCs w:val="1"/>
          <w:color w:val="auto"/>
        </w:rPr>
        <w:t>US PTO</w:t>
      </w:r>
      <w:r>
        <w:rPr>
          <w:rFonts w:ascii="Arial" w:cs="Arial" w:eastAsia="Arial" w:hAnsi="Arial"/>
          <w:sz w:val="11"/>
          <w:szCs w:val="11"/>
          <w:color w:val="auto"/>
        </w:rPr>
        <w:t>)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of our proprietary products and technology.</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44"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one or more of our product candidates or technologies could be found invalid or unenforceable if challenged in court.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PTO,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platform technology,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Such a loss of patent protection could have a material adverse impact on our business.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Claims that any of our product candidates, including our Human Clinical Trials in a Test Tube, or, if commercialized, the sale or use of our products infringe the patent rights of third parties could result in costly litigation or could require substantial time and money to resolve, even if litigation is avoided.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cannot guarantee that our product candidates, the use of our product candidates, or our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8" w:name="page49"/>
    <w:bookmarkEnd w:id="4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Intellectual property litigation may lead to unfavorable publicity that harms our reputation, and could result in unfavorable outcomes that could limit our research and development activities and/or our ability to commercialize certain products.</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Moreover, 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Confidentiality agreements with employees and third parties may not prevent unauthorized disclosure of trade secrets and other proprietary information.</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examples are illustrative:</w:t>
      </w:r>
    </w:p>
    <w:p>
      <w:pPr>
        <w:spacing w:after="0" w:line="159" w:lineRule="exact"/>
        <w:rPr>
          <w:sz w:val="20"/>
          <w:szCs w:val="20"/>
          <w:color w:val="auto"/>
        </w:rPr>
      </w:pPr>
    </w:p>
    <w:p>
      <w:pPr>
        <w:ind w:left="420" w:hanging="227"/>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Others may be able to make compounds that are the same as or similar to our product candidates but that are not covered by the claims of the patents that we may own or have exclusively licensed;</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We or our licensors or any future strategic partners might not have been the first to make the inventions covered by the issued patent or pending patent application that we may own or have exclusively licensed;</w:t>
      </w:r>
    </w:p>
    <w:p>
      <w:pPr>
        <w:spacing w:after="0" w:line="179" w:lineRule="exact"/>
        <w:rPr>
          <w:rFonts w:ascii="Arial" w:cs="Arial" w:eastAsia="Arial" w:hAnsi="Arial"/>
          <w:sz w:val="11"/>
          <w:szCs w:val="11"/>
          <w:color w:val="auto"/>
        </w:rPr>
      </w:pPr>
    </w:p>
    <w:p>
      <w:pPr>
        <w:ind w:left="420" w:hanging="227"/>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or our licensors or any future strategic partners might not have been the first to file patent applications covering certain of our inventions;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It is possible that our pending patent applications will not lead to issued patents;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68" w:lineRule="exact"/>
        <w:rPr>
          <w:rFonts w:ascii="Arial" w:cs="Arial" w:eastAsia="Arial" w:hAnsi="Arial"/>
          <w:sz w:val="12"/>
          <w:szCs w:val="12"/>
          <w:color w:val="auto"/>
        </w:rPr>
      </w:pPr>
    </w:p>
    <w:p>
      <w:pPr>
        <w:ind w:left="420" w:right="20" w:hanging="227"/>
        <w:spacing w:after="0" w:line="276" w:lineRule="auto"/>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2" w:lineRule="exact"/>
        <w:rPr>
          <w:rFonts w:ascii="Arial" w:cs="Arial" w:eastAsia="Arial" w:hAnsi="Arial"/>
          <w:sz w:val="12"/>
          <w:szCs w:val="12"/>
          <w:color w:val="auto"/>
        </w:rPr>
      </w:pPr>
    </w:p>
    <w:p>
      <w:pPr>
        <w:ind w:left="420" w:hanging="227"/>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not able to obtain and enforce patent protection or other commercial protection for AV-101, the value of AV-101 will be harmed.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Commercial protection of AV-101, our small molecule drug candidate for neuropathic pain and other neurological conditions is important to our business. Our success related to AV-101 will depend in part on our or a potential collaborator’s ability to obtain and enforce potential patents and maintain our trade secrets and secure New Drug Product Exclusivity provided by the FDA under section 505(c)(3)(E) and 505(j)(5)(F) of the Federal Food, Drug, and Cosmetic Act.</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recently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Our ability to execute on our business plan will depend on the talents and efforts of highly skilled individuals with specialized training in the field of stem cell research and bioassay development, as well as medicinal chemistry and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candidate screening and nonclinical and clinical development. Our future success depends on our ability to identify, hire and retain these highly skilled personnel during our development stage. We may hire additional highly skilled scientific and technical employees,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Since we became a publicly-traded company in May 2011, there has been a limited public market for shares of our common stock on the OTCQB Marketplaces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1" w:name="page52"/>
    <w:bookmarkEnd w:id="5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 In addition, the trading price of our common stock may be highly volatile and could be subject to wide fluctuations in response to various factors, some of which are beyond our control. These factors include:</w:t>
      </w:r>
    </w:p>
    <w:p>
      <w:pPr>
        <w:spacing w:after="0" w:line="123" w:lineRule="exact"/>
        <w:rPr>
          <w:sz w:val="20"/>
          <w:szCs w:val="20"/>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actual or anticipated quarterly variation in our results of operations or the results of our competitors;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announcements by us or our competitors of new commercial products, significant contracts, commercial relationships or capital commitments;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financial projections we may provide to the public, any changes to those projections, or our failure to meet those projections;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issuance of new or changed securities analysts’ reports or recommendations for our stock;</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or other proprietary rights;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commencement of, or our involvement in, litigation;</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market conditions in the biopharmaceutical and life sciences sectors;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failure to complete significant sales;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changes in legislation and government regulation;</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public concern regarding the safety, efficacy or other aspects of our products;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entering into, changing or terminating collaborative relationships;</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any shares of our common stock or other securities eligible for future sale;</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any major change to the composition of our board of directors or management; and</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report, there has been a limited public market for shares of our common stock on the OTCQB. Future sales of substantial amounts of shares of our common stock, including shares issued upon the exchange of our Series A Preferred Stock, conversion of convertible promissory notes and exercise of outstanding options and warrants for common stock, in the public market, or the possibility of these sales occurring, could cause the prevailing market price for our common stock to fall or impair our ability to raise equity capital in the future.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Certain of our current institutional stockholders and their respective affiliates beneficially own approximately 46% of our outstanding capital stock, as beneficial ownership is defined by SEC rules and regulations. Accordingly, these stockholders may continue to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such stockholders, refer to Item 12, “Security Ownership of Certain Beneficial Owners and Management and Related Stockholder Matters” in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trading market for our common stock may depend in part on the research and reports that securities or industry analysts publish about us and our business. Securities and industry analysts do not currently, and may never, publish research on our company. If no or too few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our company or fail to publish reports on us regularly, demand for our stock could decrease, which in turn could cause our stock price or trading volume to decline.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Following approval by our stockholders in October 2011, our Articles of Incorporation permit us to issue up to 10.0 million shares of preferred stock and our Board has authorized the issuance of 500,000 shares of Series A Preferred, all of which shares are currently issued and outstanding.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3" w:name="page54"/>
    <w:bookmarkEnd w:id="5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Internal control over financial reporting is a process designed to provide reasonable assurance regarding the reliability of financial reporting and the preparation of financial statements in accordance with GAAP. Our management is currently required to assess the effectiveness of our controls and we are required to disclose changes made in our internal control over financial reporting on a quarterly basis. As a “smaller reporting company,” however, our independent registered public accounting firm is not required to attest to the effectiveness of our internal control over financial reporting pursuant to Section 404 of the Sarbanes-Oxley Act of 2002. If we cannot continue to favorably assess the effectiveness of our internal control over financial reporting, or if our independent registered public accounting firm is unable to provide an unqualified attestation report on our internal controls whenever required in the future, investors could lose confidence in our financial information and the price of our common stock could decline. Additionally, should we cease to be a “smaller reporting company,” we will incur additional expense and management effort to facilitate the required attestation of the effectiveness of our internal control over financial reporting by our independent registered public accounting firm.</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common stock may be considered a “penny stock.”</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Since we became a publicly-traded company in May 2011, our common stock has traded on the OTCQB at a price of less than $5.00 per share. The SEC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quoted only on the OTCQB, investors may find it difficult to obtain accurate quotations of the stock, and may find few buyers to purchase such stock and few market makers to support its price.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paid dividends on our capital stock, and we do not anticipate paying any cash dividends in the foreseeable future.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disclosures in this section are not required since we qualify as a smaller reporting company.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principal executive offices and laboratories are located at 343 Allerton Avenue, South San Francisco, California 94080, where we occupy approximately 10,900 square feet of office and lab space under a lease expiring on July 31, 2017. We believe that our facilities are suitable and adequate for our current and foreseeable needs.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From time to time, we may become involved in claims and other legal matters arising in the ordinary course of business. We are not presently involved in any legal proceeding nor do we know of any legal proceeding which is threatened or contemplated.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4" w:name="page55"/>
    <w:bookmarkEnd w:id="5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June 21, 2011 our common stock began trading on the OTC Marketplace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There was no established trading market for our common stock prior to that date.</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High</w:t>
            </w:r>
          </w:p>
        </w:tc>
        <w:tc>
          <w:tcPr>
            <w:tcW w:w="260" w:type="dxa"/>
            <w:vAlign w:val="bottom"/>
          </w:tcPr>
          <w:p>
            <w:pPr>
              <w:spacing w:after="0"/>
              <w:rPr>
                <w:sz w:val="13"/>
                <w:szCs w:val="13"/>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Low</w:t>
            </w:r>
          </w:p>
        </w:tc>
        <w:tc>
          <w:tcPr>
            <w:tcW w:w="0" w:type="dxa"/>
            <w:vAlign w:val="bottom"/>
          </w:tcPr>
          <w:p>
            <w:pPr>
              <w:spacing w:after="0"/>
              <w:rPr>
                <w:sz w:val="1"/>
                <w:szCs w:val="1"/>
                <w:color w:val="auto"/>
              </w:rPr>
            </w:pPr>
          </w:p>
        </w:tc>
      </w:tr>
      <w:tr>
        <w:trPr>
          <w:trHeight w:val="115"/>
        </w:trPr>
        <w:tc>
          <w:tcPr>
            <w:tcW w:w="884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Year Ending March 31, 2014</w:t>
            </w: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First quarter ending June 30,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0.89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0.61</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7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882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Year Ending March 31, 2013</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First quarter ending June 30, 2012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On June 19, 2014 the closing price of our common stock on the OTCQB was $0.65 per share.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As of June 19, 2014, we had 25,451,877 shares of common stock outstanding and approximately 300 stockholders of record. On the same date, one stockholder held all 500,000 outstanding restricted shares of our Series A Preferred.</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We have not paid any dividends in the past and we do not anticipate that we will pay dividends in the foreseeable future. Covenants in certain of our debt agreements prohibit us from paying dividends while the debt remains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 of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There were no repurchases of our common stock during the fiscal year ended March 31, 2014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5" w:name="page56"/>
    <w:bookmarkEnd w:id="5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During the three years preceding the date of this report, we issued the following securities in private placement transactions which were not registered under the Securities Act of 1933, as amended (</w:t>
      </w:r>
      <w:r>
        <w:rPr>
          <w:rFonts w:ascii="Arial" w:cs="Arial" w:eastAsia="Arial" w:hAnsi="Arial"/>
          <w:sz w:val="12"/>
          <w:szCs w:val="12"/>
          <w:i w:val="1"/>
          <w:iCs w:val="1"/>
          <w:color w:val="auto"/>
        </w:rPr>
        <w:t>Securities Act</w:t>
      </w:r>
      <w:r>
        <w:rPr>
          <w:rFonts w:ascii="Arial" w:cs="Arial" w:eastAsia="Arial" w:hAnsi="Arial"/>
          <w:sz w:val="12"/>
          <w:szCs w:val="12"/>
          <w:color w:val="auto"/>
        </w:rPr>
        <w:t>) and that have not been previously reported in a Quarterly Report on Form 10-Q or a Current Report on Form 8-K: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On March 11, 2014, we entered into a securities purchase agreement with an accredited investor pursuant to which we sold Units consisting of an aggregate of (i) a 10% convertible note in the face amount of $37,500 maturing on July 30, 2014 (</w:t>
      </w:r>
      <w:r>
        <w:rPr>
          <w:rFonts w:ascii="Arial" w:cs="Arial" w:eastAsia="Arial" w:hAnsi="Arial"/>
          <w:sz w:val="11"/>
          <w:szCs w:val="11"/>
          <w:i w:val="1"/>
          <w:iCs w:val="1"/>
          <w:color w:val="auto"/>
        </w:rPr>
        <w:t>2013/2014 Unit Note</w:t>
      </w:r>
      <w:r>
        <w:rPr>
          <w:rFonts w:ascii="Arial" w:cs="Arial" w:eastAsia="Arial" w:hAnsi="Arial"/>
          <w:sz w:val="11"/>
          <w:szCs w:val="11"/>
          <w:color w:val="auto"/>
        </w:rPr>
        <w:t>); (ii) 75,000 shares of our restricted common stock; and (iii) a warrant exercisable through July 30, 2016 to purchase 75,000 shares of our restricted common stock at an exercise price of $1.00 per share (</w:t>
      </w:r>
      <w:r>
        <w:rPr>
          <w:rFonts w:ascii="Arial" w:cs="Arial" w:eastAsia="Arial" w:hAnsi="Arial"/>
          <w:sz w:val="11"/>
          <w:szCs w:val="11"/>
          <w:i w:val="1"/>
          <w:iCs w:val="1"/>
          <w:color w:val="auto"/>
        </w:rPr>
        <w:t>Unit</w:t>
      </w:r>
      <w:r>
        <w:rPr>
          <w:rFonts w:ascii="Arial" w:cs="Arial" w:eastAsia="Arial" w:hAnsi="Arial"/>
          <w:sz w:val="11"/>
          <w:szCs w:val="11"/>
          <w:color w:val="auto"/>
        </w:rPr>
        <w:t xml:space="preserve"> </w:t>
      </w:r>
      <w:r>
        <w:rPr>
          <w:rFonts w:ascii="Arial" w:cs="Arial" w:eastAsia="Arial" w:hAnsi="Arial"/>
          <w:sz w:val="11"/>
          <w:szCs w:val="11"/>
          <w:i w:val="1"/>
          <w:iCs w:val="1"/>
          <w:color w:val="auto"/>
        </w:rPr>
        <w:t>Warrant</w:t>
      </w:r>
      <w:r>
        <w:rPr>
          <w:rFonts w:ascii="Arial" w:cs="Arial" w:eastAsia="Arial" w:hAnsi="Arial"/>
          <w:sz w:val="11"/>
          <w:szCs w:val="11"/>
          <w:color w:val="auto"/>
        </w:rPr>
        <w:t>). We received cash proceeds of $37,500 which we used for general corporate purposes. The Unit Note and related accrued interest are convertible into shares of our restricted common stock at a conversion price of $0.50 per share</w:t>
      </w:r>
      <w:r>
        <w:rPr>
          <w:rFonts w:ascii="Arial" w:cs="Arial" w:eastAsia="Arial" w:hAnsi="Arial"/>
          <w:sz w:val="11"/>
          <w:szCs w:val="11"/>
          <w:i w:val="1"/>
          <w:iCs w:val="1"/>
          <w:color w:val="auto"/>
        </w:rPr>
        <w:t xml:space="preserve"> </w:t>
      </w:r>
      <w:r>
        <w:rPr>
          <w:rFonts w:ascii="Arial" w:cs="Arial" w:eastAsia="Arial" w:hAnsi="Arial"/>
          <w:sz w:val="11"/>
          <w:szCs w:val="11"/>
          <w:color w:val="auto"/>
        </w:rPr>
        <w:t>at or prior to maturity at the option of the investor. The Units were offered and sold in a transaction exempt from registration under the Securities Act, in reliance on Section 4(2) thereof.</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Issued in Satisfaction of Technology License and Maintenance Fees and Patent Expenses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April 10, 2014, we issued (i) a promissory note in the face amount of $300,000 due on the earlier of December 31, 2014 or the completion of a qualified financing, as defined, (ii) 300,000 restricted shares of our common stock and (iii) a warrant exercisable through March 31, 2019 to purchase 300,000 restricted shares of our common stock at an exercise price of $0.50 per share to Icahn School of Medicine at Mount Sinai in satisfaction of $288,400 of license maintenance fees and reimbursable patent prosecution costs. The securities were issued in a private placement transaction exempt from registration under the Securities Act, in reliance on Section 4(2) thereof.</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Issued for Consulting Services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May 21, 2014, we issued to an accredited investor 200,000 restricted shares of our common stock as partial compensation under the terms of a strategic consulting agreement. The securities were issued in a private placement transaction exempt from registration under the Securities Act, in reliance on Section 4(2) thereof.</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2"/>
          <w:szCs w:val="12"/>
          <w:b w:val="1"/>
          <w:bCs w:val="1"/>
          <w:color w:val="auto"/>
        </w:rPr>
        <w:t>tem 6. Selected Financial Data</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disclosures in this section are not required since we qualify as a smaller reporting company.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This Annual Report on Form 10-K includes forward-looking statements. All statements contained in this Annual Report on Form 10-K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“Risk Factors”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on Form 10-K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are a stem cell company headquartered in South San Francisco, California and focused on drug rescue and regenerative medicine. We believe </w:t>
      </w:r>
      <w:r>
        <w:rPr>
          <w:rFonts w:ascii="Arial" w:cs="Arial" w:eastAsia="Arial" w:hAnsi="Arial"/>
          <w:sz w:val="11"/>
          <w:szCs w:val="11"/>
          <w:i w:val="1"/>
          <w:iCs w:val="1"/>
          <w:color w:val="auto"/>
        </w:rPr>
        <w:t>better cells lead to better medicine</w:t>
      </w:r>
      <w:r>
        <w:rPr>
          <w:rFonts w:ascii="Arial" w:cs="Arial" w:eastAsia="Arial" w:hAnsi="Arial"/>
          <w:sz w:val="11"/>
          <w:szCs w:val="11"/>
          <w:color w:val="auto"/>
        </w:rPr>
        <w:t>™ and that the key to making better cells is precisely controlling the differentiation of human pluripotent stem cells, which are the building blocks of all cells of the human body. For over 15 years, our stem cell research and development teams and collaborators have focused on controlling the differentiation of pluripotent stem cells to produce multiple types of mature, functional, adult human cells, with emphasis on human heart and liver cells for drug rescue applications.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Stem Cell Technology Platform - Human Clinical Trials in a Test Tube™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Our stem cell technology platform, which we refer to as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is based on a combination of proprietary and exclusively licensed technologies for controlling the differentiation of human pluripotent stem cells into multiple types of mature, functional, adult human cells that we use, or plan to develop, to reproduce complex human biology and disease. We are currently producing human heart cells and liver cells for our drug rescue applications. However, we also intend to advance, internally and through collaborative research projects, production of pluripotent stem cell-derived blood, bone, cartilage, and pancreatic beta-islet cells and explore ways to leverage our stem cell technology platform for regenerative medicine purposes. Our interest in the regenerative medicine arena is on developing novel human disease models for discovery of small molecule drugs and biologics that activate the endogenous growth and healing processes enabling the body to repair tissue damage caused by certain degenerative diseases.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CardioSafe 3D™</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Using mature cardiomyocytes (heart cells) differentiated from human pluripotent stem cells, we have developed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 a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 used to assess new drug candidates for potential cardiac toxicity before they are tested in animals or humans.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capable of predicting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both toxic and non-toxic, of small molecule drug candidates with greater speed and precision than the long-established, surrogate safety models most often used in drug development, including models using animal cells or live animals, and cellular assays using cadaver, immortalized or transformed cells. Our pluripotent stem cell derived cardiomyocytes (heart cells) and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are key components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and drug rescue programs.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LiverSafe 3D</w:t>
      </w:r>
      <w:r>
        <w:rPr>
          <w:rFonts w:ascii="Arial" w:cs="Arial" w:eastAsia="Arial" w:hAnsi="Arial"/>
          <w:sz w:val="12"/>
          <w:szCs w:val="12"/>
          <w:b w:val="1"/>
          <w:bCs w:val="1"/>
          <w:color w:val="auto"/>
        </w:rPr>
        <w:t>™</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Using mature, functional adult hepatocytes (liver cells) derived from human pluripotent stem cells, we are correlating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second novel stem cell technology-based bioassay system, with reported clinical results. We believe </w:t>
      </w:r>
      <w:r>
        <w:rPr>
          <w:rFonts w:ascii="Arial" w:cs="Arial" w:eastAsia="Arial" w:hAnsi="Arial"/>
          <w:sz w:val="11"/>
          <w:szCs w:val="11"/>
          <w:i w:val="1"/>
          <w:iCs w:val="1"/>
          <w:color w:val="auto"/>
        </w:rPr>
        <w:t xml:space="preserve">LiverSafe </w:t>
      </w:r>
      <w:r>
        <w:rPr>
          <w:rFonts w:ascii="Arial" w:cs="Arial" w:eastAsia="Arial" w:hAnsi="Arial"/>
          <w:sz w:val="11"/>
          <w:szCs w:val="11"/>
          <w:color w:val="auto"/>
        </w:rPr>
        <w:t>3D will enable us to assess, early in development, new drug candidates for potential drug-induced liver toxicity and particularly metabolism issues that can result in serious adverse drug-drug interactions, before animal or human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testing. We plan to use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the clinically predictive liver biology insight we believe it will provide us, to expand the scope of our commercial opportunities related to drug rescue.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Drug Rescue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believe drug rescue using our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the foundation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is the highest-value near term commercial application of the human cells we produce. Detailed information is available to us in the public domain regarding the efficacy, pharmacology, formulation and toxicity of promising small molecule drug candidates developed by pharmaceutical and biotechnology companies which have failed due to unexpected heart or liver toxicity. These failed but still promising drug candidates, which we refer to as </w:t>
      </w:r>
      <w:r>
        <w:rPr>
          <w:rFonts w:ascii="Arial" w:cs="Arial" w:eastAsia="Arial" w:hAnsi="Arial"/>
          <w:sz w:val="12"/>
          <w:szCs w:val="12"/>
          <w:i w:val="1"/>
          <w:iCs w:val="1"/>
          <w:color w:val="auto"/>
        </w:rPr>
        <w:t>Drug Rescue Candidates</w:t>
      </w:r>
      <w:r>
        <w:rPr>
          <w:rFonts w:ascii="Arial" w:cs="Arial" w:eastAsia="Arial" w:hAnsi="Arial"/>
          <w:sz w:val="12"/>
          <w:szCs w:val="12"/>
          <w:color w:val="auto"/>
        </w:rPr>
        <w:t>™, have already been optimized and tested by a pharmaceutical or biotechnology company and assessed for efficacy and commercial potential.</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Failure of promising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due to unexpected human clinical toxicity highlights the need for new paradigms to evaluate potential heart and liver toxicity early in drug development. While efforts of pharmaceutical and biotechnology companies to improve their prediction of such human clinical toxicity for new drug candidates is ongoing, the existence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offers us an opportunity to use our novel stem cell technology to take advantage of prior third-party investment 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with early signs of efficacy, by significantly reducing the toxicity that caused them to be terminated, and bring new, safer versions back into development protected by new intellectual property. We refer 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intend to produce with our medicinal chemistry collaborator and validate internally in our bioassay systems as </w:t>
      </w:r>
      <w:r>
        <w:rPr>
          <w:rFonts w:ascii="Arial" w:cs="Arial" w:eastAsia="Arial" w:hAnsi="Arial"/>
          <w:sz w:val="11"/>
          <w:szCs w:val="11"/>
          <w:i w:val="1"/>
          <w:iCs w:val="1"/>
          <w:color w:val="auto"/>
        </w:rPr>
        <w:t>Drug Rescue Variants</w:t>
      </w:r>
      <w:r>
        <w:rPr>
          <w:rFonts w:ascii="Arial" w:cs="Arial" w:eastAsia="Arial" w:hAnsi="Arial"/>
          <w:sz w:val="11"/>
          <w:szCs w:val="11"/>
          <w:color w:val="auto"/>
        </w:rPr>
        <w:t>™.</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 xml:space="preserve">Through stem cell technology-based drug rescue, our objective is to become a leading source of proprietary, small molecule drug candidates to the global pharmaceutical industry. We have designed our drug rescue model to leverage publicly available information and substantial prior investment by pharmaceutical companies and others 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The key commercial objective of our drug rescue model is to generate revenue from license, development and commercialization arrangements involving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anticipate that each validated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will be suitable as a promising new drug development program, either internally or in collaboration with a strategic partner.</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Drug Rescue Strategy</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We believe the pre-existing public domain knowledge base supporting the therapeutic and commercial potential of our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will provide us with a valuable head start as we launch our drug rescue programs. Leveraging the substantial prior investments by global pharmaceutical companies and others in discovery, optimization and efficacy validation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is an essential component of our drug rescue strategy.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8" w:name="page59"/>
    <w:bookmarkEnd w:id="5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current drug rescue emphasis is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discontinued prior to FDA market approval due to unexpected cardiac safety concerns. By using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biological insight not previously available when the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was originally discovered and developed, we believe we can demonstrate in vitro proof-of-concept as to the efficacy and safety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earlier in development and with substantially less investment in discovery, efficacy optimization and development than was required of the pharmaceutical companies prior to their decision to terminate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key elements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strategy are as follows:</w:t>
      </w:r>
    </w:p>
    <w:p>
      <w:pPr>
        <w:spacing w:after="0" w:line="150" w:lineRule="exact"/>
        <w:rPr>
          <w:sz w:val="20"/>
          <w:szCs w:val="20"/>
          <w:color w:val="auto"/>
        </w:rPr>
      </w:pPr>
    </w:p>
    <w:p>
      <w:pPr>
        <w:jc w:val="both"/>
        <w:ind w:left="420" w:hanging="227"/>
        <w:spacing w:after="0" w:line="263" w:lineRule="auto"/>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preferred provider of contract medicinal chemistry and contract clinical development and regulatory services, respectively;</w:t>
      </w:r>
    </w:p>
    <w:p>
      <w:pPr>
        <w:spacing w:after="0" w:line="122" w:lineRule="exact"/>
        <w:rPr>
          <w:rFonts w:ascii="Arial" w:cs="Arial" w:eastAsia="Arial" w:hAnsi="Arial"/>
          <w:sz w:val="12"/>
          <w:szCs w:val="12"/>
          <w:color w:val="auto"/>
        </w:rPr>
      </w:pPr>
    </w:p>
    <w:p>
      <w:pPr>
        <w:ind w:left="420" w:hanging="227"/>
        <w:spacing w:after="0" w:line="276" w:lineRule="auto"/>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leverage substantial prior research and development investments made by global pharmaceutical companies and others to analyse internally the therapeutic and commercial potential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as important criteria for selection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0" w:hanging="227"/>
        <w:spacing w:after="0" w:line="276" w:lineRule="auto"/>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important and more comprehensive biological insights not available when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were originally discovered and developed by pharmaceutical companies;</w:t>
      </w:r>
    </w:p>
    <w:p>
      <w:pPr>
        <w:spacing w:after="0" w:line="114" w:lineRule="exact"/>
        <w:rPr>
          <w:rFonts w:ascii="Arial" w:cs="Arial" w:eastAsia="Arial" w:hAnsi="Arial"/>
          <w:sz w:val="12"/>
          <w:szCs w:val="12"/>
          <w:color w:val="auto"/>
        </w:rPr>
      </w:pPr>
    </w:p>
    <w:p>
      <w:pPr>
        <w:ind w:left="420" w:hanging="227"/>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leverage our internal knowledge base about each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specific chemistry to design and produce a portfolio of novel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each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pre-existing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models to assess the efficacy and cardiac safety of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identify and validate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420" w:hanging="227"/>
        <w:spacing w:after="0"/>
        <w:tabs>
          <w:tab w:leader="none" w:pos="4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 xml:space="preserve">internally develop validated lead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or out-license them to a global pharmaceutical company in revenue-generating agreements providing for the full development, market approval and commercial sale.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believe our exclusive focus on Drug Rescue Candidates with established therapeutic and commercial potential, and our ability to build on that valuable head start using our expertise in human biology, will help us to generate Drug Rescue Variants without incurring certain high costs and risks typically inherent in drug discovery and development. Although we plan to continue to identify Drug Rescue Candidates in the public domain, we may also seek to acquire rights to Drug Rescue Candidates not available to us in the public domain through in-licensing arrangements with third-parties.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Strategic Licensing of Drug Rescue Variants</w:t>
      </w:r>
    </w:p>
    <w:p>
      <w:pPr>
        <w:spacing w:after="0" w:line="168"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We believe many pharmaceutical companies are experiencing, and will continue to experience, critical research and development productivity issues, as measured by their lack of, or very low number of, FDA-approved products each year during the past decade. For example, in 2013, the U.S. pharmaceutical industry invested over $51 billion in research and development and the Center for Drug Evaluation and Research (</w:t>
      </w:r>
      <w:r>
        <w:rPr>
          <w:rFonts w:ascii="Arial" w:cs="Arial" w:eastAsia="Arial" w:hAnsi="Arial"/>
          <w:sz w:val="10"/>
          <w:szCs w:val="10"/>
          <w:i w:val="1"/>
          <w:iCs w:val="1"/>
          <w:color w:val="auto"/>
        </w:rPr>
        <w:t>CDER</w:t>
      </w:r>
      <w:r>
        <w:rPr>
          <w:rFonts w:ascii="Arial" w:cs="Arial" w:eastAsia="Arial" w:hAnsi="Arial"/>
          <w:sz w:val="10"/>
          <w:szCs w:val="10"/>
          <w:color w:val="auto"/>
        </w:rPr>
        <w:t>) of the FDA approved a total of only 39 novel drugs, known as New Molecular Entities (</w:t>
      </w:r>
      <w:r>
        <w:rPr>
          <w:rFonts w:ascii="Arial" w:cs="Arial" w:eastAsia="Arial" w:hAnsi="Arial"/>
          <w:sz w:val="10"/>
          <w:szCs w:val="10"/>
          <w:i w:val="1"/>
          <w:iCs w:val="1"/>
          <w:color w:val="auto"/>
        </w:rPr>
        <w:t>NMEs</w:t>
      </w:r>
      <w:r>
        <w:rPr>
          <w:rFonts w:ascii="Arial" w:cs="Arial" w:eastAsia="Arial" w:hAnsi="Arial"/>
          <w:sz w:val="10"/>
          <w:szCs w:val="10"/>
          <w:color w:val="auto"/>
        </w:rPr>
        <w:t>). In 2013, CDER approved only 27 NMEs, thirteen of which NME approvals (48%) were received by only five pharmaceutical companies, including Bayer (two), GlaxoSmithKline (four), Johnson &amp; Johnson (three), Roche (two) and Takeda (two). Despite remarkable levels of research and development investment by the global pharmaceutical industry as a whole, since 2003, the FDA has only approved an average of approximately 26 NMEs per year. In addition, we believe many pharmaceutical companies with established products that are no longer patent protected are also experiencing substantial market pressure from generic competition.</w:t>
      </w:r>
    </w:p>
    <w:p>
      <w:pPr>
        <w:spacing w:after="0" w:line="116"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 xml:space="preserve">As a result of research and development productivity issues, diminishing product pipelines and generic competition, we believe there is and will continue to be a critical need among pharmaceutical companies to license or acquire the new, safer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are focused on developing, including companies that originally discovered, developed and ultimately discontinued the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select for our drug rescue programs.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Once we achieve proof-of-concept (</w:t>
      </w:r>
      <w:r>
        <w:rPr>
          <w:rFonts w:ascii="Arial" w:cs="Arial" w:eastAsia="Arial" w:hAnsi="Arial"/>
          <w:sz w:val="12"/>
          <w:szCs w:val="12"/>
          <w:i w:val="1"/>
          <w:iCs w:val="1"/>
          <w:color w:val="auto"/>
        </w:rPr>
        <w:t>POC</w:t>
      </w:r>
      <w:r>
        <w:rPr>
          <w:rFonts w:ascii="Arial" w:cs="Arial" w:eastAsia="Arial" w:hAnsi="Arial"/>
          <w:sz w:val="12"/>
          <w:szCs w:val="12"/>
          <w:color w:val="auto"/>
        </w:rPr>
        <w:t xml:space="preser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as to the efficacy and safety of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intend to announce the results of our internal POC studies and, at that time, consider whether we will seek to license that </w:t>
      </w:r>
      <w:r>
        <w:rPr>
          <w:rFonts w:ascii="Arial" w:cs="Arial" w:eastAsia="Arial" w:hAnsi="Arial"/>
          <w:sz w:val="12"/>
          <w:szCs w:val="12"/>
          <w:i w:val="1"/>
          <w:iCs w:val="1"/>
          <w:color w:val="auto"/>
        </w:rPr>
        <w:t xml:space="preserve">Drug Rescue Variant </w:t>
      </w:r>
      <w:r>
        <w:rPr>
          <w:rFonts w:ascii="Arial" w:cs="Arial" w:eastAsia="Arial" w:hAnsi="Arial"/>
          <w:sz w:val="12"/>
          <w:szCs w:val="12"/>
          <w:color w:val="auto"/>
        </w:rPr>
        <w:t>to a pharmaceutical company, including the company that developed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 or further develop it internally on our own. If we decide to license a lead</w:t>
      </w:r>
      <w:r>
        <w:rPr>
          <w:rFonts w:ascii="Arial" w:cs="Arial" w:eastAsia="Arial" w:hAnsi="Arial"/>
          <w:sz w:val="12"/>
          <w:szCs w:val="12"/>
          <w:i w:val="1"/>
          <w:iCs w:val="1"/>
          <w:color w:val="auto"/>
        </w:rPr>
        <w:t xml:space="preserve"> Drug Rescue Variant </w:t>
      </w:r>
      <w:r>
        <w:rPr>
          <w:rFonts w:ascii="Arial" w:cs="Arial" w:eastAsia="Arial" w:hAnsi="Arial"/>
          <w:sz w:val="12"/>
          <w:szCs w:val="12"/>
          <w:color w:val="auto"/>
        </w:rPr>
        <w:t>to a pharmaceutical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that we will receive licensing revenue through payments to us from the license upon signing the license agreement, achievement of development and regulatory milestones, and, if approved and marketed, upon commercial sales.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9" w:name="page60"/>
    <w:bookmarkEnd w:id="5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Regenerative Medicine and Drug Discovery</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Although we believe the best and most valuable near term commercial application of our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is for small molecule drug rescue, we also believe stem cell technology-based regenerative medicine has the potential to transform healthcare in the U.S. over the next decade by altering the fundamental mechanisms of disease. We are interested in exploring ways to leverage our stem cell technology platform for regenerative medicine purposes, with emphasis on developing novel human disease models for discovery of small molecule drugs with regenerative and therapeutic potential. Our regenerative medicine focus will be based on our expertise in human biology, differentiation of human pluripotent stem cells to develop functional adult human cells and tissues involved in human disease, including blood, bone, cartilage, heart, liver and insulin-producing pancreatic beta-islet cells, and our expertise in formulating customized biological assays with the cells we produce. Among our key objectives will be to explore regenerative medicine opportunities through pilot nonclinical proof-of-concept studies, after which we intend to assess any potential opportunities for further development and commercialization of therapeutically and commercially promising regenerative medicine programs and novel, customized, disease-specific biological assays, either on our own or with strategic partners.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 for Neuropathic Pain, Epilepsy and Depression</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With $8.8 million of grant funding awarded from the U.S. National Institutes of Health, we have successfully completed Phase 1 development of AV-101. AV-101, also known as “L-4-chlorokynurenine” and “4-Cl-KYN”, is an orally 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Our AV-101 IND application, on file with the FDA, covers clinical development for neuropathic pain. However, we believe the Phase 1 AV-101 safety studies completed to date will support development of AV-101 for multiple indications, including epilepsy, depression and Parkinson’s disease. We intend to seek potential opportunities for further clinical development and commercialization of AV-101 for neuropathic pain, epilepsy, depression and Parkinson’s disease, on our own or with strategic partners. In the event that we successfully complete one or more strategic partnering arrangements for AV-101, we plan to use the net proceeds from such an arrangement(s) to expand our stem cell technology-based drug rescue and regenerative medicine programs.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Merger</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Excaliber Enterprises, Ltd. (</w:t>
      </w:r>
      <w:r>
        <w:rPr>
          <w:rFonts w:ascii="Arial" w:cs="Arial" w:eastAsia="Arial" w:hAnsi="Arial"/>
          <w:sz w:val="11"/>
          <w:szCs w:val="11"/>
          <w:i w:val="1"/>
          <w:iCs w:val="1"/>
          <w:color w:val="auto"/>
        </w:rPr>
        <w:t>Excaliber</w:t>
      </w:r>
      <w:r>
        <w:rPr>
          <w:rFonts w:ascii="Arial" w:cs="Arial" w:eastAsia="Arial" w:hAnsi="Arial"/>
          <w:sz w:val="11"/>
          <w:szCs w:val="11"/>
          <w:color w:val="auto"/>
        </w:rPr>
        <w:t xml:space="preserve">), a publicly-held company (formerly OTCBB: EXCA) was incorporated under the laws of the State of Nevada on October 6, 2005. Pursuant to a strategic merger transaction on May 11, 2011, Excaliber acquired all outstanding shares of VistaGen California in exchange for 6,836,452 shares of our common stock and assumed all of VistaGen California’s pre-Merger obligations (the </w:t>
      </w:r>
      <w:r>
        <w:rPr>
          <w:rFonts w:ascii="Arial" w:cs="Arial" w:eastAsia="Arial" w:hAnsi="Arial"/>
          <w:sz w:val="11"/>
          <w:szCs w:val="11"/>
          <w:i w:val="1"/>
          <w:iCs w:val="1"/>
          <w:color w:val="auto"/>
        </w:rPr>
        <w:t>Merger</w:t>
      </w:r>
      <w:r>
        <w:rPr>
          <w:rFonts w:ascii="Arial" w:cs="Arial" w:eastAsia="Arial" w:hAnsi="Arial"/>
          <w:sz w:val="11"/>
          <w:szCs w:val="11"/>
          <w:color w:val="auto"/>
        </w:rPr>
        <w:t>). Shortly after the Merger, Excaliber’s name was changed to “VistaGen Therapeutics, Inc.” (a Nevada corporation).</w:t>
      </w:r>
    </w:p>
    <w:p>
      <w:pPr>
        <w:spacing w:after="0" w:line="12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1,569,000 shares of our common stock, representing the shares held by stockholders of Excaliber immediately prior to the Merger and effected for a post-Merger two-for-one (2:1) stock split, have been retroactively reflected as outstanding for all periods presented in the Consolidated Financial Statements of the Company included in Item 8 of this Annual Report on Form 10-K. Additionally, the Consolidated Balance Sheets retroactively reflect the $0.001 par value of Excaliber’s common stock.</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October 2011, our stockholders amended our Articles of Incorporation to authorize us to issue up to 200 million shares of common stock and up to 10 million shares of preferred stock and to authorize our Board of Directors to prescribe the classes, series and the number of each class or series of preferred stock and the voting powers, designations, preferences, limitations, restrictions and relative rights of each class or series of preferred stock. In December 2011, our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xml:space="preserve">). Pursuant to the Note Exchange and Purchase Agreement of October 11, 2012 (the </w:t>
      </w:r>
      <w:r>
        <w:rPr>
          <w:rFonts w:ascii="Arial" w:cs="Arial" w:eastAsia="Arial" w:hAnsi="Arial"/>
          <w:sz w:val="11"/>
          <w:szCs w:val="11"/>
          <w:i w:val="1"/>
          <w:iCs w:val="1"/>
          <w:color w:val="auto"/>
        </w:rPr>
        <w:t>October</w:t>
      </w:r>
      <w:r>
        <w:rPr>
          <w:rFonts w:ascii="Arial" w:cs="Arial" w:eastAsia="Arial" w:hAnsi="Arial"/>
          <w:sz w:val="11"/>
          <w:szCs w:val="11"/>
          <w:color w:val="auto"/>
        </w:rPr>
        <w:t xml:space="preserve"> </w:t>
      </w:r>
      <w:r>
        <w:rPr>
          <w:rFonts w:ascii="Arial" w:cs="Arial" w:eastAsia="Arial" w:hAnsi="Arial"/>
          <w:sz w:val="11"/>
          <w:szCs w:val="11"/>
          <w:i w:val="1"/>
          <w:iCs w:val="1"/>
          <w:color w:val="auto"/>
        </w:rPr>
        <w:t>2012 Agreement</w:t>
      </w:r>
      <w:r>
        <w:rPr>
          <w:rFonts w:ascii="Arial" w:cs="Arial" w:eastAsia="Arial" w:hAnsi="Arial"/>
          <w:sz w:val="11"/>
          <w:szCs w:val="11"/>
          <w:color w:val="auto"/>
        </w:rPr>
        <w:t>), as amended, between us and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currently our largest institutional security holder, Platinum has the right and option to exchange the 500,000 shares of our Series A</w:t>
      </w:r>
      <w:r>
        <w:rPr>
          <w:rFonts w:ascii="Arial" w:cs="Arial" w:eastAsia="Arial" w:hAnsi="Arial"/>
          <w:sz w:val="11"/>
          <w:szCs w:val="11"/>
          <w:i w:val="1"/>
          <w:iCs w:val="1"/>
          <w:color w:val="auto"/>
        </w:rPr>
        <w:t xml:space="preserve"> </w:t>
      </w:r>
      <w:r>
        <w:rPr>
          <w:rFonts w:ascii="Arial" w:cs="Arial" w:eastAsia="Arial" w:hAnsi="Arial"/>
          <w:sz w:val="11"/>
          <w:szCs w:val="11"/>
          <w:color w:val="auto"/>
        </w:rPr>
        <w:t>Preferred Stock that it holds for (i) 15,000,000 restricted shares of our common stock, and (ii) a five-year warrant to purchase 7,500,000 restricted shares of our common stock at an exercise price of $0.50 per share.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Consolidated Financial Statements included in Item 8 of this Annual Report on Form 10-K represent the activity of VistaGen California from May 26, 1998, and the consolidated activity of VistaGen California and Excaliber (now VistaGen Therapeutics, Inc., a Nevada corporation), from May 11, 2011 (the date of the Merger). The Consolidated Financial Statements also include the accounts of VistaGen California’s two wholly-owned subsidiaries, Artemis Neuroscience, Inc., a Maryland corporation (</w:t>
      </w:r>
      <w:r>
        <w:rPr>
          <w:rFonts w:ascii="Arial" w:cs="Arial" w:eastAsia="Arial" w:hAnsi="Arial"/>
          <w:sz w:val="12"/>
          <w:szCs w:val="12"/>
          <w:i w:val="1"/>
          <w:iCs w:val="1"/>
          <w:color w:val="auto"/>
        </w:rPr>
        <w:t>Artemis</w:t>
      </w:r>
      <w:r>
        <w:rPr>
          <w:rFonts w:ascii="Arial" w:cs="Arial" w:eastAsia="Arial" w:hAnsi="Arial"/>
          <w:sz w:val="12"/>
          <w:szCs w:val="12"/>
          <w:color w:val="auto"/>
        </w:rPr>
        <w:t>), and VistaStem Canada, Inc., a corporation organized under the laws of Ontario, Canada (</w:t>
      </w:r>
      <w:r>
        <w:rPr>
          <w:rFonts w:ascii="Arial" w:cs="Arial" w:eastAsia="Arial" w:hAnsi="Arial"/>
          <w:sz w:val="12"/>
          <w:szCs w:val="12"/>
          <w:i w:val="1"/>
          <w:iCs w:val="1"/>
          <w:color w:val="auto"/>
        </w:rPr>
        <w:t>VistaStem Canada</w:t>
      </w:r>
      <w:r>
        <w:rPr>
          <w:rFonts w:ascii="Arial" w:cs="Arial" w:eastAsia="Arial" w:hAnsi="Arial"/>
          <w:sz w:val="12"/>
          <w:szCs w:val="12"/>
          <w:color w:val="auto"/>
        </w:rPr>
        <w: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Net Loss</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We are in the development stage and, since inception, have devoted substantially all of our time and efforts to hPSC research and bioassay development, small molecule drug development, creating, protecting and patenting intellectual property, recruiting personnel and raising working capital. As of March 31, 2014, we had an accumulated deficit of $70.6 million. Our net loss for the years ended March 31, 2014 and 2013 was $3.0 million and $12.9 million, respectively. We expect these conditions to continue for the foreseeable future as we expand our drug rescue activities and the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Summary of Fiscal Year 2014</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During fiscal 2014, our scientific personnel have continued to expand the drug rescue capabilities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further develop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Our internal scientific operations were curtailed somewhat during our second fiscal quarter as we decommissioned our former lab space in preparation for the move to expanded lab and office facilities at the end of July 2013, and completed the corresponding relocation, recalibration and recertification of our laboratories and equipment following the move. Limited cash resources following the move, resulting in part from the failure to close the financing described below, continued to restrict certain scientific activities and collaborations for the remainder of the fiscal year. Nevertheless, we have continued to advance the capabilities of our heart and liver cells and pursue our internal evaluation of prospective drug rescue candidates. We successfully completed Phase 1 clinical development of AV-101 during our fiscal year ended March 31, 2013 and directed effort during the first quarter of fiscal 2014 to finalizing AV-101 Phase 1b clinical study reports, as required under the terms of our NIH grant awards and to facilitate further collaborative development of AV-101.</w:t>
      </w:r>
    </w:p>
    <w:p>
      <w:pPr>
        <w:spacing w:after="0" w:line="147"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 xml:space="preserve">Throughout fiscal 2014, 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xml:space="preserve">), under which Autilion is contractually obligated to purchase an aggregate of 72.0 million restricted shares of our common stock at a purchase price of $0.50 per share for aggregate cash proceeds to us of $36.0 million (the </w:t>
      </w:r>
      <w:r>
        <w:rPr>
          <w:rFonts w:ascii="Arial" w:cs="Arial" w:eastAsia="Arial" w:hAnsi="Arial"/>
          <w:sz w:val="12"/>
          <w:szCs w:val="12"/>
          <w:i w:val="1"/>
          <w:iCs w:val="1"/>
          <w:color w:val="auto"/>
        </w:rPr>
        <w:t>Autilion Financing</w:t>
      </w:r>
      <w:r>
        <w:rPr>
          <w:rFonts w:ascii="Arial" w:cs="Arial" w:eastAsia="Arial" w:hAnsi="Arial"/>
          <w:sz w:val="12"/>
          <w:szCs w:val="12"/>
          <w:color w:val="auto"/>
        </w:rPr>
        <w:t>). To date, Autilion has completed only a nominal closing under the Securities Purchase Agreement. Therefore, Autilion is in default under the Securities Purchase Agreement and we can give no assurance that Autilion will complete a material closing under the Securities Purchase Agreement.</w:t>
      </w:r>
    </w:p>
    <w:p>
      <w:pPr>
        <w:spacing w:after="0" w:line="144" w:lineRule="exact"/>
        <w:rPr>
          <w:sz w:val="20"/>
          <w:szCs w:val="20"/>
          <w:color w:val="auto"/>
        </w:rPr>
      </w:pPr>
    </w:p>
    <w:p>
      <w:pPr>
        <w:jc w:val="both"/>
        <w:ind w:left="8"/>
        <w:spacing w:after="0" w:line="303" w:lineRule="auto"/>
        <w:rPr>
          <w:sz w:val="20"/>
          <w:szCs w:val="20"/>
          <w:color w:val="auto"/>
        </w:rPr>
      </w:pPr>
      <w:r>
        <w:rPr>
          <w:rFonts w:ascii="Arial" w:cs="Arial" w:eastAsia="Arial" w:hAnsi="Arial"/>
          <w:sz w:val="10"/>
          <w:szCs w:val="10"/>
          <w:color w:val="auto"/>
        </w:rPr>
        <w:t xml:space="preserve">To meet our working capital needs as a result of Autilion's default under the Securities Purchase Agreement, during June and July 2013, we offered certain warrant holders the opportunity to exercise outstanding warrants having an exercise price of $1.50 per share to purchase shares of our restricted common stock at a reduced exercise price of $0.50 per share. Participating warrant holders exercised modified warrants to purchase an aggregate of 528,370 restricted shares of our common stock and we received cash proceeds of $264,200. In addition, certain long-term warrant holders exercised modified warrants to purchase 16,646 restricted shares of our common stock in lieu of payment by us in satisfaction of amounts due for professional services in the aggregate amount of $8,300. Additionally, in July 2013, we issued to Platinum a senior secured convertible note in the face amount of $250,000 (the </w:t>
      </w:r>
      <w:r>
        <w:rPr>
          <w:rFonts w:ascii="Arial" w:cs="Arial" w:eastAsia="Arial" w:hAnsi="Arial"/>
          <w:sz w:val="10"/>
          <w:szCs w:val="10"/>
          <w:i w:val="1"/>
          <w:iCs w:val="1"/>
          <w:color w:val="auto"/>
        </w:rPr>
        <w:t>July 2013 Note</w:t>
      </w:r>
      <w:r>
        <w:rPr>
          <w:rFonts w:ascii="Arial" w:cs="Arial" w:eastAsia="Arial" w:hAnsi="Arial"/>
          <w:sz w:val="10"/>
          <w:szCs w:val="10"/>
          <w:color w:val="auto"/>
        </w:rPr>
        <w:t>) and a five-year warrant to purchase 250,000 restricted shares of our common stock at an exercise price of $0.50 per share. Between August 2013 and March 14, 2014, we entered into securities purchase agreements with certain accredited investors pursuant to which we sold units of our securities (</w:t>
      </w:r>
      <w:r>
        <w:rPr>
          <w:rFonts w:ascii="Arial" w:cs="Arial" w:eastAsia="Arial" w:hAnsi="Arial"/>
          <w:sz w:val="10"/>
          <w:szCs w:val="10"/>
          <w:i w:val="1"/>
          <w:iCs w:val="1"/>
          <w:color w:val="auto"/>
        </w:rPr>
        <w:t>Units</w:t>
      </w:r>
      <w:r>
        <w:rPr>
          <w:rFonts w:ascii="Arial" w:cs="Arial" w:eastAsia="Arial" w:hAnsi="Arial"/>
          <w:sz w:val="10"/>
          <w:szCs w:val="10"/>
          <w:color w:val="auto"/>
        </w:rPr>
        <w:t>) consisting, in aggregate, of: (i) 10% convertible notes maturing on July 30, 2014 in the aggregate face amount of $1,007,500; (ii) an aggregate of 2,015,000 restricted shares of our common stock; and</w:t>
      </w:r>
    </w:p>
    <w:p>
      <w:pPr>
        <w:spacing w:after="0" w:line="2" w:lineRule="exact"/>
        <w:rPr>
          <w:sz w:val="20"/>
          <w:szCs w:val="20"/>
          <w:color w:val="auto"/>
        </w:rPr>
      </w:pPr>
    </w:p>
    <w:p>
      <w:pPr>
        <w:ind w:left="8" w:hanging="8"/>
        <w:spacing w:after="0" w:line="261" w:lineRule="auto"/>
        <w:tabs>
          <w:tab w:leader="none" w:pos="225" w:val="left"/>
        </w:tabs>
        <w:numPr>
          <w:ilvl w:val="0"/>
          <w:numId w:val="31"/>
        </w:numPr>
        <w:rPr>
          <w:rFonts w:ascii="Arial" w:cs="Arial" w:eastAsia="Arial" w:hAnsi="Arial"/>
          <w:sz w:val="12"/>
          <w:szCs w:val="12"/>
          <w:color w:val="auto"/>
        </w:rPr>
      </w:pPr>
      <w:r>
        <w:rPr>
          <w:rFonts w:ascii="Arial" w:cs="Arial" w:eastAsia="Arial" w:hAnsi="Arial"/>
          <w:sz w:val="12"/>
          <w:szCs w:val="12"/>
          <w:color w:val="auto"/>
        </w:rPr>
        <w:t>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1" w:name="page62"/>
    <w:bookmarkEnd w:id="6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late-March 2014 and the date of this report, we have entered into subscription agreements with accredited investors, including Platinum, which has purchased $750,000 of such securities through June 19, 2014, pursuant to which we sold Units of our securities consisting, in aggregate, of: (i) 10% convertible notes maturing on March 31, 2015 in the aggregate face amount of $1,515,000; (ii) an aggregate of 1,515,000 restricted shares of our common stock; and (iii) warrants exercisable through December 31, 2016 to purchase an aggregate of 1,515,000 restricted shares of our common stock at an exercise price of $0.50 per share.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Given our working capital constraints during fiscal 2014, we attempted to minimize cash commitments and expenditures for external research and development and general and administrative services to the greatest extent possible, particularly during the later portion of the fiscal year. The following table summarizes the results of our operations for the fiscal years ended March 31, 2014 and 2013 (amounts in $000):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2"/>
                <w:szCs w:val="12"/>
                <w:b w:val="1"/>
                <w:bCs w:val="1"/>
                <w:color w:val="auto"/>
              </w:rPr>
              <w:t>Fiscal Years Ended March 31,</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2014</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88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780" w:type="dxa"/>
            <w:vAlign w:val="bottom"/>
            <w:shd w:val="clear" w:color="auto" w:fill="CCEEFF"/>
          </w:tcPr>
          <w:p>
            <w:pPr>
              <w:jc w:val="right"/>
              <w:ind w:right="666"/>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Operating expenses:</w:t>
            </w: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2,481</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2,548</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5,029</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from operations</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(5,029)</w:t>
            </w:r>
          </w:p>
        </w:tc>
        <w:tc>
          <w:tcPr>
            <w:tcW w:w="7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(1,503)</w:t>
            </w:r>
          </w:p>
        </w:tc>
        <w:tc>
          <w:tcPr>
            <w:tcW w:w="7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liabilities</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3,567</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220"/>
              <w:spacing w:after="0"/>
              <w:rPr>
                <w:sz w:val="20"/>
                <w:szCs w:val="20"/>
                <w:color w:val="auto"/>
              </w:rPr>
            </w:pPr>
            <w:r>
              <w:rPr>
                <w:rFonts w:ascii="Arial" w:cs="Arial" w:eastAsia="Arial" w:hAnsi="Arial"/>
                <w:sz w:val="12"/>
                <w:szCs w:val="12"/>
                <w:color w:val="auto"/>
              </w:rPr>
              <w:t>Loss on early extinguishment of debt</w:t>
            </w: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Other income</w:t>
            </w:r>
          </w:p>
        </w:tc>
        <w:tc>
          <w:tcPr>
            <w:tcW w:w="7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(2,965)</w:t>
            </w:r>
          </w:p>
        </w:tc>
        <w:tc>
          <w:tcPr>
            <w:tcW w:w="7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w:t>
            </w:r>
          </w:p>
        </w:tc>
        <w:tc>
          <w:tcPr>
            <w:tcW w:w="78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(2,968)</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(10,193)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78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(2,968)</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(23,080)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successfully completed our Phase I development of AV-101, our pro-drug candidate for the treatment of neuropathic pain and, potentially,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 We had no other grant or contract revenue sources during the fiscal year ended March 31, 2014.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2" w:name="page63"/>
    <w:bookmarkEnd w:id="6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 represented approximately 49% of our operating expenses for each of the years ended March 31, 2014 and 2013.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spacing w:after="0" w:line="123" w:lineRule="exact"/>
        <w:rPr>
          <w:sz w:val="20"/>
          <w:szCs w:val="20"/>
          <w:color w:val="auto"/>
        </w:rPr>
      </w:pPr>
    </w:p>
    <w:p>
      <w:pPr>
        <w:ind w:left="1140" w:hanging="357"/>
        <w:spacing w:after="0"/>
        <w:tabs>
          <w:tab w:leader="none" w:pos="1140" w:val="left"/>
        </w:tabs>
        <w:numPr>
          <w:ilvl w:val="1"/>
          <w:numId w:val="32"/>
        </w:numPr>
        <w:rPr>
          <w:rFonts w:ascii="Arial" w:cs="Arial" w:eastAsia="Arial" w:hAnsi="Arial"/>
          <w:sz w:val="12"/>
          <w:szCs w:val="12"/>
          <w:color w:val="auto"/>
        </w:rPr>
      </w:pPr>
      <w:r>
        <w:rPr>
          <w:rFonts w:ascii="Arial" w:cs="Arial" w:eastAsia="Arial" w:hAnsi="Arial"/>
          <w:sz w:val="12"/>
          <w:szCs w:val="12"/>
          <w:color w:val="auto"/>
        </w:rPr>
        <w:t>salaries, benefits, including stock-based compensation costs, travel and related expense for personnel associated with research and development activities;</w:t>
      </w:r>
    </w:p>
    <w:p>
      <w:pPr>
        <w:spacing w:after="0" w:line="150" w:lineRule="exact"/>
        <w:rPr>
          <w:rFonts w:ascii="Arial" w:cs="Arial" w:eastAsia="Arial" w:hAnsi="Arial"/>
          <w:sz w:val="12"/>
          <w:szCs w:val="12"/>
          <w:color w:val="auto"/>
        </w:rPr>
      </w:pPr>
    </w:p>
    <w:p>
      <w:pPr>
        <w:ind w:left="1120" w:hanging="369"/>
        <w:spacing w:after="0"/>
        <w:tabs>
          <w:tab w:leader="none" w:pos="11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fees to contract research organizations and other professional service providers for services related to the conduct and analysis of clinical trials and other development activities;</w:t>
      </w:r>
    </w:p>
    <w:p>
      <w:pPr>
        <w:spacing w:after="0" w:line="150" w:lineRule="exact"/>
        <w:rPr>
          <w:rFonts w:ascii="Arial" w:cs="Arial" w:eastAsia="Arial" w:hAnsi="Arial"/>
          <w:sz w:val="12"/>
          <w:szCs w:val="12"/>
          <w:color w:val="auto"/>
        </w:rPr>
      </w:pPr>
    </w:p>
    <w:p>
      <w:pPr>
        <w:ind w:left="1120" w:hanging="369"/>
        <w:spacing w:after="0"/>
        <w:tabs>
          <w:tab w:leader="none" w:pos="11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fees to third parties for access to licensed technology and costs associated with securing and maintaining patents related to our internally generated inventions:</w:t>
      </w:r>
    </w:p>
    <w:p>
      <w:pPr>
        <w:spacing w:after="0" w:line="150" w:lineRule="exact"/>
        <w:rPr>
          <w:rFonts w:ascii="Arial" w:cs="Arial" w:eastAsia="Arial" w:hAnsi="Arial"/>
          <w:sz w:val="12"/>
          <w:szCs w:val="12"/>
          <w:color w:val="auto"/>
        </w:rPr>
      </w:pPr>
    </w:p>
    <w:p>
      <w:pPr>
        <w:ind w:left="1120" w:hanging="369"/>
        <w:spacing w:after="0"/>
        <w:tabs>
          <w:tab w:leader="none" w:pos="11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laboratory supplies and materials;</w:t>
      </w:r>
    </w:p>
    <w:p>
      <w:pPr>
        <w:spacing w:after="0" w:line="150" w:lineRule="exact"/>
        <w:rPr>
          <w:rFonts w:ascii="Arial" w:cs="Arial" w:eastAsia="Arial" w:hAnsi="Arial"/>
          <w:sz w:val="12"/>
          <w:szCs w:val="12"/>
          <w:color w:val="auto"/>
        </w:rPr>
      </w:pPr>
    </w:p>
    <w:p>
      <w:pPr>
        <w:ind w:left="1120" w:hanging="369"/>
        <w:spacing w:after="0"/>
        <w:tabs>
          <w:tab w:leader="none" w:pos="11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leasing and depreciation of laboratory equipment; and</w:t>
      </w:r>
    </w:p>
    <w:p>
      <w:pPr>
        <w:spacing w:after="0" w:line="150" w:lineRule="exact"/>
        <w:rPr>
          <w:rFonts w:ascii="Arial" w:cs="Arial" w:eastAsia="Arial" w:hAnsi="Arial"/>
          <w:sz w:val="12"/>
          <w:szCs w:val="12"/>
          <w:color w:val="auto"/>
        </w:rPr>
      </w:pPr>
    </w:p>
    <w:p>
      <w:pPr>
        <w:ind w:left="1120" w:hanging="369"/>
        <w:spacing w:after="0"/>
        <w:tabs>
          <w:tab w:leader="none" w:pos="11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allocated costs of facilities and infrastructure.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both fiscal 2014 and 2013, we incurred interest expense, including discount amortization with respect to certain notes, on the outstanding balances of our Senior Secured Convertible Promissory Notes issued to Platinum during fiscal 2013 and in July 2013, on the new and modified notes issued to Morrison &amp;Foerster, Cato Research Ltd. and University Health Network during August and September 2012, and on various notes issued to certain service providers during fiscal years 2011 and 2012. Additionally, in fiscal 2014, we incurred interest expense and related discount amortization attributable to the convertible notes issued in connection with the sale of Units between August 2013 and March 2014. In fiscal 2013, we incurred non-cash losses on extinguishment of debt resulting from the modification of indebtedness to Platinum, Morrison &amp; Foerster, Cato Research Ltd., and University Health Network, as well as the conversion by the holders of our 12% Convertible Promissory Notes issued in February 2012 into restricted shares of our common stock and warrants in November 2012. In fiscal 2014 and 2013, we recorded income and expense, respectively, related to the changes in the fair values of the warrants issued or issuable in connection with the various Senior Secured Convertible Promissory Notes issued to Platinum during fiscal 2013 and 2014.</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fiscal 2013, we also recorded a non-cash deemed dividend related to the modification of the exchange rights of our Series A Preferred Stock held by Platinum and the impact of the prospective issuance of a five-year warrant to purchase restricted shares of our common stock upon Platinum’s exercise of its Series A Preferred Stock exchange rights.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3" w:name="page64"/>
    <w:bookmarkEnd w:id="6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We consider certain accounting policies related to revenue recognition, impairment of long-lived assets, research and development, stock-based compensation,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0"/>
          <w:szCs w:val="10"/>
          <w:i w:val="1"/>
          <w:iCs w:val="1"/>
          <w:color w:val="auto"/>
        </w:rPr>
        <w:t>GAAP</w:t>
      </w:r>
      <w:r>
        <w:rPr>
          <w:rFonts w:ascii="Arial" w:cs="Arial" w:eastAsia="Arial" w:hAnsi="Arial"/>
          <w:sz w:val="10"/>
          <w:szCs w:val="10"/>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1"/>
          <w:szCs w:val="11"/>
          <w:i w:val="1"/>
          <w:iCs w:val="1"/>
          <w:color w:val="auto"/>
        </w:rPr>
        <w:t>Revenue Recognition Revised and Updated</w:t>
      </w:r>
      <w:r>
        <w:rPr>
          <w:rFonts w:ascii="Arial" w:cs="Arial" w:eastAsia="Arial" w:hAnsi="Arial"/>
          <w:sz w:val="11"/>
          <w:szCs w:val="11"/>
          <w:color w:val="auto"/>
        </w:rPr>
        <w:t xml:space="preserve"> (</w:t>
      </w:r>
      <w:r>
        <w:rPr>
          <w:rFonts w:ascii="Arial" w:cs="Arial" w:eastAsia="Arial" w:hAnsi="Arial"/>
          <w:sz w:val="11"/>
          <w:szCs w:val="11"/>
          <w:i w:val="1"/>
          <w:iCs w:val="1"/>
          <w:color w:val="auto"/>
        </w:rPr>
        <w:t>SAB 104</w:t>
      </w:r>
      <w:r>
        <w:rPr>
          <w:rFonts w:ascii="Arial" w:cs="Arial" w:eastAsia="Arial" w:hAnsi="Arial"/>
          <w:sz w:val="11"/>
          <w:szCs w:val="11"/>
          <w:color w:val="auto"/>
        </w:rPr>
        <w:t>) and Accounting Standards Codification (</w:t>
      </w:r>
      <w:r>
        <w:rPr>
          <w:rFonts w:ascii="Arial" w:cs="Arial" w:eastAsia="Arial" w:hAnsi="Arial"/>
          <w:sz w:val="11"/>
          <w:szCs w:val="11"/>
          <w:i w:val="1"/>
          <w:iCs w:val="1"/>
          <w:color w:val="auto"/>
        </w:rPr>
        <w:t>ASC</w:t>
      </w:r>
      <w:r>
        <w:rPr>
          <w:rFonts w:ascii="Arial" w:cs="Arial" w:eastAsia="Arial" w:hAnsi="Arial"/>
          <w:sz w:val="11"/>
          <w:szCs w:val="11"/>
          <w:color w:val="auto"/>
        </w:rPr>
        <w:t xml:space="preserve">) 605-25, </w:t>
      </w:r>
      <w:r>
        <w:rPr>
          <w:rFonts w:ascii="Arial" w:cs="Arial" w:eastAsia="Arial" w:hAnsi="Arial"/>
          <w:sz w:val="11"/>
          <w:szCs w:val="11"/>
          <w:i w:val="1"/>
          <w:iCs w:val="1"/>
          <w:color w:val="auto"/>
        </w:rPr>
        <w:t>Revenue Arrangements-Multiple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Element Arrangements </w:t>
      </w:r>
      <w:r>
        <w:rPr>
          <w:rFonts w:ascii="Arial" w:cs="Arial" w:eastAsia="Arial" w:hAnsi="Arial"/>
          <w:sz w:val="11"/>
          <w:szCs w:val="11"/>
          <w:color w:val="auto"/>
        </w:rPr>
        <w:t>(</w:t>
      </w:r>
      <w:r>
        <w:rPr>
          <w:rFonts w:ascii="Arial" w:cs="Arial" w:eastAsia="Arial" w:hAnsi="Arial"/>
          <w:sz w:val="11"/>
          <w:szCs w:val="11"/>
          <w:i w:val="1"/>
          <w:iCs w:val="1"/>
          <w:color w:val="auto"/>
        </w:rPr>
        <w:t>ASC 605-25</w:t>
      </w:r>
      <w:r>
        <w:rPr>
          <w:rFonts w:ascii="Arial" w:cs="Arial" w:eastAsia="Arial" w:hAnsi="Arial"/>
          <w:sz w:val="11"/>
          <w:szCs w:val="11"/>
          <w:color w:val="auto"/>
        </w:rPr>
        <w:t>). Revenue for arrangements not having multiple deliverables, as outlined in ASC 605-25, is recognized once costs are incurred and collectability is reasonably assured.</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2"/>
          <w:szCs w:val="12"/>
          <w:i w:val="1"/>
          <w:iCs w:val="1"/>
          <w:color w:val="auto"/>
        </w:rPr>
        <w:t>VSOE</w:t>
      </w:r>
      <w:r>
        <w:rPr>
          <w:rFonts w:ascii="Arial" w:cs="Arial" w:eastAsia="Arial" w:hAnsi="Arial"/>
          <w:sz w:val="12"/>
          <w:szCs w:val="12"/>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920" w:hanging="258"/>
        <w:spacing w:after="0" w:line="281" w:lineRule="auto"/>
        <w:tabs>
          <w:tab w:leader="none" w:pos="9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920" w:hanging="258"/>
        <w:spacing w:after="0" w:line="263" w:lineRule="auto"/>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920" w:right="20" w:hanging="258"/>
        <w:spacing w:after="0" w:line="276" w:lineRule="auto"/>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4" w:name="page65"/>
    <w:bookmarkEnd w:id="6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accordance with ASC 360-10</w:t>
      </w:r>
      <w:r>
        <w:rPr>
          <w:rFonts w:ascii="Arial" w:cs="Arial" w:eastAsia="Arial" w:hAnsi="Arial"/>
          <w:sz w:val="12"/>
          <w:szCs w:val="12"/>
          <w:i w:val="1"/>
          <w:iCs w:val="1"/>
          <w:color w:val="auto"/>
        </w:rPr>
        <w:t>, Property, Plant &amp; Equipment—Overall</w:t>
      </w:r>
      <w:r>
        <w:rPr>
          <w:rFonts w:ascii="Arial" w:cs="Arial" w:eastAsia="Arial" w:hAnsi="Arial"/>
          <w:sz w:val="12"/>
          <w:szCs w:val="12"/>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and AV-101. All such costs are charged to expense as incurred.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account for stock-based payment arrangements in accordance with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xml:space="preserve"> and ASC 505-50, </w:t>
      </w:r>
      <w:r>
        <w:rPr>
          <w:rFonts w:ascii="Arial" w:cs="Arial" w:eastAsia="Arial" w:hAnsi="Arial"/>
          <w:sz w:val="12"/>
          <w:szCs w:val="12"/>
          <w:i w:val="1"/>
          <w:iCs w:val="1"/>
          <w:color w:val="auto"/>
        </w:rPr>
        <w:t>Equity-Equity Based Payments to Non-Employees</w:t>
      </w:r>
      <w:r>
        <w:rPr>
          <w:rFonts w:ascii="Arial" w:cs="Arial" w:eastAsia="Arial" w:hAnsi="Arial"/>
          <w:sz w:val="12"/>
          <w:szCs w:val="12"/>
          <w:color w:val="auto"/>
        </w:rPr>
        <w:t xml:space="preserve"> which requires the recognition of compensation expense, using a fair-value based method, for all costs related to stock-based 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See Note 3 to the consolidated financial statements included in Item 8 in this Annual Report on Form 10-K for information on recent accounting pronouncements.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8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Results of Operations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8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Comparison of Years Ended March 31, 2014 and 2013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i w:val="1"/>
                <w:iCs w:val="1"/>
                <w:color w:val="auto"/>
              </w:rPr>
              <w:t>Revenue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The following table compares our primary revenue sources between the periods (in $000):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rPr>
              <w:t>Fiscal Years Ended March 31,</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920" w:type="dxa"/>
            <w:vAlign w:val="bottom"/>
          </w:tcPr>
          <w:p>
            <w:pPr>
              <w:jc w:val="right"/>
              <w:ind w:right="165"/>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2013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NIH - AV-101 grant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Subcontract revenue</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have successfully completed our Phase I development of AV-101, our prodrug candidate for the treatment of neuropathic pain and, potentially,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Research and development expense decreased by 28% to $2.5 million in fiscal 2014 compared to $3.4 million in fiscal 2013. The following table compares the primary components of research and development expense between the periods (in $000):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4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Consulting services</w:t>
            </w:r>
          </w:p>
        </w:tc>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4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AV-101</w:t>
            </w:r>
          </w:p>
        </w:tc>
        <w:tc>
          <w:tcPr>
            <w:tcW w:w="4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200"/>
              <w:spacing w:after="0"/>
              <w:rPr>
                <w:sz w:val="20"/>
                <w:szCs w:val="20"/>
                <w:color w:val="auto"/>
              </w:rPr>
            </w:pPr>
            <w:r>
              <w:rPr>
                <w:rFonts w:ascii="Arial" w:cs="Arial" w:eastAsia="Arial" w:hAnsi="Arial"/>
                <w:sz w:val="12"/>
                <w:szCs w:val="12"/>
                <w:color w:val="auto"/>
              </w:rPr>
              <w:t>All other including CardioSafe and LiverSafe</w:t>
            </w:r>
          </w:p>
        </w:tc>
        <w:tc>
          <w:tcPr>
            <w:tcW w:w="4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Rent</w:t>
            </w:r>
          </w:p>
        </w:tc>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All other</w:t>
            </w:r>
          </w:p>
        </w:tc>
        <w:tc>
          <w:tcPr>
            <w:tcW w:w="4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Total Research and Development Expense</w:t>
            </w:r>
          </w:p>
        </w:tc>
        <w:tc>
          <w:tcPr>
            <w:tcW w:w="5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20" w:type="dxa"/>
            <w:vAlign w:val="bottom"/>
            <w:vMerge w:val="restart"/>
          </w:tcPr>
          <w:p>
            <w:pPr>
              <w:jc w:val="right"/>
              <w:ind w:right="2940"/>
              <w:spacing w:after="0"/>
              <w:rPr>
                <w:sz w:val="20"/>
                <w:szCs w:val="20"/>
                <w:color w:val="auto"/>
              </w:rPr>
            </w:pPr>
            <w:r>
              <w:rPr>
                <w:rFonts w:ascii="Arial" w:cs="Arial" w:eastAsia="Arial" w:hAnsi="Arial"/>
                <w:sz w:val="12"/>
                <w:szCs w:val="12"/>
                <w:color w:val="auto"/>
              </w:rPr>
              <w:t>-64-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00" w:type="dxa"/>
            <w:vAlign w:val="bottom"/>
            <w:tcBorders>
              <w:bottom w:val="single" w:sz="8" w:color="808080"/>
            </w:tcBorders>
          </w:tcPr>
          <w:p>
            <w:pPr>
              <w:spacing w:after="0"/>
              <w:rPr>
                <w:sz w:val="6"/>
                <w:szCs w:val="6"/>
                <w:color w:val="auto"/>
              </w:rPr>
            </w:pPr>
          </w:p>
        </w:tc>
        <w:tc>
          <w:tcPr>
            <w:tcW w:w="48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6" w:name="page67"/>
    <w:bookmarkEnd w:id="6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increase in research and development salaries and benefits expense reflects the impact of (i) the addition of a research technician in April 2013; (ii) the partial restoration in April 2013 of an earlier voluntary salary reduction to below his contractual pay rates taken by our President and Chief Scientific Officer; and (iii) general annual increases in employee benefits costs. In addition to the ratable amortization of stock-based compensation expense over the requisite service period of the respective grants made in fiscal 2014 and in prior years, stock-based compensation expense for fiscal 2014 includes approximately $82,000 as the impact of October 2013 and December 2013 modifications to reduce the exercise price of certain outstanding option grants to $0.40 per share or $0.50 per share, as well as approximately $157,000 attributable to the expense resulting from the March 2014 and March 2013 grants of warrants to our President and Chief Scientific Officer that vest over three years, subject to certain vesting acceleration events. Stock-based compensation expense for fiscal 2013 includes approximately $89,000 from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and approximately $268,000 attributable to the expense resulting from the March 2013 grant of a warrant to our President and Chief Scientific Officer.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fiscal 2013 reflects our stem cell research collaboration in accordance with our agreements with UHN made in the third and fourth quarters of our fiscal year ended March 31, 2012 and in a further modification effective beginning in October 2012. Technology license expense increased significantly in fiscal 2014 as a result of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fiscal 2013. AV-101 expenses in fiscal 2014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We do not track internal research and development expenses, including compensation costs, by project as we do not currently believe that such project accounting is necessary given the level and overlap of project resources, including staffing, that are dedicated to our internal research and development projects. The increase in rent expense and depreciation in fiscal 2014 reflects increased rental costs and the amortization of tenant improvements related to our relocation to expanded facilities in late-July 2013.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General and administrative expense decreased by 29% to $2.5 million in fiscal 2014 compared to $3.6 million in fiscal 2013. The following table compares the primary components of general and administrative expense between the periods (in $000):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rPr>
              <w:t>Fiscal Years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2013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684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139</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74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2,548</w:t>
            </w:r>
          </w:p>
        </w:tc>
        <w:tc>
          <w:tcPr>
            <w:tcW w:w="100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940" w:type="dxa"/>
            <w:vAlign w:val="bottom"/>
            <w:vMerge w:val="restart"/>
          </w:tcPr>
          <w:p>
            <w:pPr>
              <w:jc w:val="right"/>
              <w:ind w:right="2940"/>
              <w:spacing w:after="0"/>
              <w:rPr>
                <w:sz w:val="20"/>
                <w:szCs w:val="20"/>
                <w:color w:val="auto"/>
              </w:rPr>
            </w:pPr>
            <w:r>
              <w:rPr>
                <w:rFonts w:ascii="Arial" w:cs="Arial" w:eastAsia="Arial" w:hAnsi="Arial"/>
                <w:sz w:val="12"/>
                <w:szCs w:val="12"/>
                <w:color w:val="auto"/>
              </w:rPr>
              <w:t>-65-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49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9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7" w:name="page68"/>
    <w:bookmarkEnd w:id="6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10"/>
          <w:szCs w:val="10"/>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consultant to employee status, and (iv) 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fiscal 2014 and in prior years, stock-based compensation expense for fiscal 2014 includes approximately $170,000 as the impact of October 2013 and December 2013 modifications to reduce the exercise price of certain outstanding option grants to $0.40 per share or $0.50 per share, as well as approximately $299,000 attributable to the expense resulting from the March 2014 and March 2013 grants of warrants vesting over three years, subject to certain vesting acceleration events, to certain members of our senior management and to the independent members of our Board of Directors. Stock-based compensation expense for fiscal 2013 includes approximately $44,000 reflecting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and approximately $535,000 attributable to the expense resulting from the March 2013 grants of warrants to certain members of our senior management and to the independent members of our Board of Directors. The reduction in legal, accounting and other professional fees reflects the impact of converting our Chief Financial Officer from part-time consultant to full-time employee status, as noted above, a reduction in legal expenses and the absence in fiscal 2014 of non-cash expense related to the granting of warrants to certain administrative consultants and service providers. During fiscal 2013, we engaged third parties to provide us with investor relations services and to conduct market awareness initiatives, however, for strategic purposes, we significantly scaled back those initiatives during fiscal 2014. The fiscal 2014 increase in rent and utilities expenses reflects higher costs related to our relocation to expanded facilities in late-July 2013. Warrant modification expense for fiscal 2014 reflects the impact of October 2013, December 2013 and February 2014 strategic reductions in the exercise price of certain outstanding warrants, generally from $1.75 per share or $1.50 per share, to $0.50 per share, and in certain cases, the extension of the term of outstanding warrants by approximately one year. In fiscal 2013,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both fiscal 2014 and 2013, other expenses, net includes interest expense, including non-cash discount amortization, on our outstanding promissory notes, net of interest income, as well as the non-cash impact of changes in the fair value of the warrant liabilities related to warrants issued or issuable to Platinum as a result of the October 2012 Agreement with Platinum, as amended, and, in fiscal 2014, the warrant issued to Platinum in July 2013. In fiscal 2013, other expenses, net additionally includes the non-cash loss on extinguishment of debt resulting from the modification of indebtedness to Platinum, Morrison &amp; Foerster, Cato Research Ltd., and University Health Network, as well as the conversion by the holders of our 12% Convertible Promissory Notes issued in February 2012 into restricted shares of our common stock and warrants in November 2012.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8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840" w:type="dxa"/>
            <w:vAlign w:val="bottom"/>
            <w:gridSpan w:val="3"/>
          </w:tcPr>
          <w:p>
            <w:pPr>
              <w:spacing w:after="0"/>
              <w:rPr>
                <w:sz w:val="20"/>
                <w:szCs w:val="20"/>
                <w:color w:val="auto"/>
              </w:rPr>
            </w:pPr>
            <w:r>
              <w:rPr>
                <w:rFonts w:ascii="Arial" w:cs="Arial" w:eastAsia="Arial" w:hAnsi="Arial"/>
                <w:sz w:val="12"/>
                <w:szCs w:val="12"/>
                <w:color w:val="auto"/>
              </w:rPr>
              <w:t>The following table compares the primary components of net interest expense between the periods (in $000):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on promissory notes, including discount amortization</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Charge for fair value of replacement warrants issued in connection</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with exercise of modified warrants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Charge related to losses on accounts payable settled by issuance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of common stock or notes payable</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Charge for investment banker warrants related to February 2012 Convertible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promissory notes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Charge for legal fees related to issuance of Senior Secured Promissory</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Notes to Platinum under June and October 2012 agreements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80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in Item 8 of this Annual Report on Form 10-K.</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9, </w:t>
      </w:r>
      <w:r>
        <w:rPr>
          <w:rFonts w:ascii="Arial" w:cs="Arial" w:eastAsia="Arial" w:hAnsi="Arial"/>
          <w:sz w:val="12"/>
          <w:szCs w:val="12"/>
          <w:i w:val="1"/>
          <w:iCs w:val="1"/>
          <w:color w:val="auto"/>
        </w:rPr>
        <w:t>Convertible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Promissory Notes and Other Notes Payable, </w:t>
      </w:r>
      <w:r>
        <w:rPr>
          <w:rFonts w:ascii="Arial" w:cs="Arial" w:eastAsia="Arial" w:hAnsi="Arial"/>
          <w:sz w:val="12"/>
          <w:szCs w:val="12"/>
          <w:color w:val="auto"/>
        </w:rPr>
        <w:t>in the Consolidated Financial Statements included in Item 8 of this Annual Report on Form 10-K), and the contingent issuance of the Series A Exchange Warrant to Platinum upon Platinum’s</w:t>
      </w:r>
      <w:r>
        <w:rPr>
          <w:rFonts w:ascii="Arial" w:cs="Arial" w:eastAsia="Arial" w:hAnsi="Arial"/>
          <w:sz w:val="12"/>
          <w:szCs w:val="12"/>
          <w:i w:val="1"/>
          <w:iCs w:val="1"/>
          <w:color w:val="auto"/>
        </w:rPr>
        <w:t xml:space="preserve"> </w:t>
      </w:r>
      <w:r>
        <w:rPr>
          <w:rFonts w:ascii="Arial" w:cs="Arial" w:eastAsia="Arial" w:hAnsi="Arial"/>
          <w:sz w:val="12"/>
          <w:szCs w:val="12"/>
          <w:color w:val="auto"/>
        </w:rPr>
        <w:t>exchange of shares of our Series A Preferred Stock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fiscal 2014, we recognized non-cash income of $3,566,900 related to the net decrease in the estimated fair value of these liabilities since March 31, 2013, or issuance in the case of the warrant issued in July 2013, which resulted from a combination of both the decrease in the market price of our common stock during that period and an agreement with Platinum in May 2013 pursuant to which the stated exercise price of the warrants was reduced from $1.50 per share to $0.50 per share, and (ii). During fiscal 2013, we recognized non-cash expense of $1,635,800 attributable to the net increase in the fair value of these liabilities between the issuance date of the warrants and March 31, 2013, primarily as the result of the increase in the market price of our common stock during that period.</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During fiscal 2013, we recognized non-cash losses on the early extinguishment of debt in the aggregate amount of $3.6 million primarily as a result of the restructuring of notes payable to Platinum and Cato Holding Company, and the restructuring of accounts payable to Cato Research, Ltd. and University Health Network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9, </w:t>
      </w:r>
      <w:r>
        <w:rPr>
          <w:rFonts w:ascii="Arial" w:cs="Arial" w:eastAsia="Arial" w:hAnsi="Arial"/>
          <w:sz w:val="12"/>
          <w:szCs w:val="12"/>
          <w:i w:val="1"/>
          <w:iCs w:val="1"/>
          <w:color w:val="auto"/>
        </w:rPr>
        <w:t>Convertible Promissory Notes and Other Notes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Payable, </w:t>
      </w:r>
      <w:r>
        <w:rPr>
          <w:rFonts w:ascii="Arial" w:cs="Arial" w:eastAsia="Arial" w:hAnsi="Arial"/>
          <w:sz w:val="12"/>
          <w:szCs w:val="12"/>
          <w:color w:val="auto"/>
        </w:rPr>
        <w:t>in the Consolidated Financial Statements included in Item 8 of this Annual Report on Form 10-K.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9" w:name="page70"/>
    <w:bookmarkEnd w:id="6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fiscal 2013, in connection with the October 2012 Note Exchange and Purchase Agreement we entered with Platinum, as described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Note 10, </w:t>
      </w:r>
      <w:r>
        <w:rPr>
          <w:rFonts w:ascii="Arial" w:cs="Arial" w:eastAsia="Arial" w:hAnsi="Arial"/>
          <w:sz w:val="11"/>
          <w:szCs w:val="11"/>
          <w:i w:val="1"/>
          <w:iCs w:val="1"/>
          <w:color w:val="auto"/>
        </w:rPr>
        <w:t>Capital Stock</w:t>
      </w:r>
      <w:r>
        <w:rPr>
          <w:rFonts w:ascii="Arial" w:cs="Arial" w:eastAsia="Arial" w:hAnsi="Arial"/>
          <w:sz w:val="11"/>
          <w:szCs w:val="11"/>
          <w:color w:val="auto"/>
        </w:rPr>
        <w:t>, in the Consolidated Financial Statements included in Item 8 of this Annual Report on Form 10-K, we recorded a non-cash deemed dividend of $10.2 million as a result of the modification of the exchange rights for the Series A Preferred Stock held by Platinum and the related contingent issuance of a five-year warrant to purchase shares of our common stock upon Platinum’s exercise of its Series A Preferred Stock exchange rights.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Since our inception in May 1998 through March 31, 2014, we have financed our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we have issued equity securities with an approximate aggregate value at issuance of $12.6 million, primarily as compensation for professional services rendered to us since inception. At March 31, 2014, we had negligible cash and cash equivalents. To meet our cash needs and fund our working capital requirements after March 31, 2014 and prior to the expected completion of the Autilion Financing (described below) or an alternate debt- or equity-based financing, through June 19, 2014, we entered into securities purchase agreements with accredited investors pursuant to which we sold to such accredited investors certain Units for aggregate cash proceeds of $1,465,000, consisting of: (i) 10% subordinate convertible promissory notes in the aggregate face amount of $1,465,000 maturing on March 31, 2015; (ii) an aggregate of 1,465,000 restricted shares of our common stock; and (iii) warrants exercisable through December 31, 2016 to purchase an aggregate of 1,465,000 restricted shares of our common stock at an exercise price of $0.50 per share. We anticipate that our cash expenditures during the next twelve months will be approximately $4.0 to $6.0 million.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April 2013, we entered into the Securities Purchase Agreement with Autilion, under which Autilion is contractually obligated to purchase an aggregate of 72.0 million restricted shares of our common stock at a purchase price of $0.50 per share for aggregate cash proceeds to us of $36.0 million. To date, Autilion has completed only a nominal closing under the Securities Purchase Agreement. Therefore, Autilion is in default under the Securities Purchase Agreement, and we can provide no assurance that Autilion will complete a material closing under the Securities Purchase Agreement. In the event that Autilion does not complete a material closing under the Securities Purchase Agreement in the near term, we will need to obtain from $4.0 million to $6.0 million from alternative financing sources to execute our current business plan. Substantial additional financing may not be available to us on a timely basis, on terms acceptable to us, or at all. In the event we are unable to obtain substantial additional financing on a timely basis, our business, financial condition, and results of operations may be harmed, the price of our stock may decline, and we may not be able to continue as a going concern.</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event Autilion completes a closing under the Securities Purchase Agreement in an amount exceeding $13.0 million, and we issue to Autilion over 26 million shares of our restricted common stock in connection with such closing, Autilion will control in excess of 50% of our issued and outstanding common stock, resulting in a change in control of the Company. In addition, substantial dilution to existing stockholders will occur upon completion of a material portion of the Autilion Financing, or completion of an alternate equity-based financing.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0" w:name="page71"/>
    <w:bookmarkEnd w:id="7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If and as necessary, we may seek to complete a combination of additional private placements or public offerings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for our operations, and we will continue to pursue additional financing opportunities as necessary to meet our business objectives, there can be no assurance that substantial additional capital will be available to us in sufficient amounts, on terms favorable to us, and without substantial dilution to our current stockholders, if at all. If we are unable to complete one or more private placements or public offerings, or otherwise obtain sufficient financing through strategic collaborations or government grant awards, we may be required to delay, scale back or discontinue certain drug rescue and/or research and development activities, and this may adversely affect our ability to continue as a going concern. If we obtain additional financing by selling our equity or debt securities, we anticipate that substantial dilution to our existing stockholders will result. Our future working capital requirements will depend on many factors, including, without limitation, the scope and nature of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(638)</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disclosures in this section are not required since we qualify as a smaller reporting company.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2880" w:type="dxa"/>
            <w:vAlign w:val="bottom"/>
            <w:gridSpan w:val="7"/>
          </w:tcPr>
          <w:p>
            <w:pPr>
              <w:spacing w:after="0"/>
              <w:rPr>
                <w:sz w:val="10"/>
                <w:szCs w:val="10"/>
                <w:color w:val="auto"/>
              </w:rPr>
            </w:pPr>
          </w:p>
        </w:tc>
        <w:tc>
          <w:tcPr>
            <w:tcW w:w="59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40" w:type="dxa"/>
            <w:vAlign w:val="bottom"/>
            <w:gridSpan w:val="9"/>
          </w:tcPr>
          <w:p>
            <w:pPr>
              <w:spacing w:after="0"/>
              <w:rPr>
                <w:sz w:val="20"/>
                <w:szCs w:val="20"/>
                <w:color w:val="auto"/>
              </w:rPr>
            </w:pPr>
            <w:r>
              <w:rPr>
                <w:rFonts w:ascii="Arial" w:cs="Arial" w:eastAsia="Arial" w:hAnsi="Arial"/>
                <w:sz w:val="12"/>
                <w:szCs w:val="12"/>
                <w:b w:val="1"/>
                <w:bCs w:val="1"/>
                <w:color w:val="auto"/>
              </w:rPr>
              <w:t>Item 8. Financial Statements and Supplementary Data</w:t>
            </w:r>
          </w:p>
        </w:tc>
        <w:tc>
          <w:tcPr>
            <w:tcW w:w="5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40" w:type="dxa"/>
            <w:vAlign w:val="bottom"/>
            <w:gridSpan w:val="2"/>
          </w:tcPr>
          <w:p>
            <w:pPr>
              <w:jc w:val="center"/>
              <w:ind w:right="3580"/>
              <w:spacing w:after="0"/>
              <w:rPr>
                <w:sz w:val="20"/>
                <w:szCs w:val="20"/>
                <w:color w:val="auto"/>
              </w:rPr>
            </w:pPr>
            <w:r>
              <w:rPr>
                <w:rFonts w:ascii="Arial" w:cs="Arial" w:eastAsia="Arial" w:hAnsi="Arial"/>
                <w:sz w:val="12"/>
                <w:szCs w:val="12"/>
                <w:b w:val="1"/>
                <w:bCs w:val="1"/>
                <w:color w:val="auto"/>
              </w:rPr>
              <w:t>INDEX TO CONSOLIDATED FINANCIAL STATEMENTS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20" w:type="dxa"/>
            <w:vAlign w:val="bottom"/>
            <w:gridSpan w:val="8"/>
            <w:shd w:val="clear" w:color="auto" w:fill="CCEEFF"/>
          </w:tcPr>
          <w:p>
            <w:pPr>
              <w:spacing w:after="0" w:line="115" w:lineRule="exact"/>
              <w:rPr>
                <w:rFonts w:ascii="Arial" w:cs="Arial" w:eastAsia="Arial" w:hAnsi="Arial"/>
                <w:sz w:val="12"/>
                <w:szCs w:val="12"/>
                <w:color w:val="0000EE"/>
              </w:rPr>
            </w:pPr>
            <w:hyperlink w:anchor="page73">
              <w:r>
                <w:rPr>
                  <w:rFonts w:ascii="Arial" w:cs="Arial" w:eastAsia="Arial" w:hAnsi="Arial"/>
                  <w:sz w:val="12"/>
                  <w:szCs w:val="12"/>
                  <w:color w:val="0000EE"/>
                </w:rPr>
                <w:t>Report of Independent Registered Public Accounting Firm</w:t>
              </w:r>
            </w:hyperlink>
          </w:p>
        </w:tc>
        <w:tc>
          <w:tcPr>
            <w:tcW w:w="5920" w:type="dxa"/>
            <w:vAlign w:val="bottom"/>
            <w:shd w:val="clear" w:color="auto" w:fill="CCEEFF"/>
          </w:tcPr>
          <w:p>
            <w:pPr>
              <w:spacing w:after="0"/>
              <w:rPr>
                <w:sz w:val="10"/>
                <w:szCs w:val="10"/>
                <w:color w:val="auto"/>
              </w:rPr>
            </w:pPr>
          </w:p>
        </w:tc>
        <w:tc>
          <w:tcPr>
            <w:tcW w:w="1920" w:type="dxa"/>
            <w:vAlign w:val="bottom"/>
            <w:shd w:val="clear" w:color="auto" w:fill="CCEEFF"/>
          </w:tcPr>
          <w:p>
            <w:pPr>
              <w:jc w:val="center"/>
              <w:spacing w:after="0" w:line="115" w:lineRule="exact"/>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Borders>
              <w:top w:val="single" w:sz="8" w:color="0000EE"/>
            </w:tcBorders>
            <w:gridSpan w:val="6"/>
          </w:tcPr>
          <w:p>
            <w:pPr>
              <w:spacing w:after="0" w:line="117" w:lineRule="exact"/>
              <w:rPr>
                <w:rFonts w:ascii="Arial" w:cs="Arial" w:eastAsia="Arial" w:hAnsi="Arial"/>
                <w:sz w:val="12"/>
                <w:szCs w:val="12"/>
                <w:color w:val="0000EE"/>
              </w:rPr>
            </w:pPr>
            <w:hyperlink w:anchor="page74">
              <w:r>
                <w:rPr>
                  <w:rFonts w:ascii="Arial" w:cs="Arial" w:eastAsia="Arial" w:hAnsi="Arial"/>
                  <w:sz w:val="12"/>
                  <w:szCs w:val="12"/>
                  <w:color w:val="0000EE"/>
                </w:rPr>
                <w:t>Consolidated Balance Sheets</w:t>
              </w:r>
            </w:hyperlink>
          </w:p>
        </w:tc>
        <w:tc>
          <w:tcPr>
            <w:tcW w:w="840" w:type="dxa"/>
            <w:vAlign w:val="bottom"/>
            <w:tcBorders>
              <w:top w:val="single" w:sz="8" w:color="CCEEFF"/>
            </w:tcBorders>
            <w:gridSpan w:val="2"/>
          </w:tcPr>
          <w:p>
            <w:pPr>
              <w:spacing w:after="0"/>
              <w:rPr>
                <w:sz w:val="10"/>
                <w:szCs w:val="10"/>
                <w:color w:val="auto"/>
              </w:rPr>
            </w:pPr>
          </w:p>
        </w:tc>
        <w:tc>
          <w:tcPr>
            <w:tcW w:w="5920" w:type="dxa"/>
            <w:vAlign w:val="bottom"/>
            <w:tcBorders>
              <w:top w:val="single" w:sz="8" w:color="CCEEFF"/>
            </w:tcBorders>
          </w:tcPr>
          <w:p>
            <w:pPr>
              <w:spacing w:after="0"/>
              <w:rPr>
                <w:sz w:val="10"/>
                <w:szCs w:val="10"/>
                <w:color w:val="auto"/>
              </w:rPr>
            </w:pPr>
          </w:p>
        </w:tc>
        <w:tc>
          <w:tcPr>
            <w:tcW w:w="19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8"/>
              </w:rPr>
              <w:t>F-2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10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8"/>
              </w:rPr>
            </w:pPr>
            <w:hyperlink w:anchor="page75">
              <w:r>
                <w:rPr>
                  <w:rFonts w:ascii="Arial" w:cs="Arial" w:eastAsia="Arial" w:hAnsi="Arial"/>
                  <w:sz w:val="12"/>
                  <w:szCs w:val="12"/>
                  <w:color w:val="0000EE"/>
                  <w:w w:val="88"/>
                </w:rPr>
                <w:t>Consolidated Statements of Operations and Comprehensive Loss</w:t>
              </w:r>
            </w:hyperlink>
          </w:p>
        </w:tc>
        <w:tc>
          <w:tcPr>
            <w:tcW w:w="520" w:type="dxa"/>
            <w:vAlign w:val="bottom"/>
            <w:tcBorders>
              <w:bottom w:val="single" w:sz="8" w:color="CCEEFF"/>
            </w:tcBorders>
            <w:shd w:val="clear" w:color="auto" w:fill="CCEEFF"/>
          </w:tcPr>
          <w:p>
            <w:pPr>
              <w:spacing w:after="0"/>
              <w:rPr>
                <w:sz w:val="10"/>
                <w:szCs w:val="10"/>
                <w:color w:val="auto"/>
              </w:rPr>
            </w:pPr>
          </w:p>
        </w:tc>
        <w:tc>
          <w:tcPr>
            <w:tcW w:w="5920" w:type="dxa"/>
            <w:vAlign w:val="bottom"/>
            <w:tcBorders>
              <w:bottom w:val="single" w:sz="8" w:color="CCEEFF"/>
            </w:tcBorders>
            <w:shd w:val="clear" w:color="auto" w:fill="CCEEFF"/>
          </w:tcPr>
          <w:p>
            <w:pPr>
              <w:spacing w:after="0"/>
              <w:rPr>
                <w:sz w:val="10"/>
                <w:szCs w:val="10"/>
                <w:color w:val="auto"/>
              </w:rPr>
            </w:pPr>
          </w:p>
        </w:tc>
        <w:tc>
          <w:tcPr>
            <w:tcW w:w="1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20" w:type="dxa"/>
            <w:vAlign w:val="bottom"/>
            <w:gridSpan w:val="8"/>
          </w:tcPr>
          <w:p>
            <w:pPr>
              <w:spacing w:after="0" w:line="117" w:lineRule="exact"/>
              <w:rPr>
                <w:rFonts w:ascii="Arial" w:cs="Arial" w:eastAsia="Arial" w:hAnsi="Arial"/>
                <w:sz w:val="12"/>
                <w:szCs w:val="12"/>
                <w:color w:val="0000EE"/>
              </w:rPr>
            </w:pPr>
            <w:hyperlink w:anchor="page76">
              <w:r>
                <w:rPr>
                  <w:rFonts w:ascii="Arial" w:cs="Arial" w:eastAsia="Arial" w:hAnsi="Arial"/>
                  <w:sz w:val="12"/>
                  <w:szCs w:val="12"/>
                  <w:color w:val="0000EE"/>
                </w:rPr>
                <w:t>Consolidated Statements of Cash Flows</w:t>
              </w:r>
            </w:hyperlink>
          </w:p>
        </w:tc>
        <w:tc>
          <w:tcPr>
            <w:tcW w:w="5920" w:type="dxa"/>
            <w:vAlign w:val="bottom"/>
          </w:tcPr>
          <w:p>
            <w:pPr>
              <w:spacing w:after="0"/>
              <w:rPr>
                <w:sz w:val="10"/>
                <w:szCs w:val="10"/>
                <w:color w:val="auto"/>
              </w:rPr>
            </w:pPr>
          </w:p>
        </w:tc>
        <w:tc>
          <w:tcPr>
            <w:tcW w:w="1920" w:type="dxa"/>
            <w:vAlign w:val="bottom"/>
          </w:tcPr>
          <w:p>
            <w:pPr>
              <w:jc w:val="center"/>
              <w:spacing w:after="0" w:line="117" w:lineRule="exact"/>
              <w:rPr>
                <w:sz w:val="20"/>
                <w:szCs w:val="20"/>
                <w:color w:val="auto"/>
              </w:rPr>
            </w:pPr>
            <w:r>
              <w:rPr>
                <w:rFonts w:ascii="Arial" w:cs="Arial" w:eastAsia="Arial" w:hAnsi="Arial"/>
                <w:sz w:val="12"/>
                <w:szCs w:val="12"/>
                <w:color w:val="auto"/>
                <w:w w:val="88"/>
              </w:rPr>
              <w:t>F-4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80" w:type="dxa"/>
            <w:vAlign w:val="bottom"/>
            <w:tcBorders>
              <w:bottom w:val="single" w:sz="8" w:color="0000EE"/>
            </w:tcBorders>
            <w:gridSpan w:val="4"/>
            <w:shd w:val="clear" w:color="auto" w:fill="CCEEFF"/>
          </w:tcPr>
          <w:p>
            <w:pPr>
              <w:spacing w:after="0" w:line="117" w:lineRule="exact"/>
              <w:rPr>
                <w:rFonts w:ascii="Arial" w:cs="Arial" w:eastAsia="Arial" w:hAnsi="Arial"/>
                <w:sz w:val="12"/>
                <w:szCs w:val="12"/>
                <w:color w:val="0000EE"/>
                <w:w w:val="87"/>
              </w:rPr>
            </w:pPr>
            <w:hyperlink w:anchor="page78">
              <w:r>
                <w:rPr>
                  <w:rFonts w:ascii="Arial" w:cs="Arial" w:eastAsia="Arial" w:hAnsi="Arial"/>
                  <w:sz w:val="12"/>
                  <w:szCs w:val="12"/>
                  <w:color w:val="0000EE"/>
                  <w:w w:val="87"/>
                </w:rPr>
                <w:t>Consolidated Statements of Preferred Stock</w:t>
              </w:r>
            </w:hyperlink>
          </w:p>
        </w:tc>
        <w:tc>
          <w:tcPr>
            <w:tcW w:w="1540" w:type="dxa"/>
            <w:vAlign w:val="bottom"/>
            <w:tcBorders>
              <w:bottom w:val="single" w:sz="8" w:color="CCEEFF"/>
            </w:tcBorders>
            <w:gridSpan w:val="4"/>
            <w:shd w:val="clear" w:color="auto" w:fill="CCEEFF"/>
          </w:tcPr>
          <w:p>
            <w:pPr>
              <w:spacing w:after="0"/>
              <w:rPr>
                <w:sz w:val="10"/>
                <w:szCs w:val="10"/>
                <w:color w:val="auto"/>
              </w:rPr>
            </w:pPr>
          </w:p>
        </w:tc>
        <w:tc>
          <w:tcPr>
            <w:tcW w:w="5920" w:type="dxa"/>
            <w:vAlign w:val="bottom"/>
            <w:tcBorders>
              <w:bottom w:val="single" w:sz="8" w:color="CCEEFF"/>
            </w:tcBorders>
            <w:shd w:val="clear" w:color="auto" w:fill="CCEEFF"/>
          </w:tcPr>
          <w:p>
            <w:pPr>
              <w:spacing w:after="0"/>
              <w:rPr>
                <w:sz w:val="10"/>
                <w:szCs w:val="10"/>
                <w:color w:val="auto"/>
              </w:rPr>
            </w:pPr>
          </w:p>
        </w:tc>
        <w:tc>
          <w:tcPr>
            <w:tcW w:w="19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Borders>
              <w:bottom w:val="single" w:sz="8" w:color="0000EE"/>
            </w:tcBorders>
            <w:gridSpan w:val="5"/>
          </w:tcPr>
          <w:p>
            <w:pPr>
              <w:spacing w:after="0" w:line="117" w:lineRule="exact"/>
              <w:rPr>
                <w:rFonts w:ascii="Arial" w:cs="Arial" w:eastAsia="Arial" w:hAnsi="Arial"/>
                <w:sz w:val="12"/>
                <w:szCs w:val="12"/>
                <w:color w:val="0000EE"/>
                <w:w w:val="89"/>
              </w:rPr>
            </w:pPr>
            <w:hyperlink w:anchor="page79">
              <w:r>
                <w:rPr>
                  <w:rFonts w:ascii="Arial" w:cs="Arial" w:eastAsia="Arial" w:hAnsi="Arial"/>
                  <w:sz w:val="12"/>
                  <w:szCs w:val="12"/>
                  <w:color w:val="0000EE"/>
                  <w:w w:val="89"/>
                </w:rPr>
                <w:t>Consolidated Statements of Stockholders' Deficit</w:t>
              </w:r>
            </w:hyperlink>
          </w:p>
        </w:tc>
        <w:tc>
          <w:tcPr>
            <w:tcW w:w="1280" w:type="dxa"/>
            <w:vAlign w:val="bottom"/>
            <w:gridSpan w:val="3"/>
          </w:tcPr>
          <w:p>
            <w:pPr>
              <w:spacing w:after="0"/>
              <w:rPr>
                <w:sz w:val="10"/>
                <w:szCs w:val="10"/>
                <w:color w:val="auto"/>
              </w:rPr>
            </w:pPr>
          </w:p>
        </w:tc>
        <w:tc>
          <w:tcPr>
            <w:tcW w:w="5920" w:type="dxa"/>
            <w:vAlign w:val="bottom"/>
          </w:tcPr>
          <w:p>
            <w:pPr>
              <w:spacing w:after="0"/>
              <w:rPr>
                <w:sz w:val="10"/>
                <w:szCs w:val="10"/>
                <w:color w:val="auto"/>
              </w:rPr>
            </w:pPr>
          </w:p>
        </w:tc>
        <w:tc>
          <w:tcPr>
            <w:tcW w:w="1920" w:type="dxa"/>
            <w:vAlign w:val="bottom"/>
          </w:tcPr>
          <w:p>
            <w:pPr>
              <w:jc w:val="center"/>
              <w:spacing w:after="0" w:line="117" w:lineRule="exact"/>
              <w:rPr>
                <w:sz w:val="20"/>
                <w:szCs w:val="20"/>
                <w:color w:val="auto"/>
              </w:rPr>
            </w:pPr>
            <w:r>
              <w:rPr>
                <w:rFonts w:ascii="Arial" w:cs="Arial" w:eastAsia="Arial" w:hAnsi="Arial"/>
                <w:sz w:val="12"/>
                <w:szCs w:val="12"/>
                <w:color w:val="auto"/>
                <w:w w:val="88"/>
              </w:rPr>
              <w:t>F-7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20" w:type="dxa"/>
            <w:vAlign w:val="bottom"/>
            <w:gridSpan w:val="8"/>
            <w:shd w:val="clear" w:color="auto" w:fill="CCEEFF"/>
          </w:tcPr>
          <w:p>
            <w:pPr>
              <w:spacing w:after="0" w:line="117" w:lineRule="exact"/>
              <w:rPr>
                <w:rFonts w:ascii="Arial" w:cs="Arial" w:eastAsia="Arial" w:hAnsi="Arial"/>
                <w:sz w:val="12"/>
                <w:szCs w:val="12"/>
                <w:color w:val="0000EE"/>
              </w:rPr>
            </w:pPr>
            <w:hyperlink w:anchor="page83">
              <w:r>
                <w:rPr>
                  <w:rFonts w:ascii="Arial" w:cs="Arial" w:eastAsia="Arial" w:hAnsi="Arial"/>
                  <w:sz w:val="12"/>
                  <w:szCs w:val="12"/>
                  <w:color w:val="0000EE"/>
                </w:rPr>
                <w:t>Notes to Consolidated Financial Statements</w:t>
              </w:r>
            </w:hyperlink>
          </w:p>
        </w:tc>
        <w:tc>
          <w:tcPr>
            <w:tcW w:w="5920" w:type="dxa"/>
            <w:vAlign w:val="bottom"/>
            <w:shd w:val="clear" w:color="auto" w:fill="CCEEFF"/>
          </w:tcPr>
          <w:p>
            <w:pPr>
              <w:spacing w:after="0"/>
              <w:rPr>
                <w:sz w:val="10"/>
                <w:szCs w:val="10"/>
                <w:color w:val="auto"/>
              </w:rPr>
            </w:pPr>
          </w:p>
        </w:tc>
        <w:tc>
          <w:tcPr>
            <w:tcW w:w="19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F-9</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5920" w:type="dxa"/>
            <w:vAlign w:val="bottom"/>
            <w:tcBorders>
              <w:top w:val="single" w:sz="8" w:color="CCEEFF"/>
            </w:tcBorders>
          </w:tcPr>
          <w:p>
            <w:pPr>
              <w:jc w:val="right"/>
              <w:ind w:right="3660"/>
              <w:spacing w:after="0"/>
              <w:rPr>
                <w:sz w:val="20"/>
                <w:szCs w:val="20"/>
                <w:color w:val="auto"/>
              </w:rPr>
            </w:pPr>
            <w:r>
              <w:rPr>
                <w:rFonts w:ascii="Arial" w:cs="Arial" w:eastAsia="Arial" w:hAnsi="Arial"/>
                <w:sz w:val="12"/>
                <w:szCs w:val="12"/>
                <w:color w:val="auto"/>
              </w:rPr>
              <w:t>-70-</w:t>
            </w:r>
          </w:p>
        </w:tc>
        <w:tc>
          <w:tcPr>
            <w:tcW w:w="19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5920" w:type="dxa"/>
            <w:vAlign w:val="bottom"/>
            <w:tcBorders>
              <w:bottom w:val="single" w:sz="8" w:color="808080"/>
            </w:tcBorders>
          </w:tcPr>
          <w:p>
            <w:pPr>
              <w:spacing w:after="0"/>
              <w:rPr>
                <w:sz w:val="6"/>
                <w:szCs w:val="6"/>
                <w:color w:val="auto"/>
              </w:rPr>
            </w:pPr>
          </w:p>
        </w:tc>
        <w:tc>
          <w:tcPr>
            <w:tcW w:w="19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72" w:name="page73"/>
    <w:bookmarkEnd w:id="7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 development stage company)</w:t>
      </w:r>
    </w:p>
    <w:p>
      <w:pPr>
        <w:spacing w:after="0" w:line="15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audited the accompanying consolidated balance sheets of VistaGen Therapeutics, Inc. (a development stage company) as of March 31, 2014 and 2013 and the related consolidated statements of operations and comprehensive loss, cash flows, preferred stock, and stockholders’ deficit for the years then ended, and for the period from May 26, 1998 (inception) through March 31, 2014. These financial statements are the responsibility of the Company's management. Our responsibility is to express an opinion on these consolidated financial statements based on our audits.</w:t>
      </w:r>
    </w:p>
    <w:p>
      <w:pPr>
        <w:spacing w:after="0" w:line="141"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9"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consolidated financial position of VistaGen Therapeutics, Inc. (a development stage company) at March 31, 2014 and 2013, and the consolidated results of its operations and its cash flows for the years then ended, and for the period from May 26, 1998 (inception) through March 31, 2014, in conformity with U.S. generally accepted accounting principles.</w:t>
      </w:r>
    </w:p>
    <w:p>
      <w:pPr>
        <w:spacing w:after="0" w:line="11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23, 2014</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26"/>
        </w:trPr>
        <w:tc>
          <w:tcPr>
            <w:tcW w:w="884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60" w:type="dxa"/>
            <w:vAlign w:val="bottom"/>
            <w:tcBorders>
              <w:top w:val="single" w:sz="8" w:color="0000EE"/>
            </w:tcBorders>
          </w:tcPr>
          <w:p>
            <w:pPr>
              <w:spacing w:after="0"/>
              <w:rPr>
                <w:sz w:val="12"/>
                <w:szCs w:val="12"/>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 development stage company)</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20"/>
              <w:spacing w:after="0"/>
              <w:rPr>
                <w:sz w:val="20"/>
                <w:szCs w:val="20"/>
                <w:color w:val="auto"/>
              </w:rPr>
            </w:pPr>
            <w:r>
              <w:rPr>
                <w:rFonts w:ascii="Arial" w:cs="Arial" w:eastAsia="Arial" w:hAnsi="Arial"/>
                <w:sz w:val="12"/>
                <w:szCs w:val="12"/>
                <w:b w:val="1"/>
                <w:bCs w:val="1"/>
                <w:color w:val="auto"/>
                <w:w w:val="99"/>
              </w:rPr>
              <w:t>CONSOLIDATED BALANCE SHEETS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00" w:type="dxa"/>
            <w:vAlign w:val="bottom"/>
          </w:tcPr>
          <w:p>
            <w:pPr>
              <w:spacing w:after="0"/>
              <w:rPr>
                <w:sz w:val="13"/>
                <w:szCs w:val="13"/>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80" w:type="dxa"/>
            <w:vAlign w:val="bottom"/>
          </w:tcPr>
          <w:p>
            <w:pPr>
              <w:jc w:val="center"/>
              <w:ind w:left="1700"/>
              <w:spacing w:after="0" w:line="133" w:lineRule="exact"/>
              <w:rPr>
                <w:sz w:val="20"/>
                <w:szCs w:val="20"/>
                <w:color w:val="auto"/>
              </w:rPr>
            </w:pPr>
            <w:r>
              <w:rPr>
                <w:rFonts w:ascii="Arial" w:cs="Arial" w:eastAsia="Arial" w:hAnsi="Arial"/>
                <w:sz w:val="12"/>
                <w:szCs w:val="12"/>
                <w:b w:val="1"/>
                <w:bCs w:val="1"/>
                <w:color w:val="auto"/>
                <w:w w:val="91"/>
              </w:rPr>
              <w:t>ASSETS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33,700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671,800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176,300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180,700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700"/>
              <w:spacing w:after="0"/>
              <w:rPr>
                <w:sz w:val="20"/>
                <w:szCs w:val="20"/>
                <w:color w:val="auto"/>
              </w:rPr>
            </w:pPr>
            <w:r>
              <w:rPr>
                <w:rFonts w:ascii="Arial" w:cs="Arial" w:eastAsia="Arial" w:hAnsi="Arial"/>
                <w:sz w:val="12"/>
                <w:szCs w:val="12"/>
                <w:b w:val="1"/>
                <w:bCs w:val="1"/>
                <w:color w:val="auto"/>
              </w:rPr>
              <w:t>LIABILITIES AND 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2,443,900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1,353,600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625,600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Advance from officer</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portion of notes payable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Current portion of notes payable to related parties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290,400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Convertible promissory notes and accrued interest, net of discount of $697,400 at March 31, 2014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7,600</w:t>
            </w:r>
          </w:p>
        </w:tc>
        <w:tc>
          <w:tcPr>
            <w:tcW w:w="0" w:type="dxa"/>
            <w:vAlign w:val="bottom"/>
          </w:tcPr>
          <w:p>
            <w:pPr>
              <w:spacing w:after="0"/>
              <w:rPr>
                <w:sz w:val="1"/>
                <w:szCs w:val="1"/>
                <w:color w:val="auto"/>
              </w:rPr>
            </w:pPr>
          </w:p>
        </w:tc>
      </w:tr>
      <w:tr>
        <w:trPr>
          <w:trHeight w:val="142"/>
        </w:trPr>
        <w:tc>
          <w:tcPr>
            <w:tcW w:w="8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5,205,700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2,414,300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Non-current liabilities: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Senior secured convertible promissory notes, net of discount of $2,085,900 at March 31, 2014 and $1,963,100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Notes payable, net of discount of $848,100 at March 31, 2014 and $1,142,600 at March 31, 2013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1,797,600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Notes payable to related parties, net of discount of $103,200 at March 31, 2014 and $147,200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Warrant liability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2,973,900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rent liability</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97,400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Total non-current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7,857,900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11,023,600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340"/>
              <w:spacing w:after="0"/>
              <w:rPr>
                <w:sz w:val="20"/>
                <w:szCs w:val="20"/>
                <w:color w:val="auto"/>
              </w:rPr>
            </w:pPr>
            <w:r>
              <w:rPr>
                <w:rFonts w:ascii="Arial" w:cs="Arial" w:eastAsia="Arial" w:hAnsi="Arial"/>
                <w:sz w:val="12"/>
                <w:szCs w:val="12"/>
                <w:color w:val="auto"/>
              </w:rPr>
              <w:t>Total liabilities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13,063,600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13,437,900</w:t>
            </w:r>
          </w:p>
        </w:tc>
        <w:tc>
          <w:tcPr>
            <w:tcW w:w="0" w:type="dxa"/>
            <w:vAlign w:val="bottom"/>
          </w:tcPr>
          <w:p>
            <w:pPr>
              <w:spacing w:after="0"/>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40" w:type="dxa"/>
            <w:vAlign w:val="bottom"/>
            <w:gridSpan w:val="2"/>
            <w:shd w:val="clear" w:color="auto" w:fill="CCEEFF"/>
          </w:tcPr>
          <w:p>
            <w:pPr>
              <w:ind w:left="180"/>
              <w:spacing w:after="0" w:line="136" w:lineRule="exact"/>
              <w:rPr>
                <w:sz w:val="20"/>
                <w:szCs w:val="20"/>
                <w:color w:val="auto"/>
              </w:rPr>
            </w:pPr>
            <w:r>
              <w:rPr>
                <w:rFonts w:ascii="Arial" w:cs="Arial" w:eastAsia="Arial" w:hAnsi="Arial"/>
                <w:sz w:val="12"/>
                <w:szCs w:val="12"/>
                <w:color w:val="auto"/>
                <w:w w:val="90"/>
              </w:rPr>
              <w:t>Preferred stock, $0.001 par value; 10,000,000 shares, including 500,000 Series A shares, authorized at March 31, 2014 and 2013; 500,000 Series A shares issued and outstanding</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at March 31, 2014 and 2013</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884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90"/>
              </w:rPr>
              <w:t>Common stock, $0.001 par value; 200,000,000 shares authorized at March 31, 2014 and 2013; 26,200,185 and 23,480,169 shares issued at March 31, 2014 and March 31, 2013,</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320"/>
              <w:spacing w:after="0"/>
              <w:rPr>
                <w:sz w:val="20"/>
                <w:szCs w:val="20"/>
                <w:color w:val="auto"/>
              </w:rPr>
            </w:pPr>
            <w:r>
              <w:rPr>
                <w:rFonts w:ascii="Arial" w:cs="Arial" w:eastAsia="Arial" w:hAnsi="Arial"/>
                <w:sz w:val="12"/>
                <w:szCs w:val="12"/>
                <w:color w:val="auto"/>
              </w:rPr>
              <w:t>respectively</w:t>
            </w:r>
          </w:p>
        </w:tc>
        <w:tc>
          <w:tcPr>
            <w:tcW w:w="20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26,200</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23,500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61,976,500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59,266,000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Treasury stock, at cost, 2,713,308 shares of common stock held at March 31, 2014 and 2013</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 receivable from sale of common stock</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(209,100)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Deficit accumulated during development stage</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(70,636,900)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(67,669,200)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stockholders’ deficit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(12,799,900)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(12,556,400)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74" w:name="page75"/>
    <w:bookmarkEnd w:id="7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May 26, 1998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(Inception)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Through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March 31,</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37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12,963,100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Collaboration revenue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2,283,600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360"/>
              <w:spacing w:after="0"/>
              <w:rPr>
                <w:sz w:val="20"/>
                <w:szCs w:val="20"/>
                <w:color w:val="auto"/>
              </w:rPr>
            </w:pPr>
            <w:r>
              <w:rPr>
                <w:rFonts w:ascii="Arial" w:cs="Arial" w:eastAsia="Arial" w:hAnsi="Arial"/>
                <w:sz w:val="12"/>
                <w:szCs w:val="12"/>
                <w:color w:val="auto"/>
              </w:rPr>
              <w:t>Total 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16,370,200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2,480,600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3,430,800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32,036,300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Acquired in-process research and development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2,548,300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3,562,700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33,229,400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5,028,900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6,993,500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72,788,900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from operations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(5,028,900)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(6,793,100)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(56,418,700)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(1,503,000)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(920,700)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(11,865,200)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and put and note extension option liabilities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3,566,900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(1,635,800)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2,349,600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40"/>
              <w:spacing w:after="0"/>
              <w:rPr>
                <w:sz w:val="20"/>
                <w:szCs w:val="20"/>
                <w:color w:val="auto"/>
              </w:rPr>
            </w:pPr>
            <w:r>
              <w:rPr>
                <w:rFonts w:ascii="Arial" w:cs="Arial" w:eastAsia="Arial" w:hAnsi="Arial"/>
                <w:sz w:val="12"/>
                <w:szCs w:val="12"/>
                <w:color w:val="auto"/>
              </w:rPr>
              <w:t>Loss on early extinguishment of debt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(3,567,800)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(4,761,300)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34,400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(2,965,000)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(12,883,000)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(70,613,700)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(10,193,200)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(10,193,200)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(23,079,900)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(80,830,100)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(0.19)</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Weighted average shares used in computing:</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21,973,149</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18,108,444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920" w:type="dxa"/>
            <w:vAlign w:val="bottom"/>
          </w:tcPr>
          <w:p>
            <w:pPr>
              <w:ind w:left="160"/>
              <w:spacing w:after="0" w:line="120" w:lineRule="exact"/>
              <w:rPr>
                <w:sz w:val="20"/>
                <w:szCs w:val="20"/>
                <w:color w:val="auto"/>
              </w:rPr>
            </w:pPr>
            <w:r>
              <w:rPr>
                <w:rFonts w:ascii="Arial" w:cs="Arial" w:eastAsia="Arial" w:hAnsi="Arial"/>
                <w:sz w:val="12"/>
                <w:szCs w:val="12"/>
                <w:color w:val="auto"/>
                <w:w w:val="98"/>
              </w:rPr>
              <w:t>Diluted net loss attributable to common stockholders per common share</w:t>
            </w: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21,973,149</w:t>
            </w:r>
          </w:p>
        </w:tc>
        <w:tc>
          <w:tcPr>
            <w:tcW w:w="4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18,108,444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Comprehensive loss</w:t>
            </w:r>
          </w:p>
        </w:tc>
        <w:tc>
          <w:tcPr>
            <w:tcW w:w="35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450"/>
              <w:spacing w:after="0"/>
              <w:rPr>
                <w:sz w:val="20"/>
                <w:szCs w:val="20"/>
                <w:color w:val="auto"/>
              </w:rPr>
            </w:pPr>
            <w:r>
              <w:rPr>
                <w:rFonts w:ascii="Arial" w:cs="Arial" w:eastAsia="Arial" w:hAnsi="Arial"/>
                <w:sz w:val="12"/>
                <w:szCs w:val="12"/>
                <w:color w:val="auto"/>
                <w:w w:val="98"/>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1850"/>
              <w:spacing w:after="0"/>
              <w:rPr>
                <w:sz w:val="20"/>
                <w:szCs w:val="20"/>
                <w:color w:val="auto"/>
              </w:rPr>
            </w:pPr>
            <w:r>
              <w:rPr>
                <w:rFonts w:ascii="Arial" w:cs="Arial" w:eastAsia="Arial" w:hAnsi="Arial"/>
                <w:sz w:val="12"/>
                <w:szCs w:val="12"/>
                <w:color w:val="auto"/>
              </w:rPr>
              <w:t>F-3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5" w:name="page76"/>
    <w:bookmarkEnd w:id="7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Period From May 26,</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20" w:type="dxa"/>
            <w:vAlign w:val="bottom"/>
            <w:gridSpan w:val="5"/>
            <w:vMerge w:val="restart"/>
          </w:tcPr>
          <w:p>
            <w:pPr>
              <w:jc w:val="right"/>
              <w:ind w:right="740"/>
              <w:spacing w:after="0"/>
              <w:rPr>
                <w:sz w:val="20"/>
                <w:szCs w:val="20"/>
                <w:color w:val="auto"/>
              </w:rPr>
            </w:pPr>
            <w:r>
              <w:rPr>
                <w:rFonts w:ascii="Arial" w:cs="Arial" w:eastAsia="Arial" w:hAnsi="Arial"/>
                <w:sz w:val="12"/>
                <w:szCs w:val="12"/>
                <w:b w:val="1"/>
                <w:bCs w:val="1"/>
                <w:color w:val="auto"/>
              </w:rPr>
              <w:t>Fiscal Years Ended March 31,</w:t>
            </w:r>
          </w:p>
        </w:tc>
        <w:tc>
          <w:tcPr>
            <w:tcW w:w="6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1998 (Inception)</w:t>
            </w: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rPr>
              <w:t>Through March 31,</w:t>
            </w:r>
          </w:p>
        </w:tc>
        <w:tc>
          <w:tcPr>
            <w:tcW w:w="0" w:type="dxa"/>
            <w:vAlign w:val="bottom"/>
          </w:tcPr>
          <w:p>
            <w:pPr>
              <w:spacing w:after="0"/>
              <w:rPr>
                <w:sz w:val="1"/>
                <w:szCs w:val="1"/>
                <w:color w:val="auto"/>
              </w:rPr>
            </w:pPr>
          </w:p>
        </w:tc>
      </w:tr>
      <w:tr>
        <w:trPr>
          <w:trHeight w:val="142"/>
        </w:trPr>
        <w:tc>
          <w:tcPr>
            <w:tcW w:w="5620" w:type="dxa"/>
            <w:vAlign w:val="bottom"/>
            <w:vMerge w:val="restart"/>
          </w:tcPr>
          <w:p>
            <w:pPr>
              <w:ind w:left="20"/>
              <w:spacing w:after="0"/>
              <w:rPr>
                <w:sz w:val="20"/>
                <w:szCs w:val="20"/>
                <w:color w:val="auto"/>
              </w:rPr>
            </w:pPr>
            <w:r>
              <w:rPr>
                <w:rFonts w:ascii="Arial" w:cs="Arial" w:eastAsia="Arial" w:hAnsi="Arial"/>
                <w:sz w:val="12"/>
                <w:szCs w:val="12"/>
                <w:color w:val="auto"/>
              </w:rPr>
              <w:t>Cash flows from operating activities:</w:t>
            </w:r>
          </w:p>
        </w:tc>
        <w:tc>
          <w:tcPr>
            <w:tcW w:w="18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loss</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(12,886,700)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832,100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Amortization of discounts on convertible and promissory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640,000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254,800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5,315,500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 in warrant liability and put and note term extension option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(3,566,900)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(2,349,700)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Stock-based compensation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1,137,300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1,241,300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6,732,900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Expense related to modification of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204,300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1,454,200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Non-cash rent and relocation expense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56,800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Interest income on note receivable for stock purchase</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granted for services following the Merger</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852,700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Fair value of warrants granted for services and interest following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60,700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748,300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currency fluctuation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(53,000)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(101,600)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Fair value of additional warrants granted pursuant to exercises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174,000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settlements of accounts payable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78,300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78,300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Acquired in-process research and development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early extinguishment of debt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3,567,800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4,761,300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0"/>
              </w:rPr>
              <w:t>Fair value of Series C preferred stock, common stock, and warrants granted for services prior to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issued for note term modification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22,400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Consulting services by related parties settled by issuing promissory notes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44,600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sale of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Changes in operating assets and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Unbilled contract payments receivable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106,200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Prepaid expenses and other current assets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92,700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Security deposits and other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(17,900)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2,229,900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18,201,400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Deferred revenues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(13,200)</w:t>
            </w: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(2,126,000)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(3,463,200)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(23,097,700)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Purchases of equipment, net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1,075,500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1,185,100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5,060,600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exercise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264,200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Platinum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3,222,100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7,172,100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Advance from officer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64,000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Proceeds from issuance of notes under line of credit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7% note payable to founding stockholder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7% convertible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575,000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10% convertible notes and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preferred stock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4,198,600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notes and warrants from 2006 to 2010</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4,851,800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February 2012 12% convertible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466,500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Repayment of capital lease obligations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Repayment of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(496,700)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(1,977,700)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1,497,500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4,155,700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23,923,500</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(638,100)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557,100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638,100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81,000</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18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638,100</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6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Supplemental disclosure of cash flow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paid for interest</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21,000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225,900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686,600</w:t>
            </w:r>
          </w:p>
        </w:tc>
        <w:tc>
          <w:tcPr>
            <w:tcW w:w="0" w:type="dxa"/>
            <w:vAlign w:val="bottom"/>
          </w:tcPr>
          <w:p>
            <w:pPr>
              <w:spacing w:after="0"/>
              <w:rPr>
                <w:sz w:val="1"/>
                <w:szCs w:val="1"/>
                <w:color w:val="auto"/>
              </w:rPr>
            </w:pPr>
          </w:p>
        </w:tc>
      </w:tr>
      <w:tr>
        <w:trPr>
          <w:trHeight w:val="153"/>
        </w:trPr>
        <w:tc>
          <w:tcPr>
            <w:tcW w:w="5620" w:type="dxa"/>
            <w:vAlign w:val="bottom"/>
          </w:tcPr>
          <w:p>
            <w:pPr>
              <w:ind w:left="260"/>
              <w:spacing w:after="0"/>
              <w:rPr>
                <w:sz w:val="20"/>
                <w:szCs w:val="20"/>
                <w:color w:val="auto"/>
              </w:rPr>
            </w:pPr>
            <w:r>
              <w:rPr>
                <w:rFonts w:ascii="Arial" w:cs="Arial" w:eastAsia="Arial" w:hAnsi="Arial"/>
                <w:sz w:val="12"/>
                <w:szCs w:val="12"/>
                <w:color w:val="auto"/>
              </w:rPr>
              <w:t>Cash paid for income taxes</w:t>
            </w:r>
          </w:p>
        </w:tc>
        <w:tc>
          <w:tcPr>
            <w:tcW w:w="21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2,700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3,700</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396"/>
        </w:trPr>
        <w:tc>
          <w:tcPr>
            <w:tcW w:w="5620" w:type="dxa"/>
            <w:vAlign w:val="bottom"/>
          </w:tcPr>
          <w:p>
            <w:pPr>
              <w:spacing w:after="0"/>
              <w:rPr>
                <w:sz w:val="24"/>
                <w:szCs w:val="24"/>
                <w:color w:val="auto"/>
              </w:rPr>
            </w:pPr>
          </w:p>
        </w:tc>
        <w:tc>
          <w:tcPr>
            <w:tcW w:w="2100" w:type="dxa"/>
            <w:vAlign w:val="bottom"/>
            <w:gridSpan w:val="2"/>
          </w:tcPr>
          <w:p>
            <w:pPr>
              <w:jc w:val="right"/>
              <w:ind w:right="1850"/>
              <w:spacing w:after="0"/>
              <w:rPr>
                <w:sz w:val="20"/>
                <w:szCs w:val="20"/>
                <w:color w:val="auto"/>
              </w:rPr>
            </w:pPr>
            <w:r>
              <w:rPr>
                <w:rFonts w:ascii="Arial" w:cs="Arial" w:eastAsia="Arial" w:hAnsi="Arial"/>
                <w:sz w:val="12"/>
                <w:szCs w:val="12"/>
                <w:color w:val="auto"/>
                <w:w w:val="99"/>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620" w:type="dxa"/>
            <w:vAlign w:val="bottom"/>
            <w:tcBorders>
              <w:bottom w:val="single" w:sz="8" w:color="808080"/>
            </w:tcBorders>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26"/>
        </w:trPr>
        <w:tc>
          <w:tcPr>
            <w:tcW w:w="296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3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rPr>
              <w:t>VISTAGEN THERAPEUTICS,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 development stage company)</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60"/>
              <w:spacing w:after="0"/>
              <w:rPr>
                <w:sz w:val="20"/>
                <w:szCs w:val="20"/>
                <w:color w:val="auto"/>
              </w:rPr>
            </w:pPr>
            <w:r>
              <w:rPr>
                <w:rFonts w:ascii="Arial" w:cs="Arial" w:eastAsia="Arial" w:hAnsi="Arial"/>
                <w:sz w:val="12"/>
                <w:szCs w:val="12"/>
                <w:b w:val="1"/>
                <w:bCs w:val="1"/>
                <w:color w:val="auto"/>
                <w:w w:val="97"/>
              </w:rPr>
              <w:t>CONSOLIDATED STATEMENTS OF CASH FLOWS (continued)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From</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May 26, 1998</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(Inception)</w:t>
            </w: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Twelve Months Ended March 31,</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Through</w:t>
            </w:r>
          </w:p>
        </w:tc>
      </w:tr>
      <w:tr>
        <w:trPr>
          <w:trHeight w:val="142"/>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 2014</w:t>
            </w:r>
          </w:p>
        </w:tc>
      </w:tr>
      <w:tr>
        <w:trPr>
          <w:trHeight w:val="286"/>
        </w:trPr>
        <w:tc>
          <w:tcPr>
            <w:tcW w:w="296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noncash activities:</w:t>
            </w: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Forgiveness of accrued compensation and accrued interest payable to officers transferred to equity</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Exercise of warrants and options in exchange for debt cancellation</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112,800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Settlement of accrued and prepaid interest by issuance of Series C Preferred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35,300</w:t>
            </w: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0"/>
              </w:rPr>
              <w:t>Conversion of 10% notes payable, net of discount, and</w:t>
            </w:r>
          </w:p>
        </w:tc>
        <w:tc>
          <w:tcPr>
            <w:tcW w:w="4500" w:type="dxa"/>
            <w:vAlign w:val="bottom"/>
            <w:gridSpan w:val="2"/>
          </w:tcPr>
          <w:p>
            <w:pPr>
              <w:ind w:left="80"/>
              <w:spacing w:after="0"/>
              <w:rPr>
                <w:sz w:val="20"/>
                <w:szCs w:val="20"/>
                <w:color w:val="auto"/>
              </w:rPr>
            </w:pPr>
            <w:r>
              <w:rPr>
                <w:rFonts w:ascii="Arial" w:cs="Arial" w:eastAsia="Arial" w:hAnsi="Arial"/>
                <w:sz w:val="12"/>
                <w:szCs w:val="12"/>
                <w:color w:val="auto"/>
              </w:rPr>
              <w:t>related accrued interest of $408,600 into Series C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2,050,300</w:t>
            </w:r>
          </w:p>
        </w:tc>
        <w:tc>
          <w:tcPr>
            <w:tcW w:w="120" w:type="dxa"/>
            <w:vAlign w:val="bottom"/>
          </w:tcPr>
          <w:p>
            <w:pPr>
              <w:spacing w:after="0"/>
              <w:rPr>
                <w:sz w:val="12"/>
                <w:szCs w:val="12"/>
                <w:color w:val="auto"/>
              </w:rPr>
            </w:pPr>
          </w:p>
        </w:tc>
      </w:tr>
      <w:tr>
        <w:trPr>
          <w:trHeight w:val="144"/>
        </w:trPr>
        <w:tc>
          <w:tcPr>
            <w:tcW w:w="330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w w:val="89"/>
              </w:rPr>
              <w:t>Issuance of Series B-1 Preferred stock for acquired in-process</w:t>
            </w: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2"/>
              </w:rPr>
              <w:t>Conversion of 7% notes payable, net of discount, and</w:t>
            </w:r>
          </w:p>
        </w:tc>
        <w:tc>
          <w:tcPr>
            <w:tcW w:w="4500" w:type="dxa"/>
            <w:vAlign w:val="bottom"/>
            <w:gridSpan w:val="2"/>
          </w:tcPr>
          <w:p>
            <w:pPr>
              <w:ind w:left="20"/>
              <w:spacing w:after="0"/>
              <w:rPr>
                <w:sz w:val="20"/>
                <w:szCs w:val="20"/>
                <w:color w:val="auto"/>
              </w:rPr>
            </w:pPr>
            <w:r>
              <w:rPr>
                <w:rFonts w:ascii="Arial" w:cs="Arial" w:eastAsia="Arial" w:hAnsi="Arial"/>
                <w:sz w:val="12"/>
                <w:szCs w:val="12"/>
                <w:color w:val="auto"/>
              </w:rPr>
              <w:t>related accrued interest of $3,800 into Series B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508,000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accounts payable into convertible promissory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893,700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4"/>
              </w:rPr>
              <w:t>Conversion of accounts payable into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1,558,500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4,368,800</w:t>
            </w:r>
          </w:p>
        </w:tc>
        <w:tc>
          <w:tcPr>
            <w:tcW w:w="120" w:type="dxa"/>
            <w:vAlign w:val="bottom"/>
          </w:tcPr>
          <w:p>
            <w:pPr>
              <w:spacing w:after="0"/>
              <w:rPr>
                <w:sz w:val="12"/>
                <w:szCs w:val="12"/>
                <w:color w:val="auto"/>
              </w:rPr>
            </w:pPr>
          </w:p>
        </w:tc>
      </w:tr>
      <w:tr>
        <w:trPr>
          <w:trHeight w:val="144"/>
        </w:trPr>
        <w:tc>
          <w:tcPr>
            <w:tcW w:w="29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w w:val="91"/>
              </w:rPr>
              <w:t>Conversion of accounts payable into common stock</w:t>
            </w:r>
          </w:p>
        </w:tc>
        <w:tc>
          <w:tcPr>
            <w:tcW w:w="3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1,927,300</w:t>
            </w:r>
          </w:p>
        </w:tc>
        <w:tc>
          <w:tcPr>
            <w:tcW w:w="120" w:type="dxa"/>
            <w:vAlign w:val="bottom"/>
            <w:shd w:val="clear" w:color="auto" w:fill="CCEEFF"/>
          </w:tcPr>
          <w:p>
            <w:pPr>
              <w:spacing w:after="0"/>
              <w:rPr>
                <w:sz w:val="12"/>
                <w:szCs w:val="12"/>
                <w:color w:val="auto"/>
              </w:rPr>
            </w:pP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accrued interest on convertible promissory  notes into common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921,400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Notes receivable from sale of common stock to related parties upon exercise of options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149,800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rPr>
              <w:t>Capital lease obligations</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139,700</w:t>
            </w:r>
          </w:p>
        </w:tc>
      </w:tr>
      <w:tr>
        <w:trPr>
          <w:trHeight w:val="144"/>
        </w:trPr>
        <w:tc>
          <w:tcPr>
            <w:tcW w:w="7460" w:type="dxa"/>
            <w:vAlign w:val="bottom"/>
            <w:gridSpan w:val="4"/>
            <w:shd w:val="clear" w:color="auto" w:fill="CCEEFF"/>
          </w:tcPr>
          <w:p>
            <w:pPr>
              <w:ind w:left="320"/>
              <w:spacing w:after="0"/>
              <w:rPr>
                <w:sz w:val="20"/>
                <w:szCs w:val="20"/>
                <w:color w:val="auto"/>
              </w:rPr>
            </w:pPr>
            <w:r>
              <w:rPr>
                <w:rFonts w:ascii="Arial" w:cs="Arial" w:eastAsia="Arial" w:hAnsi="Arial"/>
                <w:sz w:val="12"/>
                <w:szCs w:val="12"/>
                <w:color w:val="auto"/>
              </w:rPr>
              <w:t>Recognition of put option and note term extension option liabilities upon  issuance of Original Platinum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141,200</w:t>
            </w:r>
          </w:p>
        </w:tc>
      </w:tr>
      <w:tr>
        <w:trPr>
          <w:trHeight w:val="144"/>
        </w:trPr>
        <w:tc>
          <w:tcPr>
            <w:tcW w:w="3300" w:type="dxa"/>
            <w:vAlign w:val="bottom"/>
            <w:gridSpan w:val="3"/>
          </w:tcPr>
          <w:p>
            <w:pPr>
              <w:ind w:left="320"/>
              <w:spacing w:after="0"/>
              <w:rPr>
                <w:sz w:val="20"/>
                <w:szCs w:val="20"/>
                <w:color w:val="auto"/>
              </w:rPr>
            </w:pPr>
            <w:r>
              <w:rPr>
                <w:rFonts w:ascii="Arial" w:cs="Arial" w:eastAsia="Arial" w:hAnsi="Arial"/>
                <w:sz w:val="12"/>
                <w:szCs w:val="12"/>
                <w:color w:val="auto"/>
                <w:w w:val="93"/>
              </w:rPr>
              <w:t>Incremental fair value of put option and note term extension</w:t>
            </w:r>
          </w:p>
        </w:tc>
        <w:tc>
          <w:tcPr>
            <w:tcW w:w="4160" w:type="dxa"/>
            <w:vAlign w:val="bottom"/>
          </w:tcPr>
          <w:p>
            <w:pPr>
              <w:spacing w:after="0"/>
              <w:rPr>
                <w:sz w:val="20"/>
                <w:szCs w:val="20"/>
                <w:color w:val="auto"/>
              </w:rPr>
            </w:pPr>
            <w:r>
              <w:rPr>
                <w:rFonts w:ascii="Arial" w:cs="Arial" w:eastAsia="Arial" w:hAnsi="Arial"/>
                <w:sz w:val="12"/>
                <w:szCs w:val="12"/>
                <w:color w:val="auto"/>
              </w:rPr>
              <w:t>option liabilities from debt modifications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479,400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Incremental fair value of note conversion option from debt modification</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shd w:val="clear" w:color="auto" w:fill="CCEEFF"/>
          </w:tcPr>
          <w:p>
            <w:pPr>
              <w:spacing w:after="0"/>
              <w:rPr>
                <w:sz w:val="12"/>
                <w:szCs w:val="12"/>
                <w:color w:val="auto"/>
              </w:rPr>
            </w:pPr>
          </w:p>
        </w:tc>
      </w:tr>
      <w:tr>
        <w:trPr>
          <w:trHeight w:val="144"/>
        </w:trPr>
        <w:tc>
          <w:tcPr>
            <w:tcW w:w="3300" w:type="dxa"/>
            <w:vAlign w:val="bottom"/>
            <w:gridSpan w:val="3"/>
          </w:tcPr>
          <w:p>
            <w:pPr>
              <w:ind w:left="440"/>
              <w:spacing w:after="0"/>
              <w:rPr>
                <w:sz w:val="20"/>
                <w:szCs w:val="20"/>
                <w:color w:val="auto"/>
              </w:rPr>
            </w:pPr>
            <w:r>
              <w:rPr>
                <w:rFonts w:ascii="Arial" w:cs="Arial" w:eastAsia="Arial" w:hAnsi="Arial"/>
                <w:sz w:val="12"/>
                <w:szCs w:val="12"/>
                <w:color w:val="auto"/>
                <w:w w:val="95"/>
              </w:rPr>
              <w:t>Incremental fair value of warrant from debt modifications</w:t>
            </w: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276,700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Recognition of warrant liability upon adoption of new accounting standard</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151,300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August 2010 short term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130,900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August 2010 short term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February 2012 12 % convertible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542,000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February 2012 12% convertible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495,200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2006/2007 and 2008/2010 Notes into Units, including accrued interest of $1,365,600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all series of pre-Merger preferred stock into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2011 Platinum Note into Series A Preferred Stock, including accrued  interest of $611,100 and conversion premium</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5,763,900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7% note payable and accrued interest of $11,500 into common stock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19,500</w:t>
            </w: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accounts payable to Morrison &amp; Foerster, McCarthy Tetrault and Desjardins into notes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1,603,400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and cancellation premium converted into 2011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Cato Holding Company note converted to note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90,800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in December 2011 and May/June 2012 warrant exercises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280,100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0"/>
              </w:rPr>
              <w:t>Insurance premiums settled by issuing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98,300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110,100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296,900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accrued interest and fees on February 2012 Notes into 2012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July and August 2012 Notes to Platinum converted into Exchange Note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22,600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by issuance of stock or notes payable and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104,900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Accounts payable converted into 2012 Private Placement Units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r>
      <w:tr>
        <w:trPr>
          <w:trHeight w:val="135"/>
        </w:trPr>
        <w:tc>
          <w:tcPr>
            <w:tcW w:w="7460" w:type="dxa"/>
            <w:vAlign w:val="bottom"/>
            <w:gridSpan w:val="4"/>
            <w:shd w:val="clear" w:color="auto" w:fill="CCEEFF"/>
          </w:tcPr>
          <w:p>
            <w:pPr>
              <w:ind w:left="320"/>
              <w:spacing w:after="0" w:line="136" w:lineRule="exact"/>
              <w:rPr>
                <w:sz w:val="20"/>
                <w:szCs w:val="20"/>
                <w:color w:val="auto"/>
              </w:rPr>
            </w:pPr>
            <w:r>
              <w:rPr>
                <w:rFonts w:ascii="Arial" w:cs="Arial" w:eastAsia="Arial" w:hAnsi="Arial"/>
                <w:sz w:val="12"/>
                <w:szCs w:val="12"/>
                <w:color w:val="auto"/>
                <w:w w:val="94"/>
              </w:rPr>
              <w:t>Recognition of warrant liability upon issuance to Platinum of October 2012 Exchange Note and October 2012, February 2013 and March 2013</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2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w w:val="99"/>
              </w:rPr>
              <w:t>Investment Notes and July 2013 Convertible Note</w:t>
            </w:r>
          </w:p>
        </w:tc>
        <w:tc>
          <w:tcPr>
            <w:tcW w:w="34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146,800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1,836,800</w:t>
            </w:r>
          </w:p>
        </w:tc>
        <w:tc>
          <w:tcPr>
            <w:tcW w:w="120" w:type="dxa"/>
            <w:vAlign w:val="bottom"/>
            <w:shd w:val="clear" w:color="auto" w:fill="CCEEFF"/>
          </w:tcPr>
          <w:p>
            <w:pPr>
              <w:spacing w:after="0"/>
              <w:rPr>
                <w:sz w:val="13"/>
                <w:szCs w:val="13"/>
                <w:color w:val="auto"/>
              </w:rPr>
            </w:pPr>
          </w:p>
        </w:tc>
      </w:tr>
      <w:tr>
        <w:trPr>
          <w:trHeight w:val="135"/>
        </w:trPr>
        <w:tc>
          <w:tcPr>
            <w:tcW w:w="7460" w:type="dxa"/>
            <w:vAlign w:val="bottom"/>
            <w:gridSpan w:val="4"/>
          </w:tcPr>
          <w:p>
            <w:pPr>
              <w:ind w:left="520"/>
              <w:spacing w:after="0" w:line="136" w:lineRule="exact"/>
              <w:rPr>
                <w:sz w:val="20"/>
                <w:szCs w:val="20"/>
                <w:color w:val="auto"/>
              </w:rPr>
            </w:pPr>
            <w:r>
              <w:rPr>
                <w:rFonts w:ascii="Arial" w:cs="Arial" w:eastAsia="Arial" w:hAnsi="Arial"/>
                <w:sz w:val="12"/>
                <w:szCs w:val="12"/>
                <w:color w:val="auto"/>
                <w:w w:val="98"/>
              </w:rPr>
              <w:t>Recognition of warrant liability for potential issuance to Platinum of Series A Exchange Warrant under the terms of the October 2012</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960" w:type="dxa"/>
            <w:vAlign w:val="bottom"/>
            <w:gridSpan w:val="2"/>
          </w:tcPr>
          <w:p>
            <w:pPr>
              <w:ind w:left="320"/>
              <w:spacing w:after="0"/>
              <w:rPr>
                <w:sz w:val="20"/>
                <w:szCs w:val="20"/>
                <w:color w:val="auto"/>
              </w:rPr>
            </w:pPr>
            <w:r>
              <w:rPr>
                <w:rFonts w:ascii="Arial" w:cs="Arial" w:eastAsia="Arial" w:hAnsi="Arial"/>
                <w:sz w:val="12"/>
                <w:szCs w:val="12"/>
                <w:color w:val="auto"/>
              </w:rPr>
              <w:t>Agreement</w:t>
            </w: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3,068,200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3"/>
                <w:szCs w:val="13"/>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rPr>
              <w:t>VISTAGEN THERAPEUTICS,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w w:val="88"/>
              </w:rPr>
              <w:t>(a development stage company)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9"/>
              </w:rPr>
              <w:t>CONSOLIDATED STATEMENTS OF PREFERRED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7"/>
          </w:tcPr>
          <w:p>
            <w:pPr>
              <w:jc w:val="center"/>
              <w:ind w:right="5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Preferred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Series A</w:t>
            </w:r>
          </w:p>
        </w:tc>
        <w:tc>
          <w:tcPr>
            <w:tcW w:w="2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Series B</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5"/>
              </w:rPr>
              <w:t>Series B-1</w:t>
            </w:r>
          </w:p>
        </w:tc>
        <w:tc>
          <w:tcPr>
            <w:tcW w:w="20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Series C</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Preferred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Preferred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2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Balances at May 26, 1998 (inception)</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4"/>
              </w:rPr>
              <w:t>Issuance of Series A preferred stock at $2.302 per share for cash,</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net of issuance costs of $29,500</w:t>
            </w:r>
          </w:p>
        </w:tc>
        <w:tc>
          <w:tcPr>
            <w:tcW w:w="1140" w:type="dxa"/>
            <w:vAlign w:val="bottom"/>
          </w:tcPr>
          <w:p>
            <w:pPr>
              <w:jc w:val="right"/>
              <w:spacing w:after="0"/>
              <w:rPr>
                <w:sz w:val="20"/>
                <w:szCs w:val="20"/>
                <w:color w:val="auto"/>
              </w:rPr>
            </w:pPr>
            <w:r>
              <w:rPr>
                <w:rFonts w:ascii="Arial" w:cs="Arial" w:eastAsia="Arial" w:hAnsi="Arial"/>
                <w:sz w:val="12"/>
                <w:szCs w:val="12"/>
                <w:color w:val="auto"/>
              </w:rPr>
              <w:t>431,930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964,700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Issuance of Series B preferred stock at $5.545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conversion of $575,000 face value of 7%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notes plus accrued accrued interest of $3,800,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$70,800 and issuance costs of $137,000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515,568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rPr>
              <w:t>Issuance of Series B-1 preferred stock at $5.545 per share for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acquired in-process research and development</w:t>
            </w:r>
          </w:p>
        </w:tc>
        <w:tc>
          <w:tcPr>
            <w:tcW w:w="1140" w:type="dxa"/>
            <w:vAlign w:val="bottom"/>
          </w:tcPr>
          <w:p>
            <w:pPr>
              <w:jc w:val="right"/>
              <w:spacing w:after="0"/>
              <w:rPr>
                <w:sz w:val="20"/>
                <w:szCs w:val="20"/>
                <w:color w:val="auto"/>
              </w:rPr>
            </w:pPr>
            <w:r>
              <w:rPr>
                <w:rFonts w:ascii="Arial" w:cs="Arial" w:eastAsia="Arial" w:hAnsi="Arial"/>
                <w:sz w:val="12"/>
                <w:szCs w:val="12"/>
                <w:color w:val="auto"/>
              </w:rPr>
              <w:t>1,356,750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5"/>
              </w:rPr>
              <w:t>Issuance of Series C preferred stock at $6.00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including conversion of $1,655,000 face value of 10%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plus accrued interest of $408,600,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$13,200 and issuance costs of $47,900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533,658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1"/>
              </w:rPr>
              <w:t>Issuance of Series C preferred stock at $6.00 per share for services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and in payment of interest on line of credit</w:t>
            </w:r>
          </w:p>
        </w:tc>
        <w:tc>
          <w:tcPr>
            <w:tcW w:w="1140" w:type="dxa"/>
            <w:vAlign w:val="bottom"/>
          </w:tcPr>
          <w:p>
            <w:pPr>
              <w:jc w:val="right"/>
              <w:spacing w:after="0"/>
              <w:rPr>
                <w:sz w:val="20"/>
                <w:szCs w:val="20"/>
                <w:color w:val="auto"/>
              </w:rPr>
            </w:pPr>
            <w:r>
              <w:rPr>
                <w:rFonts w:ascii="Arial" w:cs="Arial" w:eastAsia="Arial" w:hAnsi="Arial"/>
                <w:sz w:val="12"/>
                <w:szCs w:val="12"/>
                <w:color w:val="auto"/>
              </w:rPr>
              <w:t>46,749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280,500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Proceeds allocated to warrants issued in connection with Series C</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(25,500)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March 31, 2006 through March 31, 2011</w:t>
            </w:r>
          </w:p>
        </w:tc>
        <w:tc>
          <w:tcPr>
            <w:tcW w:w="1140" w:type="dxa"/>
            <w:vAlign w:val="bottom"/>
          </w:tcPr>
          <w:p>
            <w:pPr>
              <w:jc w:val="right"/>
              <w:spacing w:after="0"/>
              <w:rPr>
                <w:sz w:val="20"/>
                <w:szCs w:val="20"/>
                <w:color w:val="auto"/>
              </w:rPr>
            </w:pPr>
            <w:r>
              <w:rPr>
                <w:rFonts w:ascii="Arial" w:cs="Arial" w:eastAsia="Arial" w:hAnsi="Arial"/>
                <w:sz w:val="12"/>
                <w:szCs w:val="12"/>
                <w:color w:val="auto"/>
              </w:rPr>
              <w:t>2,884,655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3,395,800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Conversion of all series of VistaGen California preferred stock</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into common stock at May 11, 2011 in connection with the Merger</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(964,700)</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(2,651,100)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(7,523,200)</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(3,395,800)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May 11, 2011 through March 31, 2014</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78" w:name="page79"/>
    <w:bookmarkEnd w:id="7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20" w:type="dxa"/>
            <w:vAlign w:val="bottom"/>
            <w:gridSpan w:val="4"/>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7"/>
            <w:vMerge w:val="restart"/>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2"/>
                <w:szCs w:val="12"/>
                <w:b w:val="1"/>
                <w:bCs w:val="1"/>
                <w:color w:val="auto"/>
                <w:w w:val="88"/>
              </w:rPr>
              <w:t>(a development stage company)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spacing w:after="0"/>
              <w:rPr>
                <w:sz w:val="20"/>
                <w:szCs w:val="20"/>
                <w:color w:val="auto"/>
              </w:rPr>
            </w:pPr>
            <w:r>
              <w:rPr>
                <w:rFonts w:ascii="Arial" w:cs="Arial" w:eastAsia="Arial" w:hAnsi="Arial"/>
                <w:sz w:val="12"/>
                <w:szCs w:val="12"/>
                <w:b w:val="1"/>
                <w:bCs w:val="1"/>
                <w:color w:val="auto"/>
              </w:rPr>
              <w:t>CONSOLIDATED STATEMENTS OF STOCKHOLDERS’ DEFICIT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ind w:right="7"/>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gridSpan w:val="4"/>
            <w:vMerge w:val="restart"/>
          </w:tcPr>
          <w:p>
            <w:pPr>
              <w:jc w:val="right"/>
              <w:ind w:right="207"/>
              <w:spacing w:after="0"/>
              <w:rPr>
                <w:sz w:val="20"/>
                <w:szCs w:val="20"/>
                <w:color w:val="auto"/>
              </w:rPr>
            </w:pPr>
            <w:r>
              <w:rPr>
                <w:rFonts w:ascii="Arial" w:cs="Arial" w:eastAsia="Arial" w:hAnsi="Arial"/>
                <w:sz w:val="12"/>
                <w:szCs w:val="12"/>
                <w:b w:val="1"/>
                <w:bCs w:val="1"/>
                <w:color w:val="auto"/>
              </w:rPr>
              <w:t>Series A Preferred Stock</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vMerge w:val="restart"/>
          </w:tcPr>
          <w:p>
            <w:pPr>
              <w:ind w:left="660"/>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94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Borders>
              <w:bottom w:val="single" w:sz="8" w:color="auto"/>
            </w:tcBorders>
            <w:gridSpan w:val="4"/>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0"/>
              </w:rPr>
              <w:t>Notes Receivable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3"/>
              </w:rPr>
              <w:t>During the</w:t>
            </w:r>
          </w:p>
        </w:tc>
        <w:tc>
          <w:tcPr>
            <w:tcW w:w="80" w:type="dxa"/>
            <w:vAlign w:val="bottom"/>
          </w:tcPr>
          <w:p>
            <w:pPr>
              <w:spacing w:after="0"/>
              <w:rPr>
                <w:sz w:val="6"/>
                <w:szCs w:val="6"/>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6"/>
              </w:rPr>
              <w:t>Additional Paid-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5"/>
              </w:rPr>
              <w:t>from Sale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Development</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ind w:left="3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 Capital</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w w:val="94"/>
              </w:rPr>
              <w:t>Treasury Stock</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Stage</w:t>
            </w: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May 26,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1998(inception)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Sale of 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for cash</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1,211,086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24,900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Fair value of common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issued for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services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403,375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359,400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359,800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warrants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481,700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481,700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upon exercise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options from 1999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2008 Stock Incentive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Plans and SAB Plan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410,863</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314,900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for cancellation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accounts payable and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accrued interest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spacing w:after="0"/>
              <w:rPr>
                <w:sz w:val="20"/>
                <w:szCs w:val="20"/>
                <w:color w:val="auto"/>
              </w:rPr>
            </w:pPr>
            <w:r>
              <w:rPr>
                <w:rFonts w:ascii="Arial" w:cs="Arial" w:eastAsia="Arial" w:hAnsi="Arial"/>
                <w:sz w:val="12"/>
                <w:szCs w:val="12"/>
                <w:color w:val="auto"/>
              </w:rPr>
              <w:t>2010)</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1,646,792</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2,468,600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2,470,200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Proceeds allocated to</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issued in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connection with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and other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issued in fiscal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years 2001 through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Original Platinum</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and Series C</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1,059,100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1,059,100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2,763,000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fair value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of note conversion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options from debt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 (FY 2010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and 2011)</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1,891,200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accrued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accrued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interest payable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officers (FY 2007)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799,900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Effect of reverse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split (FY 2009)</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Effect of the Merger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1,569,000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(1,600)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Cumulative effect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adopting new</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accounting standard</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(293,700)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142,300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(151,400)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Net loss for fiscal years</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1999 through 2011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(42,715,300)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(42,715,300)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March 31,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2011</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5,241,110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9,867,400</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(184,100)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(42,573,000)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(32,884,500)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1,591,300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1,591,300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Reclassification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liability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equity</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424,100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424,100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Platinum note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1,070,600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1,070,600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Morrison &amp; Foerster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58,700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in May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Private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Placement, net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$202,000 placement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fees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2,216,106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3,674,000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3,176,200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Payments on note</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receivable for sale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conversion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promissory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3,528,290</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6,171,300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conversion of all series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VistaGen California</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14,531,900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 prior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to the Merger</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1,371,743</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2,224,100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2,225,500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notes at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the Merger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exercise of modified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Platinum exercises)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3,121,259</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3,426,200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3,429,300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(including modification</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Platinum warrants)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1,028,900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1,028,900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bonus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under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2012 Discounted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 Exercise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Program</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138,100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138,100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21" w:right="199" w:bottom="0" w:gutter="0" w:footer="0" w:header="0"/>
        </w:sectPr>
      </w:pPr>
    </w:p>
    <w:bookmarkStart w:id="79" w:name="page80"/>
    <w:bookmarkEnd w:id="79"/>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Stock issued in Fall</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63,570</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2011 Follow-on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Offering</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of options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from the 1999</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Incentive Plan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113,979</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following the Merger</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155,555</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Proceeds allocated 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warrants issued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beneficial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feature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12%</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convertible notes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note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term extension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8,000</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of Platinum</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to equity (net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 Platinum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reflected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above)</w:t>
            </w:r>
          </w:p>
        </w:tc>
        <w:tc>
          <w:tcPr>
            <w:tcW w:w="920" w:type="dxa"/>
            <w:vAlign w:val="bottom"/>
          </w:tcPr>
          <w:p>
            <w:pPr>
              <w:jc w:val="right"/>
              <w:spacing w:after="0"/>
              <w:rPr>
                <w:sz w:val="20"/>
                <w:szCs w:val="20"/>
                <w:color w:val="auto"/>
              </w:rPr>
            </w:pPr>
            <w:r>
              <w:rPr>
                <w:rFonts w:ascii="Arial" w:cs="Arial" w:eastAsia="Arial" w:hAnsi="Arial"/>
                <w:sz w:val="12"/>
                <w:szCs w:val="12"/>
                <w:color w:val="auto"/>
              </w:rPr>
              <w:t>231,090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Common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w w:val="99"/>
              </w:rPr>
              <w:t>exchanged for Series A</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Preferred under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agreements with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Platinum: Common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Exchange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45,980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and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Exchange 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159,985</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Net loss for fiscal year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2012</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3"/>
        </w:trPr>
        <w:tc>
          <w:tcPr>
            <w:tcW w:w="1260" w:type="dxa"/>
            <w:vAlign w:val="bottom"/>
          </w:tcPr>
          <w:p>
            <w:pPr>
              <w:spacing w:after="0"/>
              <w:rPr>
                <w:sz w:val="20"/>
                <w:szCs w:val="20"/>
                <w:color w:val="auto"/>
              </w:rPr>
            </w:pPr>
            <w:r>
              <w:rPr>
                <w:rFonts w:ascii="Arial" w:cs="Arial" w:eastAsia="Arial" w:hAnsi="Arial"/>
                <w:sz w:val="12"/>
                <w:szCs w:val="12"/>
                <w:b w:val="1"/>
                <w:bCs w:val="1"/>
                <w:color w:val="auto"/>
                <w:w w:val="98"/>
              </w:rPr>
              <w:t>Balances at March 31,</w:t>
            </w:r>
          </w:p>
        </w:tc>
        <w:tc>
          <w:tcPr>
            <w:tcW w:w="9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57"/>
        </w:trPr>
        <w:tc>
          <w:tcPr>
            <w:tcW w:w="1260" w:type="dxa"/>
            <w:vAlign w:val="bottom"/>
          </w:tcPr>
          <w:p>
            <w:pPr>
              <w:spacing w:after="0"/>
              <w:rPr>
                <w:sz w:val="20"/>
                <w:szCs w:val="20"/>
                <w:color w:val="auto"/>
              </w:rPr>
            </w:pPr>
            <w:r>
              <w:rPr>
                <w:rFonts w:ascii="Arial" w:cs="Arial" w:eastAsia="Arial" w:hAnsi="Arial"/>
                <w:sz w:val="12"/>
                <w:szCs w:val="12"/>
                <w:b w:val="1"/>
                <w:bCs w:val="1"/>
                <w:color w:val="auto"/>
              </w:rPr>
              <w:t>2012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437,055</w:t>
            </w:r>
          </w:p>
        </w:tc>
        <w:tc>
          <w:tcPr>
            <w:tcW w:w="240" w:type="dxa"/>
            <w:vAlign w:val="bottom"/>
          </w:tcPr>
          <w:p>
            <w:pPr>
              <w:spacing w:after="0"/>
              <w:rPr>
                <w:sz w:val="13"/>
                <w:szCs w:val="13"/>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18,704,267</w:t>
            </w:r>
          </w:p>
        </w:tc>
        <w:tc>
          <w:tcPr>
            <w:tcW w:w="220" w:type="dxa"/>
            <w:vAlign w:val="bottom"/>
          </w:tcPr>
          <w:p>
            <w:pPr>
              <w:spacing w:after="0"/>
              <w:rPr>
                <w:sz w:val="13"/>
                <w:szCs w:val="13"/>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-3133725</wp:posOffset>
            </wp:positionV>
            <wp:extent cx="729234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2743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-2675890</wp:posOffset>
            </wp:positionV>
            <wp:extent cx="7292340" cy="549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-1852295</wp:posOffset>
            </wp:positionV>
            <wp:extent cx="7292340" cy="549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-662940</wp:posOffset>
            </wp:positionV>
            <wp:extent cx="7292340" cy="182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-285115</wp:posOffset>
            </wp:positionV>
            <wp:extent cx="7292340" cy="914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111,200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111,300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102,100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102,200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451,800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452,000</w:t>
            </w: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564,500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564,500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461,700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461,700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22,400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22,400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3,387,700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3,387,900</w:t>
            </w:r>
          </w:p>
        </w:tc>
        <w:tc>
          <w:tcPr>
            <w:tcW w:w="40" w:type="dxa"/>
            <w:vAlign w:val="bottom"/>
          </w:tcPr>
          <w:p>
            <w:pPr>
              <w:spacing w:after="0"/>
              <w:rPr>
                <w:sz w:val="24"/>
                <w:szCs w:val="24"/>
                <w:color w:val="auto"/>
              </w:rPr>
            </w:pPr>
          </w:p>
        </w:tc>
      </w:tr>
      <w:tr>
        <w:trPr>
          <w:trHeight w:val="1009"/>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750,600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(750,600)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2,480,900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(2,481,100)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(12,209,500)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(12,209,500)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0"/>
        </w:trPr>
        <w:tc>
          <w:tcPr>
            <w:tcW w:w="780" w:type="dxa"/>
            <w:vAlign w:val="bottom"/>
          </w:tcPr>
          <w:p>
            <w:pPr>
              <w:jc w:val="right"/>
              <w:ind w:right="180"/>
              <w:spacing w:after="0"/>
              <w:rPr>
                <w:sz w:val="20"/>
                <w:szCs w:val="20"/>
                <w:color w:val="auto"/>
              </w:rPr>
            </w:pPr>
            <w:r>
              <w:rPr>
                <w:rFonts w:ascii="Arial" w:cs="Arial" w:eastAsia="Arial" w:hAnsi="Arial"/>
                <w:sz w:val="12"/>
                <w:szCs w:val="12"/>
                <w:b w:val="1"/>
                <w:bCs w:val="1"/>
                <w:color w:val="auto"/>
                <w:w w:val="86"/>
              </w:rPr>
              <w:t>52,539,500</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(3,231,700)</w:t>
            </w:r>
          </w:p>
        </w:tc>
        <w:tc>
          <w:tcPr>
            <w:tcW w:w="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(250,000)</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200" w:type="dxa"/>
            <w:vAlign w:val="bottom"/>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(5,705,600)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-296545</wp:posOffset>
            </wp:positionV>
            <wp:extent cx="58928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9280" cy="1143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-10795</wp:posOffset>
            </wp:positionV>
            <wp:extent cx="58928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9280" cy="1143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960" w:space="340"/>
            <w:col w:w="5100"/>
          </w:cols>
          <w:pgMar w:left="220" w:top="131" w:right="279" w:bottom="1440" w:gutter="0" w:footer="0" w:header="0"/>
        </w:sectPr>
      </w:pPr>
    </w:p>
    <w:p>
      <w:pPr>
        <w:jc w:val="center"/>
        <w:ind w:right="-79"/>
        <w:spacing w:after="0"/>
        <w:rPr>
          <w:sz w:val="20"/>
          <w:szCs w:val="20"/>
          <w:color w:val="auto"/>
        </w:rPr>
      </w:pPr>
      <w:r>
        <w:rPr>
          <w:rFonts w:ascii="Arial" w:cs="Arial" w:eastAsia="Arial" w:hAnsi="Arial"/>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type w:val="continuous"/>
        </w:sectPr>
      </w:pPr>
    </w:p>
    <w:bookmarkStart w:id="80" w:name="page81"/>
    <w:bookmarkEnd w:id="80"/>
    <w:p>
      <w:pPr>
        <w:spacing w:after="0" w:line="62" w:lineRule="exact"/>
        <w:rPr>
          <w:sz w:val="20"/>
          <w:szCs w:val="20"/>
          <w:color w:val="auto"/>
        </w:rPr>
      </w:pPr>
    </w:p>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STOCKHOLDERS’ DEFICIT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Period from May 26, 1998 (inception) through March 31, 2013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$100s,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Notes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Receivable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During the</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60" w:type="dxa"/>
            <w:vAlign w:val="bottom"/>
            <w:tcBorders>
              <w:right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Series A Preferred Stock</w:t>
            </w:r>
          </w:p>
        </w:tc>
        <w:tc>
          <w:tcPr>
            <w:tcW w:w="12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from Sale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Development</w:t>
            </w:r>
          </w:p>
        </w:tc>
        <w:tc>
          <w:tcPr>
            <w:tcW w:w="8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5"/>
              </w:rPr>
              <w:t>Stage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2"/>
              </w:rPr>
              <w:t>Deficit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437,055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18,704,267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18,700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52,539,500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(3,231,700)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(250,000)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(5,705,600)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1,241,300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common stock</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issued for services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400,000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339,600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for</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Shares issued upon exercise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549,056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274,000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274,500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3"/>
              </w:rPr>
              <w:t>Fair value of warrants issued upon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exercise of moddified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35,900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shares issued in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settlement of accounts payable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103,235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103,200</w:t>
            </w:r>
          </w:p>
        </w:tc>
        <w:tc>
          <w:tcPr>
            <w:tcW w:w="0" w:type="dxa"/>
            <w:vAlign w:val="bottom"/>
          </w:tcPr>
          <w:p>
            <w:pPr>
              <w:spacing w:after="0"/>
              <w:rPr>
                <w:sz w:val="1"/>
                <w:szCs w:val="1"/>
                <w:color w:val="auto"/>
              </w:rPr>
            </w:pPr>
          </w:p>
        </w:tc>
      </w:tr>
      <w:tr>
        <w:trPr>
          <w:trHeight w:val="279"/>
        </w:trPr>
        <w:tc>
          <w:tcPr>
            <w:tcW w:w="1760" w:type="dxa"/>
            <w:vAlign w:val="bottom"/>
            <w:gridSpan w:val="2"/>
          </w:tcPr>
          <w:p>
            <w:pPr>
              <w:spacing w:after="0"/>
              <w:rPr>
                <w:sz w:val="20"/>
                <w:szCs w:val="20"/>
                <w:color w:val="auto"/>
              </w:rPr>
            </w:pPr>
            <w:r>
              <w:rPr>
                <w:rFonts w:ascii="Arial" w:cs="Arial" w:eastAsia="Arial" w:hAnsi="Arial"/>
                <w:sz w:val="12"/>
                <w:szCs w:val="12"/>
                <w:color w:val="auto"/>
              </w:rPr>
              <w:t>Common stock exchanged for</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Series A Preferred under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Agreement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Platinum</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62,945</w:t>
            </w: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736,300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(736,400)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sale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66,900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Modification of note receivable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from 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(26,000)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9"/>
              </w:rPr>
              <w:t>warrant and fair value of warrant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issued in connection with</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6"/>
              </w:rPr>
              <w:t>Morrison &amp; Foerster note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Cato Holding Company in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connection with note payable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restructuring</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120,500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Cato Research, Ltd.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connection accounts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University Health Network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in connection with accounts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payable restructure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264,800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264,800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underlying notes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49,400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Sale of Units in Winter 2012</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Private Placement, net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2,366,330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1,246,600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1,249,000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of February 2012</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convertible notes for Units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1,357,281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1,214,200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1,215,600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banker in connection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of February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convertible notes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Premium of fair value over face</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value of Exchange Note issued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to Platinum in October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1,083,200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1,083,200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Series A Exchange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Warrant issuable 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Platinum recorded as a Warrant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Liability</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(3,068,200)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(3,068,200)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Proceeds allocated to beneficial</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8"/>
              </w:rPr>
              <w:t>conversion feature of Investment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Notes issued to Platinum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October 2012, February 2013</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and March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modifications in February 2013</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67,500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67,500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(12,886,700)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6"/>
              </w:rPr>
              <w:t>(12,886,700)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23,480,169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23,500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59,266,000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(209,100)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(67,669,200)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(12,556,400)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1,137,300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1,137,300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Proceeds from sale of common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stock for cash,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exercises of warrants under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Discount Warrant Exercise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Program</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655,016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335,200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Beneficial conversion feature 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 issued to Platinum in July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11,000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Units for cash under</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Winter 2013/2014 Private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Placement, including beneficial</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Units for cash under Spring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w w:val="95"/>
              </w:rPr>
              <w:t>2014 Private Placement,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beneficial conversion feature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36,000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modifications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60,800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60,800</w:t>
            </w: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34" w:right="19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gridSpan w:val="2"/>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underlying notes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(2,967,700)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26,200,185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26,200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61,976,500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(198,100)</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(70,636,900)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5"/>
              </w:rPr>
              <w:t>$  (12,799,900)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7" w:right="199" w:bottom="1440" w:gutter="0" w:footer="0" w:header="0"/>
        </w:sectPr>
      </w:pPr>
    </w:p>
    <w:bookmarkStart w:id="82" w:name="page83"/>
    <w:bookmarkEnd w:id="82"/>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 development stage company)</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Description of Business</w:t>
      </w:r>
    </w:p>
    <w:p>
      <w:pPr>
        <w:spacing w:after="0" w:line="172" w:lineRule="exact"/>
        <w:rPr>
          <w:sz w:val="20"/>
          <w:szCs w:val="20"/>
          <w:color w:val="auto"/>
        </w:rPr>
      </w:pPr>
    </w:p>
    <w:p>
      <w:pPr>
        <w:jc w:val="both"/>
        <w:ind w:left="8" w:firstLine="540"/>
        <w:spacing w:after="0" w:line="275" w:lineRule="auto"/>
        <w:rPr>
          <w:sz w:val="20"/>
          <w:szCs w:val="20"/>
          <w:color w:val="auto"/>
        </w:rPr>
      </w:pPr>
      <w:r>
        <w:rPr>
          <w:rFonts w:ascii="Arial" w:cs="Arial" w:eastAsia="Arial" w:hAnsi="Arial"/>
          <w:sz w:val="11"/>
          <w:szCs w:val="11"/>
          <w:color w:val="auto"/>
        </w:rPr>
        <w:t>VistaGen Therapeutics, Inc., a Nevada corporation (“</w:t>
      </w:r>
      <w:r>
        <w:rPr>
          <w:rFonts w:ascii="Arial" w:cs="Arial" w:eastAsia="Arial" w:hAnsi="Arial"/>
          <w:sz w:val="11"/>
          <w:szCs w:val="11"/>
          <w:i w:val="1"/>
          <w:iCs w:val="1"/>
          <w:color w:val="auto"/>
        </w:rPr>
        <w:t>VistaGen</w:t>
      </w:r>
      <w:r>
        <w:rPr>
          <w:rFonts w:ascii="Arial" w:cs="Arial" w:eastAsia="Arial" w:hAnsi="Arial"/>
          <w:sz w:val="11"/>
          <w:szCs w:val="11"/>
          <w:color w:val="auto"/>
        </w:rPr>
        <w:t>” or the “</w:t>
      </w:r>
      <w:r>
        <w:rPr>
          <w:rFonts w:ascii="Arial" w:cs="Arial" w:eastAsia="Arial" w:hAnsi="Arial"/>
          <w:sz w:val="11"/>
          <w:szCs w:val="11"/>
          <w:i w:val="1"/>
          <w:iCs w:val="1"/>
          <w:color w:val="auto"/>
        </w:rPr>
        <w:t>Compan</w:t>
      </w:r>
      <w:r>
        <w:rPr>
          <w:rFonts w:ascii="Arial" w:cs="Arial" w:eastAsia="Arial" w:hAnsi="Arial"/>
          <w:sz w:val="11"/>
          <w:szCs w:val="11"/>
          <w:color w:val="auto"/>
        </w:rPr>
        <w:t xml:space="preserve">y”), is a biotechnology company with expertise in human pluripotent stem cell technology. The Company is applying and developing its stem cell technology for drug rescue and regenerative medicine. The Company’s primary focus is on leveraging its stem cell technology platform, which it refers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the human cells it produces, its novel, human cell-based bioassay systems, and medicinal chemistry to produce small molecule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These are new, safer variants of promising small molecule drug candidates previously discovered, developed and ultimately discontinued by pharmaceutical companies and others, after substantial investment and prior to market approval, due to unexpected heart or liver safety concerns. The Company refers to these promising drug candidates that are now potentially suitable for drug rescue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These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have already been tested extensively and validated by a pharmaceutical or biotechnology company for their therapeutic (efficacy) and commercial potential. The key commercial objective of the Company’s drug rescue strategy is to generate revenue from license, development and commercialization arrangements involving new, safer and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that it produces with its contract medicinal chemistry collaborator and validates internally in its human cell-based bioassay systems prior to license. The Company anticipates that each validated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will be suitable as a promising drug development program, either internally or in collaboration with a strategic partner. Through stem cell technology-based drug rescue, the Company intends to become a leading source of proprietary, small molecule drug candidates to the global pharmaceutical industry.</w:t>
      </w:r>
    </w:p>
    <w:p>
      <w:pPr>
        <w:spacing w:after="0" w:line="2" w:lineRule="exact"/>
        <w:rPr>
          <w:sz w:val="20"/>
          <w:szCs w:val="20"/>
          <w:color w:val="auto"/>
        </w:rPr>
      </w:pPr>
    </w:p>
    <w:p>
      <w:pPr>
        <w:jc w:val="both"/>
        <w:ind w:left="8" w:firstLine="540"/>
        <w:spacing w:after="0" w:line="253" w:lineRule="auto"/>
        <w:rPr>
          <w:sz w:val="20"/>
          <w:szCs w:val="20"/>
          <w:color w:val="auto"/>
        </w:rPr>
      </w:pPr>
      <w:r>
        <w:rPr>
          <w:rFonts w:ascii="Arial" w:cs="Arial" w:eastAsia="Arial" w:hAnsi="Arial"/>
          <w:sz w:val="12"/>
          <w:szCs w:val="12"/>
          <w:color w:val="auto"/>
        </w:rPr>
        <w:t>In parallel with its drug rescue activities, the Company is also interested in exploring ways to leverage its stem cell technology platform for regenerative medicine purposes, with emphasis on developing novel human disease models for discovery of small molecule drugs and biologics with regenerative and therapeutic potential. The Company’s regenerative medicine focus would be based on its expertise in human biology and differentiation of human pluripotent stem cells to develop functional adult human cells and tissues involved in human disease, including blood, bone, cartilage, heart, liver and insulin-producing pancreatic beta-islet cells. Among its key objectives will be to explore regenerative medicine opportunities through pilot nonclinical proof-of-concept studies, after which the Company intends to assess any potential opportunities for further development and commercialization of therapeutically and commercially promising regenerative medicine programs, either on its own or with strategic partners.</w:t>
      </w:r>
    </w:p>
    <w:p>
      <w:pPr>
        <w:spacing w:after="0" w:line="146"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AV-101 is VistaGen's orally-available, small molecule prodrug candidate which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w:t>
      </w:r>
    </w:p>
    <w:p>
      <w:pPr>
        <w:spacing w:after="0" w:line="1" w:lineRule="exact"/>
        <w:rPr>
          <w:sz w:val="20"/>
          <w:szCs w:val="20"/>
          <w:color w:val="auto"/>
        </w:rPr>
      </w:pPr>
    </w:p>
    <w:p>
      <w:pPr>
        <w:ind w:left="8" w:hanging="8"/>
        <w:spacing w:after="0" w:line="306" w:lineRule="auto"/>
        <w:tabs>
          <w:tab w:leader="none" w:pos="260" w:val="left"/>
        </w:tabs>
        <w:numPr>
          <w:ilvl w:val="0"/>
          <w:numId w:val="34"/>
        </w:numPr>
        <w:rPr>
          <w:rFonts w:ascii="Arial" w:cs="Arial" w:eastAsia="Arial" w:hAnsi="Arial"/>
          <w:sz w:val="11"/>
          <w:szCs w:val="11"/>
          <w:color w:val="auto"/>
        </w:rPr>
      </w:pPr>
      <w:r>
        <w:rPr>
          <w:rFonts w:ascii="Arial" w:cs="Arial" w:eastAsia="Arial" w:hAnsi="Arial"/>
          <w:sz w:val="11"/>
          <w:szCs w:val="11"/>
          <w:color w:val="auto"/>
        </w:rPr>
        <w:t>The Company intends to pursue potential opportunities for further clinical development and commercialization of AV-101 for neuropathic pain, epilepsy and depression, on its own and with strategic partners. In the event that it successfully completes a strategic partnering arrangement for AV-101, the Company plans to use the net proceeds from such an arrangement to expand its stem cell technology-based drug rescue and regenerative medicine programs.</w:t>
      </w:r>
    </w:p>
    <w:p>
      <w:pPr>
        <w:spacing w:after="0" w:line="119"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83" w:name="page84"/>
    <w:bookmarkEnd w:id="8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Merger</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VistaGen Therapeutics, Inc., a California corporation incorporated on May 26, 1998 (“</w:t>
      </w:r>
      <w:r>
        <w:rPr>
          <w:rFonts w:ascii="Arial" w:cs="Arial" w:eastAsia="Arial" w:hAnsi="Arial"/>
          <w:sz w:val="12"/>
          <w:szCs w:val="12"/>
          <w:i w:val="1"/>
          <w:iCs w:val="1"/>
          <w:color w:val="auto"/>
        </w:rPr>
        <w:t>VistaGen California</w:t>
      </w:r>
      <w:r>
        <w:rPr>
          <w:rFonts w:ascii="Arial" w:cs="Arial" w:eastAsia="Arial" w:hAnsi="Arial"/>
          <w:sz w:val="12"/>
          <w:szCs w:val="12"/>
          <w:color w:val="auto"/>
        </w:rPr>
        <w:t>”), is a wholly-owned subsidiary of the Company. Excaliber Enterprises, Ltd. (“</w:t>
      </w:r>
      <w:r>
        <w:rPr>
          <w:rFonts w:ascii="Arial" w:cs="Arial" w:eastAsia="Arial" w:hAnsi="Arial"/>
          <w:sz w:val="12"/>
          <w:szCs w:val="12"/>
          <w:i w:val="1"/>
          <w:iCs w:val="1"/>
          <w:color w:val="auto"/>
        </w:rPr>
        <w:t>Excaliber</w:t>
      </w:r>
      <w:r>
        <w:rPr>
          <w:rFonts w:ascii="Arial" w:cs="Arial" w:eastAsia="Arial" w:hAnsi="Arial"/>
          <w:sz w:val="12"/>
          <w:szCs w:val="12"/>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6,836,452 shares of the Company’s common stock and assumed all of VistaGen California’s pre-Merger obligations (the “</w:t>
      </w:r>
      <w:r>
        <w:rPr>
          <w:rFonts w:ascii="Arial" w:cs="Arial" w:eastAsia="Arial" w:hAnsi="Arial"/>
          <w:sz w:val="12"/>
          <w:szCs w:val="12"/>
          <w:i w:val="1"/>
          <w:iCs w:val="1"/>
          <w:color w:val="auto"/>
        </w:rPr>
        <w:t>Merger</w:t>
      </w:r>
      <w:r>
        <w:rPr>
          <w:rFonts w:ascii="Arial" w:cs="Arial" w:eastAsia="Arial" w:hAnsi="Arial"/>
          <w:sz w:val="12"/>
          <w:szCs w:val="12"/>
          <w:color w:val="auto"/>
        </w:rPr>
        <w:t>”). Shortly after the Merger, Excaliber’s name was changed to “VistaGen Therapeutics, Inc.” (a Nevada corporation).</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the Company recorded no goodwill or other intangible assets. A total of 1,569,000 shares of common stock, representing the shares held by stockholders of Excaliber immediately prior to the Merger and effected for a post-Merger two-for-one (2:1) stock split,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October 2011, the Company’s stockholders amended the Company’s Articles of Incorporation to authorize the Company to issue up to 200 million shares of common stock and up to 10 million shares of preferred stock and to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all of which are held by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currently the Company’s largest institutional security holder. Pursuant to the Note Exchange and Purchase Agreement of October 11, 2012, as amended, between the Company and Platinum, Platinum has the right and option to exchange the 500,000 shares of the Company’s Series A Preferred it holds for (i) 15,000,000 restricted shares of the Company’s common stock, and (ii) a five-year warrant to purchase 7,500,000 restricted shares of the Company’s common stock at an exercise price of $0.50 per share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included in this Report also include the accounts of VistaGen California’s two wholly-owned subsidiaries, Artemis Neuroscience, Inc., a Maryland corporation (“</w:t>
      </w:r>
      <w:r>
        <w:rPr>
          <w:rFonts w:ascii="Arial" w:cs="Arial" w:eastAsia="Arial" w:hAnsi="Arial"/>
          <w:sz w:val="11"/>
          <w:szCs w:val="11"/>
          <w:i w:val="1"/>
          <w:iCs w:val="1"/>
          <w:color w:val="auto"/>
        </w:rPr>
        <w:t>Artemis</w:t>
      </w:r>
      <w:r>
        <w:rPr>
          <w:rFonts w:ascii="Arial" w:cs="Arial" w:eastAsia="Arial" w:hAnsi="Arial"/>
          <w:sz w:val="11"/>
          <w:szCs w:val="11"/>
          <w:color w:val="auto"/>
        </w:rPr>
        <w:t>”), and VistaStem Canada, Inc., a corporation organized under the laws of Ontario, Canada (“</w:t>
      </w:r>
      <w:r>
        <w:rPr>
          <w:rFonts w:ascii="Arial" w:cs="Arial" w:eastAsia="Arial" w:hAnsi="Arial"/>
          <w:sz w:val="11"/>
          <w:szCs w:val="11"/>
          <w:i w:val="1"/>
          <w:iCs w:val="1"/>
          <w:color w:val="auto"/>
        </w:rPr>
        <w:t>VistaStem Canada</w:t>
      </w:r>
      <w:r>
        <w:rPr>
          <w:rFonts w:ascii="Arial" w:cs="Arial" w:eastAsia="Arial" w:hAnsi="Arial"/>
          <w:sz w:val="11"/>
          <w:szCs w:val="1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Going Concern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2014, VistaGen has a deficit accumulated during its development stage of $70.6 million. The Company expects these conditions to continue for the foreseeable future as it expands its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 and executes its drug rescue programs and, potentially, regenerative medicine programs.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4" w:name="page85"/>
    <w:bookmarkEnd w:id="84"/>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firstLine="432"/>
        <w:spacing w:after="0" w:line="303" w:lineRule="auto"/>
        <w:rPr>
          <w:sz w:val="20"/>
          <w:szCs w:val="20"/>
          <w:color w:val="auto"/>
        </w:rPr>
      </w:pPr>
      <w:r>
        <w:rPr>
          <w:rFonts w:ascii="Arial" w:cs="Arial" w:eastAsia="Arial" w:hAnsi="Arial"/>
          <w:sz w:val="10"/>
          <w:szCs w:val="10"/>
          <w:color w:val="auto"/>
        </w:rPr>
        <w:t>Since its inception in May 1998 and through March 2014, the Company has financed its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during the same period, the Company has issued equity securities with an approximate aggregate value at issuance of $12.6 million in non-cash settlements of certain liabilities, including liabilities for professional services rendered to the Company or as compensation for such services. At March 31, 2014, the Company did not have sufficient cash or cash equivalents to enable it to fund its operations, including expected cash expenditures of approximately $5 million, through the next twelve months. To meet its cash needs and fund its working capital requirements after March 31, 2014 and prior to a debt- or equity-based financing, through June 19, 2014, the Company entered into securities purchase agreements with accredited investors and institutions pursuant to which it sold to such accredited investors units of our securities (“</w:t>
      </w:r>
      <w:r>
        <w:rPr>
          <w:rFonts w:ascii="Arial" w:cs="Arial" w:eastAsia="Arial" w:hAnsi="Arial"/>
          <w:sz w:val="10"/>
          <w:szCs w:val="10"/>
          <w:i w:val="1"/>
          <w:iCs w:val="1"/>
          <w:color w:val="auto"/>
        </w:rPr>
        <w:t>Units</w:t>
      </w:r>
      <w:r>
        <w:rPr>
          <w:rFonts w:ascii="Arial" w:cs="Arial" w:eastAsia="Arial" w:hAnsi="Arial"/>
          <w:sz w:val="10"/>
          <w:szCs w:val="10"/>
          <w:color w:val="auto"/>
        </w:rPr>
        <w:t>”), for aggregate proceeds of $1,465,000, consisting of:</w:t>
      </w:r>
    </w:p>
    <w:p>
      <w:pPr>
        <w:spacing w:after="0" w:line="2" w:lineRule="exact"/>
        <w:rPr>
          <w:sz w:val="20"/>
          <w:szCs w:val="20"/>
          <w:color w:val="auto"/>
        </w:rPr>
      </w:pPr>
    </w:p>
    <w:p>
      <w:pPr>
        <w:ind w:left="8" w:hanging="8"/>
        <w:spacing w:after="0" w:line="261" w:lineRule="auto"/>
        <w:tabs>
          <w:tab w:leader="none" w:pos="164" w:val="left"/>
        </w:tabs>
        <w:numPr>
          <w:ilvl w:val="0"/>
          <w:numId w:val="35"/>
        </w:numPr>
        <w:rPr>
          <w:rFonts w:ascii="Arial" w:cs="Arial" w:eastAsia="Arial" w:hAnsi="Arial"/>
          <w:sz w:val="12"/>
          <w:szCs w:val="12"/>
          <w:color w:val="auto"/>
        </w:rPr>
      </w:pPr>
      <w:r>
        <w:rPr>
          <w:rFonts w:ascii="Arial" w:cs="Arial" w:eastAsia="Arial" w:hAnsi="Arial"/>
          <w:sz w:val="12"/>
          <w:szCs w:val="12"/>
          <w:color w:val="auto"/>
        </w:rPr>
        <w:t>10% subordinate convertible promissory notes in the aggregate face amount of $1,465,000 maturing on March 31, 2015; (ii) an aggregate of 1,465,000 restricted shares of its common stock; and (iii) warrants exercisable through December 31, 2016 to purchase an aggregate of 1,465,000 restricted shares of its common stock at an exercise price of $0.50 per share.</w:t>
      </w:r>
    </w:p>
    <w:p>
      <w:pPr>
        <w:spacing w:after="0" w:line="141"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In April 2013, the Company entered into a Securities Purchase Agreement (as amended, “</w:t>
      </w:r>
      <w:r>
        <w:rPr>
          <w:rFonts w:ascii="Arial" w:cs="Arial" w:eastAsia="Arial" w:hAnsi="Arial"/>
          <w:sz w:val="11"/>
          <w:szCs w:val="11"/>
          <w:i w:val="1"/>
          <w:iCs w:val="1"/>
          <w:color w:val="auto"/>
        </w:rPr>
        <w:t>Securities Purchase Agreement</w:t>
      </w:r>
      <w:r>
        <w:rPr>
          <w:rFonts w:ascii="Arial" w:cs="Arial" w:eastAsia="Arial" w:hAnsi="Arial"/>
          <w:sz w:val="11"/>
          <w:szCs w:val="11"/>
          <w:color w:val="auto"/>
        </w:rPr>
        <w:t>”) with Autilion AG, a company organized and existing under the laws of Switzerland (“</w:t>
      </w:r>
      <w:r>
        <w:rPr>
          <w:rFonts w:ascii="Arial" w:cs="Arial" w:eastAsia="Arial" w:hAnsi="Arial"/>
          <w:sz w:val="11"/>
          <w:szCs w:val="11"/>
          <w:i w:val="1"/>
          <w:iCs w:val="1"/>
          <w:color w:val="auto"/>
        </w:rPr>
        <w:t>Autilion</w:t>
      </w:r>
      <w:r>
        <w:rPr>
          <w:rFonts w:ascii="Arial" w:cs="Arial" w:eastAsia="Arial" w:hAnsi="Arial"/>
          <w:sz w:val="11"/>
          <w:szCs w:val="11"/>
          <w:color w:val="auto"/>
        </w:rPr>
        <w:t>”), under which Autilion is contractually obligated to purchase an aggregate of 72.0 million restricted shares of the Company’s common stock at a purchase price of $0.50 per share for aggregate cash proceeds to the Company of $36.0 million (the “</w:t>
      </w:r>
      <w:r>
        <w:rPr>
          <w:rFonts w:ascii="Arial" w:cs="Arial" w:eastAsia="Arial" w:hAnsi="Arial"/>
          <w:sz w:val="11"/>
          <w:szCs w:val="11"/>
          <w:i w:val="1"/>
          <w:iCs w:val="1"/>
          <w:color w:val="auto"/>
        </w:rPr>
        <w:t>Autilion Financing</w:t>
      </w:r>
      <w:r>
        <w:rPr>
          <w:rFonts w:ascii="Arial" w:cs="Arial" w:eastAsia="Arial" w:hAnsi="Arial"/>
          <w:sz w:val="11"/>
          <w:szCs w:val="11"/>
          <w:color w:val="auto"/>
        </w:rPr>
        <w:t>”). To date, Autilion has completed only a nominal closing under the Securities Purchase Agreement. Therefore, Autilion is in default under the Securities Purchase Agreement, and the Company can provide no assurance that Autilion will complete a material closing under the Securities Purchase Agreement. In the event that Autilion does not complete a material portion of the Autilion Financing pursuant to the Securities Purchase Agreement in the near term, the Company will need to obtain from $4.0 million to $6.0 million from alternative financing sources to execute its business plan over the next twelve to fifteen months. Substantial additional financing may not be available to the Company on a timely basis, on acceptable terms, or at all. In the event the Company is unable to obtain substantial additional financing on a timely basis, its business, financial condition, and results of operations may be harmed, the price of its stock may decline, and it may not be able to continue as a going concern.</w:t>
      </w:r>
    </w:p>
    <w:p>
      <w:pPr>
        <w:spacing w:after="0" w:line="13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To meet its working capital needs during the fiscal year ended March 31, 2014, the Company issued an additional Senior Secured Convertible Promissory Note to Platinum, and sold Units consisting of convertible promissory notes, shares of its restricted common stock and warrants to purchase restricted shares of its common stock, to accredited investors in private placements as described more completely in Note 9,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and Note 10</w:t>
      </w:r>
      <w:r>
        <w:rPr>
          <w:rFonts w:ascii="Arial" w:cs="Arial" w:eastAsia="Arial" w:hAnsi="Arial"/>
          <w:sz w:val="12"/>
          <w:szCs w:val="12"/>
          <w:i w:val="1"/>
          <w:iCs w:val="1"/>
          <w:color w:val="auto"/>
        </w:rPr>
        <w:t>, Capital Stock</w:t>
      </w:r>
      <w:r>
        <w:rPr>
          <w:rFonts w:ascii="Arial" w:cs="Arial" w:eastAsia="Arial" w:hAnsi="Arial"/>
          <w:sz w:val="12"/>
          <w:szCs w:val="12"/>
          <w:color w:val="auto"/>
        </w:rPr>
        <w:t>. To provide working capital for operations from March 31, 2014 through the date of this report, the Company completed private placements of its securities to Platinum and other accredited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investors resulting in aggregate cash proceeds of $1,465,000, as described in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w:t>
      </w:r>
    </w:p>
    <w:p>
      <w:pPr>
        <w:spacing w:after="0" w:line="143"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To the extent necessary, the Company may also seek to meet its future cash needs and fund its working capital requirements through a combination of additional private placements of its securities, which may include both debt and equity securities, research and development collaborations, license fees, and government grant awards. Alternatively, the Company may seek to raise additional capital through a registered public offering of its securities. In May 2014, the Company filed a Registration Statement on Form S-1 with the Securities and Exchange Commission covering the potential sale of shares of its common stock in a registered public offering. Additionally, the Company believes that its participation in strategic collaborations, including licensing transactions, may provide additional cash in support of its future working capital requirements. If the Company is unable to obtain sufficient financing from the Autilion Financing or alternative sources, it may be required to reduce, defer, or discontinue certain of its research and development activities or it may not be able to continue as a going concern. The consolidated financial statements do not include any adjustments that might result from the outcome of this uncertainty.</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85" w:name="page86"/>
    <w:bookmarkEnd w:id="8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generally accepted accounting principles (“</w:t>
      </w:r>
      <w:r>
        <w:rPr>
          <w:rFonts w:ascii="Arial" w:cs="Arial" w:eastAsia="Arial" w:hAnsi="Arial"/>
          <w:sz w:val="11"/>
          <w:szCs w:val="11"/>
          <w:i w:val="1"/>
          <w:iCs w:val="1"/>
          <w:color w:val="auto"/>
        </w:rPr>
        <w:t>U.S. GAAP</w:t>
      </w:r>
      <w:r>
        <w:rPr>
          <w:rFonts w:ascii="Arial" w:cs="Arial" w:eastAsia="Arial" w:hAnsi="Arial"/>
          <w:sz w:val="11"/>
          <w:szCs w:val="11"/>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accompanying consolidated financial statements include the Company’s accounts, and the accounts of VistaGen California’s wholly-owned inactive subsidiaries, Artemis Neurosciences and VistaStem Canada.</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and cash equivalents are considered to be highly liquid investments with maturities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or Disposal of Long-Lived Assets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the Company does not currently have any such arrangements, it has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2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recognizes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the Company complies with the above revenue recognition criteria in the following manner: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6" w:name="page87"/>
    <w:bookmarkEnd w:id="8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540" w:firstLine="425"/>
        <w:spacing w:after="0" w:line="281" w:lineRule="auto"/>
        <w:tabs>
          <w:tab w:leader="none" w:pos="1384" w:val="left"/>
        </w:tabs>
        <w:numPr>
          <w:ilvl w:val="0"/>
          <w:numId w:val="36"/>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540" w:firstLine="425"/>
        <w:spacing w:after="0" w:line="259" w:lineRule="auto"/>
        <w:tabs>
          <w:tab w:leader="none" w:pos="1532" w:val="left"/>
        </w:tabs>
        <w:numPr>
          <w:ilvl w:val="0"/>
          <w:numId w:val="36"/>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p>
      <w:pPr>
        <w:spacing w:after="0" w:line="142" w:lineRule="exact"/>
        <w:rPr>
          <w:rFonts w:ascii="Arial" w:cs="Arial" w:eastAsia="Arial" w:hAnsi="Arial"/>
          <w:sz w:val="12"/>
          <w:szCs w:val="12"/>
          <w:color w:val="auto"/>
        </w:rPr>
      </w:pPr>
    </w:p>
    <w:p>
      <w:pPr>
        <w:ind w:left="540" w:firstLine="425"/>
        <w:spacing w:after="0" w:line="276" w:lineRule="auto"/>
        <w:tabs>
          <w:tab w:leader="none" w:pos="1524" w:val="left"/>
        </w:tabs>
        <w:numPr>
          <w:ilvl w:val="0"/>
          <w:numId w:val="36"/>
        </w:numPr>
        <w:rPr>
          <w:rFonts w:ascii="Arial" w:cs="Arial" w:eastAsia="Arial" w:hAnsi="Arial"/>
          <w:sz w:val="12"/>
          <w:szCs w:val="12"/>
          <w:color w:val="auto"/>
        </w:rPr>
      </w:pPr>
      <w:r>
        <w:rPr>
          <w:rFonts w:ascii="Arial" w:cs="Arial" w:eastAsia="Arial" w:hAnsi="Arial"/>
          <w:sz w:val="12"/>
          <w:szCs w:val="12"/>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68"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and AV-101. All such research and development costs are charged to expense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recognizes compensation cost for all stock-based awards to employees in its financial statements based on their grant date fair value. Stock-based compensation expense is recognized over the period during which the employee is required to perform service in exchange for the award, which generally represents the scheduled vesting period of options and warrants to purchase shares of the Company’s common stock. The Company has no awards with market or performance conditions. For stock-based awards to non-employees, the Company re-measures the fair value of such awards as they vest and the resulting value is recognized as an expense during the period over which applicable services are performed by the recipient.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7" w:name="page88"/>
    <w:bookmarkEnd w:id="8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68"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Company has issued certain warrants to Platinum and, subject to Platinum’s exercise of its rights to exchange shares of the Company’s Series A Preferred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 Note 10</w:t>
      </w:r>
      <w:r>
        <w:rPr>
          <w:rFonts w:ascii="Arial" w:cs="Arial" w:eastAsia="Arial" w:hAnsi="Arial"/>
          <w:sz w:val="11"/>
          <w:szCs w:val="11"/>
          <w:i w:val="1"/>
          <w:iCs w:val="1"/>
          <w:color w:val="auto"/>
        </w:rPr>
        <w:t>, Capital Stock</w:t>
      </w:r>
      <w:r>
        <w:rPr>
          <w:rFonts w:ascii="Arial" w:cs="Arial" w:eastAsia="Arial" w:hAnsi="Arial"/>
          <w:sz w:val="11"/>
          <w:szCs w:val="11"/>
          <w:color w:val="auto"/>
        </w:rPr>
        <w:t>. The Company computes the fair value of the warrant liability at each reporting period and the change in the 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no components of other comprehensive loss other than net loss, and accordingly the Company’s comprehensive loss is equivalent to its net loss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per Common Share</w:t>
      </w:r>
    </w:p>
    <w:p>
      <w:pPr>
        <w:spacing w:after="0" w:line="168" w:lineRule="exact"/>
        <w:rPr>
          <w:sz w:val="20"/>
          <w:szCs w:val="20"/>
          <w:color w:val="auto"/>
        </w:rPr>
      </w:pPr>
    </w:p>
    <w:p>
      <w:pPr>
        <w:jc w:val="both"/>
        <w:ind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spacing w:after="0" w:line="290" w:lineRule="auto"/>
        <w:rPr>
          <w:sz w:val="20"/>
          <w:szCs w:val="20"/>
          <w:color w:val="auto"/>
        </w:rPr>
      </w:pPr>
      <w:r>
        <w:rPr>
          <w:rFonts w:ascii="Arial" w:cs="Arial" w:eastAsia="Arial" w:hAnsi="Arial"/>
          <w:sz w:val="11"/>
          <w:szCs w:val="11"/>
          <w:color w:val="auto"/>
        </w:rPr>
        <w:t>(loss) per share, the Company adjusts the numerator for the change in the fair value of the warrant liability attributable to outstanding warrants, only if dilutive, and increases the denominator to include the number of potentially dilutive common shares assumed to be outstanding during the period using the treasury stock method. As a result of the Company’s net loss for both periods presented, potentially dilutive securities were excluded from the computation, as their effect would be antidilutive. Additionally, no potentially dilutive securities were assumed to be converted into common shares and outstanding during either period for purposes of calculating diluted earnings per share.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26"/>
        </w:trPr>
        <w:tc>
          <w:tcPr>
            <w:tcW w:w="8840" w:type="dxa"/>
            <w:vAlign w:val="bottom"/>
            <w:gridSpan w:val="4"/>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Years Ended March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less: change in fair value of warrant liability attributable to Exchange,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Investment and July 2013 Warrants issued to Platinum</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(1,219,500)</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(4,187,200)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Denominator: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Weighted average basic common shares outstanding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Assumed conversion of dilutive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00"/>
              <w:spacing w:after="0"/>
              <w:rPr>
                <w:sz w:val="20"/>
                <w:szCs w:val="20"/>
                <w:color w:val="auto"/>
              </w:rPr>
            </w:pPr>
            <w:r>
              <w:rPr>
                <w:rFonts w:ascii="Arial" w:cs="Arial" w:eastAsia="Arial" w:hAnsi="Arial"/>
                <w:sz w:val="12"/>
                <w:szCs w:val="12"/>
                <w:color w:val="auto"/>
              </w:rPr>
              <w:t>Warrants to purchase common stock</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2"/>
                <w:szCs w:val="12"/>
                <w:color w:val="auto"/>
              </w:rPr>
              <w:t>Potentially dilutive common shares assumed converted</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Denominator for diluted earnings per share - adjusted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20"/>
              <w:spacing w:after="0"/>
              <w:rPr>
                <w:sz w:val="20"/>
                <w:szCs w:val="20"/>
                <w:color w:val="auto"/>
              </w:rPr>
            </w:pPr>
            <w:r>
              <w:rPr>
                <w:rFonts w:ascii="Arial" w:cs="Arial" w:eastAsia="Arial" w:hAnsi="Arial"/>
                <w:sz w:val="12"/>
                <w:szCs w:val="12"/>
                <w:color w:val="auto"/>
              </w:rPr>
              <w:t>weighted average shares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Potentially dilutive securities excluded in determining diluted net loss per common share for the fiscal years ended March 31, 2014 and 2013 are as follows:</w:t>
            </w:r>
          </w:p>
        </w:tc>
        <w:tc>
          <w:tcPr>
            <w:tcW w:w="260" w:type="dxa"/>
            <w:vAlign w:val="bottom"/>
          </w:tcPr>
          <w:p>
            <w:pPr>
              <w:spacing w:after="0"/>
              <w:rPr>
                <w:sz w:val="24"/>
                <w:szCs w:val="24"/>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w w:val="92"/>
              </w:rPr>
              <w:t>Warrant shares issuable to Platinum upon exercise of common stock warrants by Platinum upon exchange of Series A preferred stock under the terms of the October 11, 2012 Note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Purchase and Exchange Agreement</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4,249,271</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17,095,633</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14,660,335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w w:val="93"/>
              </w:rPr>
              <w:t xml:space="preserve">10% convertible Exchange Note and Investment Notes issued to Platinum in October 2012, February 2013 and March 2013, including accrued interest through March 31, 2014 </w:t>
            </w:r>
            <w:r>
              <w:rPr>
                <w:rFonts w:ascii="Arial" w:cs="Arial" w:eastAsia="Arial" w:hAnsi="Arial"/>
                <w:sz w:val="16"/>
                <w:szCs w:val="16"/>
                <w:color w:val="auto"/>
                <w:w w:val="93"/>
                <w:vertAlign w:val="superscript"/>
              </w:rPr>
              <w:t>(2)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7,495,957</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6,775,682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 convertible note issued to Platinum on July 26, 2013, including accrued interest through March 31, 2014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535,506</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2,186,811</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54,063,178</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48,848,621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40" w:type="dxa"/>
            <w:vAlign w:val="bottom"/>
            <w:tcBorders>
              <w:top w:val="single" w:sz="8" w:color="CCEEFF"/>
            </w:tcBorders>
            <w:gridSpan w:val="2"/>
          </w:tcPr>
          <w:p>
            <w:pPr>
              <w:spacing w:after="0" w:line="111" w:lineRule="exact"/>
              <w:rPr>
                <w:sz w:val="20"/>
                <w:szCs w:val="20"/>
                <w:color w:val="auto"/>
              </w:rPr>
            </w:pPr>
            <w:r>
              <w:rPr>
                <w:rFonts w:ascii="Arial" w:cs="Arial" w:eastAsia="Arial" w:hAnsi="Arial"/>
                <w:sz w:val="12"/>
                <w:szCs w:val="12"/>
                <w:color w:val="auto"/>
                <w:w w:val="89"/>
              </w:rPr>
              <w:t>____________</w:t>
            </w:r>
          </w:p>
        </w:tc>
        <w:tc>
          <w:tcPr>
            <w:tcW w:w="808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0" w:type="dxa"/>
            <w:vAlign w:val="bottom"/>
            <w:gridSpan w:val="2"/>
          </w:tcPr>
          <w:p>
            <w:pPr>
              <w:spacing w:after="0"/>
              <w:rPr>
                <w:sz w:val="20"/>
                <w:szCs w:val="20"/>
                <w:color w:val="auto"/>
              </w:rPr>
            </w:pPr>
            <w:r>
              <w:rPr>
                <w:rFonts w:ascii="Arial" w:cs="Arial" w:eastAsia="Arial" w:hAnsi="Arial"/>
                <w:sz w:val="8"/>
                <w:szCs w:val="8"/>
                <w:color w:val="auto"/>
              </w:rPr>
              <w:t>(1)</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exchange under the terms of the October 11, 2012 Note Exchange and Purchase Agreement with Platinum</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gridSpan w:val="2"/>
          </w:tcPr>
          <w:p>
            <w:pPr>
              <w:spacing w:after="0"/>
              <w:rPr>
                <w:sz w:val="20"/>
                <w:szCs w:val="20"/>
                <w:color w:val="auto"/>
              </w:rPr>
            </w:pPr>
            <w:r>
              <w:rPr>
                <w:rFonts w:ascii="Arial" w:cs="Arial" w:eastAsia="Arial" w:hAnsi="Arial"/>
                <w:sz w:val="8"/>
                <w:szCs w:val="8"/>
                <w:color w:val="auto"/>
              </w:rPr>
              <w:t>(2)</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conversion under the terms of the October 11, 2012 Note Exchange and Purchase Agreement with Platinum and the terms of the individual notes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80" w:type="dxa"/>
            <w:vAlign w:val="bottom"/>
          </w:tcPr>
          <w:p>
            <w:pPr>
              <w:ind w:left="4860"/>
              <w:spacing w:after="0"/>
              <w:rPr>
                <w:sz w:val="20"/>
                <w:szCs w:val="20"/>
                <w:color w:val="auto"/>
              </w:rPr>
            </w:pPr>
            <w:r>
              <w:rPr>
                <w:rFonts w:ascii="Arial" w:cs="Arial" w:eastAsia="Arial" w:hAnsi="Arial"/>
                <w:sz w:val="12"/>
                <w:szCs w:val="12"/>
                <w:color w:val="auto"/>
              </w:rPr>
              <w:t>F-15</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80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89" w:name="page90"/>
    <w:bookmarkEnd w:id="8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annual period beginning after December 15, 2016, using one of two retrospective application methods. The Company is currently evaluating the impact on its Consolidated Financial Statements of adopting this ASU.</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will no longer require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The Company’s adoption of this ASU will result in the elimination of the inception-to-date information currently included in its Consolidated Statements of Operations and Comprehensive Loss, Cash Flows and Stockholders’ Deficit effective with the fiscal year beginning in April 2015.</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12" w:lineRule="exact"/>
        <w:rPr>
          <w:sz w:val="20"/>
          <w:szCs w:val="20"/>
          <w:color w:val="auto"/>
        </w:rPr>
      </w:pPr>
    </w:p>
    <w:p>
      <w:pPr>
        <w:ind w:left="560" w:hanging="226"/>
        <w:spacing w:after="0"/>
        <w:tabs>
          <w:tab w:leader="none" w:pos="56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560" w:right="20" w:hanging="226"/>
        <w:spacing w:after="0" w:line="276" w:lineRule="auto"/>
        <w:tabs>
          <w:tab w:leader="none" w:pos="56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 be</w:t>
      </w:r>
      <w:r>
        <w:rPr>
          <w:rFonts w:ascii="Arial" w:cs="Arial" w:eastAsia="Arial" w:hAnsi="Arial"/>
          <w:sz w:val="12"/>
          <w:szCs w:val="12"/>
          <w:i w:val="1"/>
          <w:iCs w:val="1"/>
          <w:color w:val="auto"/>
        </w:rPr>
        <w:t xml:space="preserve"> </w:t>
      </w:r>
      <w:r>
        <w:rPr>
          <w:rFonts w:ascii="Arial" w:cs="Arial" w:eastAsia="Arial" w:hAnsi="Arial"/>
          <w:sz w:val="12"/>
          <w:szCs w:val="12"/>
          <w:color w:val="auto"/>
        </w:rPr>
        <w:t>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560" w:hanging="226"/>
        <w:spacing w:after="0" w:line="276" w:lineRule="auto"/>
        <w:tabs>
          <w:tab w:leader="none" w:pos="56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 or</w:t>
      </w:r>
      <w:r>
        <w:rPr>
          <w:rFonts w:ascii="Arial" w:cs="Arial" w:eastAsia="Arial" w:hAnsi="Arial"/>
          <w:sz w:val="12"/>
          <w:szCs w:val="12"/>
          <w:i w:val="1"/>
          <w:iCs w:val="1"/>
          <w:color w:val="auto"/>
        </w:rPr>
        <w:t xml:space="preserve"> </w:t>
      </w:r>
      <w:r>
        <w:rPr>
          <w:rFonts w:ascii="Arial" w:cs="Arial" w:eastAsia="Arial" w:hAnsi="Arial"/>
          <w:sz w:val="12"/>
          <w:szCs w:val="12"/>
          <w:color w:val="auto"/>
        </w:rPr>
        <w:t>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0" w:name="page91"/>
    <w:bookmarkEnd w:id="9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 xml:space="preserve">The Company does not use derivative instruments for hedging of market risks or for trading or speculative purposes. In conjunction with the Senior Secured Convertible Promissory Notes and related Exchange Warrant and Investment Warrants issued to Platinum in October 2012, February 2013 and March 2013 (see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the potential issuance of the Series A Exchange Warrant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all pursuant to the October 2012 Agreement, and the Senior Secured Convertible Promissory Note and related warrant issued to Platinum in July 2013, the Company determined that the warrants included certain exercise</w:t>
      </w:r>
      <w:r>
        <w:rPr>
          <w:rFonts w:ascii="Arial" w:cs="Arial" w:eastAsia="Arial" w:hAnsi="Arial"/>
          <w:sz w:val="11"/>
          <w:szCs w:val="11"/>
          <w:i w:val="1"/>
          <w:iCs w:val="1"/>
          <w:color w:val="auto"/>
        </w:rPr>
        <w:t xml:space="preserve"> </w:t>
      </w:r>
      <w:r>
        <w:rPr>
          <w:rFonts w:ascii="Arial" w:cs="Arial" w:eastAsia="Arial" w:hAnsi="Arial"/>
          <w:sz w:val="11"/>
          <w:szCs w:val="11"/>
          <w:color w:val="auto"/>
        </w:rPr>
        <w:t>price adjustment features requiring the 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2014 and 2013.</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fair value hierarchy for liabilities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Quoted Prices inActive Markets</w:t>
            </w:r>
          </w:p>
        </w:tc>
        <w:tc>
          <w:tcPr>
            <w:tcW w:w="1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Significant Other Observable</w:t>
            </w:r>
          </w:p>
        </w:tc>
        <w:tc>
          <w:tcPr>
            <w:tcW w:w="260" w:type="dxa"/>
            <w:vAlign w:val="bottom"/>
          </w:tcPr>
          <w:p>
            <w:pPr>
              <w:spacing w:after="0"/>
              <w:rPr>
                <w:sz w:val="11"/>
                <w:szCs w:val="11"/>
                <w:color w:val="auto"/>
              </w:rPr>
            </w:pPr>
          </w:p>
        </w:tc>
        <w:tc>
          <w:tcPr>
            <w:tcW w:w="1520" w:type="dxa"/>
            <w:vAlign w:val="bottom"/>
            <w:gridSpan w:val="4"/>
          </w:tcPr>
          <w:p>
            <w:pPr>
              <w:jc w:val="center"/>
              <w:ind w:right="40"/>
              <w:spacing w:after="0" w:line="129" w:lineRule="exact"/>
              <w:rPr>
                <w:sz w:val="20"/>
                <w:szCs w:val="20"/>
                <w:color w:val="auto"/>
              </w:rPr>
            </w:pPr>
            <w:r>
              <w:rPr>
                <w:rFonts w:ascii="Arial" w:cs="Arial" w:eastAsia="Arial" w:hAnsi="Arial"/>
                <w:sz w:val="12"/>
                <w:szCs w:val="12"/>
                <w:b w:val="1"/>
                <w:bCs w:val="1"/>
                <w:color w:val="auto"/>
                <w:w w:val="88"/>
              </w:rPr>
              <w:t>Significant Unobservable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9"/>
              </w:rPr>
              <w:t>forIdentical Assets</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88"/>
              </w:rPr>
              <w:t>Inputs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2"/>
                <w:szCs w:val="12"/>
                <w:b w:val="1"/>
                <w:bCs w:val="1"/>
                <w:color w:val="auto"/>
              </w:rPr>
              <w:t>Total Carrying Value</w:t>
            </w:r>
          </w:p>
        </w:tc>
        <w:tc>
          <w:tcPr>
            <w:tcW w:w="36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0"/>
              </w:rPr>
              <w:t>(Level 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51"/>
        </w:trPr>
        <w:tc>
          <w:tcPr>
            <w:tcW w:w="3140" w:type="dxa"/>
            <w:vAlign w:val="bottom"/>
            <w:gridSpan w:val="2"/>
          </w:tcPr>
          <w:p>
            <w:pPr>
              <w:spacing w:after="0"/>
              <w:rPr>
                <w:sz w:val="20"/>
                <w:szCs w:val="20"/>
                <w:color w:val="auto"/>
              </w:rPr>
            </w:pPr>
            <w:r>
              <w:rPr>
                <w:rFonts w:ascii="Arial" w:cs="Arial" w:eastAsia="Arial" w:hAnsi="Arial"/>
                <w:sz w:val="12"/>
                <w:szCs w:val="12"/>
                <w:color w:val="auto"/>
              </w:rPr>
              <w:t>March 31, 2014:</w:t>
            </w:r>
          </w:p>
        </w:tc>
        <w:tc>
          <w:tcPr>
            <w:tcW w:w="1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2280" w:type="dxa"/>
            <w:vAlign w:val="bottom"/>
            <w:gridSpan w:val="2"/>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2,973,900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2,973,900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2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2013:</w:t>
            </w:r>
          </w:p>
        </w:tc>
        <w:tc>
          <w:tcPr>
            <w:tcW w:w="12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6,394,000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80" w:type="dxa"/>
            <w:vAlign w:val="bottom"/>
            <w:gridSpan w:val="9"/>
          </w:tcPr>
          <w:p>
            <w:pPr>
              <w:ind w:left="300"/>
              <w:spacing w:after="0"/>
              <w:rPr>
                <w:sz w:val="20"/>
                <w:szCs w:val="20"/>
                <w:color w:val="auto"/>
              </w:rPr>
            </w:pPr>
            <w:r>
              <w:rPr>
                <w:rFonts w:ascii="Arial" w:cs="Arial" w:eastAsia="Arial" w:hAnsi="Arial"/>
                <w:sz w:val="12"/>
                <w:szCs w:val="12"/>
                <w:color w:val="auto"/>
                <w:w w:val="91"/>
              </w:rPr>
              <w:t>During the fiscal years ended March 31, 2014 and 2013, there were no significant changes to the valuation models used for purposes of determining the fair value of the Level 3 warrant liability.</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400" w:type="dxa"/>
            <w:vAlign w:val="bottom"/>
            <w:gridSpan w:val="3"/>
          </w:tcPr>
          <w:p>
            <w:pPr>
              <w:ind w:left="300"/>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2012</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0" w:type="dxa"/>
            <w:vAlign w:val="bottom"/>
            <w:gridSpan w:val="5"/>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0" w:type="dxa"/>
            <w:vAlign w:val="bottom"/>
            <w:gridSpan w:val="5"/>
            <w:shd w:val="clear" w:color="auto" w:fill="CCEEFF"/>
          </w:tcPr>
          <w:p>
            <w:pPr>
              <w:spacing w:after="0"/>
              <w:rPr>
                <w:sz w:val="20"/>
                <w:szCs w:val="20"/>
                <w:color w:val="auto"/>
              </w:rPr>
            </w:pPr>
            <w:r>
              <w:rPr>
                <w:rFonts w:ascii="Arial" w:cs="Arial" w:eastAsia="Arial" w:hAnsi="Arial"/>
                <w:sz w:val="12"/>
                <w:szCs w:val="12"/>
                <w:color w:val="auto"/>
                <w:w w:val="90"/>
              </w:rPr>
              <w:t>Recognition of warrant liability upon issuance of Exchange and Investment Warrants to Platinum under October 2012 Agreement</w:t>
            </w: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20" w:type="dxa"/>
            <w:vAlign w:val="bottom"/>
            <w:gridSpan w:val="8"/>
          </w:tcPr>
          <w:p>
            <w:pPr>
              <w:spacing w:after="0"/>
              <w:rPr>
                <w:sz w:val="20"/>
                <w:szCs w:val="20"/>
                <w:color w:val="auto"/>
              </w:rPr>
            </w:pPr>
            <w:r>
              <w:rPr>
                <w:rFonts w:ascii="Arial" w:cs="Arial" w:eastAsia="Arial" w:hAnsi="Arial"/>
                <w:sz w:val="12"/>
                <w:szCs w:val="12"/>
                <w:color w:val="auto"/>
              </w:rPr>
              <w:t>Recognition of warrant liability in connection with Series A Exchange Warrant potentially issuable to Platinum under October 2012 Agreement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1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2013</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560" w:type="dxa"/>
            <w:vAlign w:val="bottom"/>
            <w:gridSpan w:val="6"/>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2"/>
                <w:szCs w:val="12"/>
                <w:color w:val="auto"/>
                <w:w w:val="91"/>
              </w:rPr>
              <w:t>Recognition of warrant liability upon issuance of Senior Secured Convertible Promissory Note and warrant to Platinum on July 26, 2013</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Mark to market gain included in net loss</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(3,566,900)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Balance at March 31, 2014</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3"/>
            <w:vMerge w:val="restart"/>
          </w:tcPr>
          <w:p>
            <w:pPr>
              <w:ind w:left="300"/>
              <w:spacing w:after="0"/>
              <w:rPr>
                <w:sz w:val="20"/>
                <w:szCs w:val="20"/>
                <w:color w:val="auto"/>
              </w:rPr>
            </w:pPr>
            <w:r>
              <w:rPr>
                <w:rFonts w:ascii="Arial" w:cs="Arial" w:eastAsia="Arial" w:hAnsi="Arial"/>
                <w:sz w:val="12"/>
                <w:szCs w:val="12"/>
                <w:color w:val="auto"/>
                <w:w w:val="91"/>
              </w:rPr>
              <w:t>No assets or other liabilities were measured on a recurring basis at fair value at March 31, 2014 or 2013.</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0" w:type="dxa"/>
            <w:vAlign w:val="bottom"/>
            <w:gridSpan w:val="3"/>
            <w:vMerge w:val="continue"/>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F-17</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6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5. Prepaid Expenses and Other Current Assets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Prepaid expenses and other current assets consist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color w:val="auto"/>
              </w:rPr>
              <w:t>March 31,</w:t>
            </w: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2013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Insurance</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21,800</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19,700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Legal fees</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Interest receivable on note receivable from sale of common stock</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Technology license fees and all other</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4"/>
                <w:szCs w:val="14"/>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33,700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6. Property and Equipment</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Property and equipment consists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color w:val="auto"/>
              </w:rPr>
              <w:t>March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89"/>
              </w:rPr>
              <w:t>2013</w:t>
            </w: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653,600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649,500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Tenant improvements</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27,000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Computers and network equipment</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Office furniture and equipment</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69,600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69,600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782,300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732,000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(606,000</w:t>
            </w:r>
          </w:p>
        </w:tc>
        <w:tc>
          <w:tcPr>
            <w:tcW w:w="840" w:type="dxa"/>
            <w:vAlign w:val="bottom"/>
            <w:gridSpan w:val="2"/>
            <w:shd w:val="clear" w:color="auto" w:fill="CCEEFF"/>
          </w:tcPr>
          <w:p>
            <w:pPr>
              <w:jc w:val="right"/>
              <w:ind w:right="42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(551,300</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176,300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180,700</w:t>
            </w:r>
          </w:p>
        </w:tc>
        <w:tc>
          <w:tcPr>
            <w:tcW w:w="3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connection with the issuance of Senior Secured Convertible Promissory Notes to Platinum in July and August 2012, and under the October 2012 Agreement with Platinum, the Company entered into a Security Agreement with Platinum under which the repayment of all amounts due under the terms of the various Senior Secured Convertible Promissory Notes is secured by the Company’s assets, including its tangible and intangible personal property, licenses, patent licenses, trademarks and trademark licenses (see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AV-101 Acquisition</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November 2003, pursuant to an Agreement and Plan of Merger (the “</w:t>
      </w:r>
      <w:r>
        <w:rPr>
          <w:rFonts w:ascii="Arial" w:cs="Arial" w:eastAsia="Arial" w:hAnsi="Arial"/>
          <w:sz w:val="12"/>
          <w:szCs w:val="12"/>
          <w:i w:val="1"/>
          <w:iCs w:val="1"/>
          <w:color w:val="auto"/>
        </w:rPr>
        <w:t>Artemis Agreement</w:t>
      </w:r>
      <w:r>
        <w:rPr>
          <w:rFonts w:ascii="Arial" w:cs="Arial" w:eastAsia="Arial" w:hAnsi="Arial"/>
          <w:sz w:val="12"/>
          <w:szCs w:val="12"/>
          <w:color w:val="auto"/>
        </w:rPr>
        <w:t>”), the Company acquired Artemis Neurosciences (“</w:t>
      </w:r>
      <w:r>
        <w:rPr>
          <w:rFonts w:ascii="Arial" w:cs="Arial" w:eastAsia="Arial" w:hAnsi="Arial"/>
          <w:sz w:val="12"/>
          <w:szCs w:val="12"/>
          <w:i w:val="1"/>
          <w:iCs w:val="1"/>
          <w:color w:val="auto"/>
        </w:rPr>
        <w:t>Artemis</w:t>
      </w:r>
      <w:r>
        <w:rPr>
          <w:rFonts w:ascii="Arial" w:cs="Arial" w:eastAsia="Arial" w:hAnsi="Arial"/>
          <w:sz w:val="12"/>
          <w:szCs w:val="12"/>
          <w:color w:val="auto"/>
        </w:rPr>
        <w:t>”), a privately-held company also in the development stage, for the purpose of acquiring exclusive licenses to patents and other intellectual property related to the use and function of AV-101, a prodrug candidate then in nonclinical development, with the potential to treat neuropathic pain, depression, and other neurological diseases and disorders, epilepsy, Huntington’s disease and Parkinson’s disease. Pursuant to the Artemis Agreement, all shares of Artemis common stock were converted into shares of VistaGen California’s Series B-1 Preferred Stock, resulting in VistaGen California’s pre-merger issuance of 1,356,750 shares of its Series B-1 Preferred Stock, valued, pre-merger, at $5.545 per share, resulting in the pre-merger purchase price of all outstanding shares of Artemis of $7,523,200. The total purchase price was allocated to AV-101 acquired in-process research and development and was expensed concurrent with the Artemis acquisition, since AV-101 required further research and development before the Company could commence clinical trials and did not have any proven alternative future uses.</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To date, the Company has received an aggregate of $8.8 million from the NIH for non-clinical and clinical development of AV-101. The Company successfully completed a Phase 1a clinical trial of AV-101 during the fiscal year ended March 31, 2012 and successfully completed a Phase 1b clinical trial of AV-101 in the fiscal year ended March 31, 2013.</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92" w:name="page93"/>
    <w:bookmarkEnd w:id="92"/>
    <w:tbl>
      <w:tblPr>
        <w:tblLayout w:type="fixed"/>
        <w:tblInd w:w="8"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60" w:type="dxa"/>
            <w:vAlign w:val="bottom"/>
            <w:gridSpan w:val="3"/>
          </w:tcPr>
          <w:p>
            <w:pPr>
              <w:spacing w:after="0"/>
              <w:rPr>
                <w:sz w:val="20"/>
                <w:szCs w:val="20"/>
                <w:color w:val="auto"/>
              </w:rPr>
            </w:pPr>
            <w:r>
              <w:rPr>
                <w:rFonts w:ascii="Arial" w:cs="Arial" w:eastAsia="Arial" w:hAnsi="Arial"/>
                <w:sz w:val="12"/>
                <w:szCs w:val="12"/>
                <w:b w:val="1"/>
                <w:bCs w:val="1"/>
                <w:color w:val="auto"/>
              </w:rPr>
              <w:t>8. Accrued Expenses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Accrued expenses consist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professional services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135,700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Accrued compensation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489,900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219,300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royalties and license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625,600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4"/>
              </w:rPr>
              <w:t>9. Convertible Promissory Notes and Other Notes Payable</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1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80" w:type="dxa"/>
            <w:vAlign w:val="bottom"/>
            <w:gridSpan w:val="10"/>
          </w:tcPr>
          <w:p>
            <w:pPr>
              <w:ind w:left="560"/>
              <w:spacing w:after="0"/>
              <w:rPr>
                <w:sz w:val="20"/>
                <w:szCs w:val="20"/>
                <w:color w:val="auto"/>
              </w:rPr>
            </w:pPr>
            <w:r>
              <w:rPr>
                <w:rFonts w:ascii="Arial" w:cs="Arial" w:eastAsia="Arial" w:hAnsi="Arial"/>
                <w:sz w:val="12"/>
                <w:szCs w:val="12"/>
                <w:color w:val="auto"/>
                <w:w w:val="91"/>
              </w:rPr>
              <w:t>The following table summarizes the components of the Company’s convertible promissory notes and other notes payable:</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3"/>
              </w:rPr>
              <w:t>March 31, 2014</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2"/>
                <w:szCs w:val="12"/>
                <w:color w:val="auto"/>
                <w:w w:val="90"/>
              </w:rPr>
              <w:t>Accrued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auto"/>
              </w:rPr>
              <w:t>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Interest</w:t>
            </w:r>
          </w:p>
        </w:tc>
        <w:tc>
          <w:tcPr>
            <w:tcW w:w="400" w:type="dxa"/>
            <w:vAlign w:val="bottom"/>
          </w:tcPr>
          <w:p>
            <w:pPr>
              <w:spacing w:after="0"/>
              <w:rPr>
                <w:sz w:val="13"/>
                <w:szCs w:val="13"/>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2"/>
                <w:szCs w:val="12"/>
                <w:color w:val="auto"/>
              </w:rPr>
              <w:t>Balance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8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16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0"/>
              </w:rPr>
              <w:t>Senior Secured 10% Convertible Promissory Notes issued to</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Exchange Note issued on October 11,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1,476,000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1,272,600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61,700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1,334,300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October 11, 2012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79,900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579,900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24,200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524,200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October 19, 2012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578,600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523,000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February 22,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29,400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279,400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252,600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March 12, 2013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3,748,000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Convertible promissory note issued on July 26,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17,700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267,700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Total Senior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Aggregate 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(2,085,900)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(2,085,900)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(1,963,100)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(1,963,100)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Senior notes (non-current)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1,929,800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1,309,500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2013/2014 Unit Notes, due 7/31/14</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1,007,500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1,043,200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2014 Unit Note, due 3/31/15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1,057,500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1,093,400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(697,400)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convertible notes (all 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396,000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7.5% Notes payable to service providers for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accounts payable converted to notes payable: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Burr, Pilger, Mayer</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90,400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97,200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90,400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Desjardins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192,700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194,100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McCarthy Tetrault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360,900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24,800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385,700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403,100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404,800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August 2012 Morrison &amp; Foerster Note A</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918,200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87,900</w:t>
            </w: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1,006,100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937,400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937,400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line="144" w:lineRule="exact"/>
              <w:rPr>
                <w:sz w:val="20"/>
                <w:szCs w:val="20"/>
                <w:color w:val="auto"/>
              </w:rPr>
            </w:pPr>
            <w:r>
              <w:rPr>
                <w:rFonts w:ascii="Arial" w:cs="Arial" w:eastAsia="Arial" w:hAnsi="Arial"/>
                <w:sz w:val="12"/>
                <w:szCs w:val="12"/>
                <w:color w:val="auto"/>
              </w:rPr>
              <w:t xml:space="preserve">August 2012 Morrison &amp; Foerster Note B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1,379,400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195,200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1,574,600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1,379,400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60,100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1,439,500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549,500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610,100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549,500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568,900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3,477,000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3,866,400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3,553,900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3,635,900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2,628,900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3,018,300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2,411,300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(1,130,100)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(1,263,700)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(450,300)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1,498,800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1,754,600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1,961,000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2,040,500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80"/>
              <w:spacing w:after="0"/>
              <w:rPr>
                <w:sz w:val="20"/>
                <w:szCs w:val="20"/>
                <w:color w:val="auto"/>
              </w:rPr>
            </w:pPr>
            <w:r>
              <w:rPr>
                <w:rFonts w:ascii="Arial" w:cs="Arial" w:eastAsia="Arial" w:hAnsi="Arial"/>
                <w:sz w:val="12"/>
                <w:szCs w:val="12"/>
                <w:color w:val="auto"/>
              </w:rPr>
              <w:t>5.75% and 10.25% Notes payable to insurance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premium financing company (current)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10% Notes payable to vendors for accounts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payable converted to notes payable</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34,700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154,100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128,800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23,300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(119,400)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(34,700)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(128,800)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 payable (August 2012)</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62,600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59,400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59,400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Notes payable - 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43,000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43,000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51,300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60"/>
              <w:spacing w:after="0"/>
              <w:rPr>
                <w:sz w:val="20"/>
                <w:szCs w:val="20"/>
                <w:color w:val="auto"/>
              </w:rPr>
            </w:pPr>
            <w:r>
              <w:rPr>
                <w:rFonts w:ascii="Arial" w:cs="Arial" w:eastAsia="Arial" w:hAnsi="Arial"/>
                <w:sz w:val="12"/>
                <w:szCs w:val="12"/>
                <w:color w:val="auto"/>
              </w:rPr>
              <w:t>Total notes payable to unrelated parties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427,900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4,088,000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3,746,300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105,300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3,851,600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(1,270,200)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(172,100)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(1,442,300)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(591,400)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(25,800)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2,389,900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2,645,700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3,154,900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3,234,400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1,541,800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1,797,600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2,012,300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October 2012 7.5% Note to Cato Holding Co.</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293,600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30,800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324,400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293,600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7,400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line="144" w:lineRule="exact"/>
              <w:rPr>
                <w:sz w:val="20"/>
                <w:szCs w:val="20"/>
                <w:color w:val="auto"/>
              </w:rPr>
            </w:pPr>
            <w:r>
              <w:rPr>
                <w:rFonts w:ascii="Arial" w:cs="Arial" w:eastAsia="Arial" w:hAnsi="Arial"/>
                <w:sz w:val="12"/>
                <w:szCs w:val="12"/>
                <w:color w:val="auto"/>
              </w:rPr>
              <w:t xml:space="preserve">October 2012 7.5% Note to Cato Research Ltd.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1,009,000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1,302,600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1,450,700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1,346,200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(103,200)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(147,200)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Total notes payable to 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1,347,500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1,155,400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1,199,000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(259,600)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2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939,800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1,057,100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1,069,800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Arial" w:cs="Arial" w:eastAsia="Arial" w:hAnsi="Arial"/>
                <w:sz w:val="12"/>
                <w:szCs w:val="12"/>
                <w:color w:val="auto"/>
                <w:w w:val="92"/>
              </w:rPr>
              <w:t>____________</w:t>
            </w: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6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38"/>
        </w:numPr>
        <w:rPr>
          <w:rFonts w:ascii="Arial" w:cs="Arial" w:eastAsia="Arial" w:hAnsi="Arial"/>
          <w:sz w:val="15"/>
          <w:szCs w:val="15"/>
          <w:color w:val="auto"/>
          <w:vertAlign w:val="superscript"/>
        </w:rPr>
      </w:pPr>
      <w:r>
        <w:rPr>
          <w:rFonts w:ascii="Arial" w:cs="Arial" w:eastAsia="Arial" w:hAnsi="Arial"/>
          <w:sz w:val="11"/>
          <w:szCs w:val="11"/>
          <w:color w:val="auto"/>
        </w:rPr>
        <w:t>Note and interest payable solely in restricted shares of the Company's common stock.</w:t>
      </w:r>
    </w:p>
    <w:p>
      <w:pPr>
        <w:sectPr>
          <w:pgSz w:w="11900" w:h="16838" w:orient="portrait"/>
          <w:cols w:equalWidth="0" w:num="1">
            <w:col w:w="11488"/>
          </w:cols>
          <w:pgMar w:left="212" w:top="121" w:right="199" w:bottom="1440" w:gutter="0" w:footer="0" w:header="0"/>
        </w:sectPr>
      </w:pPr>
    </w:p>
    <w:p>
      <w:pPr>
        <w:spacing w:after="0" w:line="253"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type w:val="continuous"/>
        </w:sectPr>
      </w:pPr>
    </w:p>
    <w:bookmarkStart w:id="93" w:name="page94"/>
    <w:bookmarkEnd w:id="9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On July 2, 2012 and on August 31, 2012, the Company issued to Platinum senior secured convertible promissory notes in the principal amount of $500,000 (the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(the "</w:t>
      </w:r>
      <w:r>
        <w:rPr>
          <w:rFonts w:ascii="Arial" w:cs="Arial" w:eastAsia="Arial" w:hAnsi="Arial"/>
          <w:sz w:val="12"/>
          <w:szCs w:val="12"/>
          <w:i w:val="1"/>
          <w:iCs w:val="1"/>
          <w:color w:val="auto"/>
        </w:rPr>
        <w:t>August 2012</w:t>
      </w:r>
      <w:r>
        <w:rPr>
          <w:rFonts w:ascii="Arial" w:cs="Arial" w:eastAsia="Arial" w:hAnsi="Arial"/>
          <w:sz w:val="12"/>
          <w:szCs w:val="12"/>
          <w:color w:val="auto"/>
        </w:rPr>
        <w:t xml:space="preserve"> </w:t>
      </w:r>
      <w:r>
        <w:rPr>
          <w:rFonts w:ascii="Arial" w:cs="Arial" w:eastAsia="Arial" w:hAnsi="Arial"/>
          <w:sz w:val="12"/>
          <w:szCs w:val="12"/>
          <w:i w:val="1"/>
          <w:iCs w:val="1"/>
          <w:color w:val="auto"/>
        </w:rPr>
        <w:t>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 The July 2012 Platinum Note and the August</w:t>
      </w:r>
      <w:r>
        <w:rPr>
          <w:rFonts w:ascii="Arial" w:cs="Arial" w:eastAsia="Arial" w:hAnsi="Arial"/>
          <w:sz w:val="12"/>
          <w:szCs w:val="12"/>
          <w:i w:val="1"/>
          <w:iCs w:val="1"/>
          <w:color w:val="auto"/>
        </w:rPr>
        <w:t xml:space="preserve"> </w:t>
      </w:r>
      <w:r>
        <w:rPr>
          <w:rFonts w:ascii="Arial" w:cs="Arial" w:eastAsia="Arial" w:hAnsi="Arial"/>
          <w:sz w:val="12"/>
          <w:szCs w:val="12"/>
          <w:color w:val="auto"/>
        </w:rPr>
        <w:t>2012 Platinum Note were each mandatorily convertible into securities that the Company might have issued in an equity, equity-based, or debt financing, or series of financings, subsequent to the issuance of the note resulting in gross proceeds to the Company of at least $3,000,000, excluding any additional investment by Platinum.</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October 11, 2012, the Company and Platinum entered into a Note Exchange and Purchase Agreement (the “</w:t>
      </w:r>
      <w:r>
        <w:rPr>
          <w:rFonts w:ascii="Arial" w:cs="Arial" w:eastAsia="Arial" w:hAnsi="Arial"/>
          <w:sz w:val="11"/>
          <w:szCs w:val="11"/>
          <w:i w:val="1"/>
          <w:iCs w:val="1"/>
          <w:color w:val="auto"/>
        </w:rPr>
        <w:t>October 2012 Agreement</w:t>
      </w:r>
      <w:r>
        <w:rPr>
          <w:rFonts w:ascii="Arial" w:cs="Arial" w:eastAsia="Arial" w:hAnsi="Arial"/>
          <w:sz w:val="11"/>
          <w:szCs w:val="11"/>
          <w:color w:val="auto"/>
        </w:rPr>
        <w:t>”) in which the July 2012 Platinum Note and the August 2012 Platinum Note (together, the “</w:t>
      </w:r>
      <w:r>
        <w:rPr>
          <w:rFonts w:ascii="Arial" w:cs="Arial" w:eastAsia="Arial" w:hAnsi="Arial"/>
          <w:sz w:val="11"/>
          <w:szCs w:val="11"/>
          <w:i w:val="1"/>
          <w:iCs w:val="1"/>
          <w:color w:val="auto"/>
        </w:rPr>
        <w:t>Existing Notes</w:t>
      </w:r>
      <w:r>
        <w:rPr>
          <w:rFonts w:ascii="Arial" w:cs="Arial" w:eastAsia="Arial" w:hAnsi="Arial"/>
          <w:sz w:val="11"/>
          <w:szCs w:val="11"/>
          <w:color w:val="auto"/>
        </w:rPr>
        <w:t>”), as well as the related accrued interest, were consolidated into and exchanged for a single senior secured convertible note in the amount of $1,272,577 (the “</w:t>
      </w:r>
      <w:r>
        <w:rPr>
          <w:rFonts w:ascii="Arial" w:cs="Arial" w:eastAsia="Arial" w:hAnsi="Arial"/>
          <w:sz w:val="11"/>
          <w:szCs w:val="11"/>
          <w:i w:val="1"/>
          <w:iCs w:val="1"/>
          <w:color w:val="auto"/>
        </w:rPr>
        <w:t>Exchange Note</w:t>
      </w:r>
      <w:r>
        <w:rPr>
          <w:rFonts w:ascii="Arial" w:cs="Arial" w:eastAsia="Arial" w:hAnsi="Arial"/>
          <w:sz w:val="11"/>
          <w:szCs w:val="11"/>
          <w:color w:val="auto"/>
        </w:rPr>
        <w:t>”) and Platinum agreed to purchase four additional 10% senior secured convertible promissory notes in the aggregate principal amount of $2.0 million (the “</w:t>
      </w:r>
      <w:r>
        <w:rPr>
          <w:rFonts w:ascii="Arial" w:cs="Arial" w:eastAsia="Arial" w:hAnsi="Arial"/>
          <w:sz w:val="11"/>
          <w:szCs w:val="11"/>
          <w:i w:val="1"/>
          <w:iCs w:val="1"/>
          <w:color w:val="auto"/>
        </w:rPr>
        <w:t>Investment Notes</w:t>
      </w:r>
      <w:r>
        <w:rPr>
          <w:rFonts w:ascii="Arial" w:cs="Arial" w:eastAsia="Arial" w:hAnsi="Arial"/>
          <w:sz w:val="11"/>
          <w:szCs w:val="11"/>
          <w:color w:val="auto"/>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spacing w:after="0" w:line="12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November 14, 2012 and January 31, 2013, the Company and Platinum entered into amendments to the October 2012 Agreement (the “</w:t>
      </w:r>
      <w:r>
        <w:rPr>
          <w:rFonts w:ascii="Arial" w:cs="Arial" w:eastAsia="Arial" w:hAnsi="Arial"/>
          <w:sz w:val="11"/>
          <w:szCs w:val="11"/>
          <w:i w:val="1"/>
          <w:iCs w:val="1"/>
          <w:color w:val="auto"/>
        </w:rPr>
        <w:t>NEPA Amendments</w:t>
      </w:r>
      <w:r>
        <w:rPr>
          <w:rFonts w:ascii="Arial" w:cs="Arial" w:eastAsia="Arial" w:hAnsi="Arial"/>
          <w:sz w:val="11"/>
          <w:szCs w:val="11"/>
          <w:color w:val="auto"/>
        </w:rPr>
        <w:t xml:space="preserve">”), pursuant to which the final two $500,000 tranches contemplated by the October 2012 Agreement were combined into a single Investment Note in the aggregate principal amount of $1.0 million (the </w:t>
      </w:r>
      <w:r>
        <w:rPr>
          <w:rFonts w:ascii="Arial" w:cs="Arial" w:eastAsia="Arial" w:hAnsi="Arial"/>
          <w:sz w:val="11"/>
          <w:szCs w:val="11"/>
          <w:i w:val="1"/>
          <w:iCs w:val="1"/>
          <w:color w:val="auto"/>
        </w:rPr>
        <w:t>“$1.0 Million Note</w:t>
      </w:r>
      <w:r>
        <w:rPr>
          <w:rFonts w:ascii="Arial" w:cs="Arial" w:eastAsia="Arial" w:hAnsi="Arial"/>
          <w:sz w:val="11"/>
          <w:szCs w:val="11"/>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Arial" w:cs="Arial" w:eastAsia="Arial" w:hAnsi="Arial"/>
          <w:sz w:val="11"/>
          <w:szCs w:val="11"/>
          <w:i w:val="1"/>
          <w:iCs w:val="1"/>
          <w:color w:val="auto"/>
        </w:rPr>
        <w:t>Additional Financing Requirement</w:t>
      </w:r>
      <w:r>
        <w:rPr>
          <w:rFonts w:ascii="Arial" w:cs="Arial" w:eastAsia="Arial" w:hAnsi="Arial"/>
          <w:sz w:val="11"/>
          <w:szCs w:val="11"/>
          <w:color w:val="auto"/>
        </w:rPr>
        <w:t xml:space="preserve">”). The Company satisfied the Additional Financing Requirement on February 12, 2013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13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Subject to certain terms and conditions, at maturity, all principal and accrued interest under the Notes will be paid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13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additional consideration for the purchase of the Investment Notes, the Company issued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In addition, the Company issued Platinum a warrant to purchase 1,272,577 shares of the Company’s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xml:space="preserve">”). At issuance, the Platinum Exchange Warrant and each Investment Warrant had a term of five years and an exercise price of $1.50 per share, subject to certain adjustments. Effective on May 24, 2013, the Company and Platinum entered into an Amendment and Waiver pursuant to which the Company agreed to reduce the exercise price of the Exchange Warrant and the Investment Warrants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Company securities, including issuances pursuant to the Autilion Financing and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at a price of less than $1.50 per share.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4" w:name="page95"/>
    <w:bookmarkEnd w:id="9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On July 26, 2013, the Company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The July 2013 Note matures on July 26, 2016 and accrues interest at a rate of 10% per annum. Subject to certain terms and conditions, at maturity, all principal and accrued interest under the July 2013 Note will be paid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Exchange Note and the Investment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49"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spacing w:after="0" w:line="149"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2"/>
          <w:szCs w:val="12"/>
          <w:color w:val="auto"/>
        </w:rPr>
        <w:t xml:space="preserve">Subject to limited exceptions, which include issuances of common stock pursuant to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or $0.50 per share in the case of the July 2013 Warrant, exercise price. As a result of these provisions, the Exchange Warrant, the Investment Warrants and the July 2013 Warrant do not meet the criteria set forth in ASC 815, </w:t>
      </w:r>
      <w:r>
        <w:rPr>
          <w:rFonts w:ascii="Arial" w:cs="Arial" w:eastAsia="Arial" w:hAnsi="Arial"/>
          <w:sz w:val="12"/>
          <w:szCs w:val="12"/>
          <w:i w:val="1"/>
          <w:iCs w:val="1"/>
          <w:color w:val="auto"/>
        </w:rPr>
        <w:t>Derivatives</w:t>
      </w:r>
      <w:r>
        <w:rPr>
          <w:rFonts w:ascii="Arial" w:cs="Arial" w:eastAsia="Arial" w:hAnsi="Arial"/>
          <w:sz w:val="12"/>
          <w:szCs w:val="12"/>
          <w:color w:val="auto"/>
        </w:rPr>
        <w:t xml:space="preserve"> </w:t>
      </w:r>
      <w:r>
        <w:rPr>
          <w:rFonts w:ascii="Arial" w:cs="Arial" w:eastAsia="Arial" w:hAnsi="Arial"/>
          <w:sz w:val="12"/>
          <w:szCs w:val="12"/>
          <w:i w:val="1"/>
          <w:iCs w:val="1"/>
          <w:color w:val="auto"/>
        </w:rPr>
        <w:t>and Hedging</w:t>
      </w:r>
      <w:r>
        <w:rPr>
          <w:rFonts w:ascii="Arial" w:cs="Arial" w:eastAsia="Arial" w:hAnsi="Arial"/>
          <w:sz w:val="12"/>
          <w:szCs w:val="12"/>
          <w:color w:val="auto"/>
        </w:rPr>
        <w:t>, to be treated as equity instruments. Consequently, the Company recorded the Exchange Warrant, each of the Investment Warrants and the July 2013 Warrant as liabilities at their fair value, which was estimated at the issuance</w:t>
      </w:r>
      <w:r>
        <w:rPr>
          <w:rFonts w:ascii="Arial" w:cs="Arial" w:eastAsia="Arial" w:hAnsi="Arial"/>
          <w:sz w:val="12"/>
          <w:szCs w:val="12"/>
          <w:i w:val="1"/>
          <w:iCs w:val="1"/>
          <w:color w:val="auto"/>
        </w:rPr>
        <w:t xml:space="preserve"> </w:t>
      </w:r>
      <w:r>
        <w:rPr>
          <w:rFonts w:ascii="Arial" w:cs="Arial" w:eastAsia="Arial" w:hAnsi="Arial"/>
          <w:sz w:val="12"/>
          <w:szCs w:val="12"/>
          <w:color w:val="auto"/>
        </w:rPr>
        <w:t>date using a Monte Carlo simulation model and the following assumptions: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2"/>
                <w:szCs w:val="12"/>
                <w:color w:val="auto"/>
              </w:rPr>
              <w:t>Exchange</w:t>
            </w:r>
          </w:p>
        </w:tc>
        <w:tc>
          <w:tcPr>
            <w:tcW w:w="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color w:val="auto"/>
                <w:w w:val="93"/>
              </w:rPr>
              <w:t>Investment Warrants Issued on:</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2"/>
                <w:szCs w:val="12"/>
                <w:color w:val="auto"/>
                <w:w w:val="84"/>
              </w:rPr>
              <w:t>Warrant</w:t>
            </w:r>
          </w:p>
        </w:tc>
        <w:tc>
          <w:tcPr>
            <w:tcW w:w="8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10/11/2012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10/19/2012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ind w:left="1200"/>
              <w:spacing w:after="0"/>
              <w:rPr>
                <w:sz w:val="20"/>
                <w:szCs w:val="20"/>
                <w:color w:val="auto"/>
              </w:rPr>
            </w:pPr>
            <w:r>
              <w:rPr>
                <w:rFonts w:ascii="Arial" w:cs="Arial" w:eastAsia="Arial" w:hAnsi="Arial"/>
                <w:sz w:val="12"/>
                <w:szCs w:val="12"/>
                <w:color w:val="auto"/>
                <w:w w:val="89"/>
              </w:rPr>
              <w:t>3/12/2013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price of</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common</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5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Exercise</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price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Risk-free</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interest</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rate</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0.84</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Volatility</w:t>
            </w:r>
          </w:p>
        </w:tc>
        <w:tc>
          <w:tcPr>
            <w:tcW w:w="5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Term</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(years)</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Dividend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rate</w:t>
            </w:r>
          </w:p>
        </w:tc>
        <w:tc>
          <w:tcPr>
            <w:tcW w:w="5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per</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share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0.39</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Number</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of shares</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1,272,577</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500,000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500,000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250,000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6"/>
              </w:rPr>
              <w:t>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at</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date of</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issuance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672,000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264,000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264,000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97,000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393,0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2"/>
                <w:szCs w:val="12"/>
                <w:color w:val="auto"/>
              </w:rPr>
              <w:t>F-21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95" w:name="page96"/>
    <w:bookmarkEnd w:id="9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83" w:lineRule="auto"/>
        <w:rPr>
          <w:sz w:val="20"/>
          <w:szCs w:val="20"/>
          <w:color w:val="auto"/>
        </w:rPr>
      </w:pPr>
      <w:r>
        <w:rPr>
          <w:rFonts w:ascii="Arial" w:cs="Arial" w:eastAsia="Arial" w:hAnsi="Arial"/>
          <w:sz w:val="11"/>
          <w:szCs w:val="11"/>
          <w:color w:val="auto"/>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and the July 2013 Warrant at the date of issuance was recorded as a liability and as a corresponding discount to the related Investment Note or the July 2013 Note. Subject to limitations of the absolute amount of discount attributable to each Investment Note and the July 2013 Note, the Company treated the issuance-date intrinsic value of the beneficial conversion feature embedded in each Investment Note and the July 2013 Note as an additional component of the discount attributable to each note and recorded a discount attributable to the beneficial conversion feature for each note. The Company amortizes the aggregate discount attributable to each of the Investment Notes and the July 2013 Note using the interest method over the respective term of each note. The table below summarizes the components of the discount and the effective interest rate at inception for the Exchange Note, each of the Investment Notes and the July 2013 Note.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color w:val="auto"/>
                <w:w w:val="95"/>
              </w:rPr>
              <w:t>Inception Date Carrying Value of</w:t>
            </w: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2"/>
                <w:szCs w:val="12"/>
                <w:color w:val="auto"/>
              </w:rPr>
              <w:t>Exchange</w:t>
            </w:r>
          </w:p>
        </w:tc>
        <w:tc>
          <w:tcPr>
            <w:tcW w:w="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color w:val="auto"/>
                <w:w w:val="99"/>
              </w:rPr>
              <w:t>Investment Notes Issued on:</w:t>
            </w: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right"/>
              <w:ind w:right="820"/>
              <w:spacing w:after="0"/>
              <w:rPr>
                <w:sz w:val="20"/>
                <w:szCs w:val="20"/>
                <w:color w:val="auto"/>
              </w:rPr>
            </w:pPr>
            <w:r>
              <w:rPr>
                <w:rFonts w:ascii="Arial" w:cs="Arial" w:eastAsia="Arial" w:hAnsi="Arial"/>
                <w:sz w:val="12"/>
                <w:szCs w:val="12"/>
                <w:color w:val="auto"/>
              </w:rPr>
              <w:t>Note</w:t>
            </w:r>
          </w:p>
        </w:tc>
        <w:tc>
          <w:tcPr>
            <w:tcW w:w="78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10/11/2012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10/19/2012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ind w:left="440"/>
              <w:spacing w:after="0"/>
              <w:rPr>
                <w:sz w:val="20"/>
                <w:szCs w:val="20"/>
                <w:color w:val="auto"/>
              </w:rPr>
            </w:pPr>
            <w:r>
              <w:rPr>
                <w:rFonts w:ascii="Arial" w:cs="Arial" w:eastAsia="Arial" w:hAnsi="Arial"/>
                <w:sz w:val="12"/>
                <w:szCs w:val="12"/>
                <w:color w:val="auto"/>
                <w:w w:val="93"/>
              </w:rPr>
              <w:t>3/12/2013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Face value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w:t>
            </w: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250,000</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Discount</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attributable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to:</w:t>
            </w: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Fair value</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of warrant</w:t>
            </w:r>
          </w:p>
        </w:tc>
        <w:tc>
          <w:tcPr>
            <w:tcW w:w="5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(264,000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8"/>
              </w:rPr>
              <w:t>(97,000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ind w:left="60"/>
              <w:spacing w:after="0" w:line="136" w:lineRule="exact"/>
              <w:rPr>
                <w:sz w:val="20"/>
                <w:szCs w:val="20"/>
                <w:color w:val="auto"/>
              </w:rPr>
            </w:pPr>
            <w:r>
              <w:rPr>
                <w:rFonts w:ascii="Arial" w:cs="Arial" w:eastAsia="Arial" w:hAnsi="Arial"/>
                <w:sz w:val="12"/>
                <w:szCs w:val="12"/>
                <w:color w:val="auto"/>
              </w:rPr>
              <w:t>Beneficial</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conversion</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feature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(231,000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(231,000</w:t>
            </w:r>
          </w:p>
        </w:tc>
        <w:tc>
          <w:tcPr>
            <w:tcW w:w="220" w:type="dxa"/>
            <w:vAlign w:val="bottom"/>
          </w:tcPr>
          <w:p>
            <w:pPr>
              <w:spacing w:after="0"/>
              <w:rPr>
                <w:sz w:val="13"/>
                <w:szCs w:val="13"/>
                <w:color w:val="auto"/>
              </w:rPr>
            </w:pP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84"/>
              </w:rPr>
              <w:t>(147,000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Inception</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date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carrying</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value</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5,000</w:t>
            </w:r>
          </w:p>
        </w:tc>
        <w:tc>
          <w:tcPr>
            <w:tcW w:w="80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6,000</w:t>
            </w:r>
          </w:p>
        </w:tc>
        <w:tc>
          <w:tcPr>
            <w:tcW w:w="800" w:type="dxa"/>
            <w:vAlign w:val="bottom"/>
          </w:tcPr>
          <w:p>
            <w:pPr>
              <w:spacing w:after="0"/>
              <w:rPr>
                <w:sz w:val="13"/>
                <w:szCs w:val="13"/>
                <w:color w:val="auto"/>
              </w:rPr>
            </w:pPr>
          </w:p>
        </w:tc>
        <w:tc>
          <w:tcPr>
            <w:tcW w:w="960" w:type="dxa"/>
            <w:vAlign w:val="bottom"/>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Effective</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Interest</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Rate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78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127.27</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The fair value of the Exchange Warrant, the Investment Warrants and the July 2013 Warrant was re-measured as of March 31, 2014 and 2013 at an aggregate of $915,300 and $1,988,000; respectively. The aggregate decrease in fair value since March 31, 2013, or inception in the case of the July 2013 Warrant, of $1,219,500 and the aggregate increase in fair value of $298,000 from inception through March 31, 2013 is reflected in the Change in Warrant Liability in the accompanying Consolidated Statement of Operations and Comprehensive Income for the years ended March 31, 2014 and 2013.</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2013/2014 Unit Private Placement</w:t>
      </w:r>
    </w:p>
    <w:p>
      <w:pPr>
        <w:spacing w:after="0" w:line="17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 xml:space="preserve">As described more completely in the section entitled 2013/2014 Unit Private Placement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between August 2013 and March 2014, the Company issued to accredited investors 10% convertible promissory notes (the “</w:t>
      </w:r>
      <w:r>
        <w:rPr>
          <w:rFonts w:ascii="Arial" w:cs="Arial" w:eastAsia="Arial" w:hAnsi="Arial"/>
          <w:sz w:val="12"/>
          <w:szCs w:val="12"/>
          <w:i w:val="1"/>
          <w:iCs w:val="1"/>
          <w:color w:val="auto"/>
        </w:rPr>
        <w:t>2013/2014Unit Notes</w:t>
      </w:r>
      <w:r>
        <w:rPr>
          <w:rFonts w:ascii="Arial" w:cs="Arial" w:eastAsia="Arial" w:hAnsi="Arial"/>
          <w:sz w:val="12"/>
          <w:szCs w:val="12"/>
          <w:color w:val="auto"/>
        </w:rPr>
        <w:t>”) in an aggregate face amount of $1,007,500 in connection with its private placement of Units. The 2013/2014 Unit Notes mature on July 30, 2014 and each 2013 Unit Note and its related accrued interest is convertible into shares of the Company’s common stock at a fixed conversion price of $0.50 per share at or prior to maturity, at the option of the accredited investor. The Company has the right to prepay the 2013 Unit Notes and accrued interest in cash prior to maturity without penalty.</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96" w:name="page97"/>
    <w:bookmarkEnd w:id="9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allocated the proceeds from the sale of the units to the 2013/2014 Unit Notes, the common stock and the warrants comprising the Units based on the relative fair value of the individual securities in each Unit on the dates of the Unit sales. Based on the short-duration of the 2013/2014 Unit Notes and their other terms, the Company determined that the fair value of the 2013/2014 Unit Notes at the date of issuance was equal to their face value. Accordingly, the Company recorded an initial discount attributable to each 2013/2014 Unit Note for an amount representing the difference between the face value of the 2013/2014 Unit Note and its relative value. Additionally, the 2013/2014 Unit Notes contain an embedded conversion feature, certain of which had an intrinsic value at the issuance date, which value the Company treated as an additional discount attributable to those 2013/2014 Unit Notes, subject to limitations on the absolute amount of discount attributable to each 2013/2014 Unit Note. The Company recorded a corresponding credit to additional paid-in capital, an equity account in the Consolidated Balance Sheet, attributable to the beneficial conversion feature. The Company amortizes the aggregate discount attributable to each of the 2013/2014 Unit Notes using the interest method over the respective term of each Unit Note. Based on their respective discounts, the weighted average effective interest rate attributable to the 2013/2014 Unit Notes is 464.1%.</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 Issued in Connection with 2014 Unit Private Placement</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2014 Unit Private Placement in Note 10,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during March 2014, the Company issued to an accredited investor a 10% convertible note (the “</w:t>
      </w:r>
      <w:r>
        <w:rPr>
          <w:rFonts w:ascii="Arial" w:cs="Arial" w:eastAsia="Arial" w:hAnsi="Arial"/>
          <w:sz w:val="11"/>
          <w:szCs w:val="11"/>
          <w:i w:val="1"/>
          <w:iCs w:val="1"/>
          <w:color w:val="auto"/>
        </w:rPr>
        <w:t>2014Unit Note</w:t>
      </w:r>
      <w:r>
        <w:rPr>
          <w:rFonts w:ascii="Arial" w:cs="Arial" w:eastAsia="Arial" w:hAnsi="Arial"/>
          <w:sz w:val="11"/>
          <w:szCs w:val="11"/>
          <w:color w:val="auto"/>
        </w:rPr>
        <w:t xml:space="preserve">”) in the face amount of $50,000 in connection with its private placement offering of Units.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The 2014 Unit Note matures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and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automatically convert into the securities sold in the Qualified Financing, based on the following formula: (the Outstanding Balance as of the closing of the Qualified Financing) x 1.25 / (the per security price of the securities sold in the Qualified Financing). This automatic conversion feature results in a contingent beneficial conversion feature which will be recorded upon the consummation of a Qualified Financing.</w:t>
      </w:r>
    </w:p>
    <w:p>
      <w:pPr>
        <w:spacing w:after="0" w:line="13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Accordingly, the Company recorded an initial discount attributable to the 2014 Unit Note for an amount representing the difference between the face value of the 2014 Unit Note and its relative value. Additionally, the 2014 Unit Note contains an embedded conversion feature which had an intrinsic value at the issuance date. The Company treated the intrinsic value of the conversion feature as an additional discount to the 2014 Unit Note. The Company recorded a corresponding credit to additional paid-in capital, an equity account in the Consolidated Balance Sheet, attributable to the beneficial conversion feature. The Company amortizes the aggregate discount attributable to the 2014 Unit Note using the interest method over the term of the note. Based on its aggregate discount, the effective interest rate attributable to the 2014 Unit Note is 123.8%.</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Convertible Promissory Notes</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February 28, 2012, the Company completed a private placement of convertible promissory notes to accredited investors in the aggregate principal amount of $500,000 (the "</w:t>
      </w:r>
      <w:r>
        <w:rPr>
          <w:rFonts w:ascii="Arial" w:cs="Arial" w:eastAsia="Arial" w:hAnsi="Arial"/>
          <w:sz w:val="11"/>
          <w:szCs w:val="11"/>
          <w:i w:val="1"/>
          <w:iCs w:val="1"/>
          <w:color w:val="auto"/>
        </w:rPr>
        <w:t>2012 Notes</w:t>
      </w:r>
      <w:r>
        <w:rPr>
          <w:rFonts w:ascii="Arial" w:cs="Arial" w:eastAsia="Arial" w:hAnsi="Arial"/>
          <w:sz w:val="11"/>
          <w:szCs w:val="11"/>
          <w:color w:val="auto"/>
        </w:rPr>
        <w:t>"). Each 2012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Arial" w:cs="Arial" w:eastAsia="Arial" w:hAnsi="Arial"/>
          <w:sz w:val="11"/>
          <w:szCs w:val="11"/>
          <w:i w:val="1"/>
          <w:iCs w:val="1"/>
          <w:color w:val="auto"/>
        </w:rPr>
        <w:t>Qualified Financing Threshold</w:t>
      </w:r>
      <w:r>
        <w:rPr>
          <w:rFonts w:ascii="Arial" w:cs="Arial" w:eastAsia="Arial" w:hAnsi="Arial"/>
          <w:sz w:val="11"/>
          <w:szCs w:val="11"/>
          <w:color w:val="auto"/>
        </w:rPr>
        <w:t>”). The holders of the 2012 Notes had the right to voluntarily convert the outstanding principal amount of the 2012 Notes and all accrued and unpaid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at any time prior to maturity into that number of restricted shares of the Company’s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7" w:name="page98"/>
    <w:bookmarkEnd w:id="9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On November 15, 2012, the holders of the 2012 Notes entered into an Exchange Agreement with the Company (the "</w:t>
      </w:r>
      <w:r>
        <w:rPr>
          <w:rFonts w:ascii="Arial" w:cs="Arial" w:eastAsia="Arial" w:hAnsi="Arial"/>
          <w:sz w:val="12"/>
          <w:szCs w:val="12"/>
          <w:i w:val="1"/>
          <w:iCs w:val="1"/>
          <w:color w:val="auto"/>
        </w:rPr>
        <w:t>Exchange Agreement</w:t>
      </w:r>
      <w:r>
        <w:rPr>
          <w:rFonts w:ascii="Arial" w:cs="Arial" w:eastAsia="Arial" w:hAnsi="Arial"/>
          <w:sz w:val="12"/>
          <w:szCs w:val="12"/>
          <w:color w:val="auto"/>
        </w:rPr>
        <w:t>"). Under the terms of the Exchange Agreement, (i) the current amount due under the terms of the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the Company issued a five-year warrant to purchase 72,000 restricted shares of the Company’s common stock at an exercise price of $1.50 per share as partial compensation to a placement agent that had placed certain of the 2012 Notes. The Company recorded the issuance of the warrants with a charge to interest expense of $28,200 and a corresponding credit to additional paid-in capital.</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Company determined that the exchange of the 2012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2012 Notes, including accrued interest, resulted in the recognition of $1,145,100 as a non-cash loss on early extinguishment of debt in the accompanying Consolidated Statements of Operations and Comprehensive Income for the fiscal year ended March 31, 2013. The warrants issued to the placement agent were valued using the same assumptions as used for the warrants issued to the exchanging note holders.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Note Payable to Morrison &amp; Foerster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May 5, 2011, the Company and Morrison &amp; Foerster LLP (“</w:t>
      </w:r>
      <w:r>
        <w:rPr>
          <w:rFonts w:ascii="Arial" w:cs="Arial" w:eastAsia="Arial" w:hAnsi="Arial"/>
          <w:sz w:val="11"/>
          <w:szCs w:val="11"/>
          <w:i w:val="1"/>
          <w:iCs w:val="1"/>
          <w:color w:val="auto"/>
        </w:rPr>
        <w:t>Morrison &amp; Foerster</w:t>
      </w:r>
      <w:r>
        <w:rPr>
          <w:rFonts w:ascii="Arial" w:cs="Arial" w:eastAsia="Arial" w:hAnsi="Arial"/>
          <w:sz w:val="11"/>
          <w:szCs w:val="11"/>
          <w:color w:val="auto"/>
        </w:rPr>
        <w:t>”), then the Company’s general corporate and intellectual property counsel, amended a previously outstanding note (the “</w:t>
      </w:r>
      <w:r>
        <w:rPr>
          <w:rFonts w:ascii="Arial" w:cs="Arial" w:eastAsia="Arial" w:hAnsi="Arial"/>
          <w:sz w:val="11"/>
          <w:szCs w:val="11"/>
          <w:i w:val="1"/>
          <w:iCs w:val="1"/>
          <w:color w:val="auto"/>
        </w:rPr>
        <w:t>Original Note</w:t>
      </w:r>
      <w:r>
        <w:rPr>
          <w:rFonts w:ascii="Arial" w:cs="Arial" w:eastAsia="Arial" w:hAnsi="Arial"/>
          <w:sz w:val="11"/>
          <w:szCs w:val="11"/>
          <w:color w:val="auto"/>
        </w:rPr>
        <w:t>”) issued by the Company in payment of legal services (the “</w:t>
      </w:r>
      <w:r>
        <w:rPr>
          <w:rFonts w:ascii="Arial" w:cs="Arial" w:eastAsia="Arial" w:hAnsi="Arial"/>
          <w:sz w:val="11"/>
          <w:szCs w:val="11"/>
          <w:i w:val="1"/>
          <w:iCs w:val="1"/>
          <w:color w:val="auto"/>
        </w:rPr>
        <w:t>Amended Note</w:t>
      </w:r>
      <w:r>
        <w:rPr>
          <w:rFonts w:ascii="Arial" w:cs="Arial" w:eastAsia="Arial" w:hAnsi="Arial"/>
          <w:sz w:val="11"/>
          <w:szCs w:val="11"/>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The Company made the required $100,000 payment in a timely manner.</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On August 31, 2012, the Company restructured the Amended Note (the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the Company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xml:space="preserve">"); amended an outstanding warrant to purchase restricted shares of the Company’s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and issued a new warrant to purchase restricted shares of the Company’s common stock (the “</w:t>
      </w:r>
      <w:r>
        <w:rPr>
          <w:rFonts w:ascii="Arial" w:cs="Arial" w:eastAsia="Arial" w:hAnsi="Arial"/>
          <w:sz w:val="11"/>
          <w:szCs w:val="11"/>
          <w:i w:val="1"/>
          <w:iCs w:val="1"/>
          <w:color w:val="auto"/>
        </w:rPr>
        <w:t>New M&amp;F Warrant”).</w:t>
      </w:r>
      <w:r>
        <w:rPr>
          <w:rFonts w:ascii="Arial" w:cs="Arial" w:eastAsia="Arial" w:hAnsi="Arial"/>
          <w:sz w:val="11"/>
          <w:szCs w:val="11"/>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8" w:name="page99"/>
    <w:bookmarkEnd w:id="9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Expected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0.24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0.52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2014, the Company has adjusted the New M&amp;F Warrant to increase the number of restricted shares available for purchase by 195,191 shares, based on interest accrued on Replacement Note B through that date. The Company has recorded the fair value of the additional shares as a charge to interest expense and a corresponding credit to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Cato Research Ltd.</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October 10, 2012, the Company issued to Cato Research Ltd ("</w:t>
      </w:r>
      <w:r>
        <w:rPr>
          <w:rFonts w:ascii="Arial" w:cs="Arial" w:eastAsia="Arial" w:hAnsi="Arial"/>
          <w:sz w:val="11"/>
          <w:szCs w:val="11"/>
          <w:i w:val="1"/>
          <w:iCs w:val="1"/>
          <w:color w:val="auto"/>
        </w:rPr>
        <w:t>CRL</w:t>
      </w:r>
      <w:r>
        <w:rPr>
          <w:rFonts w:ascii="Arial" w:cs="Arial" w:eastAsia="Arial" w:hAnsi="Arial"/>
          <w:sz w:val="11"/>
          <w:szCs w:val="11"/>
          <w:color w:val="auto"/>
        </w:rPr>
        <w:t>"),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the Company and its affiliates through December 31, 2012 with respect to the non-clinical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9" w:name="page100"/>
    <w:bookmarkEnd w:id="9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2014, the Company has adjusted the CRL Warrant to increase the number of restricted shares available for purchase by 117,329 shares, based on interest accrued on the CRL Note through that date. The Company has recorded the fair value of the additional shares as a charge to interest expense and a corresponding credit to additional paid-in capital.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and Restructuring of Long-Term Promissory Note to Cato Holding Company</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April 2011, all amounts owed by the Company to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and its affiliates, were consolidated into a single note, in the principal amount of $352,300 (the “</w:t>
      </w:r>
      <w:r>
        <w:rPr>
          <w:rFonts w:ascii="Arial" w:cs="Arial" w:eastAsia="Arial" w:hAnsi="Arial"/>
          <w:sz w:val="12"/>
          <w:szCs w:val="12"/>
          <w:i w:val="1"/>
          <w:iCs w:val="1"/>
          <w:color w:val="auto"/>
        </w:rPr>
        <w:t>2011 CHC Note</w:t>
      </w:r>
      <w:r>
        <w:rPr>
          <w:rFonts w:ascii="Arial" w:cs="Arial" w:eastAsia="Arial" w:hAnsi="Arial"/>
          <w:sz w:val="12"/>
          <w:szCs w:val="12"/>
          <w:color w:val="auto"/>
        </w:rPr>
        <w:t>”). Concurrently, CHC released all of its security interests in certain of the Company’s personal property.</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October 10, 2012, the Company and CHC restructured the 2011 CHC Note. The 2011 CHC Note was cancelled and exchanged for a new unsecured promissory note in the principal amount of $310,400 (the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the Company’s common stock at a price of $1.50 per share (the “</w:t>
      </w:r>
      <w:r>
        <w:rPr>
          <w:rFonts w:ascii="Arial" w:cs="Arial" w:eastAsia="Arial" w:hAnsi="Arial"/>
          <w:sz w:val="12"/>
          <w:szCs w:val="12"/>
          <w:i w:val="1"/>
          <w:iCs w:val="1"/>
          <w:color w:val="auto"/>
        </w:rPr>
        <w:t>CHC Warrant</w:t>
      </w:r>
      <w:r>
        <w:rPr>
          <w:rFonts w:ascii="Arial" w:cs="Arial" w:eastAsia="Arial" w:hAnsi="Arial"/>
          <w:sz w:val="12"/>
          <w:szCs w:val="12"/>
          <w:color w:val="auto"/>
        </w:rPr>
        <w:t>”). The 2012 CHC Note accrues interest at a rate of 7.5% per annum and is due and payable in monthly installments of $10,000, beginning November 1, 2012 and continuing until the outstanding balance is paid in full.</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 resulting in an effective interest rate of 11.9% on the CHC 2012 Note.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University Health Network</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10, 2012, the Company issued to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2"/>
          <w:szCs w:val="12"/>
          <w:i w:val="1"/>
          <w:iCs w:val="1"/>
          <w:color w:val="auto"/>
        </w:rPr>
        <w:t>UHN</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and (ii) a five-year warrant to purchase, at a price of $1.00 per share, 549,500 restricted shares of the Company’s common stock, the amount equal to the sum of the principal amount of the UHN Note, plus all accrued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thereon, divided by $1.00 per share (the “</w:t>
      </w:r>
      <w:r>
        <w:rPr>
          <w:rFonts w:ascii="Arial" w:cs="Arial" w:eastAsia="Arial" w:hAnsi="Arial"/>
          <w:sz w:val="12"/>
          <w:szCs w:val="12"/>
          <w:i w:val="1"/>
          <w:iCs w:val="1"/>
          <w:color w:val="auto"/>
        </w:rPr>
        <w:t>UHN Warrant</w:t>
      </w:r>
      <w:r>
        <w:rPr>
          <w:rFonts w:ascii="Arial" w:cs="Arial" w:eastAsia="Arial" w:hAnsi="Arial"/>
          <w:sz w:val="12"/>
          <w:szCs w:val="12"/>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0" w:name="page101"/>
    <w:bookmarkEnd w:id="100"/>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firstLine="432"/>
        <w:spacing w:after="0" w:line="253" w:lineRule="auto"/>
        <w:rPr>
          <w:sz w:val="20"/>
          <w:szCs w:val="20"/>
          <w:color w:val="auto"/>
        </w:rPr>
      </w:pPr>
      <w:r>
        <w:rPr>
          <w:rFonts w:ascii="Arial" w:cs="Arial" w:eastAsia="Arial" w:hAnsi="Arial"/>
          <w:sz w:val="12"/>
          <w:szCs w:val="12"/>
          <w:color w:val="auto"/>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2014, the Company has adjusted the UHN Warrant to increase the number of restricted shares available for purchase by 60,633 shares, based on interest accrued on the UHN Note through that date. The Company has recorded the fair value of the additional shares as a charge to interest expense and a corresponding credit to additional paid-in capital.</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Issuance of Long-Term Notes and Cancellation of Amounts Payable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February 25, 2011, the Company issued to Burr, Pilger, and Mayer, LLC (“</w:t>
      </w:r>
      <w:r>
        <w:rPr>
          <w:rFonts w:ascii="Arial" w:cs="Arial" w:eastAsia="Arial" w:hAnsi="Arial"/>
          <w:sz w:val="12"/>
          <w:szCs w:val="12"/>
          <w:i w:val="1"/>
          <w:iCs w:val="1"/>
          <w:color w:val="auto"/>
        </w:rPr>
        <w:t>BPM</w:t>
      </w:r>
      <w:r>
        <w:rPr>
          <w:rFonts w:ascii="Arial" w:cs="Arial" w:eastAsia="Arial" w:hAnsi="Arial"/>
          <w:sz w:val="12"/>
          <w:szCs w:val="12"/>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April 29, 2011, the Company issued to 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 The note payable to Desjardins is due on June 30, 2014.</w:t>
      </w:r>
    </w:p>
    <w:p>
      <w:pPr>
        <w:spacing w:after="0" w:line="126"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On May 5, 2011, the Company issued to McCarthy Tetrault LLP (“</w:t>
      </w:r>
      <w:r>
        <w:rPr>
          <w:rFonts w:ascii="Arial" w:cs="Arial" w:eastAsia="Arial" w:hAnsi="Arial"/>
          <w:sz w:val="10"/>
          <w:szCs w:val="10"/>
          <w:i w:val="1"/>
          <w:iCs w:val="1"/>
          <w:color w:val="auto"/>
        </w:rPr>
        <w:t>McCarthy</w:t>
      </w:r>
      <w:r>
        <w:rPr>
          <w:rFonts w:ascii="Arial" w:cs="Arial" w:eastAsia="Arial" w:hAnsi="Arial"/>
          <w:sz w:val="10"/>
          <w:szCs w:val="10"/>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w:t>
      </w:r>
    </w:p>
    <w:p>
      <w:pPr>
        <w:jc w:val="both"/>
        <w:ind w:left="8" w:hanging="8"/>
        <w:spacing w:after="0" w:line="255" w:lineRule="auto"/>
        <w:tabs>
          <w:tab w:leader="none" w:pos="226" w:val="left"/>
        </w:tabs>
        <w:numPr>
          <w:ilvl w:val="0"/>
          <w:numId w:val="39"/>
        </w:numPr>
        <w:rPr>
          <w:rFonts w:ascii="Arial" w:cs="Arial" w:eastAsia="Arial" w:hAnsi="Arial"/>
          <w:sz w:val="12"/>
          <w:szCs w:val="12"/>
          <w:color w:val="auto"/>
        </w:rPr>
      </w:pPr>
      <w:r>
        <w:rPr>
          <w:rFonts w:ascii="Arial" w:cs="Arial" w:eastAsia="Arial" w:hAnsi="Arial"/>
          <w:sz w:val="12"/>
          <w:szCs w:val="12"/>
          <w:color w:val="auto"/>
        </w:rPr>
        <w:t xml:space="preserve">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The note payable to McCarthy is due on June 14, 2014. However, see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regarding an amendment extending the maturity date of the McCarthy note and modifying other terms.</w:t>
      </w:r>
    </w:p>
    <w:p>
      <w:pPr>
        <w:spacing w:after="0" w:line="128"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1" w:name="page102"/>
    <w:bookmarkEnd w:id="10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On October 12, 2009, the Company issued a promissory note payable to the Regents of the University of California (“</w:t>
      </w:r>
      <w:r>
        <w:rPr>
          <w:rFonts w:ascii="Arial" w:cs="Arial" w:eastAsia="Arial" w:hAnsi="Arial"/>
          <w:sz w:val="11"/>
          <w:szCs w:val="11"/>
          <w:i w:val="1"/>
          <w:iCs w:val="1"/>
          <w:color w:val="auto"/>
        </w:rPr>
        <w:t>UC</w:t>
      </w:r>
      <w:r>
        <w:rPr>
          <w:rFonts w:ascii="Arial" w:cs="Arial" w:eastAsia="Arial" w:hAnsi="Arial"/>
          <w:sz w:val="11"/>
          <w:szCs w:val="11"/>
          <w:color w:val="auto"/>
        </w:rPr>
        <w:t>”) with a principal balance of $90,000 in exchange for the cancellation of certain amounts payable under a research collaboration agreement (the “</w:t>
      </w:r>
      <w:r>
        <w:rPr>
          <w:rFonts w:ascii="Arial" w:cs="Arial" w:eastAsia="Arial" w:hAnsi="Arial"/>
          <w:sz w:val="11"/>
          <w:szCs w:val="11"/>
          <w:i w:val="1"/>
          <w:iCs w:val="1"/>
          <w:color w:val="auto"/>
        </w:rPr>
        <w:t>UC Note 1</w:t>
      </w:r>
      <w:r>
        <w:rPr>
          <w:rFonts w:ascii="Arial" w:cs="Arial" w:eastAsia="Arial" w:hAnsi="Arial"/>
          <w:sz w:val="11"/>
          <w:szCs w:val="11"/>
          <w:color w:val="auto"/>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1"/>
          <w:szCs w:val="11"/>
          <w:i w:val="1"/>
          <w:iCs w:val="1"/>
          <w:color w:val="auto"/>
        </w:rPr>
        <w:t>UC Note 2</w:t>
      </w:r>
      <w:r>
        <w:rPr>
          <w:rFonts w:ascii="Arial" w:cs="Arial" w:eastAsia="Arial" w:hAnsi="Arial"/>
          <w:sz w:val="11"/>
          <w:szCs w:val="11"/>
          <w:color w:val="auto"/>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2"/>
          <w:szCs w:val="12"/>
          <w:i w:val="1"/>
          <w:iCs w:val="1"/>
          <w:color w:val="auto"/>
        </w:rPr>
        <w:t>March 2010 Note</w:t>
      </w:r>
      <w:r>
        <w:rPr>
          <w:rFonts w:ascii="Arial" w:cs="Arial" w:eastAsia="Arial" w:hAnsi="Arial"/>
          <w:sz w:val="12"/>
          <w:szCs w:val="12"/>
          <w:color w:val="auto"/>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anticipates that the Note will be cancelled in favor of certain amounts payable to the Company equal to or greater than the outstanding balance of the Note.</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Capital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Series A Preferred Stock</w:t>
      </w:r>
    </w:p>
    <w:p>
      <w:pPr>
        <w:spacing w:after="0" w:line="17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Each restricted share of Series A Preferred was initially convertible at the option of the holder into ten restricted shares of the Company's common stock. The Series A Preferred ranks prior to the common stock for purposes of liquidation preference.</w:t>
      </w:r>
    </w:p>
    <w:p>
      <w:pPr>
        <w:spacing w:after="0" w:line="11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2" w:name="page103"/>
    <w:bookmarkEnd w:id="10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14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At March 31, 2014 and 2013, there were 500,000 restricted shares of Series A Preferred outstanding, all issued to Platinum.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0" w:lineRule="exact"/>
        <w:rPr>
          <w:sz w:val="20"/>
          <w:szCs w:val="20"/>
          <w:color w:val="auto"/>
        </w:rPr>
      </w:pPr>
    </w:p>
    <w:p>
      <w:pPr>
        <w:ind w:left="860" w:hanging="451"/>
        <w:spacing w:after="0"/>
        <w:tabs>
          <w:tab w:leader="none" w:pos="860"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Common Stock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On December 22, 2011, the Company entered into a Common Stock Exchange Agreement (the "</w:t>
      </w:r>
      <w:r>
        <w:rPr>
          <w:rFonts w:ascii="Arial" w:cs="Arial" w:eastAsia="Arial" w:hAnsi="Arial"/>
          <w:sz w:val="12"/>
          <w:szCs w:val="12"/>
          <w:i w:val="1"/>
          <w:iCs w:val="1"/>
          <w:color w:val="auto"/>
        </w:rPr>
        <w:t>Exchange Agreement</w:t>
      </w:r>
      <w:r>
        <w:rPr>
          <w:rFonts w:ascii="Arial" w:cs="Arial" w:eastAsia="Arial" w:hAnsi="Arial"/>
          <w:sz w:val="12"/>
          <w:szCs w:val="12"/>
          <w:color w:val="auto"/>
        </w:rPr>
        <w:t>") with Platinum, pursuant to which Platinum converted 484,000 restricted shares of the Company’s common stock into 45,980 restricted shares of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initially convertible into ten restricted shares of the Company’s common stock. At the time of the Exchange, the Company determined the fair value of the common stock subject to the Exchange to be $1.55 per share and has reflected the 484,000 restricted common shares as treasury stock on that basis in the accompanying Consolidated Balance Sheet at March 31, 2014 and 2013.</w:t>
      </w:r>
    </w:p>
    <w:p>
      <w:pPr>
        <w:spacing w:after="0" w:line="142" w:lineRule="exact"/>
        <w:rPr>
          <w:rFonts w:ascii="Arial" w:cs="Arial" w:eastAsia="Arial" w:hAnsi="Arial"/>
          <w:sz w:val="12"/>
          <w:szCs w:val="12"/>
          <w:b w:val="1"/>
          <w:bCs w:val="1"/>
          <w:color w:val="auto"/>
        </w:rPr>
      </w:pPr>
    </w:p>
    <w:p>
      <w:pPr>
        <w:ind w:left="860" w:hanging="451"/>
        <w:spacing w:after="0"/>
        <w:tabs>
          <w:tab w:leader="none" w:pos="860"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Note and Warrant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On December 29, 2011, the Company and Platinum entered into a Note and Warrant Exchange Agreement pursuant to which a promissory note in the face amount of $4,000,000 plus accrued interest and all outstanding warrants issued to Platinum to purchase an aggregate of 1,599,858 restricted shares of the Company’s common stock were cancelled in exchange for 391,075 restricted shares of Series A Preferred. Each share of Series A Preferred was initially convertible into ten shares of the Company’s common stock. The Company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1,599,858 outstanding warrants held by Platinum, and a contractual conversion basis of $1.75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31" w:lineRule="exact"/>
        <w:rPr>
          <w:rFonts w:ascii="Arial" w:cs="Arial" w:eastAsia="Arial" w:hAnsi="Arial"/>
          <w:sz w:val="12"/>
          <w:szCs w:val="12"/>
          <w:b w:val="1"/>
          <w:bCs w:val="1"/>
          <w:color w:val="auto"/>
        </w:rPr>
      </w:pPr>
    </w:p>
    <w:p>
      <w:pPr>
        <w:ind w:left="860" w:hanging="451"/>
        <w:spacing w:after="0"/>
        <w:tabs>
          <w:tab w:leader="none" w:pos="860"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2012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On June 29, 2012, the Company and Platinum entered into an Exchange Agreement (the “</w:t>
      </w:r>
      <w:r>
        <w:rPr>
          <w:rFonts w:ascii="Arial" w:cs="Arial" w:eastAsia="Arial" w:hAnsi="Arial"/>
          <w:sz w:val="12"/>
          <w:szCs w:val="12"/>
          <w:i w:val="1"/>
          <w:iCs w:val="1"/>
          <w:color w:val="auto"/>
        </w:rPr>
        <w:t>2012 Platinum Exchange Agreement</w:t>
      </w:r>
      <w:r>
        <w:rPr>
          <w:rFonts w:ascii="Arial" w:cs="Arial" w:eastAsia="Arial" w:hAnsi="Arial"/>
          <w:sz w:val="12"/>
          <w:szCs w:val="12"/>
          <w:color w:val="auto"/>
        </w:rPr>
        <w:t xml:space="preserve">”) pursuant to which the Company issued Platinum 62,945 restricted shares of Series A Preferred in exchange for 629,450 restricted shares of common stock then owned by Platinum, in consideration for Platinum’s agreement to purchase from the Company the July 2012 Platinum Note,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The Company estimated the fair value of the Series A Preferred shares tendered to Platinum under the terms of the 2012 Platinum Exchange Agreement at $736,400 ($1.17 per share on a common share equivalent basis). The common shares exchanged for shares of Series A Preferred are treated as treasury stock on that basis in the accompanying Consolidated Balance Sheet at March 31, 2014 and 2013.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3" w:name="page104"/>
    <w:bookmarkEnd w:id="10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Series A Preferred Exchange Right and Deemed Dividends</w:t>
      </w:r>
    </w:p>
    <w:p>
      <w:pPr>
        <w:spacing w:after="0" w:line="17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Pursuant to the October 2012 Agreement described more completely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Platinum’s exchange rights in the Series A Preferred were modified such that Platinum now has the right and option to exchange the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Arial" w:cs="Arial" w:eastAsia="Arial" w:hAnsi="Arial"/>
          <w:sz w:val="11"/>
          <w:szCs w:val="11"/>
          <w:i w:val="1"/>
          <w:iCs w:val="1"/>
          <w:color w:val="auto"/>
        </w:rPr>
        <w:t>Series A Exchange Warrant</w:t>
      </w:r>
      <w:r>
        <w:rPr>
          <w:rFonts w:ascii="Arial" w:cs="Arial" w:eastAsia="Arial" w:hAnsi="Arial"/>
          <w:sz w:val="11"/>
          <w:szCs w:val="11"/>
          <w:color w:val="auto"/>
        </w:rPr>
        <w:t>”). See the section entitled Modification of Platinum Warrants, later in this note, for a description of the subsequent modification of the exercise price of the Series A Preferred Exchange Warrant.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in the accompanying Consolidated Statement of Operations and Comprehensive Loss for the fiscal year ended March 31, 2013 was determined as the sum of (i)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and (ii) .the fair value of the Series A Exchange Warrant at the date of the October 2012 Agreement,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The adjusted fair value of the warrant, $3,068,200 was recognized as a component of the Warrant Liability in the in the accompanying Consolidated Balance Sheet at March 31, 2013, with a corresponding charge to Additional paid-in capital.</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fair value of the Series A Exchange Warrant was re-measured as of March 31, 2013 at $4,406,000 and the $1,337,800 increase in fair value since the inception of the October 2012 Agreement is reflected as a component of the Change in Warrant Liability in the accompanying Consolidated Statement of Operations and Comprehensive Loss for the fiscal year ended March 31, 2013. The fair value of the Series A Exchange Warrant was re-measured as of March 31, 2014 at $2,058,600 and the $2,347,400 decrease in fair value since March 31, 2013 is reflected as a component of the Change in Warrant Liability in the accompanying Consolidated Statement of Operations and Comprehensive Loss for the fiscal year ended March 31, 2014.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of Pre-Merger Preferred Stock</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preferred stock outstanding. All shares of VistaGen California common stock were then acquired by the Company in connection with the Merger.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AG Securities Purchase Agreement</w:t>
      </w:r>
    </w:p>
    <w:p>
      <w:pPr>
        <w:spacing w:after="0" w:line="172"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2"/>
          <w:szCs w:val="12"/>
          <w:color w:val="auto"/>
        </w:rPr>
        <w:t>On April 8, 2013, the Company entered into a Securities Purchase Agreement (as amended, the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On April 12, 2013, Autilion assigned the Securities Purchase Agreement to its affiliate, Bergamo Acquisition Corp. PTE LTD, a corporation organized and existing under the laws of Singapore (“</w:t>
      </w:r>
      <w:r>
        <w:rPr>
          <w:rFonts w:ascii="Arial" w:cs="Arial" w:eastAsia="Arial" w:hAnsi="Arial"/>
          <w:sz w:val="12"/>
          <w:szCs w:val="12"/>
          <w:i w:val="1"/>
          <w:iCs w:val="1"/>
          <w:color w:val="auto"/>
        </w:rPr>
        <w:t>Bergamo Singapore</w:t>
      </w:r>
      <w:r>
        <w:rPr>
          <w:rFonts w:ascii="Arial" w:cs="Arial" w:eastAsia="Arial" w:hAnsi="Arial"/>
          <w:sz w:val="12"/>
          <w:szCs w:val="12"/>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Arial" w:cs="Arial" w:eastAsia="Arial" w:hAnsi="Arial"/>
          <w:sz w:val="12"/>
          <w:szCs w:val="12"/>
          <w:i w:val="1"/>
          <w:iCs w:val="1"/>
          <w:color w:val="auto"/>
        </w:rPr>
        <w:t>Autilion Financing</w:t>
      </w:r>
      <w:r>
        <w:rPr>
          <w:rFonts w:ascii="Arial" w:cs="Arial" w:eastAsia="Arial" w:hAnsi="Arial"/>
          <w:sz w:val="12"/>
          <w:szCs w:val="12"/>
          <w:color w:val="auto"/>
        </w:rPr>
        <w:t>”). Through March 31, 2014, Autilion had completed only a nominal initial closing under the Securities Purchase Agreement, in the amount of $25,000, and the Company had issued 50,000 restricted shares of its common stock. As of the date of this report, Autilion has not completed a subsequent closing of the Autilion Financing. Therefore, Autilion is in default under the Securities Purchase Agreement, and the Company can provide no assurance that Autilion will complete a material closing under the Securities Purchase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4" w:name="page105"/>
    <w:bookmarkEnd w:id="10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Winter 2013/2014 Unit Private Placement</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Between August 2013 and March 2014, the Company entered into securities purchase agreements with accredited investors pursuant to which it sold to such investors Units each consisting of (i) a 10% convertible promissory note in the face amount of $5,000 maturing on July 30, 2014 (the “</w:t>
      </w:r>
      <w:r>
        <w:rPr>
          <w:rFonts w:ascii="Arial" w:cs="Arial" w:eastAsia="Arial" w:hAnsi="Arial"/>
          <w:sz w:val="11"/>
          <w:szCs w:val="11"/>
          <w:i w:val="1"/>
          <w:iCs w:val="1"/>
          <w:color w:val="auto"/>
        </w:rPr>
        <w:t>2013/2014 Unit Note</w:t>
      </w:r>
      <w:r>
        <w:rPr>
          <w:rFonts w:ascii="Arial" w:cs="Arial" w:eastAsia="Arial" w:hAnsi="Arial"/>
          <w:sz w:val="11"/>
          <w:szCs w:val="11"/>
          <w:color w:val="auto"/>
        </w:rPr>
        <w:t>”); (ii) 10,000 restricted shares of the Company’s common stock (the “</w:t>
      </w:r>
      <w:r>
        <w:rPr>
          <w:rFonts w:ascii="Arial" w:cs="Arial" w:eastAsia="Arial" w:hAnsi="Arial"/>
          <w:sz w:val="11"/>
          <w:szCs w:val="11"/>
          <w:i w:val="1"/>
          <w:iCs w:val="1"/>
          <w:color w:val="auto"/>
        </w:rPr>
        <w:t>2013/2014 Unit Stock</w:t>
      </w:r>
      <w:r>
        <w:rPr>
          <w:rFonts w:ascii="Arial" w:cs="Arial" w:eastAsia="Arial" w:hAnsi="Arial"/>
          <w:sz w:val="11"/>
          <w:szCs w:val="11"/>
          <w:color w:val="auto"/>
        </w:rPr>
        <w:t>”); and (iii) a warrant exercisable through July 30, 2016 to purchase 10,000 restricted shares of the Company’s common stock at an exercise price of $1.00 per share (the “</w:t>
      </w:r>
      <w:r>
        <w:rPr>
          <w:rFonts w:ascii="Arial" w:cs="Arial" w:eastAsia="Arial" w:hAnsi="Arial"/>
          <w:sz w:val="11"/>
          <w:szCs w:val="11"/>
          <w:i w:val="1"/>
          <w:iCs w:val="1"/>
          <w:color w:val="auto"/>
        </w:rPr>
        <w:t>2013/2014 Unit Warrant</w:t>
      </w:r>
      <w:r>
        <w:rPr>
          <w:rFonts w:ascii="Arial" w:cs="Arial" w:eastAsia="Arial" w:hAnsi="Arial"/>
          <w:sz w:val="11"/>
          <w:szCs w:val="11"/>
          <w:color w:val="auto"/>
        </w:rPr>
        <w:t>”). The Company issued 2013/2014 Unit Notes in the aggregate face amount of $1,007,500; an aggregate of 2,015,000 restricted shares of 2013/2014 Unit Stock, and warrants to purchase an aggregate of 2,015,000 restricted shares of the Company’s common stock pursuant to the 2013/2014 Unit Warrants, and received cash proceeds of $1,007,500, including $50,000 in lieu of repayment of previous advances to the Company made by one of its executive officers. The 2013/2014 Unit Notes and related accrued interest are convertible into restricted shares of the Company’s common stock at a conversion price of $0.50 per share at or prior to maturity, at the option of each investor.</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Company allocated the proceeds from the sale of the Units to the various securities in each Unit based on their relative fair value on the dates of the sales. As described in Note 8, </w:t>
      </w:r>
      <w:r>
        <w:rPr>
          <w:rFonts w:ascii="Arial" w:cs="Arial" w:eastAsia="Arial" w:hAnsi="Arial"/>
          <w:sz w:val="12"/>
          <w:szCs w:val="12"/>
          <w:i w:val="1"/>
          <w:iCs w:val="1"/>
          <w:color w:val="auto"/>
        </w:rPr>
        <w:t>Convertible PromissoryNotes and Other Notes</w:t>
      </w:r>
      <w:r>
        <w:rPr>
          <w:rFonts w:ascii="Arial" w:cs="Arial" w:eastAsia="Arial" w:hAnsi="Arial"/>
          <w:sz w:val="12"/>
          <w:szCs w:val="12"/>
          <w:color w:val="auto"/>
        </w:rPr>
        <w:t xml:space="preserve"> </w:t>
      </w:r>
      <w:r>
        <w:rPr>
          <w:rFonts w:ascii="Arial" w:cs="Arial" w:eastAsia="Arial" w:hAnsi="Arial"/>
          <w:sz w:val="12"/>
          <w:szCs w:val="12"/>
          <w:i w:val="1"/>
          <w:iCs w:val="1"/>
          <w:color w:val="auto"/>
        </w:rPr>
        <w:t>Payable</w:t>
      </w:r>
      <w:r>
        <w:rPr>
          <w:rFonts w:ascii="Arial" w:cs="Arial" w:eastAsia="Arial" w:hAnsi="Arial"/>
          <w:sz w:val="12"/>
          <w:szCs w:val="12"/>
          <w:color w:val="auto"/>
        </w:rPr>
        <w:t>, based on the short-term nature of the 2013/2014 Unit Notes, the Company determined that fair value of the 2013/2014 Unit Notes was equal to their face value. The Company determined the fair value of the 2013/2014 Unit Stock</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the quoted market price of its stock on the date of the Unit sale. The Company calculated the fair value of the 2013/2014 Unit Warrants using the Black Scholes Option Pricing Model and the weighted average assumptions indicated in the table below. The table below also presents the aggregate allocation of the Unit sales proceeds based on the relative fair values of the 2013/2014 Unit Stock, 2013/2014 Unit Warrants and 2013/2014 Unit Notes at the Unit sales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2"/>
                <w:szCs w:val="12"/>
                <w:color w:val="auto"/>
              </w:rPr>
              <w:t>2013/2014 Unit Warrants</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40" w:type="dxa"/>
            <w:vAlign w:val="bottom"/>
            <w:gridSpan w:val="4"/>
          </w:tcPr>
          <w:p>
            <w:pPr>
              <w:jc w:val="right"/>
              <w:ind w:right="160"/>
              <w:spacing w:after="0"/>
              <w:rPr>
                <w:sz w:val="20"/>
                <w:szCs w:val="20"/>
                <w:color w:val="auto"/>
              </w:rPr>
            </w:pPr>
            <w:r>
              <w:rPr>
                <w:rFonts w:ascii="Arial" w:cs="Arial" w:eastAsia="Arial" w:hAnsi="Arial"/>
                <w:sz w:val="12"/>
                <w:szCs w:val="12"/>
                <w:color w:val="auto"/>
                <w:w w:val="92"/>
              </w:rPr>
              <w:t>Weighted Average Issuance Date Valuation Assumptions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restart"/>
          </w:tcPr>
          <w:p>
            <w:pPr>
              <w:jc w:val="center"/>
              <w:ind w:left="100"/>
              <w:spacing w:after="0"/>
              <w:rPr>
                <w:sz w:val="20"/>
                <w:szCs w:val="20"/>
                <w:color w:val="auto"/>
              </w:rPr>
            </w:pPr>
            <w:r>
              <w:rPr>
                <w:rFonts w:ascii="Arial" w:cs="Arial" w:eastAsia="Arial" w:hAnsi="Arial"/>
                <w:sz w:val="12"/>
                <w:szCs w:val="12"/>
                <w:color w:val="auto"/>
                <w:w w:val="85"/>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920" w:type="dxa"/>
            <w:vAlign w:val="bottom"/>
            <w:vMerge w:val="restart"/>
          </w:tcPr>
          <w:p>
            <w:pPr>
              <w:jc w:val="center"/>
              <w:ind w:right="80"/>
              <w:spacing w:after="0"/>
              <w:rPr>
                <w:sz w:val="20"/>
                <w:szCs w:val="20"/>
                <w:color w:val="auto"/>
              </w:rPr>
            </w:pPr>
            <w:r>
              <w:rPr>
                <w:rFonts w:ascii="Arial" w:cs="Arial" w:eastAsia="Arial" w:hAnsi="Arial"/>
                <w:sz w:val="12"/>
                <w:szCs w:val="12"/>
                <w:color w:val="auto"/>
                <w:w w:val="90"/>
              </w:rPr>
              <w:t>Aggregate</w:t>
            </w:r>
          </w:p>
        </w:tc>
        <w:tc>
          <w:tcPr>
            <w:tcW w:w="2560" w:type="dxa"/>
            <w:vAlign w:val="bottom"/>
            <w:gridSpan w:val="3"/>
            <w:vMerge w:val="restart"/>
          </w:tcPr>
          <w:p>
            <w:pPr>
              <w:jc w:val="center"/>
              <w:ind w:left="420"/>
              <w:spacing w:after="0"/>
              <w:rPr>
                <w:sz w:val="20"/>
                <w:szCs w:val="20"/>
                <w:color w:val="auto"/>
              </w:rPr>
            </w:pPr>
            <w:r>
              <w:rPr>
                <w:rFonts w:ascii="Arial" w:cs="Arial" w:eastAsia="Arial" w:hAnsi="Arial"/>
                <w:sz w:val="12"/>
                <w:szCs w:val="12"/>
                <w:color w:val="auto"/>
                <w:w w:val="92"/>
              </w:rPr>
              <w:t>Aggregate Allocation of Proceeds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spacing w:after="0"/>
              <w:rPr>
                <w:sz w:val="20"/>
                <w:szCs w:val="20"/>
                <w:color w:val="auto"/>
              </w:rPr>
            </w:pPr>
            <w:r>
              <w:rPr>
                <w:rFonts w:ascii="Arial" w:cs="Arial" w:eastAsia="Arial" w:hAnsi="Arial"/>
                <w:sz w:val="12"/>
                <w:szCs w:val="12"/>
                <w:color w:val="auto"/>
                <w:w w:val="88"/>
              </w:rPr>
              <w:t>Warrant</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ind w:right="100"/>
              <w:spacing w:after="0"/>
              <w:rPr>
                <w:sz w:val="20"/>
                <w:szCs w:val="20"/>
                <w:color w:val="auto"/>
              </w:rPr>
            </w:pPr>
            <w:r>
              <w:rPr>
                <w:rFonts w:ascii="Arial" w:cs="Arial" w:eastAsia="Arial" w:hAnsi="Arial"/>
                <w:sz w:val="12"/>
                <w:szCs w:val="12"/>
                <w:color w:val="auto"/>
                <w:w w:val="92"/>
              </w:rPr>
              <w:t>Risk free</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2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Fair Value</w:t>
            </w:r>
          </w:p>
        </w:tc>
        <w:tc>
          <w:tcPr>
            <w:tcW w:w="920" w:type="dxa"/>
            <w:vAlign w:val="bottom"/>
          </w:tcPr>
          <w:p>
            <w:pPr>
              <w:jc w:val="center"/>
              <w:ind w:right="60"/>
              <w:spacing w:after="0"/>
              <w:rPr>
                <w:sz w:val="20"/>
                <w:szCs w:val="20"/>
                <w:color w:val="auto"/>
              </w:rPr>
            </w:pPr>
            <w:r>
              <w:rPr>
                <w:rFonts w:ascii="Arial" w:cs="Arial" w:eastAsia="Arial" w:hAnsi="Arial"/>
                <w:sz w:val="12"/>
                <w:szCs w:val="12"/>
                <w:color w:val="auto"/>
                <w:w w:val="86"/>
              </w:rPr>
              <w:t>Proceeds</w:t>
            </w:r>
          </w:p>
        </w:tc>
        <w:tc>
          <w:tcPr>
            <w:tcW w:w="25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2"/>
                <w:szCs w:val="12"/>
                <w:color w:val="auto"/>
                <w:w w:val="90"/>
              </w:rPr>
              <w:t>Based on Relative Fair Value of:</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82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2"/>
              </w:rPr>
              <w:t>Market</w:t>
            </w:r>
          </w:p>
        </w:tc>
        <w:tc>
          <w:tcPr>
            <w:tcW w:w="78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91"/>
              </w:rPr>
              <w:t>Exercise</w:t>
            </w:r>
          </w:p>
        </w:tc>
        <w:tc>
          <w:tcPr>
            <w:tcW w:w="74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89"/>
              </w:rPr>
              <w:t>Interest</w:t>
            </w:r>
          </w:p>
        </w:tc>
        <w:tc>
          <w:tcPr>
            <w:tcW w:w="760" w:type="dxa"/>
            <w:vAlign w:val="bottom"/>
          </w:tcPr>
          <w:p>
            <w:pPr>
              <w:spacing w:after="0"/>
              <w:rPr>
                <w:sz w:val="11"/>
                <w:szCs w:val="11"/>
                <w:color w:val="auto"/>
              </w:rPr>
            </w:pPr>
          </w:p>
        </w:tc>
        <w:tc>
          <w:tcPr>
            <w:tcW w:w="7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2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rPr>
              <w:t>of Unit</w:t>
            </w:r>
          </w:p>
        </w:tc>
        <w:tc>
          <w:tcPr>
            <w:tcW w:w="92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7"/>
              </w:rPr>
              <w:t>of Unit</w:t>
            </w:r>
          </w:p>
        </w:tc>
        <w:tc>
          <w:tcPr>
            <w:tcW w:w="1120" w:type="dxa"/>
            <w:vAlign w:val="bottom"/>
          </w:tcPr>
          <w:p>
            <w:pPr>
              <w:spacing w:after="0"/>
              <w:rPr>
                <w:sz w:val="11"/>
                <w:szCs w:val="11"/>
                <w:color w:val="auto"/>
              </w:rPr>
            </w:pPr>
          </w:p>
        </w:tc>
        <w:tc>
          <w:tcPr>
            <w:tcW w:w="980" w:type="dxa"/>
            <w:vAlign w:val="bottom"/>
          </w:tcPr>
          <w:p>
            <w:pPr>
              <w:jc w:val="center"/>
              <w:ind w:right="220"/>
              <w:spacing w:after="0" w:line="133" w:lineRule="exact"/>
              <w:rPr>
                <w:sz w:val="20"/>
                <w:szCs w:val="20"/>
                <w:color w:val="auto"/>
              </w:rPr>
            </w:pPr>
            <w:r>
              <w:rPr>
                <w:rFonts w:ascii="Arial" w:cs="Arial" w:eastAsia="Arial" w:hAnsi="Arial"/>
                <w:sz w:val="12"/>
                <w:szCs w:val="12"/>
                <w:color w:val="auto"/>
              </w:rPr>
              <w:t>Unit</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jc w:val="center"/>
              <w:spacing w:after="0"/>
              <w:rPr>
                <w:sz w:val="20"/>
                <w:szCs w:val="20"/>
                <w:color w:val="auto"/>
              </w:rPr>
            </w:pPr>
            <w:r>
              <w:rPr>
                <w:rFonts w:ascii="Arial" w:cs="Arial" w:eastAsia="Arial" w:hAnsi="Arial"/>
                <w:sz w:val="12"/>
                <w:szCs w:val="12"/>
                <w:color w:val="auto"/>
                <w:w w:val="84"/>
              </w:rPr>
              <w:t>Issued</w:t>
            </w: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Price</w:t>
            </w:r>
          </w:p>
        </w:tc>
        <w:tc>
          <w:tcPr>
            <w:tcW w:w="780" w:type="dxa"/>
            <w:vAlign w:val="bottom"/>
          </w:tcPr>
          <w:p>
            <w:pPr>
              <w:jc w:val="center"/>
              <w:ind w:right="100"/>
              <w:spacing w:after="0"/>
              <w:rPr>
                <w:sz w:val="20"/>
                <w:szCs w:val="20"/>
                <w:color w:val="auto"/>
              </w:rPr>
            </w:pPr>
            <w:r>
              <w:rPr>
                <w:rFonts w:ascii="Arial" w:cs="Arial" w:eastAsia="Arial" w:hAnsi="Arial"/>
                <w:sz w:val="12"/>
                <w:szCs w:val="12"/>
                <w:color w:val="auto"/>
                <w:w w:val="94"/>
              </w:rPr>
              <w:t>Price</w:t>
            </w:r>
          </w:p>
        </w:tc>
        <w:tc>
          <w:tcPr>
            <w:tcW w:w="740" w:type="dxa"/>
            <w:vAlign w:val="bottom"/>
          </w:tcPr>
          <w:p>
            <w:pPr>
              <w:jc w:val="center"/>
              <w:ind w:right="12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120"/>
              <w:spacing w:after="0"/>
              <w:rPr>
                <w:sz w:val="20"/>
                <w:szCs w:val="20"/>
                <w:color w:val="auto"/>
              </w:rPr>
            </w:pPr>
            <w:r>
              <w:rPr>
                <w:rFonts w:ascii="Arial" w:cs="Arial" w:eastAsia="Arial" w:hAnsi="Arial"/>
                <w:sz w:val="12"/>
                <w:szCs w:val="12"/>
                <w:color w:val="auto"/>
                <w:w w:val="86"/>
              </w:rPr>
              <w:t>Rate</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Volatility</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00"/>
              <w:spacing w:after="0"/>
              <w:rPr>
                <w:sz w:val="20"/>
                <w:szCs w:val="20"/>
                <w:color w:val="auto"/>
              </w:rPr>
            </w:pPr>
            <w:r>
              <w:rPr>
                <w:rFonts w:ascii="Arial" w:cs="Arial" w:eastAsia="Arial" w:hAnsi="Arial"/>
                <w:sz w:val="12"/>
                <w:szCs w:val="12"/>
                <w:color w:val="auto"/>
                <w:w w:val="88"/>
              </w:rPr>
              <w:t>Warrant</w:t>
            </w:r>
          </w:p>
        </w:tc>
        <w:tc>
          <w:tcPr>
            <w:tcW w:w="2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Warrants</w:t>
            </w:r>
          </w:p>
        </w:tc>
        <w:tc>
          <w:tcPr>
            <w:tcW w:w="920" w:type="dxa"/>
            <w:vAlign w:val="bottom"/>
          </w:tcPr>
          <w:p>
            <w:pPr>
              <w:jc w:val="center"/>
              <w:ind w:right="80"/>
              <w:spacing w:after="0"/>
              <w:rPr>
                <w:sz w:val="20"/>
                <w:szCs w:val="20"/>
                <w:color w:val="auto"/>
              </w:rPr>
            </w:pPr>
            <w:r>
              <w:rPr>
                <w:rFonts w:ascii="Arial" w:cs="Arial" w:eastAsia="Arial" w:hAnsi="Arial"/>
                <w:sz w:val="12"/>
                <w:szCs w:val="12"/>
                <w:color w:val="auto"/>
                <w:w w:val="86"/>
              </w:rPr>
              <w:t>Sales</w:t>
            </w:r>
          </w:p>
        </w:tc>
        <w:tc>
          <w:tcPr>
            <w:tcW w:w="1120" w:type="dxa"/>
            <w:vAlign w:val="bottom"/>
          </w:tcPr>
          <w:p>
            <w:pPr>
              <w:jc w:val="right"/>
              <w:ind w:right="300"/>
              <w:spacing w:after="0"/>
              <w:rPr>
                <w:sz w:val="20"/>
                <w:szCs w:val="20"/>
                <w:color w:val="auto"/>
              </w:rPr>
            </w:pPr>
            <w:r>
              <w:rPr>
                <w:rFonts w:ascii="Arial" w:cs="Arial" w:eastAsia="Arial" w:hAnsi="Arial"/>
                <w:sz w:val="12"/>
                <w:szCs w:val="12"/>
                <w:color w:val="auto"/>
              </w:rPr>
              <w:t>Unit Stock</w:t>
            </w:r>
          </w:p>
        </w:tc>
        <w:tc>
          <w:tcPr>
            <w:tcW w:w="980" w:type="dxa"/>
            <w:vAlign w:val="bottom"/>
          </w:tcPr>
          <w:p>
            <w:pPr>
              <w:jc w:val="center"/>
              <w:ind w:right="220"/>
              <w:spacing w:after="0"/>
              <w:rPr>
                <w:sz w:val="20"/>
                <w:szCs w:val="20"/>
                <w:color w:val="auto"/>
              </w:rPr>
            </w:pPr>
            <w:r>
              <w:rPr>
                <w:rFonts w:ascii="Arial" w:cs="Arial" w:eastAsia="Arial" w:hAnsi="Arial"/>
                <w:sz w:val="12"/>
                <w:szCs w:val="12"/>
                <w:color w:val="auto"/>
                <w:w w:val="88"/>
              </w:rPr>
              <w:t>Warrant</w:t>
            </w:r>
          </w:p>
        </w:tc>
        <w:tc>
          <w:tcPr>
            <w:tcW w:w="960" w:type="dxa"/>
            <w:vAlign w:val="bottom"/>
            <w:gridSpan w:val="3"/>
          </w:tcPr>
          <w:p>
            <w:pPr>
              <w:ind w:left="16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0.45</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   1.00</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0.58%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76.29%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$ 254,700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1,007,500</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  415,000</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  111,400</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380"/>
              <w:spacing w:after="0"/>
              <w:rPr>
                <w:sz w:val="20"/>
                <w:szCs w:val="20"/>
                <w:color w:val="auto"/>
              </w:rPr>
            </w:pPr>
            <w:r>
              <w:rPr>
                <w:rFonts w:ascii="Arial" w:cs="Arial" w:eastAsia="Arial" w:hAnsi="Arial"/>
                <w:sz w:val="12"/>
                <w:szCs w:val="12"/>
                <w:color w:val="auto"/>
                <w:w w:val="97"/>
              </w:rPr>
              <w:t>F-31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5" w:name="page106"/>
    <w:bookmarkEnd w:id="10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5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During March 2014, the Company entered into a securities purchase agreement with an accredited investor pursuant to which it sold to the investor Units consisting of (i) a 10% subordinated convertible promissory note in the aggregate face amount of $50,000 maturing on March 31, 2015 (the “</w:t>
      </w:r>
      <w:r>
        <w:rPr>
          <w:rFonts w:ascii="Arial" w:cs="Arial" w:eastAsia="Arial" w:hAnsi="Arial"/>
          <w:sz w:val="11"/>
          <w:szCs w:val="11"/>
          <w:i w:val="1"/>
          <w:iCs w:val="1"/>
          <w:color w:val="auto"/>
        </w:rPr>
        <w:t>Spring 2014 Unit Note</w:t>
      </w:r>
      <w:r>
        <w:rPr>
          <w:rFonts w:ascii="Arial" w:cs="Arial" w:eastAsia="Arial" w:hAnsi="Arial"/>
          <w:sz w:val="11"/>
          <w:szCs w:val="11"/>
          <w:color w:val="auto"/>
        </w:rPr>
        <w:t>”); (ii) an aggregate of 50,000 restricted shares of the Company’s common stock (the “</w:t>
      </w:r>
      <w:r>
        <w:rPr>
          <w:rFonts w:ascii="Arial" w:cs="Arial" w:eastAsia="Arial" w:hAnsi="Arial"/>
          <w:sz w:val="11"/>
          <w:szCs w:val="11"/>
          <w:i w:val="1"/>
          <w:iCs w:val="1"/>
          <w:color w:val="auto"/>
        </w:rPr>
        <w:t>2014 Unit Stock</w:t>
      </w:r>
      <w:r>
        <w:rPr>
          <w:rFonts w:ascii="Arial" w:cs="Arial" w:eastAsia="Arial" w:hAnsi="Arial"/>
          <w:sz w:val="11"/>
          <w:szCs w:val="11"/>
          <w:color w:val="auto"/>
        </w:rPr>
        <w:t>”); and (iii) a warrant exercisable through December 31, 2015 to purchase an aggregate of 50,000 restricted shares of the Company’s common stock at an exercise price of $0.50 per share (the “</w:t>
      </w:r>
      <w:r>
        <w:rPr>
          <w:rFonts w:ascii="Arial" w:cs="Arial" w:eastAsia="Arial" w:hAnsi="Arial"/>
          <w:sz w:val="11"/>
          <w:szCs w:val="11"/>
          <w:i w:val="1"/>
          <w:iCs w:val="1"/>
          <w:color w:val="auto"/>
        </w:rPr>
        <w:t>2014 Unit Warrant</w:t>
      </w:r>
      <w:r>
        <w:rPr>
          <w:rFonts w:ascii="Arial" w:cs="Arial" w:eastAsia="Arial" w:hAnsi="Arial"/>
          <w:sz w:val="11"/>
          <w:szCs w:val="11"/>
          <w:color w:val="auto"/>
        </w:rPr>
        <w:t xml:space="preserve">”).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Units issued in connection with the 2014 Unit Private Placement.)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restricted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subject to certain conditions, automatically convert into the securities sold in the Qualified Financing, based on the following formula: (the Outstanding Balance as of the closing of the Qualified Financing) x 1.25 / (the per security price of the securities sold in the Qualified Financing).</w:t>
      </w:r>
    </w:p>
    <w:p>
      <w:pPr>
        <w:spacing w:after="0" w:line="116"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The Company determined the fair value of the 2014 Unit Stock based on the quoted market price of its stock on the date of the unit sale. The Company calculated the fair value of the 2014 Unit Warrant using the Black Scholes Option Pricing Model and the assumptions indicated in the table below. The table below also presents the aggregate allocation of the Unit sale proceeds based on the relative fair values of the 2014 Unit Stock, 2014 Unit Warrants and 2014 Unit Notes at the unit sale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2"/>
                <w:szCs w:val="12"/>
                <w:color w:val="auto"/>
                <w:w w:val="90"/>
              </w:rPr>
              <w:t>2014 Unit Warrants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gridSpan w:val="4"/>
          </w:tcPr>
          <w:p>
            <w:pPr>
              <w:ind w:left="80"/>
              <w:spacing w:after="0"/>
              <w:rPr>
                <w:sz w:val="20"/>
                <w:szCs w:val="20"/>
                <w:color w:val="auto"/>
              </w:rPr>
            </w:pPr>
            <w:r>
              <w:rPr>
                <w:rFonts w:ascii="Arial" w:cs="Arial" w:eastAsia="Arial" w:hAnsi="Arial"/>
                <w:sz w:val="12"/>
                <w:szCs w:val="12"/>
                <w:color w:val="auto"/>
                <w:w w:val="92"/>
              </w:rPr>
              <w:t>Weighted Average Issuance Date Valuation Assumptions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left="160"/>
              <w:spacing w:after="0"/>
              <w:rPr>
                <w:sz w:val="20"/>
                <w:szCs w:val="20"/>
                <w:color w:val="auto"/>
              </w:rPr>
            </w:pPr>
            <w:r>
              <w:rPr>
                <w:rFonts w:ascii="Arial" w:cs="Arial" w:eastAsia="Arial" w:hAnsi="Arial"/>
                <w:sz w:val="12"/>
                <w:szCs w:val="12"/>
                <w:color w:val="auto"/>
                <w:w w:val="88"/>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2"/>
                <w:szCs w:val="12"/>
                <w:color w:val="auto"/>
                <w:w w:val="90"/>
              </w:rPr>
              <w:t>Aggregate</w:t>
            </w:r>
          </w:p>
        </w:tc>
        <w:tc>
          <w:tcPr>
            <w:tcW w:w="400" w:type="dxa"/>
            <w:vAlign w:val="bottom"/>
          </w:tcPr>
          <w:p>
            <w:pPr>
              <w:spacing w:after="0"/>
              <w:rPr>
                <w:sz w:val="13"/>
                <w:szCs w:val="13"/>
                <w:color w:val="auto"/>
              </w:rPr>
            </w:pPr>
          </w:p>
        </w:tc>
        <w:tc>
          <w:tcPr>
            <w:tcW w:w="1900" w:type="dxa"/>
            <w:vAlign w:val="bottom"/>
            <w:gridSpan w:val="4"/>
            <w:vMerge w:val="restart"/>
          </w:tcPr>
          <w:p>
            <w:pPr>
              <w:jc w:val="center"/>
              <w:spacing w:after="0"/>
              <w:rPr>
                <w:sz w:val="20"/>
                <w:szCs w:val="20"/>
                <w:color w:val="auto"/>
              </w:rPr>
            </w:pPr>
            <w:r>
              <w:rPr>
                <w:rFonts w:ascii="Arial" w:cs="Arial" w:eastAsia="Arial" w:hAnsi="Arial"/>
                <w:sz w:val="12"/>
                <w:szCs w:val="12"/>
                <w:color w:val="auto"/>
                <w:w w:val="92"/>
              </w:rPr>
              <w:t>Aggregate Allocation of Proceeds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92"/>
              </w:rPr>
              <w:t>Risk free</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Fair Value</w:t>
            </w:r>
          </w:p>
        </w:tc>
        <w:tc>
          <w:tcPr>
            <w:tcW w:w="1140" w:type="dxa"/>
            <w:vAlign w:val="bottom"/>
            <w:gridSpan w:val="3"/>
          </w:tcPr>
          <w:p>
            <w:pPr>
              <w:jc w:val="center"/>
              <w:ind w:right="100"/>
              <w:spacing w:after="0"/>
              <w:rPr>
                <w:sz w:val="20"/>
                <w:szCs w:val="20"/>
                <w:color w:val="auto"/>
              </w:rPr>
            </w:pPr>
            <w:r>
              <w:rPr>
                <w:rFonts w:ascii="Arial" w:cs="Arial" w:eastAsia="Arial" w:hAnsi="Arial"/>
                <w:sz w:val="12"/>
                <w:szCs w:val="12"/>
                <w:color w:val="auto"/>
                <w:w w:val="86"/>
              </w:rPr>
              <w:t>Proceeds</w:t>
            </w:r>
          </w:p>
        </w:tc>
        <w:tc>
          <w:tcPr>
            <w:tcW w:w="400" w:type="dxa"/>
            <w:vAlign w:val="bottom"/>
          </w:tcPr>
          <w:p>
            <w:pPr>
              <w:spacing w:after="0"/>
              <w:rPr>
                <w:sz w:val="12"/>
                <w:szCs w:val="12"/>
                <w:color w:val="auto"/>
              </w:rPr>
            </w:pPr>
          </w:p>
        </w:tc>
        <w:tc>
          <w:tcPr>
            <w:tcW w:w="1900" w:type="dxa"/>
            <w:vAlign w:val="bottom"/>
            <w:gridSpan w:val="4"/>
          </w:tcPr>
          <w:p>
            <w:pPr>
              <w:jc w:val="center"/>
              <w:spacing w:after="0"/>
              <w:rPr>
                <w:sz w:val="20"/>
                <w:szCs w:val="20"/>
                <w:color w:val="auto"/>
              </w:rPr>
            </w:pPr>
            <w:r>
              <w:rPr>
                <w:rFonts w:ascii="Arial" w:cs="Arial" w:eastAsia="Arial" w:hAnsi="Arial"/>
                <w:sz w:val="12"/>
                <w:szCs w:val="12"/>
                <w:color w:val="auto"/>
                <w:w w:val="90"/>
              </w:rPr>
              <w:t>Based on Relative Fair Value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84"/>
              </w:rPr>
              <w:t>Shares</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2"/>
              </w:rPr>
              <w:t>Market</w:t>
            </w:r>
          </w:p>
        </w:tc>
        <w:tc>
          <w:tcPr>
            <w:tcW w:w="720" w:type="dxa"/>
            <w:vAlign w:val="bottom"/>
          </w:tcPr>
          <w:p>
            <w:pPr>
              <w:ind w:left="80"/>
              <w:spacing w:after="0" w:line="133" w:lineRule="exact"/>
              <w:rPr>
                <w:sz w:val="20"/>
                <w:szCs w:val="20"/>
                <w:color w:val="auto"/>
              </w:rPr>
            </w:pPr>
            <w:r>
              <w:rPr>
                <w:rFonts w:ascii="Arial" w:cs="Arial" w:eastAsia="Arial" w:hAnsi="Arial"/>
                <w:sz w:val="12"/>
                <w:szCs w:val="12"/>
                <w:color w:val="auto"/>
              </w:rPr>
              <w:t>Exercise</w:t>
            </w:r>
          </w:p>
        </w:tc>
        <w:tc>
          <w:tcPr>
            <w:tcW w:w="64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Interest</w:t>
            </w:r>
          </w:p>
        </w:tc>
        <w:tc>
          <w:tcPr>
            <w:tcW w:w="8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6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97"/>
              </w:rPr>
              <w:t>of Unit</w:t>
            </w:r>
          </w:p>
        </w:tc>
        <w:tc>
          <w:tcPr>
            <w:tcW w:w="700" w:type="dxa"/>
            <w:vAlign w:val="bottom"/>
          </w:tcPr>
          <w:p>
            <w:pPr>
              <w:jc w:val="center"/>
              <w:ind w:left="280"/>
              <w:spacing w:after="0" w:line="133" w:lineRule="exact"/>
              <w:rPr>
                <w:sz w:val="20"/>
                <w:szCs w:val="20"/>
                <w:color w:val="auto"/>
              </w:rPr>
            </w:pPr>
            <w:r>
              <w:rPr>
                <w:rFonts w:ascii="Arial" w:cs="Arial" w:eastAsia="Arial" w:hAnsi="Arial"/>
                <w:sz w:val="12"/>
                <w:szCs w:val="12"/>
                <w:color w:val="auto"/>
              </w:rPr>
              <w:t>of Unit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color w:val="auto"/>
              </w:rPr>
              <w:t>Unit</w:t>
            </w: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Issued</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Price</w:t>
            </w:r>
          </w:p>
        </w:tc>
        <w:tc>
          <w:tcPr>
            <w:tcW w:w="720" w:type="dxa"/>
            <w:vAlign w:val="bottom"/>
          </w:tcPr>
          <w:p>
            <w:pPr>
              <w:ind w:left="160"/>
              <w:spacing w:after="0"/>
              <w:rPr>
                <w:sz w:val="20"/>
                <w:szCs w:val="20"/>
                <w:color w:val="auto"/>
              </w:rPr>
            </w:pPr>
            <w:r>
              <w:rPr>
                <w:rFonts w:ascii="Arial" w:cs="Arial" w:eastAsia="Arial" w:hAnsi="Arial"/>
                <w:sz w:val="12"/>
                <w:szCs w:val="12"/>
                <w:color w:val="auto"/>
              </w:rPr>
              <w:t>Price</w:t>
            </w:r>
          </w:p>
        </w:tc>
        <w:tc>
          <w:tcPr>
            <w:tcW w:w="640" w:type="dxa"/>
            <w:vAlign w:val="bottom"/>
          </w:tcPr>
          <w:p>
            <w:pPr>
              <w:jc w:val="center"/>
              <w:ind w:right="6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80"/>
              <w:spacing w:after="0"/>
              <w:rPr>
                <w:sz w:val="20"/>
                <w:szCs w:val="20"/>
                <w:color w:val="auto"/>
              </w:rPr>
            </w:pPr>
            <w:r>
              <w:rPr>
                <w:rFonts w:ascii="Arial" w:cs="Arial" w:eastAsia="Arial" w:hAnsi="Arial"/>
                <w:sz w:val="12"/>
                <w:szCs w:val="12"/>
                <w:color w:val="auto"/>
                <w:w w:val="86"/>
              </w:rPr>
              <w:t>Rate</w:t>
            </w:r>
          </w:p>
        </w:tc>
        <w:tc>
          <w:tcPr>
            <w:tcW w:w="800" w:type="dxa"/>
            <w:vAlign w:val="bottom"/>
          </w:tcPr>
          <w:p>
            <w:pPr>
              <w:jc w:val="right"/>
              <w:ind w:right="220"/>
              <w:spacing w:after="0"/>
              <w:rPr>
                <w:sz w:val="20"/>
                <w:szCs w:val="20"/>
                <w:color w:val="auto"/>
              </w:rPr>
            </w:pPr>
            <w:r>
              <w:rPr>
                <w:rFonts w:ascii="Arial" w:cs="Arial" w:eastAsia="Arial" w:hAnsi="Arial"/>
                <w:sz w:val="12"/>
                <w:szCs w:val="12"/>
                <w:color w:val="auto"/>
              </w:rPr>
              <w:t>Volatility</w:t>
            </w:r>
          </w:p>
        </w:tc>
        <w:tc>
          <w:tcPr>
            <w:tcW w:w="82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3"/>
              </w:rPr>
              <w:t>Warrant</w:t>
            </w:r>
          </w:p>
        </w:tc>
        <w:tc>
          <w:tcPr>
            <w:tcW w:w="2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Warrants</w:t>
            </w:r>
          </w:p>
        </w:tc>
        <w:tc>
          <w:tcPr>
            <w:tcW w:w="700" w:type="dxa"/>
            <w:vAlign w:val="bottom"/>
          </w:tcPr>
          <w:p>
            <w:pPr>
              <w:jc w:val="center"/>
              <w:ind w:left="280"/>
              <w:spacing w:after="0"/>
              <w:rPr>
                <w:sz w:val="20"/>
                <w:szCs w:val="20"/>
                <w:color w:val="auto"/>
              </w:rPr>
            </w:pPr>
            <w:r>
              <w:rPr>
                <w:rFonts w:ascii="Arial" w:cs="Arial" w:eastAsia="Arial" w:hAnsi="Arial"/>
                <w:sz w:val="12"/>
                <w:szCs w:val="12"/>
                <w:color w:val="auto"/>
                <w:w w:val="79"/>
              </w:rPr>
              <w:t>Sales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Unit Stock</w:t>
            </w:r>
          </w:p>
        </w:tc>
        <w:tc>
          <w:tcPr>
            <w:tcW w:w="920" w:type="dxa"/>
            <w:vAlign w:val="bottom"/>
            <w:gridSpan w:val="2"/>
          </w:tcPr>
          <w:p>
            <w:pPr>
              <w:ind w:left="140"/>
              <w:spacing w:after="0"/>
              <w:rPr>
                <w:sz w:val="20"/>
                <w:szCs w:val="20"/>
                <w:color w:val="auto"/>
              </w:rPr>
            </w:pPr>
            <w:r>
              <w:rPr>
                <w:rFonts w:ascii="Arial" w:cs="Arial" w:eastAsia="Arial" w:hAnsi="Arial"/>
                <w:sz w:val="12"/>
                <w:szCs w:val="12"/>
                <w:color w:val="auto"/>
              </w:rPr>
              <w:t>Warrant</w:t>
            </w:r>
          </w:p>
        </w:tc>
        <w:tc>
          <w:tcPr>
            <w:tcW w:w="920" w:type="dxa"/>
            <w:vAlign w:val="bottom"/>
            <w:gridSpan w:val="3"/>
          </w:tcPr>
          <w:p>
            <w:pPr>
              <w:ind w:left="14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0.46</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0.66%</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10,400</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50,000</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13,800</w:t>
            </w:r>
          </w:p>
        </w:tc>
        <w:tc>
          <w:tcPr>
            <w:tcW w:w="4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3"/>
              </w:rPr>
              <w:t>6,200</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2012/2013 Unit Private Placement</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2012 Notes exchanged the aggregate amount of $678,600 due under the terms of such notes for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9, </w:t>
      </w:r>
      <w:r>
        <w:rPr>
          <w:rFonts w:ascii="Arial" w:cs="Arial" w:eastAsia="Arial" w:hAnsi="Arial"/>
          <w:sz w:val="12"/>
          <w:szCs w:val="12"/>
          <w:i w:val="1"/>
          <w:iCs w:val="1"/>
          <w:color w:val="auto"/>
        </w:rPr>
        <w:t>Convertible Promissory Notes</w:t>
      </w:r>
      <w:r>
        <w:rPr>
          <w:rFonts w:ascii="Arial" w:cs="Arial" w:eastAsia="Arial" w:hAnsi="Arial"/>
          <w:sz w:val="12"/>
          <w:szCs w:val="12"/>
          <w:color w:val="auto"/>
        </w:rPr>
        <w:t xml:space="preserve"> </w:t>
      </w:r>
      <w:r>
        <w:rPr>
          <w:rFonts w:ascii="Arial" w:cs="Arial" w:eastAsia="Arial" w:hAnsi="Arial"/>
          <w:sz w:val="12"/>
          <w:szCs w:val="12"/>
          <w:i w:val="1"/>
          <w:iCs w:val="1"/>
          <w:color w:val="auto"/>
        </w:rPr>
        <w:t>and Other Notes Payable</w:t>
      </w:r>
      <w:r>
        <w:rPr>
          <w:rFonts w:ascii="Arial" w:cs="Arial" w:eastAsia="Arial" w:hAnsi="Arial"/>
          <w:sz w:val="12"/>
          <w:szCs w:val="12"/>
          <w:color w:val="auto"/>
        </w:rPr>
        <w:t>, entitling the Company to sell and requiring Platinum to purchase senior secured convertible promissory notes in the aggregate face amount of $1.0 million in February and March 2013. In connection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settlement of legal fees payable by issuing Units, the Company recorded a loss on extinguishment of debt of $30,800 based on the fair market value of the common shares and the warrant comprising the Unit on the effective date of the settlement.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6" w:name="page107"/>
    <w:bookmarkEnd w:id="10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Grants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August 2012, the Company modified an existing warrant and issued a new warrant to Morrison &amp; Foerster as additional consideration for the Restructuring Agreement, as disclosed in Note 8, </w:t>
      </w:r>
      <w:r>
        <w:rPr>
          <w:rFonts w:ascii="Arial" w:cs="Arial" w:eastAsia="Arial" w:hAnsi="Arial"/>
          <w:sz w:val="12"/>
          <w:szCs w:val="12"/>
          <w:i w:val="1"/>
          <w:iCs w:val="1"/>
          <w:color w:val="auto"/>
        </w:rPr>
        <w:t>Convertible Promissory Notes and</w:t>
      </w:r>
      <w:r>
        <w:rPr>
          <w:rFonts w:ascii="Arial" w:cs="Arial" w:eastAsia="Arial" w:hAnsi="Arial"/>
          <w:sz w:val="12"/>
          <w:szCs w:val="12"/>
          <w:color w:val="auto"/>
        </w:rPr>
        <w:t xml:space="preserve"> </w:t>
      </w:r>
      <w:r>
        <w:rPr>
          <w:rFonts w:ascii="Arial" w:cs="Arial" w:eastAsia="Arial" w:hAnsi="Arial"/>
          <w:sz w:val="12"/>
          <w:szCs w:val="12"/>
          <w:i w:val="1"/>
          <w:iCs w:val="1"/>
          <w:color w:val="auto"/>
        </w:rPr>
        <w:t>Other Notes Payable</w:t>
      </w:r>
      <w:r>
        <w:rPr>
          <w:rFonts w:ascii="Arial" w:cs="Arial" w:eastAsia="Arial" w:hAnsi="Arial"/>
          <w:sz w:val="12"/>
          <w:szCs w:val="12"/>
          <w:color w:val="auto"/>
        </w:rPr>
        <w:t>. As described in Note 8, the Company has treated the aggregate of the incremental value of the Amended M&amp;F Warrant and the fair value of the New M&amp;F Warrant as a discount to the Replacement Notes, which</w:t>
      </w:r>
      <w:r>
        <w:rPr>
          <w:rFonts w:ascii="Arial" w:cs="Arial" w:eastAsia="Arial" w:hAnsi="Arial"/>
          <w:sz w:val="12"/>
          <w:szCs w:val="12"/>
          <w:i w:val="1"/>
          <w:iCs w:val="1"/>
          <w:color w:val="auto"/>
        </w:rPr>
        <w:t xml:space="preserve"> </w:t>
      </w:r>
      <w:r>
        <w:rPr>
          <w:rFonts w:ascii="Arial" w:cs="Arial" w:eastAsia="Arial" w:hAnsi="Arial"/>
          <w:sz w:val="12"/>
          <w:szCs w:val="12"/>
          <w:color w:val="auto"/>
        </w:rPr>
        <w:t>discount is being amortized to interest expense using the effective interest rate method over the term of the Replacement Notes.</w:t>
      </w:r>
    </w:p>
    <w:p>
      <w:pPr>
        <w:spacing w:after="0" w:line="141"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August 2012, the Company issued a promissory note in the principal amount of $60,000 and 15,000 restricted shares of its common stock valued at $0.94 per share in settlement of its past due obligation for AV-101 clinical development services.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7" w:name="page108"/>
    <w:bookmarkEnd w:id="10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Warrants to Purchase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 Grants and Exercises</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19, 2014, the Company granted five -year warrants to purchase an aggregate of 415,000 restricted shares of the Company’s unregistered common stock at an exercise price of $0.50 per share to the independent members of its Board of Directors and certain of its officers. The warrants become exercisable for 50% of the shares on April 1, 2014, 25% of the shares on April 1, 2015 and 25% of the shares on April 1, 2016, provided that the warrant will become fully vested upon a change in control of the Company, as defined, or the consummation by the Company and a third party of a license or sale transaction involving at least one new drug rescue variant. The Company valued the warrants at $120,800 using the Black Scholes Option Pricing Model and the following assumptions: market price per share: $0.46; exercise price per share: $0.50; risk-free interest rate: 1.75%; contractual term: 5 years; volatility: 80.57%; expected dividend rate: 0%. The Company recognized stock compensation expense of $60,400 related to the grants in the fourth quarter of the fiscal year ended March 31, 2014.</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Consolidated Statements of Operations and Comprehensive Loss for the fiscal year ended March 31, 2014, with a corresponding credit to additional paid-in capital, an equity account.</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2013 and October 2013, the Company’s Chief Executive Officer partially exercised an outstanding warrant to purchase 50,000 and 10,000 restricted shares of the Company’s common stock at an exercise price of $0.64 per share, respectively, and the Company received cash proceeds of $32,000 and $10,000, respectively, from the exercises.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 Held by Platinum</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on May 24, 2013, the Company and Platinum entered into an Amendment and Waiver Agreement (the “</w:t>
      </w:r>
      <w:r>
        <w:rPr>
          <w:rFonts w:ascii="Arial" w:cs="Arial" w:eastAsia="Arial" w:hAnsi="Arial"/>
          <w:sz w:val="12"/>
          <w:szCs w:val="12"/>
          <w:i w:val="1"/>
          <w:iCs w:val="1"/>
          <w:color w:val="auto"/>
        </w:rPr>
        <w:t>Amendment and Waiver</w:t>
      </w:r>
      <w:r>
        <w:rPr>
          <w:rFonts w:ascii="Arial" w:cs="Arial" w:eastAsia="Arial" w:hAnsi="Arial"/>
          <w:sz w:val="12"/>
          <w:szCs w:val="12"/>
          <w:color w:val="auto"/>
        </w:rPr>
        <w:t>”) pursuant to which the Company agreed to reduce the exercise price of the Exchange Warrant and the Investment Warrants issued to Platinum in October 2012 and February 2013 and March 2013 (collectively, the “</w:t>
      </w:r>
      <w:r>
        <w:rPr>
          <w:rFonts w:ascii="Arial" w:cs="Arial" w:eastAsia="Arial" w:hAnsi="Arial"/>
          <w:sz w:val="12"/>
          <w:szCs w:val="12"/>
          <w:i w:val="1"/>
          <w:iCs w:val="1"/>
          <w:color w:val="auto"/>
        </w:rPr>
        <w:t>Warrants</w:t>
      </w:r>
      <w:r>
        <w:rPr>
          <w:rFonts w:ascii="Arial" w:cs="Arial" w:eastAsia="Arial" w:hAnsi="Arial"/>
          <w:sz w:val="12"/>
          <w:szCs w:val="12"/>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w:t>
      </w:r>
      <w:r>
        <w:rPr>
          <w:rFonts w:ascii="Arial" w:cs="Arial" w:eastAsia="Arial" w:hAnsi="Arial"/>
          <w:sz w:val="12"/>
          <w:szCs w:val="12"/>
          <w:i w:val="1"/>
          <w:iCs w:val="1"/>
          <w:color w:val="auto"/>
        </w:rPr>
        <w:t>Other Warrant Modifications</w:t>
      </w:r>
      <w:r>
        <w:rPr>
          <w:rFonts w:ascii="Arial" w:cs="Arial" w:eastAsia="Arial" w:hAnsi="Arial"/>
          <w:sz w:val="12"/>
          <w:szCs w:val="12"/>
          <w:color w:val="auto"/>
        </w:rPr>
        <w:t xml:space="preserve"> </w:t>
      </w:r>
      <w:r>
        <w:rPr>
          <w:rFonts w:ascii="Arial" w:cs="Arial" w:eastAsia="Arial" w:hAnsi="Arial"/>
          <w:sz w:val="12"/>
          <w:szCs w:val="12"/>
          <w:i w:val="1"/>
          <w:iCs w:val="1"/>
          <w:color w:val="auto"/>
        </w:rPr>
        <w:t>and Exercises</w:t>
      </w:r>
      <w:r>
        <w:rPr>
          <w:rFonts w:ascii="Arial" w:cs="Arial" w:eastAsia="Arial" w:hAnsi="Arial"/>
          <w:sz w:val="12"/>
          <w:szCs w:val="12"/>
          <w:color w:val="auto"/>
        </w:rPr>
        <w:t>”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8" w:name="page109"/>
    <w:bookmarkEnd w:id="10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color w:val="auto"/>
        </w:rPr>
        <w:t xml:space="preserve">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and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The Company also re-measures at the end of each reporting period the fair value of the Series A Exchange Warrant which is contingently issuable to Platinum upon the exchange of its shares of the Company’s Series A Preferred Stock into shares of the Company’s restricted common stock. At March 31, 2014 and 2013, the Company determined the fair values of the Exchange Warrant, the Investment Warrants, the July 2013 Warrant (2014 only) and the Series A Preferred Exchange Warrant to be a weighted average of $0.27 and $0.59 per share, respectively, or an aggregate of $2,973,900 and $6,394,000, which amounts are reflected as Warrant Liability in the accompanying Consolidated Balance Sheets at March 31, 2014 and 2013, respectively. The Company determined the fair value of the warrants at March 31, 2014 using a Monte Carlo simulation model assuming the exercise price of the warrants to be the lower of (i) $0.50 per share or (ii) the projected market price of the Company’s common stock as determined by the simulation model and the other assumptions indicated in the table below. The Company determined the fair value of the warrants at March 31, 2013 using the Black Scholes Option Pricing Model and the assumptions indicated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March 31,</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2014</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Market price of common stock</w:t>
            </w: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0.46</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0.83</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Exercise price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0.49 to $0.50</w:t>
            </w:r>
          </w:p>
        </w:tc>
        <w:tc>
          <w:tcPr>
            <w:tcW w:w="80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320" w:type="dxa"/>
            <w:vAlign w:val="bottom"/>
          </w:tcPr>
          <w:p>
            <w:pPr>
              <w:spacing w:after="0"/>
              <w:rPr>
                <w:sz w:val="12"/>
                <w:szCs w:val="12"/>
                <w:color w:val="auto"/>
              </w:rPr>
            </w:pP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Risk-free interest rate</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1.73</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Volatility</w:t>
            </w: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85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Term (years)</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 to 5.0</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 to 5.0</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Dividend rate</w:t>
            </w:r>
          </w:p>
        </w:tc>
        <w:tc>
          <w:tcPr>
            <w:tcW w:w="7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Probability of Series A Preferred exchange</w:t>
            </w: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580" w:type="dxa"/>
            <w:vAlign w:val="bottom"/>
          </w:tcPr>
          <w:p>
            <w:pPr>
              <w:ind w:left="420"/>
              <w:spacing w:after="0"/>
              <w:rPr>
                <w:sz w:val="20"/>
                <w:szCs w:val="20"/>
                <w:color w:val="auto"/>
              </w:rPr>
            </w:pPr>
            <w:r>
              <w:rPr>
                <w:rFonts w:ascii="Arial" w:cs="Arial" w:eastAsia="Arial" w:hAnsi="Arial"/>
                <w:sz w:val="12"/>
                <w:szCs w:val="12"/>
                <w:color w:val="auto"/>
              </w:rPr>
              <w:t>Fair value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0.26 to $0.29</w:t>
            </w:r>
          </w:p>
        </w:tc>
        <w:tc>
          <w:tcPr>
            <w:tcW w:w="80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0.59 to $0.62</w:t>
            </w:r>
          </w:p>
        </w:tc>
        <w:tc>
          <w:tcPr>
            <w:tcW w:w="320" w:type="dxa"/>
            <w:vAlign w:val="bottom"/>
          </w:tcPr>
          <w:p>
            <w:pPr>
              <w:spacing w:after="0"/>
              <w:rPr>
                <w:sz w:val="13"/>
                <w:szCs w:val="13"/>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Warrant Modifications and Exercises</w:t>
      </w:r>
    </w:p>
    <w:p>
      <w:pPr>
        <w:spacing w:after="0" w:line="172" w:lineRule="exact"/>
        <w:rPr>
          <w:sz w:val="20"/>
          <w:szCs w:val="20"/>
          <w:color w:val="auto"/>
        </w:rPr>
      </w:pPr>
    </w:p>
    <w:p>
      <w:pPr>
        <w:jc w:val="both"/>
        <w:ind w:firstLine="432"/>
        <w:spacing w:after="0" w:line="305" w:lineRule="auto"/>
        <w:rPr>
          <w:sz w:val="20"/>
          <w:szCs w:val="20"/>
          <w:color w:val="auto"/>
        </w:rPr>
      </w:pPr>
      <w:r>
        <w:rPr>
          <w:rFonts w:ascii="Arial" w:cs="Arial" w:eastAsia="Arial" w:hAnsi="Arial"/>
          <w:sz w:val="10"/>
          <w:szCs w:val="10"/>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restricted shares of the Company’s common stock in lieu of payment by the Company in satisfaction of amounts due for professional services in the aggregate amount of $8,300. The Company calculated the fair value of the warrants exercised immediately before and after the modifications and determined that the fair value of the warrants exercised</w:t>
      </w:r>
    </w:p>
    <w:p>
      <w:pPr>
        <w:spacing w:after="0" w:line="1" w:lineRule="exact"/>
        <w:rPr>
          <w:sz w:val="20"/>
          <w:szCs w:val="20"/>
          <w:color w:val="auto"/>
        </w:rPr>
      </w:pPr>
    </w:p>
    <w:p>
      <w:pPr>
        <w:spacing w:after="0"/>
        <w:tabs>
          <w:tab w:leader="none" w:pos="2040" w:val="left"/>
        </w:tabs>
        <w:rPr>
          <w:sz w:val="20"/>
          <w:szCs w:val="20"/>
          <w:color w:val="auto"/>
        </w:rPr>
      </w:pPr>
      <w:r>
        <w:rPr>
          <w:rFonts w:ascii="Arial" w:cs="Arial" w:eastAsia="Arial" w:hAnsi="Arial"/>
          <w:sz w:val="12"/>
          <w:szCs w:val="12"/>
          <w:color w:val="auto"/>
        </w:rPr>
        <w:t>decreased.</w:t>
      </w:r>
      <w:r>
        <w:rPr>
          <w:sz w:val="20"/>
          <w:szCs w:val="20"/>
          <w:color w:val="auto"/>
        </w:rPr>
        <w:tab/>
      </w:r>
      <w:r>
        <w:rPr>
          <w:rFonts w:ascii="Arial" w:cs="Arial" w:eastAsia="Arial" w:hAnsi="Arial"/>
          <w:sz w:val="7"/>
          <w:szCs w:val="7"/>
          <w:color w:val="auto"/>
        </w:rPr>
        <w:t>.</w:t>
      </w:r>
    </w:p>
    <w:p>
      <w:pPr>
        <w:spacing w:after="0" w:line="15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In October 2013 the Company modified certain outstanding warrants held by its long-term investors and consultants to purchase an aggregate of 1,292,778 restricted shares of the Company’s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2"/>
                <w:szCs w:val="12"/>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0.33%</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74.4%</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Dividend rate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40" w:type="dxa"/>
            <w:vAlign w:val="bottom"/>
            <w:gridSpan w:val="3"/>
          </w:tcPr>
          <w:p>
            <w:pPr>
              <w:jc w:val="right"/>
              <w:ind w:right="2100"/>
              <w:spacing w:after="0"/>
              <w:rPr>
                <w:sz w:val="20"/>
                <w:szCs w:val="20"/>
                <w:color w:val="auto"/>
              </w:rPr>
            </w:pPr>
            <w:r>
              <w:rPr>
                <w:rFonts w:ascii="Arial" w:cs="Arial" w:eastAsia="Arial" w:hAnsi="Arial"/>
                <w:sz w:val="12"/>
                <w:szCs w:val="12"/>
                <w:color w:val="auto"/>
              </w:rPr>
              <w:t>F-35</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9" w:name="page110"/>
    <w:bookmarkEnd w:id="10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December 2013, the Company modified additional outstanding warrants held by certain of its long-term investors, consultants, and members of management and its Board of Directors to purchase an aggregate of 1,260,251 restricted shares of its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1.67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73.6%</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February 2014, the Company modified additional outstanding warrants held by certain of its long-term investors to purchase an aggregate of 574,432 restricted shares of its common stock primarily to extend the exercise term of the warrants, and, in limited cases, to reduce the exercise price from $1.50 per share to $0.50 per share. The Company calculated the fair value of the warrants immediately before and after the modifications and determined that the fair value of the warrants increased by $29,800,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0.46</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0.01</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2.51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1.38</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80.8%</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Dividend rate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0.03</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80" w:type="dxa"/>
            <w:vAlign w:val="bottom"/>
            <w:gridSpan w:val="3"/>
          </w:tcPr>
          <w:p>
            <w:pPr>
              <w:jc w:val="right"/>
              <w:ind w:right="2100"/>
              <w:spacing w:after="0"/>
              <w:rPr>
                <w:sz w:val="20"/>
                <w:szCs w:val="20"/>
                <w:color w:val="auto"/>
              </w:rPr>
            </w:pPr>
            <w:r>
              <w:rPr>
                <w:rFonts w:ascii="Arial" w:cs="Arial" w:eastAsia="Arial" w:hAnsi="Arial"/>
                <w:sz w:val="12"/>
                <w:szCs w:val="12"/>
                <w:color w:val="auto"/>
              </w:rPr>
              <w:t>F-36</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40" w:type="dxa"/>
            <w:vAlign w:val="bottom"/>
            <w:tcBorders>
              <w:bottom w:val="single" w:sz="8" w:color="808080"/>
            </w:tcBorders>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0" w:name="page111"/>
    <w:bookmarkEnd w:id="11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restricted share of its common stock at an exercise price of $3.00 per share.</w:t>
      </w:r>
    </w:p>
    <w:p>
      <w:pPr>
        <w:spacing w:after="0" w:line="109"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1.95</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2.75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0.29%</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1.93</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78.0%</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0.64</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1.45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corresponding with the contractual term or remaining term of the warrant. The dividend rate is zero as the Company has not paid and does not expect to pay dividends in the near future.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1" w:name="page112"/>
    <w:bookmarkEnd w:id="11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Outstanding</w:t>
      </w:r>
    </w:p>
    <w:p>
      <w:pPr>
        <w:spacing w:after="0" w:line="16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color w:val="auto"/>
        </w:rPr>
        <w:t>The following table summarizes outstanding warrants to purchase restricted shares of the Company’s common stock as of March 31, 2014. The weighted average exercise price of outstanding warrants at March 31, 2014 was $0.87 per share.</w:t>
      </w:r>
    </w:p>
    <w:tbl>
      <w:tblPr>
        <w:tblLayout w:type="fixed"/>
        <w:tblInd w:w="0" w:type="dxa"/>
        <w:tblCellMar>
          <w:top w:w="0" w:type="dxa"/>
          <w:left w:w="0" w:type="dxa"/>
          <w:bottom w:w="0" w:type="dxa"/>
          <w:right w:w="0" w:type="dxa"/>
        </w:tblCellMar>
      </w:tblPr>
      <w:tr>
        <w:trPr>
          <w:trHeight w:val="132"/>
        </w:trPr>
        <w:tc>
          <w:tcPr>
            <w:tcW w:w="1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900" w:type="dxa"/>
            <w:vAlign w:val="bottom"/>
            <w:gridSpan w:val="2"/>
          </w:tcPr>
          <w:p>
            <w:pPr>
              <w:jc w:val="center"/>
              <w:ind w:right="460"/>
              <w:spacing w:after="0" w:line="132" w:lineRule="exact"/>
              <w:rPr>
                <w:sz w:val="20"/>
                <w:szCs w:val="20"/>
                <w:color w:val="auto"/>
              </w:rPr>
            </w:pPr>
            <w:r>
              <w:rPr>
                <w:rFonts w:ascii="Arial" w:cs="Arial" w:eastAsia="Arial" w:hAnsi="Arial"/>
                <w:sz w:val="12"/>
                <w:szCs w:val="12"/>
                <w:b w:val="1"/>
                <w:bCs w:val="1"/>
                <w:color w:val="auto"/>
                <w:w w:val="86"/>
              </w:rPr>
              <w:t>Shares Subject to</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89"/>
              </w:rPr>
              <w:t>Exercise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9"/>
              </w:rPr>
              <w:t>Weighted Average</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Purchase at</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95"/>
              </w:rPr>
              <w:t>Price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8"/>
              </w:rPr>
              <w:t>Years to</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March 31,</w:t>
            </w:r>
          </w:p>
        </w:tc>
      </w:tr>
      <w:tr>
        <w:trPr>
          <w:trHeight w:val="157"/>
        </w:trPr>
        <w:tc>
          <w:tcPr>
            <w:tcW w:w="1740" w:type="dxa"/>
            <w:vAlign w:val="bottom"/>
          </w:tcPr>
          <w:p>
            <w:pPr>
              <w:jc w:val="center"/>
              <w:ind w:left="500"/>
              <w:spacing w:after="0"/>
              <w:rPr>
                <w:sz w:val="20"/>
                <w:szCs w:val="20"/>
                <w:color w:val="auto"/>
              </w:rPr>
            </w:pPr>
            <w:r>
              <w:rPr>
                <w:rFonts w:ascii="Arial" w:cs="Arial" w:eastAsia="Arial" w:hAnsi="Arial"/>
                <w:sz w:val="12"/>
                <w:szCs w:val="12"/>
                <w:b w:val="1"/>
                <w:bCs w:val="1"/>
                <w:color w:val="auto"/>
                <w:w w:val="90"/>
              </w:rPr>
              <w:t>per Share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3"/>
                <w:szCs w:val="13"/>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91"/>
              </w:rPr>
              <w:t>Expiration</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480" w:type="dxa"/>
            <w:vAlign w:val="bottom"/>
          </w:tcPr>
          <w:p>
            <w:pPr>
              <w:spacing w:after="0"/>
              <w:rPr>
                <w:sz w:val="13"/>
                <w:szCs w:val="13"/>
                <w:color w:val="auto"/>
              </w:rPr>
            </w:pPr>
          </w:p>
        </w:tc>
      </w:tr>
      <w:tr>
        <w:trPr>
          <w:trHeight w:val="142"/>
        </w:trPr>
        <w:tc>
          <w:tcPr>
            <w:tcW w:w="17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3/19/2019</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3.34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5,856,983</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3/3/2023</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8.92</w:t>
            </w:r>
          </w:p>
        </w:tc>
        <w:tc>
          <w:tcPr>
            <w:tcW w:w="2420" w:type="dxa"/>
            <w:vAlign w:val="bottom"/>
          </w:tcPr>
          <w:p>
            <w:pPr>
              <w:jc w:val="right"/>
              <w:spacing w:after="0"/>
              <w:rPr>
                <w:sz w:val="20"/>
                <w:szCs w:val="20"/>
                <w:color w:val="auto"/>
              </w:rPr>
            </w:pPr>
            <w:r>
              <w:rPr>
                <w:rFonts w:ascii="Arial" w:cs="Arial" w:eastAsia="Arial" w:hAnsi="Arial"/>
                <w:sz w:val="12"/>
                <w:szCs w:val="12"/>
                <w:color w:val="auto"/>
              </w:rPr>
              <w:t>2,940,000</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7/30/2016 to 9/30/2017</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3.05</w:t>
            </w:r>
          </w:p>
        </w:tc>
        <w:tc>
          <w:tcPr>
            <w:tcW w:w="2420" w:type="dxa"/>
            <w:vAlign w:val="bottom"/>
          </w:tcPr>
          <w:p>
            <w:pPr>
              <w:jc w:val="right"/>
              <w:spacing w:after="0"/>
              <w:rPr>
                <w:sz w:val="20"/>
                <w:szCs w:val="20"/>
                <w:color w:val="auto"/>
              </w:rPr>
            </w:pPr>
            <w:r>
              <w:rPr>
                <w:rFonts w:ascii="Arial" w:cs="Arial" w:eastAsia="Arial" w:hAnsi="Arial"/>
                <w:sz w:val="12"/>
                <w:szCs w:val="12"/>
                <w:color w:val="auto"/>
              </w:rPr>
              <w:t>5,326,029</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50,280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11/4/2014 to 3/4/2018</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2.45</w:t>
            </w:r>
          </w:p>
        </w:tc>
        <w:tc>
          <w:tcPr>
            <w:tcW w:w="2420" w:type="dxa"/>
            <w:vAlign w:val="bottom"/>
          </w:tcPr>
          <w:p>
            <w:pPr>
              <w:jc w:val="right"/>
              <w:spacing w:after="0"/>
              <w:rPr>
                <w:sz w:val="20"/>
                <w:szCs w:val="20"/>
                <w:color w:val="auto"/>
              </w:rPr>
            </w:pPr>
            <w:r>
              <w:rPr>
                <w:rFonts w:ascii="Arial" w:cs="Arial" w:eastAsia="Arial" w:hAnsi="Arial"/>
                <w:sz w:val="12"/>
                <w:szCs w:val="12"/>
                <w:color w:val="auto"/>
              </w:rPr>
              <w:t>2,353,052</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9/15/2017</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3.46</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425,000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tcPr>
          <w:p>
            <w:pPr>
              <w:jc w:val="right"/>
              <w:spacing w:after="0"/>
              <w:rPr>
                <w:sz w:val="20"/>
                <w:szCs w:val="20"/>
                <w:color w:val="auto"/>
              </w:rPr>
            </w:pPr>
            <w:r>
              <w:rPr>
                <w:rFonts w:ascii="Arial" w:cs="Arial" w:eastAsia="Arial" w:hAnsi="Arial"/>
                <w:sz w:val="12"/>
                <w:szCs w:val="12"/>
                <w:color w:val="auto"/>
              </w:rPr>
              <w:t>42,443</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61,418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3.00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2/13/2016</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1.87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w:t>
            </w:r>
          </w:p>
        </w:tc>
        <w:tc>
          <w:tcPr>
            <w:tcW w:w="480" w:type="dxa"/>
            <w:vAlign w:val="bottom"/>
          </w:tcPr>
          <w:p>
            <w:pPr>
              <w:spacing w:after="0"/>
              <w:rPr>
                <w:sz w:val="12"/>
                <w:szCs w:val="12"/>
                <w:color w:val="auto"/>
              </w:rPr>
            </w:pPr>
          </w:p>
        </w:tc>
      </w:tr>
      <w:tr>
        <w:trPr>
          <w:trHeight w:val="142"/>
        </w:trPr>
        <w:tc>
          <w:tcPr>
            <w:tcW w:w="1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4.07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17,095,633</w:t>
            </w:r>
          </w:p>
        </w:tc>
        <w:tc>
          <w:tcPr>
            <w:tcW w:w="480" w:type="dxa"/>
            <w:vAlign w:val="bottom"/>
          </w:tcPr>
          <w:p>
            <w:pPr>
              <w:spacing w:after="0"/>
              <w:rPr>
                <w:sz w:val="12"/>
                <w:szCs w:val="12"/>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Receivable from Sale of Company Securities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May 2011, the Company accepted a $500,000 short-term note from an investor in payment for shares of the Company’s common stock sold to the investor in a private placement transaction. In October 2011, the Company restructured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2014 and 2013 was $198,100 and $209,100,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2" w:name="page113"/>
    <w:bookmarkEnd w:id="112"/>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Reserved Shares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2014, the Company has reserved shares of its common stock for future issuance as follows: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Upon exchange of all shares of Series A Preferred Stock currently issued and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92340" cy="914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84" w:lineRule="exact"/>
        <w:rPr>
          <w:sz w:val="20"/>
          <w:szCs w:val="20"/>
          <w:color w:val="auto"/>
        </w:rPr>
      </w:pPr>
    </w:p>
    <w:p>
      <w:pPr>
        <w:ind w:left="8"/>
        <w:spacing w:after="0"/>
        <w:rPr>
          <w:sz w:val="20"/>
          <w:szCs w:val="20"/>
          <w:color w:val="auto"/>
        </w:rPr>
      </w:pPr>
      <w:r>
        <w:rPr>
          <w:rFonts w:ascii="Arial" w:cs="Arial" w:eastAsia="Arial" w:hAnsi="Arial"/>
          <w:sz w:val="10"/>
          <w:szCs w:val="10"/>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92340" cy="91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53" w:lineRule="exact"/>
        <w:rPr>
          <w:sz w:val="20"/>
          <w:szCs w:val="20"/>
          <w:color w:val="auto"/>
        </w:rPr>
      </w:pPr>
    </w:p>
    <w:p>
      <w:pPr>
        <w:ind w:left="8" w:right="260"/>
        <w:spacing w:after="0" w:line="291" w:lineRule="auto"/>
        <w:rPr>
          <w:sz w:val="20"/>
          <w:szCs w:val="20"/>
          <w:color w:val="auto"/>
        </w:rPr>
      </w:pPr>
      <w:r>
        <w:rPr>
          <w:rFonts w:ascii="Arial" w:cs="Arial" w:eastAsia="Arial" w:hAnsi="Arial"/>
          <w:sz w:val="12"/>
          <w:szCs w:val="12"/>
          <w:color w:val="auto"/>
        </w:rPr>
        <w:t xml:space="preserve">110% of shares issuable upon conversion of 10% convertible Exchange Note and Investment Notes issued to Platinum in October 2012, February 2013 and March 2013, including interest accrued through maturity </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92340" cy="182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warrants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Issuable pursuant to accrued interest through maturity on outstanding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14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248"/>
        <w:spacing w:after="0"/>
        <w:rPr>
          <w:sz w:val="20"/>
          <w:szCs w:val="20"/>
          <w:color w:val="auto"/>
        </w:rPr>
      </w:pPr>
      <w:r>
        <w:rPr>
          <w:rFonts w:ascii="Arial" w:cs="Arial" w:eastAsia="Arial" w:hAnsi="Arial"/>
          <w:sz w:val="12"/>
          <w:szCs w:val="12"/>
          <w:color w:val="auto"/>
        </w:rPr>
        <w:t>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91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options under the 2008 and 1999 Stock Incentive Plans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conversion of notes and accrued interest issued pursuant to the Winter 2013/2014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Upon further sales of Units in the Spring 2014 Private Placement of Units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further sale of shares to Autilion under the amended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114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w:t>
      </w:r>
    </w:p>
    <w:p>
      <w:pPr>
        <w:ind w:left="148" w:hanging="148"/>
        <w:spacing w:after="0" w:line="195" w:lineRule="auto"/>
        <w:tabs>
          <w:tab w:leader="none" w:pos="148" w:val="left"/>
        </w:tabs>
        <w:numPr>
          <w:ilvl w:val="0"/>
          <w:numId w:val="41"/>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48" w:hanging="148"/>
        <w:spacing w:after="0" w:line="186" w:lineRule="auto"/>
        <w:tabs>
          <w:tab w:leader="none" w:pos="148" w:val="left"/>
        </w:tabs>
        <w:numPr>
          <w:ilvl w:val="0"/>
          <w:numId w:val="41"/>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0"/>
          <w:szCs w:val="10"/>
          <w:color w:val="auto"/>
        </w:rPr>
        <w:t>15,000,000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7,500,000</w:t>
      </w:r>
    </w:p>
    <w:p>
      <w:pPr>
        <w:spacing w:after="0" w:line="31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11,227,423</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17,095,633</w:t>
      </w:r>
    </w:p>
    <w:p>
      <w:pPr>
        <w:spacing w:after="0" w:line="16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938,971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9525</wp:posOffset>
            </wp:positionV>
            <wp:extent cx="72644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18,034,604</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4,249,271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735,200</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4,984,471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2,470,000</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14,900,000</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71,950,000</w:t>
      </w:r>
    </w:p>
    <w:p>
      <w:pPr>
        <w:spacing w:after="0" w:line="171" w:lineRule="exact"/>
        <w:rPr>
          <w:sz w:val="20"/>
          <w:szCs w:val="20"/>
          <w:color w:val="auto"/>
        </w:rPr>
      </w:pPr>
    </w:p>
    <w:p>
      <w:pPr>
        <w:spacing w:after="0"/>
        <w:rPr>
          <w:sz w:val="20"/>
          <w:szCs w:val="20"/>
          <w:color w:val="auto"/>
        </w:rPr>
      </w:pPr>
      <w:r>
        <w:rPr>
          <w:rFonts w:ascii="Arial" w:cs="Arial" w:eastAsia="Arial" w:hAnsi="Arial"/>
          <w:sz w:val="10"/>
          <w:szCs w:val="10"/>
          <w:color w:val="auto"/>
        </w:rPr>
        <w:t>146,066,498</w:t>
      </w:r>
    </w:p>
    <w:p>
      <w:pPr>
        <w:spacing w:after="0" w:line="965" w:lineRule="exact"/>
        <w:rPr>
          <w:sz w:val="20"/>
          <w:szCs w:val="20"/>
          <w:color w:val="auto"/>
        </w:rPr>
      </w:pPr>
    </w:p>
    <w:p>
      <w:pPr>
        <w:sectPr>
          <w:pgSz w:w="11900" w:h="16838" w:orient="portrait"/>
          <w:cols w:equalWidth="0" w:num="2">
            <w:col w:w="10048" w:space="720"/>
            <w:col w:w="720"/>
          </w:cols>
          <w:pgMar w:left="212" w:top="134" w:right="199" w:bottom="1440" w:gutter="0" w:footer="0" w:header="0"/>
        </w:sectPr>
      </w:pPr>
    </w:p>
    <w:p>
      <w:pPr>
        <w:jc w:val="both"/>
        <w:ind w:left="8" w:firstLine="432"/>
        <w:spacing w:after="0" w:line="263" w:lineRule="auto"/>
        <w:rPr>
          <w:sz w:val="20"/>
          <w:szCs w:val="20"/>
          <w:color w:val="auto"/>
        </w:rPr>
      </w:pPr>
      <w:r>
        <w:rPr>
          <w:rFonts w:ascii="Arial" w:cs="Arial" w:eastAsia="Arial" w:hAnsi="Arial"/>
          <w:sz w:val="12"/>
          <w:szCs w:val="12"/>
          <w:color w:val="auto"/>
        </w:rPr>
        <w:t>The Company recorded research and development expenses of approximately $2.5 million and $3.4 million in the fiscal years ended March 31, 2014 and 2013,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Income Taxes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provision for income taxes for the periods presented in the consolidated statements of operations represents minimum California franchise taxes. Income tax expense differed from the amounts computed by applying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federal income tax rate of 34% to pretax losses as a result of the following:</w:t>
      </w:r>
    </w:p>
    <w:p>
      <w:pPr>
        <w:spacing w:after="0" w:line="159" w:lineRule="exact"/>
        <w:rPr>
          <w:sz w:val="20"/>
          <w:szCs w:val="20"/>
          <w:color w:val="auto"/>
        </w:rPr>
      </w:pPr>
    </w:p>
    <w:p>
      <w:pPr>
        <w:ind w:left="9388"/>
        <w:spacing w:after="0"/>
        <w:rPr>
          <w:sz w:val="20"/>
          <w:szCs w:val="20"/>
          <w:color w:val="auto"/>
        </w:rPr>
      </w:pPr>
      <w:r>
        <w:rPr>
          <w:rFonts w:ascii="Arial" w:cs="Arial" w:eastAsia="Arial" w:hAnsi="Arial"/>
          <w:sz w:val="12"/>
          <w:szCs w:val="12"/>
          <w:color w:val="auto"/>
        </w:rPr>
        <w:t>Fiscal Years Ended March 31,</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840" w:type="dxa"/>
            <w:vAlign w:val="bottom"/>
            <w:gridSpan w:val="2"/>
          </w:tcPr>
          <w:p>
            <w:pPr>
              <w:spacing w:after="0"/>
              <w:rPr>
                <w:sz w:val="12"/>
                <w:szCs w:val="12"/>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Computed expected tax benefit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Tax effect of Warrant Liability mark to market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41.5%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losses not benefitted</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Other</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Income tax expense</w:t>
            </w:r>
          </w:p>
        </w:tc>
        <w:tc>
          <w:tcPr>
            <w:tcW w:w="8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9620" w:type="dxa"/>
            <w:vAlign w:val="bottom"/>
            <w:gridSpan w:val="2"/>
          </w:tcPr>
          <w:p>
            <w:pPr>
              <w:jc w:val="right"/>
              <w:ind w:right="3740"/>
              <w:spacing w:after="0"/>
              <w:rPr>
                <w:sz w:val="20"/>
                <w:szCs w:val="20"/>
                <w:color w:val="auto"/>
              </w:rPr>
            </w:pPr>
            <w:r>
              <w:rPr>
                <w:rFonts w:ascii="Arial" w:cs="Arial" w:eastAsia="Arial" w:hAnsi="Arial"/>
                <w:sz w:val="12"/>
                <w:szCs w:val="12"/>
                <w:color w:val="auto"/>
              </w:rPr>
              <w:t>F-39</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type w:val="continuous"/>
        </w:sectPr>
      </w:pPr>
    </w:p>
    <w:bookmarkStart w:id="113" w:name="page114"/>
    <w:bookmarkEnd w:id="11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2"/>
          <w:szCs w:val="12"/>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operating loss carryovers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19,733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20"/>
              <w:spacing w:after="0"/>
              <w:rPr>
                <w:sz w:val="20"/>
                <w:szCs w:val="20"/>
                <w:color w:val="auto"/>
              </w:rPr>
            </w:pPr>
            <w:r>
              <w:rPr>
                <w:rFonts w:ascii="Arial" w:cs="Arial" w:eastAsia="Arial" w:hAnsi="Arial"/>
                <w:sz w:val="12"/>
                <w:szCs w:val="12"/>
                <w:color w:val="auto"/>
              </w:rPr>
              <w:t>Basis differences in fixed assets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Accruals and reserves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74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Realization of deferred tax assets is dependent upon future earnings, if any, the timing and amount of which are uncertain. Accordingly, the deferred tax assets have been fully offset by a valuation allowance. The valuation allowance increased by $760,000 and $2,814,000 during the fiscal years ended March 31, 2014 and 2013, respectively. When realized, deferred tax assets related to employee stock options will be credited to additional paid-in capital.</w:t>
      </w:r>
    </w:p>
    <w:p>
      <w:pPr>
        <w:spacing w:after="0" w:line="11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2014, the Company had U.S. federal net operating loss carryforwards of $50.3 million, which will expire in fiscal years 2019 through 2034. As of March 31, 2014, the Company had state net operating loss carryforwards of $44.7 million, which will expire in fiscal years 2014 through 2034.</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2014, that could result in the expiration of the loss carryforwards before they are utilized.</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files income tax returns in the U.S. federal and Canadian jurisdictions and California and Maryland state jurisdictions. The Company is subject to U.S. federal and state income tax examinations by tax authorities for tax years 1999 through 2014 due to net operating losses that are being carried forward for tax purposes.</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does not have any uncertain tax positions or unrecognized tax benefits at March 31, 2014 and 2013. The Company’s policy is to recognize interest and penalties related to income taxes as components of interest expense and other expense,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Licensing and Collaborative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September 17, 2007, the Company and UHN entered into a Sponsored Research Collaboration Agreement (“</w:t>
      </w:r>
      <w:r>
        <w:rPr>
          <w:rFonts w:ascii="Arial" w:cs="Arial" w:eastAsia="Arial" w:hAnsi="Arial"/>
          <w:sz w:val="12"/>
          <w:szCs w:val="12"/>
          <w:i w:val="1"/>
          <w:iCs w:val="1"/>
          <w:color w:val="auto"/>
        </w:rPr>
        <w:t>SRCA</w:t>
      </w:r>
      <w:r>
        <w:rPr>
          <w:rFonts w:ascii="Arial" w:cs="Arial" w:eastAsia="Arial" w:hAnsi="Arial"/>
          <w:sz w:val="12"/>
          <w:szCs w:val="12"/>
          <w:color w:val="auto"/>
        </w:rPr>
        <w:t xml:space="preserve">”) to develop certain stem cell technologies for drug discovery, development and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9, </w:t>
      </w:r>
      <w:r>
        <w:rPr>
          <w:rFonts w:ascii="Arial" w:cs="Arial" w:eastAsia="Arial" w:hAnsi="Arial"/>
          <w:sz w:val="12"/>
          <w:szCs w:val="12"/>
          <w:i w:val="1"/>
          <w:iCs w:val="1"/>
          <w:color w:val="auto"/>
        </w:rPr>
        <w:t>Convertible Notes and Other Notes Payable</w:t>
      </w:r>
      <w:r>
        <w:rPr>
          <w:rFonts w:ascii="Arial" w:cs="Arial" w:eastAsia="Arial" w:hAnsi="Arial"/>
          <w:sz w:val="12"/>
          <w:szCs w:val="12"/>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4" w:name="page115"/>
    <w:bookmarkEnd w:id="11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National Institutes of Health</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fiscal years 2006 through 2008,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Ltd.</w:t>
      </w:r>
    </w:p>
    <w:p>
      <w:pPr>
        <w:spacing w:after="0" w:line="16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The Company has built a strategic development relationship with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 global contract research and development organization, or CRO, and an affiliate of one of the Company’s largest institutional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$52,500 and $703,800 for the fiscal years ended March 31, 2014 and 2013, respectively. As described in Note 9, </w:t>
      </w:r>
      <w:r>
        <w:rPr>
          <w:rFonts w:ascii="Arial" w:cs="Arial" w:eastAsia="Arial" w:hAnsi="Arial"/>
          <w:sz w:val="12"/>
          <w:szCs w:val="12"/>
          <w:i w:val="1"/>
          <w:iCs w:val="1"/>
          <w:color w:val="auto"/>
        </w:rPr>
        <w:t>Convertible Promissory Notes and Other Notes</w:t>
      </w:r>
      <w:r>
        <w:rPr>
          <w:rFonts w:ascii="Arial" w:cs="Arial" w:eastAsia="Arial" w:hAnsi="Arial"/>
          <w:sz w:val="12"/>
          <w:szCs w:val="12"/>
          <w:color w:val="auto"/>
        </w:rPr>
        <w:t xml:space="preserve"> </w:t>
      </w:r>
      <w:r>
        <w:rPr>
          <w:rFonts w:ascii="Arial" w:cs="Arial" w:eastAsia="Arial" w:hAnsi="Arial"/>
          <w:sz w:val="12"/>
          <w:szCs w:val="12"/>
          <w:i w:val="1"/>
          <w:iCs w:val="1"/>
          <w:color w:val="auto"/>
        </w:rPr>
        <w:t>Payable</w:t>
      </w:r>
      <w:r>
        <w:rPr>
          <w:rFonts w:ascii="Arial" w:cs="Arial" w:eastAsia="Arial" w:hAnsi="Arial"/>
          <w:sz w:val="12"/>
          <w:szCs w:val="12"/>
          <w:color w:val="auto"/>
        </w:rPr>
        <w:t>, in October 2012, the Company issued an unsecured promissory note in the principal amount of $1,009,000, and a warrant exercisable for 1,009,000 shares of the Company’s common stock, as payment in full of all amounts owed</w:t>
      </w:r>
      <w:r>
        <w:rPr>
          <w:rFonts w:ascii="Arial" w:cs="Arial" w:eastAsia="Arial" w:hAnsi="Arial"/>
          <w:sz w:val="12"/>
          <w:szCs w:val="12"/>
          <w:i w:val="1"/>
          <w:iCs w:val="1"/>
          <w:color w:val="auto"/>
        </w:rPr>
        <w:t xml:space="preserve"> </w:t>
      </w:r>
      <w:r>
        <w:rPr>
          <w:rFonts w:ascii="Arial" w:cs="Arial" w:eastAsia="Arial" w:hAnsi="Arial"/>
          <w:sz w:val="12"/>
          <w:szCs w:val="12"/>
          <w:color w:val="auto"/>
        </w:rPr>
        <w:t>to CRL for CRO services rendered to the Company through December 31, 2012.</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 Option Plans and 401(k) Plan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the following share-based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2008 Stock Incentive Plan (the “</w:t>
      </w:r>
      <w:r>
        <w:rPr>
          <w:rFonts w:ascii="Arial" w:cs="Arial" w:eastAsia="Arial" w:hAnsi="Arial"/>
          <w:sz w:val="12"/>
          <w:szCs w:val="12"/>
          <w:i w:val="1"/>
          <w:iCs w:val="1"/>
          <w:color w:val="auto"/>
        </w:rPr>
        <w:t>2008 Plan</w:t>
      </w:r>
      <w:r>
        <w:rPr>
          <w:rFonts w:ascii="Arial" w:cs="Arial" w:eastAsia="Arial" w:hAnsi="Arial"/>
          <w:sz w:val="12"/>
          <w:szCs w:val="12"/>
          <w:color w:val="auto"/>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1999 Stock Incentive Plan (the “</w:t>
      </w:r>
      <w:r>
        <w:rPr>
          <w:rFonts w:ascii="Arial" w:cs="Arial" w:eastAsia="Arial" w:hAnsi="Arial"/>
          <w:sz w:val="12"/>
          <w:szCs w:val="12"/>
          <w:i w:val="1"/>
          <w:iCs w:val="1"/>
          <w:color w:val="auto"/>
        </w:rPr>
        <w:t>1999 Plan</w:t>
      </w:r>
      <w:r>
        <w:rPr>
          <w:rFonts w:ascii="Arial" w:cs="Arial" w:eastAsia="Arial" w:hAnsi="Arial"/>
          <w:sz w:val="12"/>
          <w:szCs w:val="12"/>
          <w:color w:val="auto"/>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the 2008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5" w:name="page116"/>
    <w:bookmarkEnd w:id="11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Unless terminated sooner, the 2008 Plan will automatically terminate in 2017. The Board of Directors may at any time amend, suspend or terminate the Company’s 2008 Plan.</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Such options granted during fiscal 2013 have a contractual term of 10 years with options to purchase 604,699 shares granted as immediately vested, and the remaining option shares vesting over a period of two years. The cancellation and reissuance was accounted for as a modification of the options and resulted in a charge of $133,000. During the third quarter of fiscal 2014, when the quoted market price of the Company’s common stock was $0.40 per share, the Company reduced the exercise price of an aggregate of 3,924,245 outstanding options to purchase shares of its common stock at exercise prices between $0.75 per share and $2.99 per share held by certain employees, including the Company’s officers and directors, and by certain consultants to $0.40 per share or $0.50 per share. These reductions in exercise price were accounted for as a modification of the options and resulted in a charge of $252,000.</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The following table summarizes share-based compensation expense, including share-based expense related to the March 2014 and March 2013 grants of warrants to certain of the Company’s officers and to its independent directors as described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included in the accompanying Consolidated Statement of Operations and Comprehensive Loss for the years ended March 31, 2014 and 2013.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r>
      <w:tr>
        <w:trPr>
          <w:trHeight w:val="286"/>
        </w:trPr>
        <w:tc>
          <w:tcPr>
            <w:tcW w:w="446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6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296,900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242,300</w:t>
            </w: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22,800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in March 2013</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133,700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267,500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453,400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509,800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385,100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196,600</w:t>
            </w: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and directors in March 2014</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officers and directors in March 2013</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267,500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534,900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683,900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731,500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438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1,137,300</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1,241,300</w:t>
            </w:r>
          </w:p>
        </w:tc>
        <w:tc>
          <w:tcPr>
            <w:tcW w:w="120" w:type="dxa"/>
            <w:vAlign w:val="bottom"/>
          </w:tcPr>
          <w:p>
            <w:pPr>
              <w:spacing w:after="0"/>
              <w:rPr>
                <w:sz w:val="12"/>
                <w:szCs w:val="12"/>
                <w:color w:val="auto"/>
              </w:rPr>
            </w:pPr>
          </w:p>
        </w:tc>
      </w:tr>
      <w:tr>
        <w:trPr>
          <w:trHeight w:val="20"/>
        </w:trPr>
        <w:tc>
          <w:tcPr>
            <w:tcW w:w="4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4460" w:type="dxa"/>
            <w:vAlign w:val="bottom"/>
          </w:tcPr>
          <w:p>
            <w:pPr>
              <w:spacing w:after="0"/>
              <w:rPr>
                <w:sz w:val="24"/>
                <w:szCs w:val="24"/>
                <w:color w:val="auto"/>
              </w:rPr>
            </w:pPr>
          </w:p>
        </w:tc>
        <w:tc>
          <w:tcPr>
            <w:tcW w:w="4640" w:type="dxa"/>
            <w:vAlign w:val="bottom"/>
            <w:gridSpan w:val="2"/>
          </w:tcPr>
          <w:p>
            <w:pPr>
              <w:jc w:val="right"/>
              <w:ind w:right="3210"/>
              <w:spacing w:after="0"/>
              <w:rPr>
                <w:sz w:val="20"/>
                <w:szCs w:val="20"/>
                <w:color w:val="auto"/>
              </w:rPr>
            </w:pPr>
            <w:r>
              <w:rPr>
                <w:rFonts w:ascii="Arial" w:cs="Arial" w:eastAsia="Arial" w:hAnsi="Arial"/>
                <w:sz w:val="12"/>
                <w:szCs w:val="12"/>
                <w:color w:val="auto"/>
              </w:rPr>
              <w:t>F-42</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460" w:type="dxa"/>
            <w:vAlign w:val="bottom"/>
            <w:tcBorders>
              <w:bottom w:val="single" w:sz="8" w:color="808080"/>
            </w:tcBorders>
          </w:tcPr>
          <w:p>
            <w:pPr>
              <w:spacing w:after="0"/>
              <w:rPr>
                <w:sz w:val="6"/>
                <w:szCs w:val="6"/>
                <w:color w:val="auto"/>
              </w:rPr>
            </w:pPr>
          </w:p>
        </w:tc>
        <w:tc>
          <w:tcPr>
            <w:tcW w:w="43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6" w:name="page117"/>
    <w:bookmarkEnd w:id="11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 used the Black-Scholes option valuation model with the following assumptions to determine share-based compensation expense related to option grants during the fiscal years ended March 31,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Borders>
              <w:bottom w:val="single" w:sz="8" w:color="auto"/>
            </w:tcBorders>
          </w:tcPr>
          <w:p>
            <w:pPr>
              <w:jc w:val="center"/>
              <w:ind w:left="800"/>
              <w:spacing w:after="0"/>
              <w:rPr>
                <w:sz w:val="20"/>
                <w:szCs w:val="20"/>
                <w:color w:val="auto"/>
              </w:rPr>
            </w:pPr>
            <w:r>
              <w:rPr>
                <w:rFonts w:ascii="Arial" w:cs="Arial" w:eastAsia="Arial" w:hAnsi="Arial"/>
                <w:sz w:val="12"/>
                <w:szCs w:val="12"/>
                <w:b w:val="1"/>
                <w:bCs w:val="1"/>
                <w:color w:val="auto"/>
                <w:w w:val="89"/>
              </w:rPr>
              <w:t>2014</w:t>
            </w:r>
          </w:p>
        </w:tc>
        <w:tc>
          <w:tcPr>
            <w:tcW w:w="4080" w:type="dxa"/>
            <w:vAlign w:val="bottom"/>
            <w:tcBorders>
              <w:bottom w:val="single" w:sz="8" w:color="auto"/>
            </w:tcBorders>
          </w:tcPr>
          <w:p>
            <w:pPr>
              <w:jc w:val="center"/>
              <w:ind w:left="780"/>
              <w:spacing w:after="0"/>
              <w:rPr>
                <w:sz w:val="20"/>
                <w:szCs w:val="20"/>
                <w:color w:val="auto"/>
              </w:rPr>
            </w:pPr>
            <w:r>
              <w:rPr>
                <w:rFonts w:ascii="Arial" w:cs="Arial" w:eastAsia="Arial" w:hAnsi="Arial"/>
                <w:sz w:val="12"/>
                <w:szCs w:val="12"/>
                <w:b w:val="1"/>
                <w:bCs w:val="1"/>
                <w:color w:val="auto"/>
                <w:w w:val="89"/>
              </w:rPr>
              <w:t>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7"/>
              </w:rPr>
              <w:t>$0.51 and $0.75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Market price on date of grant</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7"/>
              </w:rPr>
              <w:t>$0.51 and $0.71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9"/>
              </w:rPr>
              <w:t>1.08% to 2.53%</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0.90% to 1.74%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term (years)</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6.25 to 10.0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6.25 to 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91"/>
              </w:rPr>
              <w:t>87.9% to 103.2%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82.9% to 85.4%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91"/>
              </w:rPr>
              <w:t>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91"/>
              </w:rPr>
              <w:t>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Fair value per share at grant date</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$0.32 to $0.68</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$0.36 to $0.59</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activity for the fiscal years ended March 31, 2014 and 2013 under the Company’s stock option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2"/>
                <w:szCs w:val="12"/>
                <w:color w:val="auto"/>
              </w:rPr>
              <w:t>Fiscal Years Ended March 31,</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2014</w:t>
            </w:r>
          </w:p>
        </w:tc>
        <w:tc>
          <w:tcPr>
            <w:tcW w:w="9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color w:val="auto"/>
              </w:rPr>
              <w:t>2013</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77"/>
        </w:trPr>
        <w:tc>
          <w:tcPr>
            <w:tcW w:w="4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0"/>
              </w:rPr>
              <w:t>Weighted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Weighted</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Average</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2"/>
                <w:szCs w:val="12"/>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1"/>
              </w:rPr>
              <w:t>Exercise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Exercise</w:t>
            </w:r>
          </w:p>
        </w:tc>
      </w:t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Price</w:t>
            </w:r>
          </w:p>
        </w:tc>
        <w:tc>
          <w:tcPr>
            <w:tcW w:w="1380" w:type="dxa"/>
            <w:vAlign w:val="bottom"/>
            <w:gridSpan w:val="2"/>
          </w:tcPr>
          <w:p>
            <w:pPr>
              <w:jc w:val="right"/>
              <w:ind w:right="640"/>
              <w:spacing w:after="0"/>
              <w:rPr>
                <w:sz w:val="20"/>
                <w:szCs w:val="20"/>
                <w:color w:val="auto"/>
              </w:rPr>
            </w:pPr>
            <w:r>
              <w:rPr>
                <w:rFonts w:ascii="Arial" w:cs="Arial" w:eastAsia="Arial" w:hAnsi="Arial"/>
                <w:sz w:val="12"/>
                <w:szCs w:val="12"/>
                <w:color w:val="auto"/>
              </w:rPr>
              <w:t>Shares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Price</w:t>
            </w: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beginning of period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4,805,771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granted</w:t>
            </w:r>
          </w:p>
        </w:tc>
        <w:tc>
          <w:tcPr>
            <w:tcW w:w="2740" w:type="dxa"/>
            <w:vAlign w:val="bottom"/>
            <w:gridSpan w:val="3"/>
          </w:tcPr>
          <w:p>
            <w:pPr>
              <w:jc w:val="right"/>
              <w:ind w:right="140"/>
              <w:spacing w:after="0"/>
              <w:rPr>
                <w:sz w:val="20"/>
                <w:szCs w:val="20"/>
                <w:color w:val="auto"/>
              </w:rPr>
            </w:pPr>
            <w:r>
              <w:rPr>
                <w:rFonts w:ascii="Arial" w:cs="Arial" w:eastAsia="Arial" w:hAnsi="Arial"/>
                <w:sz w:val="12"/>
                <w:szCs w:val="12"/>
                <w:color w:val="auto"/>
              </w:rPr>
              <w:t>381,000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0.54</w:t>
            </w:r>
          </w:p>
        </w:tc>
        <w:tc>
          <w:tcPr>
            <w:tcW w:w="1160" w:type="dxa"/>
            <w:vAlign w:val="bottom"/>
          </w:tcPr>
          <w:p>
            <w:pPr>
              <w:jc w:val="right"/>
              <w:spacing w:after="0"/>
              <w:rPr>
                <w:sz w:val="20"/>
                <w:szCs w:val="20"/>
                <w:color w:val="auto"/>
              </w:rPr>
            </w:pPr>
            <w:r>
              <w:rPr>
                <w:rFonts w:ascii="Arial" w:cs="Arial" w:eastAsia="Arial" w:hAnsi="Arial"/>
                <w:sz w:val="12"/>
                <w:szCs w:val="12"/>
                <w:color w:val="auto"/>
              </w:rPr>
              <w:t>1,075,550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0.72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exercised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cancelled</w:t>
            </w: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(870,550)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forfeited</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(79,080)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(29,167)</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expired</w:t>
            </w:r>
          </w:p>
        </w:tc>
        <w:tc>
          <w:tcPr>
            <w:tcW w:w="2740" w:type="dxa"/>
            <w:vAlign w:val="bottom"/>
            <w:gridSpan w:val="3"/>
          </w:tcPr>
          <w:p>
            <w:pPr>
              <w:jc w:val="right"/>
              <w:ind w:right="100"/>
              <w:spacing w:after="0"/>
              <w:rPr>
                <w:sz w:val="20"/>
                <w:szCs w:val="20"/>
                <w:color w:val="auto"/>
              </w:rPr>
            </w:pPr>
            <w:r>
              <w:rPr>
                <w:rFonts w:ascii="Arial" w:cs="Arial" w:eastAsia="Arial" w:hAnsi="Arial"/>
                <w:sz w:val="12"/>
                <w:szCs w:val="12"/>
                <w:color w:val="auto"/>
              </w:rPr>
              <w:t>(965,253)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1.20</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(69,000)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r>
      <w:tr>
        <w:trPr>
          <w:trHeight w:val="142"/>
        </w:trPr>
        <w:tc>
          <w:tcPr>
            <w:tcW w:w="46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20"/>
              <w:spacing w:after="0" w:line="124" w:lineRule="exact"/>
              <w:rPr>
                <w:sz w:val="20"/>
                <w:szCs w:val="20"/>
                <w:color w:val="auto"/>
              </w:rPr>
            </w:pPr>
            <w:r>
              <w:rPr>
                <w:rFonts w:ascii="Arial" w:cs="Arial" w:eastAsia="Arial" w:hAnsi="Arial"/>
                <w:sz w:val="12"/>
                <w:szCs w:val="12"/>
                <w:color w:val="auto"/>
              </w:rPr>
              <w:t>Options outstanding at end of period</w:t>
            </w:r>
          </w:p>
        </w:tc>
        <w:tc>
          <w:tcPr>
            <w:tcW w:w="26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4,249,271</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0.50</w:t>
            </w:r>
          </w:p>
        </w:tc>
        <w:tc>
          <w:tcPr>
            <w:tcW w:w="1160" w:type="dxa"/>
            <w:vAlign w:val="bottom"/>
          </w:tcPr>
          <w:p>
            <w:pPr>
              <w:jc w:val="right"/>
              <w:spacing w:after="0" w:line="124" w:lineRule="exact"/>
              <w:rPr>
                <w:sz w:val="20"/>
                <w:szCs w:val="20"/>
                <w:color w:val="auto"/>
              </w:rPr>
            </w:pPr>
            <w:r>
              <w:rPr>
                <w:rFonts w:ascii="Arial" w:cs="Arial" w:eastAsia="Arial" w:hAnsi="Arial"/>
                <w:sz w:val="12"/>
                <w:szCs w:val="12"/>
                <w:color w:val="auto"/>
              </w:rPr>
              <w:t>4,912,604</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1.32</w:t>
            </w:r>
          </w:p>
        </w:tc>
      </w:tr>
      <w:tr>
        <w:trPr>
          <w:trHeight w:val="20"/>
        </w:trPr>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Options exercisable at end of period</w:t>
            </w:r>
          </w:p>
        </w:tc>
        <w:tc>
          <w:tcPr>
            <w:tcW w:w="26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3,655,061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0.50</w:t>
            </w:r>
          </w:p>
        </w:tc>
        <w:tc>
          <w:tcPr>
            <w:tcW w:w="11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4,227,436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1.35</w:t>
            </w:r>
          </w:p>
        </w:tc>
      </w:tr>
      <w:tr>
        <w:trPr>
          <w:trHeight w:val="120"/>
        </w:trPr>
        <w:tc>
          <w:tcPr>
            <w:tcW w:w="464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grant-date fair value of options granted during the period</w:t>
            </w:r>
          </w:p>
        </w:tc>
        <w:tc>
          <w:tcPr>
            <w:tcW w:w="1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0.42</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0.52</w:t>
            </w:r>
          </w:p>
        </w:tc>
      </w:tr>
      <w:tr>
        <w:trPr>
          <w:trHeight w:val="381"/>
        </w:trPr>
        <w:tc>
          <w:tcPr>
            <w:tcW w:w="464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gridSpan w:val="3"/>
          </w:tcPr>
          <w:p>
            <w:pPr>
              <w:jc w:val="right"/>
              <w:ind w:right="1540"/>
              <w:spacing w:after="0"/>
              <w:rPr>
                <w:sz w:val="20"/>
                <w:szCs w:val="20"/>
                <w:color w:val="auto"/>
              </w:rPr>
            </w:pPr>
            <w:r>
              <w:rPr>
                <w:rFonts w:ascii="Arial" w:cs="Arial" w:eastAsia="Arial" w:hAnsi="Arial"/>
                <w:sz w:val="12"/>
                <w:szCs w:val="12"/>
                <w:color w:val="auto"/>
              </w:rPr>
              <w:t>F-43</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46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26"/>
        </w:trPr>
        <w:tc>
          <w:tcPr>
            <w:tcW w:w="1920" w:type="dxa"/>
            <w:vAlign w:val="bottom"/>
            <w:gridSpan w:val="5"/>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12"/>
          </w:tcPr>
          <w:p>
            <w:pPr>
              <w:jc w:val="right"/>
              <w:ind w:right="200"/>
              <w:spacing w:after="0"/>
              <w:rPr>
                <w:sz w:val="20"/>
                <w:szCs w:val="20"/>
                <w:color w:val="auto"/>
              </w:rPr>
            </w:pPr>
            <w:r>
              <w:rPr>
                <w:rFonts w:ascii="Arial" w:cs="Arial" w:eastAsia="Arial" w:hAnsi="Arial"/>
                <w:sz w:val="12"/>
                <w:szCs w:val="12"/>
                <w:color w:val="auto"/>
                <w:w w:val="93"/>
              </w:rPr>
              <w:t>The following table summarizes information on stock options outstanding and exercisable under the Company’s option plans as of March 31, 2014:</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Options Exercisable</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00"/>
              <w:spacing w:after="0" w:line="133" w:lineRule="exact"/>
              <w:rPr>
                <w:sz w:val="20"/>
                <w:szCs w:val="20"/>
                <w:color w:val="auto"/>
              </w:rPr>
            </w:pPr>
            <w:r>
              <w:rPr>
                <w:rFonts w:ascii="Arial" w:cs="Arial" w:eastAsia="Arial" w:hAnsi="Arial"/>
                <w:sz w:val="12"/>
                <w:szCs w:val="12"/>
                <w:color w:val="auto"/>
                <w:w w:val="90"/>
              </w:rPr>
              <w:t>Weighted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89"/>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0"/>
              </w:rPr>
              <w:t>Weighted</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0"/>
              </w:rPr>
              <w:t>Remaining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84"/>
              </w:rPr>
              <w:t>Average</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6"/>
              </w:rPr>
              <w:t>Exercise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8"/>
              </w:rPr>
              <w:t>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1"/>
              </w:rPr>
              <w:t>Years until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1"/>
              </w:rPr>
              <w:t>Exercise</w:t>
            </w:r>
          </w:p>
        </w:tc>
        <w:tc>
          <w:tcPr>
            <w:tcW w:w="1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1"/>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7"/>
              </w:rPr>
              <w:t>Price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9"/>
              </w:rPr>
              <w:t>Outstanding</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7"/>
              </w:rPr>
              <w:t>Expiration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4"/>
              </w:rPr>
              <w:t>Price</w:t>
            </w: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Exercisable</w:t>
            </w:r>
          </w:p>
        </w:tc>
        <w:tc>
          <w:tcPr>
            <w:tcW w:w="46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0.40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1,041,550</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8.53</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0.40</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810,560</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2"/>
                <w:szCs w:val="12"/>
                <w:color w:val="auto"/>
              </w:rPr>
              <w:t>0.50</w:t>
            </w: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2,988,695</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5.90</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2"/>
                <w:szCs w:val="12"/>
                <w:color w:val="auto"/>
              </w:rPr>
              <w:t>0.50</w:t>
            </w:r>
          </w:p>
        </w:tc>
        <w:tc>
          <w:tcPr>
            <w:tcW w:w="1940" w:type="dxa"/>
            <w:vAlign w:val="bottom"/>
            <w:gridSpan w:val="2"/>
          </w:tcPr>
          <w:p>
            <w:pPr>
              <w:jc w:val="right"/>
              <w:ind w:right="300"/>
              <w:spacing w:after="0"/>
              <w:rPr>
                <w:sz w:val="20"/>
                <w:szCs w:val="20"/>
                <w:color w:val="auto"/>
              </w:rPr>
            </w:pPr>
            <w:r>
              <w:rPr>
                <w:rFonts w:ascii="Arial" w:cs="Arial" w:eastAsia="Arial" w:hAnsi="Arial"/>
                <w:sz w:val="12"/>
                <w:szCs w:val="12"/>
                <w:color w:val="auto"/>
              </w:rPr>
              <w:t>2,657,665</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0.72 - $ 1.80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219,026</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5.46</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1.06</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186,836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4,249,271</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6.52</w:t>
            </w:r>
          </w:p>
        </w:tc>
        <w:tc>
          <w:tcPr>
            <w:tcW w:w="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0.50</w:t>
            </w:r>
          </w:p>
        </w:tc>
        <w:tc>
          <w:tcPr>
            <w:tcW w:w="1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3,655,061</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March 31, 2014, there were 735,200 shares of the Company’s common stock remaining available for grant under the 2008 Plan. There were no option exercises during the year ended March 31, 2014.</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Aggregate intrinsic value is the sum of the amounts by which the fair value of the stock exceeded the exercise price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quoted market price of the Company’s common stock of $0.46 per share on March 31, 2014, the aggregate intrinsic value of outstanding options at that date was $62,500, of which $48,600 related to exercisable options.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2014, there was approximately $394,300 of unrecognized compensation cost related to non-vested share-based compensation awards from the 2008 Plan, which is expected to be recognized through May 2016. Additionally, at March 31, 2014 there was approximately $455,300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Related Party Transactions</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xml:space="preserve">"), the parent of CRL, is one of the Company’s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the Company’s Chief Executive Officer and member of its Board of Directors, served as Managing Principal of CBV and as an officer of CRL until August 2009. As described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April 2011, CBV loaned the Company $352,300 under the terms of the 2011 CHC Note. On October 10, 2012, the Company and CHC cancelled the 2011 CHC Note and exchanged it for a new unsecured promissory note in the principal amount of $310,443 (the “</w:t>
      </w:r>
      <w:r>
        <w:rPr>
          <w:rFonts w:ascii="Arial" w:cs="Arial" w:eastAsia="Arial" w:hAnsi="Arial"/>
          <w:sz w:val="11"/>
          <w:szCs w:val="11"/>
          <w:i w:val="1"/>
          <w:iCs w:val="1"/>
          <w:color w:val="auto"/>
        </w:rPr>
        <w:t>2012 CHC Note</w:t>
      </w:r>
      <w:r>
        <w:rPr>
          <w:rFonts w:ascii="Arial" w:cs="Arial" w:eastAsia="Arial" w:hAnsi="Arial"/>
          <w:sz w:val="11"/>
          <w:szCs w:val="11"/>
          <w:color w:val="auto"/>
        </w:rPr>
        <w:t>”) and a five-year warrant to purchase 250,000 restricted shares of the Company’s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8" w:name="page119"/>
    <w:bookmarkEnd w:id="11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the Company entered into a contract research organization arrangement with CRL related to the development of AV-101, under which the Company incurred expenses of $52,500 and $703,800 for the fiscal years ended March 31, 2014 and 2013, respectively, with a portion of the fiscal 2013 expenses reimbursed under the NIH grant. Total interest expense on notes payable to CHC and CRL was $167,900 and $101,700 for the fiscal years ended March 31, 2014 and 2013, respectively.</w:t>
      </w:r>
    </w:p>
    <w:p>
      <w:pPr>
        <w:spacing w:after="0" w:line="141"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the Company had accrued $101,900 as an estimate of the gross-up amount, but the Company had not yet paid that amount to Mr. Singh.</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Commitments, Contingencies, Guarantees and Indemnifications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From time to time, the Company may become involved in claims and other legal matters arising in the ordinary course of business. Management is not currently aware of any claims made or other legal matters that will have a material adverse effect on the Company’s consolidated financial position, results of operations or its cash flows.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2014 or 2013.</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2014 or 2013.</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2014 and 2013, the following assets are under capital lease obligations and included in property and equipment: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March 31,</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97"/>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19,000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Office equipment</w:t>
            </w: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23,500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(11,100</w:t>
            </w:r>
          </w:p>
        </w:tc>
        <w:tc>
          <w:tcPr>
            <w:tcW w:w="8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(6,400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Net book value</w:t>
            </w:r>
          </w:p>
        </w:tc>
        <w:tc>
          <w:tcPr>
            <w:tcW w:w="36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40" w:type="dxa"/>
            <w:vAlign w:val="bottom"/>
            <w:gridSpan w:val="2"/>
          </w:tcPr>
          <w:p>
            <w:pPr>
              <w:jc w:val="right"/>
              <w:ind w:right="1780"/>
              <w:spacing w:after="0"/>
              <w:rPr>
                <w:sz w:val="20"/>
                <w:szCs w:val="20"/>
                <w:color w:val="auto"/>
              </w:rPr>
            </w:pPr>
            <w:r>
              <w:rPr>
                <w:rFonts w:ascii="Arial" w:cs="Arial" w:eastAsia="Arial" w:hAnsi="Arial"/>
                <w:sz w:val="12"/>
                <w:szCs w:val="12"/>
                <w:color w:val="auto"/>
              </w:rPr>
              <w:t>F-45</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42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26"/>
        </w:trPr>
        <w:tc>
          <w:tcPr>
            <w:tcW w:w="1010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80" w:type="dxa"/>
            <w:vAlign w:val="bottom"/>
            <w:gridSpan w:val="2"/>
          </w:tcPr>
          <w:p>
            <w:pPr>
              <w:ind w:left="400"/>
              <w:spacing w:after="0"/>
              <w:rPr>
                <w:sz w:val="20"/>
                <w:szCs w:val="20"/>
                <w:color w:val="auto"/>
              </w:rPr>
            </w:pPr>
            <w:r>
              <w:rPr>
                <w:rFonts w:ascii="Arial" w:cs="Arial" w:eastAsia="Arial" w:hAnsi="Arial"/>
                <w:sz w:val="12"/>
                <w:szCs w:val="12"/>
                <w:color w:val="auto"/>
                <w:w w:val="90"/>
              </w:rPr>
              <w:t>Amortization expense for assets recorded under capital leases is included in depreciation expense. Future minimum payments, by year and in the aggregate, required under capital leases are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Equipment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Capital</w:t>
            </w:r>
          </w:p>
        </w:tc>
        <w:tc>
          <w:tcPr>
            <w:tcW w:w="0" w:type="dxa"/>
            <w:vAlign w:val="bottom"/>
          </w:tcPr>
          <w:p>
            <w:pPr>
              <w:spacing w:after="0"/>
              <w:rPr>
                <w:sz w:val="1"/>
                <w:szCs w:val="1"/>
                <w:color w:val="auto"/>
              </w:rPr>
            </w:pPr>
          </w:p>
        </w:tc>
      </w:tr>
      <w:tr>
        <w:trPr>
          <w:trHeight w:val="153"/>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82"/>
              </w:rPr>
              <w:t>Leases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Future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imputed interest included in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Present value of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Non-current capital lease obligation</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80" w:type="dxa"/>
            <w:vAlign w:val="bottom"/>
            <w:tcBorders>
              <w:top w:val="single" w:sz="8" w:color="CCEEFF"/>
            </w:tcBorders>
            <w:gridSpan w:val="2"/>
          </w:tcPr>
          <w:p>
            <w:pPr>
              <w:ind w:left="500"/>
              <w:spacing w:after="0"/>
              <w:rPr>
                <w:sz w:val="20"/>
                <w:szCs w:val="20"/>
                <w:color w:val="auto"/>
              </w:rPr>
            </w:pPr>
            <w:r>
              <w:rPr>
                <w:rFonts w:ascii="Arial" w:cs="Arial" w:eastAsia="Arial" w:hAnsi="Arial"/>
                <w:sz w:val="12"/>
                <w:szCs w:val="12"/>
                <w:color w:val="auto"/>
                <w:w w:val="98"/>
              </w:rPr>
              <w:t>At March 31, 2014, future minimum payments under operating leases relate to the Company’s facility lease in South San Francisco, California through July 31, 2017 and are as follows:</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264,000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277,100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93,800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Total facility rent expense incurred by the Company for the fiscal years ended March 31, 2014 and 2013 was $284,100 and $179,000,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Debt Repayment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At March 31, 2014, assuming that all outstanding convertible notes are converted into shares of common stock in accordance with their respective conversion provisions and that Replacement Note B issued to Morrison &amp; Foerster, the CRL Note and the UHN Note, each as described further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are repaid through the issuance of restricted common stock upon the exercise of the warrants associated with such notes, future minimum principal payments related to long-term debt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100" w:type="dxa"/>
            <w:vAlign w:val="bottom"/>
            <w:gridSpan w:val="2"/>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Amount</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2015</w:t>
            </w: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1,562,500</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461,300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10,700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Thereafter through June 2019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13,000</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2,057,500</w:t>
            </w:r>
          </w:p>
        </w:tc>
        <w:tc>
          <w:tcPr>
            <w:tcW w:w="120" w:type="dxa"/>
            <w:vAlign w:val="bottom"/>
            <w:tcBorders>
              <w:top w:val="single" w:sz="8" w:color="CCEEFF"/>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Subsequent Events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evaluated subsequent events through the date of this report and has identified the following material events and transactions that occurred after March 31, 2014.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0" w:name="page121"/>
    <w:bookmarkEnd w:id="120"/>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From April 1, 2014 through June 19, 2014, the Company entered into securities purchase agreements with accredited investors, including Platinum, pursuant to which it sold to such accredited investors Units, for aggregate cash proceeds of $1,465,000, consisting of (i) 10% convertible 2014 Unit Notes in the aggregate face amount of $1,465,000 due on March 31, 2015 or automatically convertible into securities the Company may issue upon the consummation of a Qualified Financing, as defined in the 2014 Unit Note, prior to March 31, 2015; (ii) an aggregate of 1,465,000 restricted shares of the Company’s common stock; and (iii) 2014 Unit Warrants exercisable through December 31, 2016 to purchase an aggregate of 1,465,000 restricted shares of the Company’s common stock at an exercise price of $0.50 per share.</w:t>
      </w:r>
    </w:p>
    <w:p>
      <w:pPr>
        <w:spacing w:after="0" w:line="139"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Satisfaction of Technology License and Maintenance Fees and Patent Expenses</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In April 2014, the Company issued (i) a promissory note in the face amount of $300,000 due on the earlier of December 31, 2014, or the completion of a qualified financing, as defined, (ii) 300,000 restricted shares of its common stock and (iii) a warrant exercisable through March 31, 2019 to purchase 300,000 restricted shares of its common stock at an exercise price of $0.50 per share to Icahn School of Medicine at Mount Sinai in satisfaction of $288,400 of stem cell technology license maintenance fees and reimbursable patent prosecution costs.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Amendment of Notes and Warrants issued in 2013/2014 Unit Private Placement</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Effective May 31, 2014, the Company entered into note and warrant amendment agreements with certain holders of 2013/2014 Unit Notes and 2013/2014 Unit Warrants to (i) modify certain terms of the 2013/2014 Unit Notes, including the maturity date and the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$845,000 agreed to the amendments. The maturity date of the $75,000 of initial face amount of 2013/2014 Unit Notes payable to holders who did not agree to amend their 2013/2014 Unit Note and 2013/2014 Unit Warrant remains July 30, 2014 and the exercise price and expiration date of the 2013/2014 Unit Warrants held by such holders remains unchanged. Since March 31, 2014 and through the date of this report, the Company has repaid 2013/2014 Unit Notes having an initial face value of $65,200.</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Extension of McCarthy Note Maturity Date</w:t>
      </w:r>
    </w:p>
    <w:p>
      <w:pPr>
        <w:spacing w:after="0" w:line="172"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June 11, 2014, the Company and McCarthy agreed to extend the maturity date of the Company’s promissory note payable to McCarthy from June 14, 2014 to the earlier of (i) September 30, 2014, (ii) consummation of a financing in which the Company receives gross cash proceeds of at least $15.0 million, or (iii) consummation of a change of control of the Company, as defined in the McCarthy note. McCarthy also agreed to forbear with respect to the requirement that the Company make monthly payments on the note from the date of the agreement until maturity and granted the Company a waiver with respect to previously missed monthly payments.</w:t>
      </w:r>
    </w:p>
    <w:p>
      <w:pPr>
        <w:spacing w:after="0" w:line="119" w:lineRule="exact"/>
        <w:rPr>
          <w:sz w:val="20"/>
          <w:szCs w:val="20"/>
          <w:color w:val="auto"/>
        </w:rPr>
      </w:pPr>
    </w:p>
    <w:p>
      <w:pPr>
        <w:ind w:left="8" w:right="9180" w:hanging="8"/>
        <w:spacing w:after="0" w:line="643" w:lineRule="auto"/>
        <w:tabs>
          <w:tab w:leader="none" w:pos="188" w:val="left"/>
        </w:tabs>
        <w:numPr>
          <w:ilvl w:val="0"/>
          <w:numId w:val="42"/>
        </w:numPr>
        <w:rPr>
          <w:rFonts w:ascii="Arial" w:cs="Arial" w:eastAsia="Arial" w:hAnsi="Arial"/>
          <w:sz w:val="10"/>
          <w:szCs w:val="10"/>
          <w:b w:val="1"/>
          <w:bCs w:val="1"/>
          <w:color w:val="auto"/>
        </w:rPr>
      </w:pPr>
      <w:r>
        <w:rPr>
          <w:rFonts w:ascii="Arial" w:cs="Arial" w:eastAsia="Arial" w:hAnsi="Arial"/>
          <w:sz w:val="10"/>
          <w:szCs w:val="10"/>
          <w:b w:val="1"/>
          <w:bCs w:val="1"/>
          <w:color w:val="auto"/>
        </w:rPr>
        <w:t>Supplemental Financial Information Quarterly Results of Operations (Unaudited)</w:t>
      </w:r>
    </w:p>
    <w:p>
      <w:pPr>
        <w:jc w:val="both"/>
        <w:ind w:left="8" w:firstLine="432"/>
        <w:spacing w:after="0" w:line="26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2014.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91"/>
              </w:rPr>
              <w:t>Unaudited Quarterly Results of Operations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87"/>
              </w:rPr>
              <w:t>(in thousands, except share and per share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2013</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2013</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2014</w:t>
            </w:r>
          </w:p>
        </w:tc>
        <w:tc>
          <w:tcPr>
            <w:tcW w:w="0" w:type="dxa"/>
            <w:vAlign w:val="bottom"/>
          </w:tcPr>
          <w:p>
            <w:pPr>
              <w:spacing w:after="0"/>
              <w:rPr>
                <w:sz w:val="1"/>
                <w:szCs w:val="1"/>
                <w:color w:val="auto"/>
              </w:rPr>
            </w:pPr>
          </w:p>
        </w:tc>
      </w:tr>
      <w:tr>
        <w:trPr>
          <w:trHeight w:val="286"/>
        </w:trPr>
        <w:tc>
          <w:tcPr>
            <w:tcW w:w="334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2"/>
          </w:tcPr>
          <w:p>
            <w:pPr>
              <w:ind w:left="360"/>
              <w:spacing w:after="0"/>
              <w:rPr>
                <w:sz w:val="20"/>
                <w:szCs w:val="20"/>
                <w:color w:val="auto"/>
              </w:rPr>
            </w:pPr>
            <w:r>
              <w:rPr>
                <w:rFonts w:ascii="Arial" w:cs="Arial" w:eastAsia="Arial" w:hAnsi="Arial"/>
                <w:sz w:val="12"/>
                <w:szCs w:val="12"/>
                <w:color w:val="auto"/>
              </w:rPr>
              <w:t>Total revenues</w:t>
            </w:r>
          </w:p>
        </w:tc>
        <w:tc>
          <w:tcPr>
            <w:tcW w:w="13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(1,215)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(1,448)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1,940</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(257)</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income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Basic net income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20,839,941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21,630,587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22,210,573</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Diluted net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21,229,190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21,630,587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22,210,573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left="440"/>
              <w:spacing w:after="0"/>
              <w:rPr>
                <w:sz w:val="20"/>
                <w:szCs w:val="20"/>
                <w:color w:val="auto"/>
              </w:rPr>
            </w:pPr>
            <w:r>
              <w:rPr>
                <w:rFonts w:ascii="Arial" w:cs="Arial" w:eastAsia="Arial" w:hAnsi="Arial"/>
                <w:sz w:val="12"/>
                <w:szCs w:val="12"/>
                <w:color w:val="auto"/>
                <w:w w:val="88"/>
              </w:rPr>
              <w:t>F-48</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58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26"/>
        </w:trPr>
        <w:tc>
          <w:tcPr>
            <w:tcW w:w="472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2012</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2012</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2013</w:t>
            </w:r>
          </w:p>
        </w:tc>
        <w:tc>
          <w:tcPr>
            <w:tcW w:w="0" w:type="dxa"/>
            <w:vAlign w:val="bottom"/>
          </w:tcPr>
          <w:p>
            <w:pPr>
              <w:spacing w:after="0"/>
              <w:rPr>
                <w:sz w:val="1"/>
                <w:szCs w:val="1"/>
                <w:color w:val="auto"/>
              </w:rPr>
            </w:pPr>
          </w:p>
        </w:tc>
      </w:tr>
      <w:tr>
        <w:trPr>
          <w:trHeight w:val="286"/>
        </w:trPr>
        <w:tc>
          <w:tcPr>
            <w:tcW w:w="472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tcPr>
          <w:p>
            <w:pPr>
              <w:ind w:left="36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(1,721)</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(1,919)</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 on early extinguishment of debt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(3,537)</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Other income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(1,824)</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(5,333)</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 attributable to common stockholders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(15,528)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net loss attributable to common stockholders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3"/>
              </w:rPr>
              <w:t>Weighted average shares used in computing basic and diluted net loss attributable to common</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per common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16,842,655</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17,094,833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18,292,301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20,236,491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F-49</w:t>
            </w: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3" w:name="page124"/>
    <w:bookmarkEnd w:id="123"/>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Based on their evaluation as of the end of the period covered by this report, our Chief Executive Officer and Chief Financial Officer have concluded that our disclosure controls and procedures (as defined in Rules 13a-15(e) and 15d-15(e) under the Exchange Act) were effective as of the end of the period covered by this report to ensure that information that we are required to disclose in reports that management files or submits under the Exchange Act is recorded, processed, summarized and reported within the time periods specified in SEC rules and forms.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disclosure controls and procedures are designed to provide reasonable assurance of achieving their objectives, and our chief executive officer and acting chief financial officer have concluded that these controls and procedures are effective at the “reasonable assurance” level.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 company’s internal control over financial reporting is a process designed to provide reasonable assurance regarding the reliability of financial reporting and the preparation of financial statements for external purposes in accordance with U.S. GAAP.</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There are inherent limitations in the effectiveness of any system of internal control, including the possibility of human error and the circumvention or overriding of controls. Accordingly, even effective internal controls can provide only reasonable assurances with respect to financial statement preparation. Further, because of changes in conditions, the effectiveness of internal control may vary over time.</w:t>
      </w:r>
    </w:p>
    <w:p>
      <w:pPr>
        <w:spacing w:after="0" w:line="133"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 xml:space="preserve">Our management assessed the effectiveness of our internal control over financial reporting as of March 31, 2014. In making this assessment, management used the criteria set forth by the Committee of Sponsoring Organizations (COSO) of the Treadway Commission in </w:t>
      </w:r>
      <w:r>
        <w:rPr>
          <w:rFonts w:ascii="Arial" w:cs="Arial" w:eastAsia="Arial" w:hAnsi="Arial"/>
          <w:sz w:val="10"/>
          <w:szCs w:val="10"/>
          <w:i w:val="1"/>
          <w:iCs w:val="1"/>
          <w:color w:val="auto"/>
        </w:rPr>
        <w:t>Internal Control—Integrated Framework (1992)</w:t>
      </w:r>
      <w:r>
        <w:rPr>
          <w:rFonts w:ascii="Arial" w:cs="Arial" w:eastAsia="Arial" w:hAnsi="Arial"/>
          <w:sz w:val="10"/>
          <w:szCs w:val="10"/>
          <w:color w:val="auto"/>
        </w:rPr>
        <w:t>. Based on its assessment using the COSO criteria, management concluded that our internal control over financial reporting was effective as of March 31, 2014.</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a result of the enactment of the Dodd-Frank Wall Street Reform and Consumer Protection Act of 2010, and the resulting amendment of Section 404 of the Sarbanes-Oxley Act of 2002, as a non-accelerated filer, we are not required to provide an attestation report by our independent registered public accounting firm regarding internal control over financial reporting for the fiscal year ended March 31, 2014 or thereafter, until such time as we are no longer eligible for the exemption for smaller issuers set forth within the Sarbanes-Oxley Act.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4" w:name="page125"/>
    <w:bookmarkEnd w:id="124"/>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Officers and Corporate Governance.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Our senior management is composed of individuals with significant management experience. Our directors and executive officers as of June 19, 2014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3"/>
                <w:szCs w:val="13"/>
                <w:color w:val="auto"/>
              </w:rPr>
            </w:pPr>
          </w:p>
        </w:tc>
        <w:tc>
          <w:tcPr>
            <w:tcW w:w="1280" w:type="dxa"/>
            <w:vAlign w:val="bottom"/>
          </w:tcPr>
          <w:p>
            <w:pPr>
              <w:jc w:val="right"/>
              <w:ind w:right="480"/>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3"/>
                <w:szCs w:val="13"/>
                <w:color w:val="auto"/>
              </w:rPr>
            </w:pPr>
          </w:p>
        </w:tc>
        <w:tc>
          <w:tcPr>
            <w:tcW w:w="5620" w:type="dxa"/>
            <w:vAlign w:val="bottom"/>
          </w:tcPr>
          <w:p>
            <w:pPr>
              <w:spacing w:after="0"/>
              <w:rPr>
                <w:sz w:val="20"/>
                <w:szCs w:val="20"/>
                <w:color w:val="auto"/>
              </w:rPr>
            </w:pPr>
            <w:r>
              <w:rPr>
                <w:rFonts w:ascii="Arial" w:cs="Arial" w:eastAsia="Arial" w:hAnsi="Arial"/>
                <w:sz w:val="12"/>
                <w:szCs w:val="12"/>
                <w:b w:val="1"/>
                <w:bCs w:val="1"/>
                <w:color w:val="auto"/>
              </w:rPr>
              <w:t>Position</w:t>
            </w:r>
          </w:p>
        </w:tc>
      </w:tr>
      <w:tr>
        <w:trPr>
          <w:trHeight w:val="142"/>
        </w:trPr>
        <w:tc>
          <w:tcPr>
            <w:tcW w:w="20" w:type="dxa"/>
            <w:vAlign w:val="bottom"/>
          </w:tcPr>
          <w:p>
            <w:pPr>
              <w:spacing w:after="0"/>
              <w:rPr>
                <w:sz w:val="12"/>
                <w:szCs w:val="12"/>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140" w:type="dxa"/>
            <w:vAlign w:val="bottom"/>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rPr>
              <w:t>51</w:t>
            </w:r>
          </w:p>
        </w:tc>
        <w:tc>
          <w:tcPr>
            <w:tcW w:w="140" w:type="dxa"/>
            <w:vAlign w:val="bottom"/>
            <w:shd w:val="clear" w:color="auto" w:fill="CCEEFF"/>
          </w:tcPr>
          <w:p>
            <w:pPr>
              <w:spacing w:after="0"/>
              <w:rPr>
                <w:sz w:val="12"/>
                <w:szCs w:val="12"/>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Chief Executive Officer and Director</w:t>
            </w:r>
          </w:p>
        </w:tc>
      </w:tr>
      <w:tr>
        <w:trPr>
          <w:trHeight w:val="144"/>
        </w:trPr>
        <w:tc>
          <w:tcPr>
            <w:tcW w:w="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H. Ralph Snodgrass, Ph.D.</w:t>
            </w:r>
          </w:p>
        </w:tc>
        <w:tc>
          <w:tcPr>
            <w:tcW w:w="1420" w:type="dxa"/>
            <w:vAlign w:val="bottom"/>
            <w:gridSpan w:val="2"/>
          </w:tcPr>
          <w:p>
            <w:pPr>
              <w:jc w:val="right"/>
              <w:ind w:right="460"/>
              <w:spacing w:after="0"/>
              <w:rPr>
                <w:sz w:val="20"/>
                <w:szCs w:val="20"/>
                <w:color w:val="auto"/>
              </w:rPr>
            </w:pPr>
            <w:r>
              <w:rPr>
                <w:rFonts w:ascii="Arial" w:cs="Arial" w:eastAsia="Arial" w:hAnsi="Arial"/>
                <w:sz w:val="12"/>
                <w:szCs w:val="12"/>
                <w:color w:val="auto"/>
              </w:rPr>
              <w:t>64</w:t>
            </w:r>
          </w:p>
        </w:tc>
        <w:tc>
          <w:tcPr>
            <w:tcW w:w="14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Founder, President, Chief Scientific Officer and Director</w:t>
            </w:r>
          </w:p>
        </w:tc>
      </w:tr>
      <w:tr>
        <w:trPr>
          <w:trHeight w:val="144"/>
        </w:trPr>
        <w:tc>
          <w:tcPr>
            <w:tcW w:w="20" w:type="dxa"/>
            <w:vAlign w:val="bottom"/>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60</w:t>
            </w:r>
          </w:p>
        </w:tc>
        <w:tc>
          <w:tcPr>
            <w:tcW w:w="140" w:type="dxa"/>
            <w:vAlign w:val="bottom"/>
            <w:shd w:val="clear" w:color="auto" w:fill="CCEEFF"/>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Vice President, Chief Financial Officer and Secretary</w:t>
            </w:r>
          </w:p>
        </w:tc>
      </w:tr>
      <w:tr>
        <w:trPr>
          <w:trHeight w:val="144"/>
        </w:trPr>
        <w:tc>
          <w:tcPr>
            <w:tcW w:w="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Jon S. Saxe (1)</w:t>
            </w:r>
          </w:p>
        </w:tc>
        <w:tc>
          <w:tcPr>
            <w:tcW w:w="1420" w:type="dxa"/>
            <w:vAlign w:val="bottom"/>
            <w:gridSpan w:val="2"/>
          </w:tcPr>
          <w:p>
            <w:pPr>
              <w:jc w:val="right"/>
              <w:ind w:right="460"/>
              <w:spacing w:after="0"/>
              <w:rPr>
                <w:sz w:val="20"/>
                <w:szCs w:val="20"/>
                <w:color w:val="auto"/>
              </w:rPr>
            </w:pPr>
            <w:r>
              <w:rPr>
                <w:rFonts w:ascii="Arial" w:cs="Arial" w:eastAsia="Arial" w:hAnsi="Arial"/>
                <w:sz w:val="12"/>
                <w:szCs w:val="12"/>
                <w:color w:val="auto"/>
              </w:rPr>
              <w:t>77</w:t>
            </w:r>
          </w:p>
        </w:tc>
        <w:tc>
          <w:tcPr>
            <w:tcW w:w="14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20" w:type="dxa"/>
            <w:vAlign w:val="bottom"/>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Brian J. Underdown, PhD. (2)</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73</w:t>
            </w:r>
          </w:p>
        </w:tc>
        <w:tc>
          <w:tcPr>
            <w:tcW w:w="140" w:type="dxa"/>
            <w:vAlign w:val="bottom"/>
            <w:shd w:val="clear" w:color="auto" w:fill="CCEEFF"/>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Director</w:t>
            </w:r>
          </w:p>
        </w:tc>
      </w:tr>
    </w:tbl>
    <w:p>
      <w:pPr>
        <w:spacing w:after="0" w:line="153" w:lineRule="exact"/>
        <w:rPr>
          <w:sz w:val="20"/>
          <w:szCs w:val="20"/>
          <w:color w:val="auto"/>
        </w:rPr>
      </w:pPr>
    </w:p>
    <w:p>
      <w:pPr>
        <w:ind w:left="420" w:hanging="196"/>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Chairman of the audit committee and member of the compensation committee and corporate governance and nominating committee</w:t>
      </w:r>
    </w:p>
    <w:p>
      <w:pPr>
        <w:spacing w:after="0" w:line="14" w:lineRule="exact"/>
        <w:rPr>
          <w:rFonts w:ascii="Arial" w:cs="Arial" w:eastAsia="Arial" w:hAnsi="Arial"/>
          <w:sz w:val="12"/>
          <w:szCs w:val="12"/>
          <w:color w:val="auto"/>
        </w:rPr>
      </w:pPr>
    </w:p>
    <w:p>
      <w:pPr>
        <w:ind w:left="420" w:hanging="196"/>
        <w:spacing w:after="0"/>
        <w:tabs>
          <w:tab w:leader="none" w:pos="4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Member of the audit committee and chairman of the compensation committee and corporate governance and nominating committee</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b w:val="1"/>
          <w:bCs w:val="1"/>
          <w:i w:val="1"/>
          <w:iCs w:val="1"/>
          <w:color w:val="auto"/>
        </w:rPr>
        <w:t xml:space="preserve">Shawn K. Singh, J.D. </w:t>
      </w:r>
      <w:r>
        <w:rPr>
          <w:rFonts w:ascii="Arial" w:cs="Arial" w:eastAsia="Arial" w:hAnsi="Arial"/>
          <w:sz w:val="11"/>
          <w:szCs w:val="11"/>
          <w:color w:val="auto"/>
        </w:rPr>
        <w:t>has served as our Chief Executive Officer since August 2009; he joined our Board of Directors in 2000 and served on our management team (part-time) from late-2003, following our acquisition of Artemis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a profitable global contract research organization (</w:t>
      </w:r>
      <w:r>
        <w:rPr>
          <w:rFonts w:ascii="Arial" w:cs="Arial" w:eastAsia="Arial" w:hAnsi="Arial"/>
          <w:sz w:val="11"/>
          <w:szCs w:val="11"/>
          <w:i w:val="1"/>
          <w:iCs w:val="1"/>
          <w:color w:val="auto"/>
        </w:rPr>
        <w:t>CRO</w:t>
      </w:r>
      <w:r>
        <w:rPr>
          <w:rFonts w:ascii="Arial" w:cs="Arial" w:eastAsia="Arial" w:hAnsi="Arial"/>
          <w:sz w:val="11"/>
          <w:szCs w:val="11"/>
          <w:color w:val="auto"/>
        </w:rPr>
        <w:t>)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5" w:name="page126"/>
    <w:bookmarkEnd w:id="12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b w:val="1"/>
          <w:bCs w:val="1"/>
          <w:i w:val="1"/>
          <w:iCs w:val="1"/>
          <w:color w:val="auto"/>
        </w:rPr>
        <w:t xml:space="preserve">H. Ralph Snodgrass, Ph.D. </w:t>
      </w:r>
      <w:r>
        <w:rPr>
          <w:rFonts w:ascii="Arial" w:cs="Arial" w:eastAsia="Arial" w:hAnsi="Arial"/>
          <w:sz w:val="12"/>
          <w:szCs w:val="12"/>
          <w:color w:val="auto"/>
        </w:rPr>
        <w:t>co-founded VistaGen with Dr. Gordon Keller in 1998 and served as our Chief Executive Officer until August 2009. Dr. Snodgrass has served as our President and Chief Scientific Officer since August 2009. 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(BIO),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20 years’ experience in the uses of stem cells as biological tools for drug discovery and development.</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 as Corporate Controller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Jon S. Saxe, J.D.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 PDL BioPharma. From 1989 to 1993, he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two private biotechnology companies,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6" w:name="page127"/>
    <w:bookmarkEnd w:id="12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has served as Managing Director of Lumira Capital Corp. since September 1997, having started in the venture capital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Executive Officers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41" w:lineRule="exact"/>
        <w:rPr>
          <w:sz w:val="20"/>
          <w:szCs w:val="20"/>
          <w:color w:val="auto"/>
        </w:rPr>
      </w:pPr>
    </w:p>
    <w:p>
      <w:pPr>
        <w:ind w:left="420" w:hanging="227"/>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overseeing our accounting and financial reporting process;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selecting, retaining and replacing our independent auditors and evaluating their qualifications, independence and performance;</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reviewing and approving scope of the annual audit and audit fees;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monitoring rotation of partners of independent auditors on engagement team as required by law;</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7" w:name="page128"/>
    <w:bookmarkEnd w:id="12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hanging="227"/>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discussing with management and independent auditors the results of annual audit and review of quarterly financial statements;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reviewing adequacy and effectiveness of internal control policies and procedures;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approving retention of independent auditors to perform any proposed permissible non-audit services;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overseeing internal audit functions and annually reviewing audit committee charter and committee performance; and</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in our annual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Committee</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33" w:lineRule="exact"/>
        <w:rPr>
          <w:sz w:val="20"/>
          <w:szCs w:val="20"/>
          <w:color w:val="auto"/>
        </w:rPr>
      </w:pPr>
    </w:p>
    <w:p>
      <w:pPr>
        <w:ind w:left="420" w:hanging="227"/>
        <w:spacing w:after="0" w:line="323" w:lineRule="auto"/>
        <w:tabs>
          <w:tab w:leader="none" w:pos="4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09" w:lineRule="exact"/>
        <w:rPr>
          <w:rFonts w:ascii="Arial" w:cs="Arial" w:eastAsia="Arial" w:hAnsi="Arial"/>
          <w:sz w:val="11"/>
          <w:szCs w:val="11"/>
          <w:color w:val="auto"/>
        </w:rPr>
      </w:pPr>
    </w:p>
    <w:p>
      <w:pPr>
        <w:ind w:left="420" w:hanging="227"/>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Determining the objectives of our executive officer compensation programs;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Ensuring corporate performance measures and goals regarding executive officer compensation are set and determining the extent to which they are achieved and any related compensation earned;</w:t>
      </w:r>
    </w:p>
    <w:p>
      <w:pPr>
        <w:spacing w:after="0" w:line="168"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Establishing goals and objectives relevant to CEO compensation, evaluating CEO performance in light of such goals and objectives, and determining CEO compensation based on the evaluation; and</w:t>
      </w:r>
    </w:p>
    <w:p>
      <w:pPr>
        <w:spacing w:after="0" w:line="168" w:lineRule="exact"/>
        <w:rPr>
          <w:sz w:val="20"/>
          <w:szCs w:val="20"/>
          <w:color w:val="auto"/>
        </w:rPr>
      </w:pPr>
    </w:p>
    <w:p>
      <w:pPr>
        <w:ind w:left="420" w:hanging="227"/>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32" w:lineRule="exact"/>
        <w:rPr>
          <w:rFonts w:ascii="Arial" w:cs="Arial" w:eastAsia="Arial" w:hAnsi="Arial"/>
          <w:sz w:val="12"/>
          <w:szCs w:val="12"/>
          <w:color w:val="auto"/>
        </w:rPr>
      </w:pPr>
    </w:p>
    <w:p>
      <w:pPr>
        <w:ind w:left="420" w:hanging="227"/>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Reviewing and approving any new equity compensation plan or any material change to an existing plan.</w:t>
      </w:r>
    </w:p>
    <w:p>
      <w:pPr>
        <w:spacing w:after="0" w:line="168" w:lineRule="exact"/>
        <w:rPr>
          <w:rFonts w:ascii="Arial" w:cs="Arial" w:eastAsia="Arial" w:hAnsi="Arial"/>
          <w:sz w:val="12"/>
          <w:szCs w:val="12"/>
          <w:color w:val="auto"/>
        </w:rPr>
      </w:pPr>
    </w:p>
    <w:p>
      <w:pPr>
        <w:ind w:left="420" w:hanging="227"/>
        <w:spacing w:after="0" w:line="276" w:lineRule="auto"/>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Corporate Governance and Nominating Committee</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33" w:lineRule="exact"/>
        <w:rPr>
          <w:sz w:val="20"/>
          <w:szCs w:val="20"/>
          <w:color w:val="auto"/>
        </w:rPr>
      </w:pPr>
    </w:p>
    <w:p>
      <w:pPr>
        <w:ind w:left="420" w:hanging="227"/>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Monitoring the size and composition of the board;</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Making recommendations to the board with respect to the nominations or elections of our directors;</w:t>
      </w:r>
    </w:p>
    <w:p>
      <w:pPr>
        <w:spacing w:after="0" w:line="168" w:lineRule="exact"/>
        <w:rPr>
          <w:rFonts w:ascii="Arial" w:cs="Arial" w:eastAsia="Arial" w:hAnsi="Arial"/>
          <w:sz w:val="12"/>
          <w:szCs w:val="12"/>
          <w:color w:val="auto"/>
        </w:rPr>
      </w:pPr>
    </w:p>
    <w:p>
      <w:pPr>
        <w:ind w:left="420" w:hanging="227"/>
        <w:spacing w:after="0"/>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Reviewing the adequacy of our corporate governance policies and procedures and our Code of Business Conduct and Ethics, and recommending any proposed changes to the board for approval; and</w:t>
      </w:r>
    </w:p>
    <w:p>
      <w:pPr>
        <w:spacing w:after="0" w:line="168" w:lineRule="exact"/>
        <w:rPr>
          <w:rFonts w:ascii="Arial" w:cs="Arial" w:eastAsia="Arial" w:hAnsi="Arial"/>
          <w:sz w:val="12"/>
          <w:szCs w:val="12"/>
          <w:color w:val="auto"/>
        </w:rPr>
      </w:pPr>
    </w:p>
    <w:p>
      <w:pPr>
        <w:ind w:left="420" w:right="20" w:hanging="227"/>
        <w:spacing w:after="0" w:line="276" w:lineRule="auto"/>
        <w:tabs>
          <w:tab w:leader="none" w:pos="4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8" w:name="page129"/>
    <w:bookmarkEnd w:id="12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All potential candidates for director nominees, including candidates recommended by our stockholders, are reviewed in the context of the current composition of the Board, our operating requirements and the long-term interests of our stockholders. In conducting this assessment, the Committee considers such factors as it deems appropriate given our current needs and those of our Board, to maintain a balance of expertise, experience and capability. The Corporate Governance and Nominating Committee reviews directors’ overall service during their term, including the number of meetings attended, their level of participation and quality of performance. The Committee also determines whether the nominee would be independent, which determination is based upon applicable Nasdaq or other exchange listing standards, applicable SEC rules and regulations and the advice of counsel, if necessary.</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Corporate Governance and Nominating Committee will consider director candidates recommended by stockholders in the same manner as it considers recommendations from current directors or other sources. Stockholders who wish to recommend individuals for consideration by the Corporate Governance and Nominating Committee to become nominees for election to the Board may do so by delivering a written recommendation to the Company Secretary at the following address: 343 Allerton Avenue, South San Francisco, CA 94080 at least 60 days prior, but no more than 90 days prior, to the anniversary date of the last annual meeting of stockholders. Submissions should include the full name, address and age of the proposed nominee, a description of the proposed nominee’s business experience for at least the previous five years, complete biographical information, a description of the proposed nominee’s qualifications as a director, and the number of shares of our stock beneficially owned by the proposed nominee. The nominating stockholder must also provide his or her name and address of record and the number of shares of our stock that he or she owns beneficially or of record.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Corporate Governance and Nominating Committee has not established specific minimum qualifications for recommended nominees or specific qualities or skills for one or more of our directors to possess, other than as are necessary to meet any requirements under rules and regulations (including any stock exchange rules) applicable to the Company. The Corporate Governance and Nominating Committee uses a subjective process for identifying and evaluating nominees for director, based on the information available to, and the subjective judgments of, the members of the Committee and our then current needs for the Board as a whole. Although it does not have a formal policy regarding the consideration of diversity, the Corporate Governance and Nominating Committee considers the needs for the Board as a whole when identifying and evaluating nominees and, among other things, considers diversity in background, age, experience, qualifications, attributes and skills in identifying nominees.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Corporate Governance and Nominating Committee’s process for identification and evaluation of director candidates is generally as follows:</w:t>
      </w:r>
    </w:p>
    <w:p>
      <w:pPr>
        <w:spacing w:after="0" w:line="168" w:lineRule="exact"/>
        <w:rPr>
          <w:sz w:val="20"/>
          <w:szCs w:val="20"/>
          <w:color w:val="auto"/>
        </w:rPr>
      </w:pPr>
    </w:p>
    <w:p>
      <w:pPr>
        <w:ind w:left="420" w:firstLine="4"/>
        <w:spacing w:after="0" w:line="276" w:lineRule="auto"/>
        <w:tabs>
          <w:tab w:leader="none" w:pos="589"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 the event of a vacancy or the establishment of a new directorship on the Board, candidate(s) for director nominee(s) shall be presented to the full Board for consideration and approval upon the recommendation of no less than a majority of the independent members of the Board (as independence is defined under any stock exchange rules that may be applicable to the Company at such time).</w:t>
      </w:r>
    </w:p>
    <w:p>
      <w:pPr>
        <w:spacing w:after="0" w:line="132" w:lineRule="exact"/>
        <w:rPr>
          <w:rFonts w:ascii="Arial" w:cs="Arial" w:eastAsia="Arial" w:hAnsi="Arial"/>
          <w:sz w:val="12"/>
          <w:szCs w:val="12"/>
          <w:color w:val="auto"/>
        </w:rPr>
      </w:pPr>
    </w:p>
    <w:p>
      <w:pPr>
        <w:jc w:val="both"/>
        <w:ind w:left="420" w:firstLine="4"/>
        <w:spacing w:after="0" w:line="257" w:lineRule="auto"/>
        <w:tabs>
          <w:tab w:leader="none" w:pos="595" w:val="left"/>
        </w:tabs>
        <w:numPr>
          <w:ilvl w:val="0"/>
          <w:numId w:val="49"/>
        </w:numPr>
        <w:rPr>
          <w:rFonts w:ascii="Arial" w:cs="Arial" w:eastAsia="Arial" w:hAnsi="Arial"/>
          <w:sz w:val="12"/>
          <w:szCs w:val="12"/>
          <w:color w:val="auto"/>
        </w:rPr>
      </w:pPr>
      <w:r>
        <w:rPr>
          <w:rFonts w:ascii="Arial" w:cs="Arial" w:eastAsia="Arial" w:hAnsi="Arial"/>
          <w:sz w:val="12"/>
          <w:szCs w:val="12"/>
          <w:color w:val="auto"/>
        </w:rPr>
        <w:t>We believe that the continuing service of qualified incumbents promotes stability and continuity in the boardroom, contributing to the Board's ability to work as a collective body, while giving us the benefit of the familiarity and insight into our affairs that our directors have accumulated during their tenure. Accordingly, the process for identifying nominees reflects our practice of re-nominating incumbent directors who continue to satisfy the criteria for membership on the Board, whom the independent members of the Board believe continue to make important contributions to the Board and who consent to continue their service on the Board. Consistent with this policy, in considering candidates for election at annual meetings of stockholders, the independent members of the Board will first determine the incumbent directors whose terms expire at the upcoming meeting and who wish to continue their service on the Board.</w:t>
      </w:r>
    </w:p>
    <w:p>
      <w:pPr>
        <w:spacing w:after="0" w:line="143" w:lineRule="exact"/>
        <w:rPr>
          <w:rFonts w:ascii="Arial" w:cs="Arial" w:eastAsia="Arial" w:hAnsi="Arial"/>
          <w:sz w:val="12"/>
          <w:szCs w:val="12"/>
          <w:color w:val="auto"/>
        </w:rPr>
      </w:pPr>
    </w:p>
    <w:p>
      <w:pPr>
        <w:jc w:val="both"/>
        <w:ind w:left="420" w:firstLine="4"/>
        <w:spacing w:after="0" w:line="298" w:lineRule="auto"/>
        <w:tabs>
          <w:tab w:leader="none" w:pos="597" w:val="left"/>
        </w:tabs>
        <w:numPr>
          <w:ilvl w:val="0"/>
          <w:numId w:val="49"/>
        </w:numPr>
        <w:rPr>
          <w:rFonts w:ascii="Arial" w:cs="Arial" w:eastAsia="Arial" w:hAnsi="Arial"/>
          <w:sz w:val="11"/>
          <w:szCs w:val="11"/>
          <w:color w:val="auto"/>
        </w:rPr>
      </w:pPr>
      <w:r>
        <w:rPr>
          <w:rFonts w:ascii="Arial" w:cs="Arial" w:eastAsia="Arial" w:hAnsi="Arial"/>
          <w:sz w:val="11"/>
          <w:szCs w:val="11"/>
          <w:color w:val="auto"/>
        </w:rPr>
        <w:t>The independent members of the Board will evaluate the qualifications and performance of the incumbent directors that desire to continue their service. In particular, as to each such incumbent director, the independent members of the Board will (i) consider if the director continues to satisfy the minimum qualifications for director candidates adopted by the independent members of the Board, (ii) review any assessments of the performance of the director during the preceding term made by the Board, and (iii) determine whether there exist any special, countervailing considerations against re-nomination of the director.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9" w:name="page130"/>
    <w:bookmarkEnd w:id="129"/>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420" w:firstLine="4"/>
        <w:spacing w:after="0" w:line="263" w:lineRule="auto"/>
        <w:tabs>
          <w:tab w:leader="none" w:pos="593" w:val="left"/>
        </w:tabs>
        <w:numPr>
          <w:ilvl w:val="1"/>
          <w:numId w:val="50"/>
        </w:numPr>
        <w:rPr>
          <w:rFonts w:ascii="Arial" w:cs="Arial" w:eastAsia="Arial" w:hAnsi="Arial"/>
          <w:sz w:val="12"/>
          <w:szCs w:val="12"/>
          <w:color w:val="auto"/>
        </w:rPr>
      </w:pPr>
      <w:r>
        <w:rPr>
          <w:rFonts w:ascii="Arial" w:cs="Arial" w:eastAsia="Arial" w:hAnsi="Arial"/>
          <w:sz w:val="12"/>
          <w:szCs w:val="12"/>
          <w:color w:val="auto"/>
        </w:rPr>
        <w:t>If the independent members of the Board determine that an incumbent director consenting to re-nomination continues to be qualified and has satisfactorily performed his or her duties as director during the preceding term, and there exist no reasons, including considerations relating to the composition and functional needs of the Board as a whole, why in the view of the independent members of the Board the incumbent should not be re-nominated, the independent members of the Board will, absent special circumstances, propose the incumbent director for reelection.</w:t>
      </w:r>
    </w:p>
    <w:p>
      <w:pPr>
        <w:spacing w:after="0" w:line="140" w:lineRule="exact"/>
        <w:rPr>
          <w:rFonts w:ascii="Arial" w:cs="Arial" w:eastAsia="Arial" w:hAnsi="Arial"/>
          <w:sz w:val="12"/>
          <w:szCs w:val="12"/>
          <w:color w:val="auto"/>
        </w:rPr>
      </w:pPr>
    </w:p>
    <w:p>
      <w:pPr>
        <w:ind w:left="420" w:right="20" w:firstLine="4"/>
        <w:spacing w:after="0" w:line="276" w:lineRule="auto"/>
        <w:tabs>
          <w:tab w:leader="none" w:pos="592" w:val="left"/>
        </w:tabs>
        <w:numPr>
          <w:ilvl w:val="1"/>
          <w:numId w:val="50"/>
        </w:numPr>
        <w:rPr>
          <w:rFonts w:ascii="Arial" w:cs="Arial" w:eastAsia="Arial" w:hAnsi="Arial"/>
          <w:sz w:val="12"/>
          <w:szCs w:val="12"/>
          <w:color w:val="auto"/>
        </w:rPr>
      </w:pPr>
      <w:r>
        <w:rPr>
          <w:rFonts w:ascii="Arial" w:cs="Arial" w:eastAsia="Arial" w:hAnsi="Arial"/>
          <w:sz w:val="12"/>
          <w:szCs w:val="12"/>
          <w:color w:val="auto"/>
        </w:rPr>
        <w:t>The process by the independent members of the Board for identifying and evaluating nominees for director, including nominees recommended by a stockholder, involves (with or without the assistance of a retained search firm):</w:t>
      </w:r>
    </w:p>
    <w:p>
      <w:pPr>
        <w:spacing w:after="0" w:line="132" w:lineRule="exact"/>
        <w:rPr>
          <w:rFonts w:ascii="Arial" w:cs="Arial" w:eastAsia="Arial" w:hAnsi="Arial"/>
          <w:sz w:val="12"/>
          <w:szCs w:val="12"/>
          <w:color w:val="auto"/>
        </w:rPr>
      </w:pPr>
    </w:p>
    <w:p>
      <w:pPr>
        <w:ind w:left="860" w:hanging="451"/>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compiling names of potentially eligible candidates;</w:t>
      </w:r>
    </w:p>
    <w:p>
      <w:pPr>
        <w:spacing w:after="0" w:line="14" w:lineRule="exact"/>
        <w:rPr>
          <w:rFonts w:ascii="Arial" w:cs="Arial" w:eastAsia="Arial" w:hAnsi="Arial"/>
          <w:sz w:val="12"/>
          <w:szCs w:val="12"/>
          <w:color w:val="auto"/>
        </w:rPr>
      </w:pPr>
    </w:p>
    <w:p>
      <w:pPr>
        <w:ind w:left="860" w:hanging="451"/>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conducting background and reference checks;</w:t>
      </w:r>
    </w:p>
    <w:p>
      <w:pPr>
        <w:spacing w:after="0" w:line="6" w:lineRule="exact"/>
        <w:rPr>
          <w:rFonts w:ascii="Arial" w:cs="Arial" w:eastAsia="Arial" w:hAnsi="Arial"/>
          <w:sz w:val="12"/>
          <w:szCs w:val="12"/>
          <w:color w:val="auto"/>
        </w:rPr>
      </w:pPr>
    </w:p>
    <w:p>
      <w:pPr>
        <w:ind w:left="860" w:hanging="451"/>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conducting interviews with candidates and/or others;</w:t>
      </w:r>
    </w:p>
    <w:p>
      <w:pPr>
        <w:spacing w:after="0" w:line="6" w:lineRule="exact"/>
        <w:rPr>
          <w:rFonts w:ascii="Arial" w:cs="Arial" w:eastAsia="Arial" w:hAnsi="Arial"/>
          <w:sz w:val="12"/>
          <w:szCs w:val="12"/>
          <w:color w:val="auto"/>
        </w:rPr>
      </w:pPr>
    </w:p>
    <w:p>
      <w:pPr>
        <w:ind w:left="860" w:hanging="451"/>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meeting to consider and approve final candidates; and, as appropriate,</w:t>
      </w:r>
    </w:p>
    <w:p>
      <w:pPr>
        <w:spacing w:after="0" w:line="6" w:lineRule="exact"/>
        <w:rPr>
          <w:rFonts w:ascii="Arial" w:cs="Arial" w:eastAsia="Arial" w:hAnsi="Arial"/>
          <w:sz w:val="12"/>
          <w:szCs w:val="12"/>
          <w:color w:val="auto"/>
        </w:rPr>
      </w:pPr>
    </w:p>
    <w:p>
      <w:pPr>
        <w:ind w:left="860" w:hanging="451"/>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preparing and presenting to the full Board an analysis with regard to particular recommended candidates.</w:t>
      </w:r>
    </w:p>
    <w:p>
      <w:pPr>
        <w:spacing w:after="0" w:line="159"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During the search process, the independent directors shall endeavor to identify director nominees who have the highest personal and professional integrity, have demonstrated exceptional ability and judgment, and, together with other director nominees and current Board members, shall effectively serve the long-term interests of our stockholders and contribute to our overall corporate goals.</w:t>
      </w:r>
    </w:p>
    <w:p>
      <w:pPr>
        <w:spacing w:after="0" w:line="133" w:lineRule="exact"/>
        <w:rPr>
          <w:sz w:val="20"/>
          <w:szCs w:val="20"/>
          <w:color w:val="auto"/>
        </w:rPr>
      </w:pPr>
    </w:p>
    <w:p>
      <w:pPr>
        <w:ind w:left="580" w:hanging="156"/>
        <w:spacing w:after="0"/>
        <w:tabs>
          <w:tab w:leader="none" w:pos="580" w:val="left"/>
        </w:tabs>
        <w:numPr>
          <w:ilvl w:val="1"/>
          <w:numId w:val="51"/>
        </w:numPr>
        <w:rPr>
          <w:rFonts w:ascii="Arial" w:cs="Arial" w:eastAsia="Arial" w:hAnsi="Arial"/>
          <w:sz w:val="11"/>
          <w:szCs w:val="11"/>
          <w:color w:val="auto"/>
        </w:rPr>
      </w:pPr>
      <w:r>
        <w:rPr>
          <w:rFonts w:ascii="Arial" w:cs="Arial" w:eastAsia="Arial" w:hAnsi="Arial"/>
          <w:sz w:val="11"/>
          <w:szCs w:val="11"/>
          <w:color w:val="auto"/>
        </w:rPr>
        <w:t>In considering potential new directors, the independent members of the Board will review individuals from various disciplines and backgrounds. Among the qualifications to be considered in the selection of candidates are:</w:t>
      </w:r>
    </w:p>
    <w:p>
      <w:pPr>
        <w:spacing w:after="0" w:line="179" w:lineRule="exact"/>
        <w:rPr>
          <w:rFonts w:ascii="Arial" w:cs="Arial" w:eastAsia="Arial" w:hAnsi="Arial"/>
          <w:sz w:val="11"/>
          <w:szCs w:val="11"/>
          <w:color w:val="auto"/>
        </w:rPr>
      </w:pPr>
    </w:p>
    <w:p>
      <w:pPr>
        <w:ind w:left="860" w:hanging="451"/>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personal and professional integrity;</w:t>
      </w:r>
    </w:p>
    <w:p>
      <w:pPr>
        <w:spacing w:after="0" w:line="14" w:lineRule="exact"/>
        <w:rPr>
          <w:rFonts w:ascii="Arial" w:cs="Arial" w:eastAsia="Arial" w:hAnsi="Arial"/>
          <w:sz w:val="12"/>
          <w:szCs w:val="12"/>
          <w:color w:val="auto"/>
        </w:rPr>
      </w:pPr>
    </w:p>
    <w:p>
      <w:pPr>
        <w:ind w:left="860" w:hanging="451"/>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broad experience in business, finance or administration;</w:t>
      </w:r>
    </w:p>
    <w:p>
      <w:pPr>
        <w:spacing w:after="0" w:line="6" w:lineRule="exact"/>
        <w:rPr>
          <w:rFonts w:ascii="Arial" w:cs="Arial" w:eastAsia="Arial" w:hAnsi="Arial"/>
          <w:sz w:val="12"/>
          <w:szCs w:val="12"/>
          <w:color w:val="auto"/>
        </w:rPr>
      </w:pPr>
    </w:p>
    <w:p>
      <w:pPr>
        <w:ind w:left="860" w:hanging="451"/>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familiarity with our industry; and</w:t>
      </w:r>
    </w:p>
    <w:p>
      <w:pPr>
        <w:spacing w:after="0" w:line="6" w:lineRule="exact"/>
        <w:rPr>
          <w:rFonts w:ascii="Arial" w:cs="Arial" w:eastAsia="Arial" w:hAnsi="Arial"/>
          <w:sz w:val="12"/>
          <w:szCs w:val="12"/>
          <w:color w:val="auto"/>
        </w:rPr>
      </w:pPr>
    </w:p>
    <w:p>
      <w:pPr>
        <w:ind w:left="860" w:hanging="451"/>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prominence and reputation.</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Business Conduct and Ethics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2"/>
          <w:szCs w:val="12"/>
          <w:u w:val="single" w:color="auto"/>
          <w:color w:val="auto"/>
        </w:rPr>
        <w:t>www.vistagen.com</w:t>
      </w:r>
      <w:r>
        <w:rPr>
          <w:rFonts w:ascii="Arial" w:cs="Arial" w:eastAsia="Arial" w:hAnsi="Arial"/>
          <w:sz w:val="12"/>
          <w:szCs w:val="12"/>
          <w:color w:val="auto"/>
        </w:rPr>
        <w:t>. We intend to disclose any future amendments to certain provisions of our Code of Business Conduct and Ethics, or waivers of these provisions, on our website or in filings with the SEC under the Exchange Act.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Board Attendance at Board of Directors, Committee and Stockholder Meetings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met three times and acted by unanimous written consent ten times during the fiscal year ended March 31, 2014. Our Audit Committee met four times and our Compensation Committee requested action by the entire Board of Directors for grants of options and warrants and the modification of certain options and warrants during the same period. Each director serving during fiscal 2014 attended all of the meetings of the Board and the committees of the Board upon which such director served.</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do not have a formal policy regarding attendance by members of the Board at our annual meeting of stockholders, but directors are encouraged to attend. We did not hold an annual meeting of stockholders during our fiscal year ended March 31, 2014.</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Committee Interlocks and Insider Participation</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0" w:name="page131"/>
    <w:bookmarkEnd w:id="130"/>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Section 16 Beneficial Ownership Reporting Compliance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Section 16(a) of the Exchange Act requires our officers, directors and persons who beneficially own more than ten percent of our common stock (collectively, </w:t>
      </w:r>
      <w:r>
        <w:rPr>
          <w:rFonts w:ascii="Arial" w:cs="Arial" w:eastAsia="Arial" w:hAnsi="Arial"/>
          <w:sz w:val="12"/>
          <w:szCs w:val="12"/>
          <w:i w:val="1"/>
          <w:iCs w:val="1"/>
          <w:color w:val="auto"/>
        </w:rPr>
        <w:t>Reporting Persons</w:t>
      </w:r>
      <w:r>
        <w:rPr>
          <w:rFonts w:ascii="Arial" w:cs="Arial" w:eastAsia="Arial" w:hAnsi="Arial"/>
          <w:sz w:val="12"/>
          <w:szCs w:val="12"/>
          <w:color w:val="auto"/>
        </w:rPr>
        <w:t>) to file reports of ownership on Form 3 and changes in ownership on Form 4 or Form 5 with the Commission. The Reporting Persons are also required by SEC rules to furnish us with copies of all reports that they file pursuant to Section 16(a). Except as described below, we believe that during our fiscal year ended March 31, 2014, all of the Reporting Persons complied with all applicable reporting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On December 20, 2013, certain of Mr. Saxe’s options and warrants were modified to reduce their exercise price. Mr Saxe did not report these derivative security transactions on a Form 4 until December 26, 2013.</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Compensation Objectives</w:t>
      </w:r>
    </w:p>
    <w:p>
      <w:pPr>
        <w:spacing w:after="0" w:line="150"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shareholder value creation. The Compensation Committee seeks to tie individual goals to the area of the executive officer’s primary responsibility. These goals may include the achievement of specific financial or business development goals. The Compensation Committee seeks to set performance goals that reach across all business areas and include achievements in finance/business development and corporate development.</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Although we have no formal policy for a specific allocation between current and long-term compensation, or cash and non-cash compensation, we have established a pay mix for our officers with a relatively equal balance of both, providing a competitive salary with a significant portion of compensation awarded on both corporate and personal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Components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compensation consists primarily of three elements: base salary, annual bonus and long-term equity incentives. We describe each element of compensation in more detail below.</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Base Salary</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1" w:name="page132"/>
    <w:bookmarkEnd w:id="131"/>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Annual Bonus</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did not seek, and our Compensation Committee did not award, cash bonuses to executive officers during fiscal 2013 or 2014.</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Long-Term Equity Incentives</w:t>
      </w:r>
    </w:p>
    <w:p>
      <w:pPr>
        <w:spacing w:after="0" w:line="150" w:lineRule="exact"/>
        <w:rPr>
          <w:sz w:val="20"/>
          <w:szCs w:val="20"/>
          <w:color w:val="auto"/>
        </w:rPr>
      </w:pPr>
    </w:p>
    <w:p>
      <w:pPr>
        <w:jc w:val="both"/>
        <w:ind w:left="8" w:right="20"/>
        <w:spacing w:after="0" w:line="323" w:lineRule="auto"/>
        <w:rPr>
          <w:sz w:val="20"/>
          <w:szCs w:val="20"/>
          <w:color w:val="auto"/>
        </w:rPr>
      </w:pPr>
      <w:r>
        <w:rPr>
          <w:rFonts w:ascii="Arial" w:cs="Arial" w:eastAsia="Arial" w:hAnsi="Arial"/>
          <w:sz w:val="11"/>
          <w:szCs w:val="11"/>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 based compensation granted under our stock option plans.</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Summary Compensation Table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information regarding the compensation of our Named Executive Officers (</w:t>
      </w:r>
      <w:r>
        <w:rPr>
          <w:rFonts w:ascii="Arial" w:cs="Arial" w:eastAsia="Arial" w:hAnsi="Arial"/>
          <w:sz w:val="12"/>
          <w:szCs w:val="12"/>
          <w:i w:val="1"/>
          <w:iCs w:val="1"/>
          <w:color w:val="auto"/>
        </w:rPr>
        <w:t>NEO’s</w:t>
      </w:r>
      <w:r>
        <w:rPr>
          <w:rFonts w:ascii="Arial" w:cs="Arial" w:eastAsia="Arial" w:hAnsi="Arial"/>
          <w:sz w:val="12"/>
          <w:szCs w:val="12"/>
          <w:color w:val="auto"/>
        </w:rPr>
        <w:t>) for services performed in the fiscal years ended March 31, 2014 and 2013.</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4"/>
              </w:rPr>
              <w:t>Option and Warrant</w:t>
            </w:r>
          </w:p>
        </w:tc>
        <w:tc>
          <w:tcPr>
            <w:tcW w:w="380" w:type="dxa"/>
            <w:vAlign w:val="bottom"/>
          </w:tcPr>
          <w:p>
            <w:pPr>
              <w:spacing w:after="0"/>
              <w:rPr>
                <w:sz w:val="12"/>
                <w:szCs w:val="12"/>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4"/>
              </w:rPr>
              <w:t>All Other</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60"/>
              <w:spacing w:after="0"/>
              <w:rPr>
                <w:sz w:val="20"/>
                <w:szCs w:val="20"/>
                <w:color w:val="auto"/>
              </w:rPr>
            </w:pPr>
            <w:r>
              <w:rPr>
                <w:rFonts w:ascii="Arial" w:cs="Arial" w:eastAsia="Arial" w:hAnsi="Arial"/>
                <w:sz w:val="12"/>
                <w:szCs w:val="12"/>
                <w:b w:val="1"/>
                <w:bCs w:val="1"/>
                <w:color w:val="auto"/>
              </w:rPr>
              <w:t>Fiscal</w:t>
            </w:r>
          </w:p>
        </w:tc>
        <w:tc>
          <w:tcPr>
            <w:tcW w:w="100" w:type="dxa"/>
            <w:vAlign w:val="bottom"/>
          </w:tcPr>
          <w:p>
            <w:pPr>
              <w:spacing w:after="0"/>
              <w:rPr>
                <w:sz w:val="12"/>
                <w:szCs w:val="12"/>
                <w:color w:val="auto"/>
              </w:rPr>
            </w:pPr>
          </w:p>
        </w:tc>
        <w:tc>
          <w:tcPr>
            <w:tcW w:w="1240" w:type="dxa"/>
            <w:vAlign w:val="bottom"/>
            <w:gridSpan w:val="2"/>
          </w:tcPr>
          <w:p>
            <w:pPr>
              <w:ind w:left="420"/>
              <w:spacing w:after="0"/>
              <w:rPr>
                <w:sz w:val="20"/>
                <w:szCs w:val="20"/>
                <w:color w:val="auto"/>
              </w:rPr>
            </w:pPr>
            <w:r>
              <w:rPr>
                <w:rFonts w:ascii="Arial" w:cs="Arial" w:eastAsia="Arial" w:hAnsi="Arial"/>
                <w:sz w:val="12"/>
                <w:szCs w:val="12"/>
                <w:b w:val="1"/>
                <w:bCs w:val="1"/>
                <w:color w:val="auto"/>
              </w:rPr>
              <w:t>Salary</w:t>
            </w:r>
          </w:p>
        </w:tc>
        <w:tc>
          <w:tcPr>
            <w:tcW w:w="220" w:type="dxa"/>
            <w:vAlign w:val="bottom"/>
          </w:tcPr>
          <w:p>
            <w:pPr>
              <w:spacing w:after="0"/>
              <w:rPr>
                <w:sz w:val="12"/>
                <w:szCs w:val="12"/>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Bonus</w:t>
            </w:r>
          </w:p>
        </w:tc>
        <w:tc>
          <w:tcPr>
            <w:tcW w:w="1240" w:type="dxa"/>
            <w:vAlign w:val="bottom"/>
            <w:gridSpan w:val="2"/>
          </w:tcPr>
          <w:p>
            <w:pPr>
              <w:jc w:val="center"/>
              <w:ind w:right="80"/>
              <w:spacing w:after="0" w:line="144" w:lineRule="exact"/>
              <w:rPr>
                <w:sz w:val="20"/>
                <w:szCs w:val="20"/>
                <w:color w:val="auto"/>
              </w:rPr>
            </w:pPr>
            <w:r>
              <w:rPr>
                <w:rFonts w:ascii="Arial" w:cs="Arial" w:eastAsia="Arial" w:hAnsi="Arial"/>
                <w:sz w:val="12"/>
                <w:szCs w:val="12"/>
                <w:b w:val="1"/>
                <w:bCs w:val="1"/>
                <w:color w:val="auto"/>
                <w:w w:val="86"/>
              </w:rPr>
              <w:t xml:space="preserve">Awards </w:t>
            </w:r>
            <w:r>
              <w:rPr>
                <w:rFonts w:ascii="Arial" w:cs="Arial" w:eastAsia="Arial" w:hAnsi="Arial"/>
                <w:sz w:val="16"/>
                <w:szCs w:val="16"/>
                <w:b w:val="1"/>
                <w:bCs w:val="1"/>
                <w:color w:val="auto"/>
                <w:w w:val="86"/>
                <w:vertAlign w:val="superscript"/>
              </w:rPr>
              <w:t>(7)</w:t>
            </w:r>
          </w:p>
        </w:tc>
        <w:tc>
          <w:tcPr>
            <w:tcW w:w="380" w:type="dxa"/>
            <w:vAlign w:val="bottom"/>
          </w:tcPr>
          <w:p>
            <w:pPr>
              <w:spacing w:after="0"/>
              <w:rPr>
                <w:sz w:val="12"/>
                <w:szCs w:val="12"/>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8"/>
              </w:rPr>
              <w:t>Compensation</w:t>
            </w:r>
          </w:p>
        </w:tc>
        <w:tc>
          <w:tcPr>
            <w:tcW w:w="280" w:type="dxa"/>
            <w:vAlign w:val="bottom"/>
          </w:tcPr>
          <w:p>
            <w:pPr>
              <w:spacing w:after="0"/>
              <w:rPr>
                <w:sz w:val="12"/>
                <w:szCs w:val="12"/>
                <w:color w:val="auto"/>
              </w:rPr>
            </w:pP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tcPr>
          <w:p>
            <w:pPr>
              <w:ind w:left="640"/>
              <w:spacing w:after="0"/>
              <w:rPr>
                <w:sz w:val="20"/>
                <w:szCs w:val="20"/>
                <w:color w:val="auto"/>
              </w:rPr>
            </w:pPr>
            <w:r>
              <w:rPr>
                <w:rFonts w:ascii="Arial" w:cs="Arial" w:eastAsia="Arial" w:hAnsi="Arial"/>
                <w:sz w:val="12"/>
                <w:szCs w:val="12"/>
                <w:b w:val="1"/>
                <w:bCs w:val="1"/>
                <w:color w:val="auto"/>
              </w:rPr>
              <w:t>Name and Principal Position</w:t>
            </w:r>
          </w:p>
        </w:tc>
        <w:tc>
          <w:tcPr>
            <w:tcW w:w="120" w:type="dxa"/>
            <w:vAlign w:val="bottom"/>
          </w:tcPr>
          <w:p>
            <w:pPr>
              <w:spacing w:after="0"/>
              <w:rPr>
                <w:sz w:val="13"/>
                <w:szCs w:val="13"/>
                <w:color w:val="auto"/>
              </w:rPr>
            </w:pPr>
          </w:p>
        </w:tc>
        <w:tc>
          <w:tcPr>
            <w:tcW w:w="1080" w:type="dxa"/>
            <w:vAlign w:val="bottom"/>
          </w:tcPr>
          <w:p>
            <w:pPr>
              <w:jc w:val="right"/>
              <w:ind w:right="380"/>
              <w:spacing w:after="0"/>
              <w:rPr>
                <w:sz w:val="20"/>
                <w:szCs w:val="20"/>
                <w:color w:val="auto"/>
              </w:rPr>
            </w:pPr>
            <w:r>
              <w:rPr>
                <w:rFonts w:ascii="Arial" w:cs="Arial" w:eastAsia="Arial" w:hAnsi="Arial"/>
                <w:sz w:val="12"/>
                <w:szCs w:val="12"/>
                <w:b w:val="1"/>
                <w:bCs w:val="1"/>
                <w:color w:val="auto"/>
              </w:rPr>
              <w:t>Year</w:t>
            </w:r>
          </w:p>
        </w:tc>
        <w:tc>
          <w:tcPr>
            <w:tcW w:w="13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8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52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1"/>
                <w:szCs w:val="11"/>
                <w:color w:val="auto"/>
              </w:rPr>
              <w:t xml:space="preserve">Shawn K. Singh, J.D. </w:t>
            </w:r>
            <w:r>
              <w:rPr>
                <w:rFonts w:ascii="Arial" w:cs="Arial" w:eastAsia="Arial" w:hAnsi="Arial"/>
                <w:sz w:val="15"/>
                <w:szCs w:val="15"/>
                <w:color w:val="auto"/>
                <w:vertAlign w:val="superscript"/>
              </w:rPr>
              <w:t>(1)</w:t>
            </w:r>
          </w:p>
        </w:tc>
        <w:tc>
          <w:tcPr>
            <w:tcW w:w="120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2014</w:t>
            </w:r>
          </w:p>
        </w:tc>
        <w:tc>
          <w:tcPr>
            <w:tcW w:w="134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250,000</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w w:val="81"/>
              </w:rPr>
              <w:t>(4)</w:t>
            </w:r>
          </w:p>
        </w:tc>
        <w:tc>
          <w:tcPr>
            <w:tcW w:w="14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159,802</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20"/>
                <w:szCs w:val="20"/>
                <w:color w:val="auto"/>
              </w:rPr>
            </w:pPr>
            <w:r>
              <w:rPr>
                <w:rFonts w:ascii="Arial" w:cs="Arial" w:eastAsia="Arial" w:hAnsi="Arial"/>
                <w:sz w:val="8"/>
                <w:szCs w:val="8"/>
                <w:color w:val="auto"/>
              </w:rPr>
              <w:t>(8)</w:t>
            </w: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409,802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Chief Executive Officer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2013</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201,646</w:t>
            </w:r>
          </w:p>
        </w:tc>
        <w:tc>
          <w:tcPr>
            <w:tcW w:w="2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802,411</w:t>
            </w:r>
          </w:p>
        </w:tc>
        <w:tc>
          <w:tcPr>
            <w:tcW w:w="380" w:type="dxa"/>
            <w:vAlign w:val="bottom"/>
            <w:shd w:val="clear" w:color="auto" w:fill="CCEEFF"/>
          </w:tcPr>
          <w:p>
            <w:pPr>
              <w:spacing w:after="0"/>
              <w:rPr>
                <w:sz w:val="20"/>
                <w:szCs w:val="20"/>
                <w:color w:val="auto"/>
              </w:rPr>
            </w:pPr>
            <w:r>
              <w:rPr>
                <w:rFonts w:ascii="Arial" w:cs="Arial" w:eastAsia="Arial" w:hAnsi="Arial"/>
                <w:sz w:val="8"/>
                <w:szCs w:val="8"/>
                <w:color w:val="auto"/>
              </w:rPr>
              <w:t>(9)(10)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1,004,057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1"/>
                <w:szCs w:val="11"/>
                <w:color w:val="auto"/>
              </w:rPr>
              <w:t xml:space="preserve">H. Ralph Snodgrass, Ph.D. </w:t>
            </w:r>
            <w:r>
              <w:rPr>
                <w:rFonts w:ascii="Arial" w:cs="Arial" w:eastAsia="Arial" w:hAnsi="Arial"/>
                <w:sz w:val="15"/>
                <w:szCs w:val="15"/>
                <w:color w:val="auto"/>
                <w:vertAlign w:val="superscript"/>
              </w:rPr>
              <w:t>(2)</w:t>
            </w:r>
          </w:p>
        </w:tc>
        <w:tc>
          <w:tcPr>
            <w:tcW w:w="120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2014</w:t>
            </w:r>
          </w:p>
        </w:tc>
        <w:tc>
          <w:tcPr>
            <w:tcW w:w="134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250,000</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w w:val="81"/>
              </w:rPr>
              <w:t>(5)</w:t>
            </w:r>
          </w:p>
        </w:tc>
        <w:tc>
          <w:tcPr>
            <w:tcW w:w="14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102,353</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20"/>
                <w:szCs w:val="20"/>
                <w:color w:val="auto"/>
              </w:rPr>
            </w:pPr>
            <w:r>
              <w:rPr>
                <w:rFonts w:ascii="Arial" w:cs="Arial" w:eastAsia="Arial" w:hAnsi="Arial"/>
                <w:sz w:val="8"/>
                <w:szCs w:val="8"/>
                <w:color w:val="auto"/>
              </w:rPr>
              <w:t>(8)</w:t>
            </w: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352.353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President, Chief Scientific Officer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2013</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203,086</w:t>
            </w:r>
          </w:p>
        </w:tc>
        <w:tc>
          <w:tcPr>
            <w:tcW w:w="2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534,941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20"/>
                <w:szCs w:val="20"/>
                <w:color w:val="auto"/>
              </w:rPr>
            </w:pPr>
            <w:r>
              <w:rPr>
                <w:rFonts w:ascii="Arial" w:cs="Arial" w:eastAsia="Arial" w:hAnsi="Arial"/>
                <w:sz w:val="8"/>
                <w:szCs w:val="8"/>
                <w:color w:val="auto"/>
              </w:rPr>
              <w:t>(10)</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738,027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perscript"/>
              </w:rPr>
              <w:t>(3)</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2014</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200,000</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w w:val="81"/>
              </w:rPr>
              <w:t>(6)</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36,846</w:t>
            </w:r>
          </w:p>
        </w:tc>
        <w:tc>
          <w:tcPr>
            <w:tcW w:w="380" w:type="dxa"/>
            <w:vAlign w:val="bottom"/>
            <w:shd w:val="clear" w:color="auto" w:fill="CCEEFF"/>
          </w:tcPr>
          <w:p>
            <w:pPr>
              <w:spacing w:after="0"/>
              <w:rPr>
                <w:sz w:val="20"/>
                <w:szCs w:val="20"/>
                <w:color w:val="auto"/>
              </w:rPr>
            </w:pPr>
            <w:r>
              <w:rPr>
                <w:rFonts w:ascii="Arial" w:cs="Arial" w:eastAsia="Arial" w:hAnsi="Arial"/>
                <w:sz w:val="8"/>
                <w:szCs w:val="8"/>
                <w:color w:val="auto"/>
              </w:rPr>
              <w:t>(8)</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Vice President, Chief Financial Officer, Secretary</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2013</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97,269</w:t>
            </w:r>
          </w:p>
        </w:tc>
        <w:tc>
          <w:tcPr>
            <w:tcW w:w="2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134,316</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8"/>
                <w:szCs w:val="8"/>
                <w:color w:val="auto"/>
              </w:rPr>
              <w:t>(11)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62,333</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w w:val="84"/>
              </w:rPr>
              <w:t>(12)</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293,918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428" w:right="20" w:hanging="428"/>
        <w:spacing w:after="0" w:line="257" w:lineRule="auto"/>
        <w:tabs>
          <w:tab w:leader="none" w:pos="4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Mr. Singh became VistaGen California’s Chief Executive Officer on August 20, 2009 and our Chief Executive Officer in May 2011, in connection with the Merger. In our fiscal years ended March 31, 2014 and 2013, Mr. Singh’s annual base cash salary, excluding potential cash bonus amounts, pursuant to his January 2010 employment agreement was contractually set at $347,500. However, to conserve cash for our operations during our fiscal years ended March 31, 2014 and 2013,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2014 and 2013, Mr. Singh voluntarily refrained from receiving any cash bonus from us.</w:t>
      </w:r>
    </w:p>
    <w:p>
      <w:pPr>
        <w:spacing w:after="0" w:line="125" w:lineRule="exact"/>
        <w:rPr>
          <w:rFonts w:ascii="Arial" w:cs="Arial" w:eastAsia="Arial" w:hAnsi="Arial"/>
          <w:sz w:val="12"/>
          <w:szCs w:val="12"/>
          <w:color w:val="auto"/>
        </w:rPr>
      </w:pPr>
    </w:p>
    <w:p>
      <w:pPr>
        <w:jc w:val="both"/>
        <w:ind w:left="428" w:right="20" w:hanging="428"/>
        <w:spacing w:after="0" w:line="286" w:lineRule="auto"/>
        <w:tabs>
          <w:tab w:leader="none" w:pos="428" w:val="left"/>
        </w:tabs>
        <w:numPr>
          <w:ilvl w:val="0"/>
          <w:numId w:val="52"/>
        </w:numPr>
        <w:rPr>
          <w:rFonts w:ascii="Arial" w:cs="Arial" w:eastAsia="Arial" w:hAnsi="Arial"/>
          <w:sz w:val="11"/>
          <w:szCs w:val="11"/>
          <w:color w:val="auto"/>
        </w:rPr>
      </w:pPr>
      <w:r>
        <w:rPr>
          <w:rFonts w:ascii="Arial" w:cs="Arial" w:eastAsia="Arial" w:hAnsi="Arial"/>
          <w:sz w:val="11"/>
          <w:szCs w:val="11"/>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2014 and 2013, Dr. Snodgrass’ annual base cash salary, excluding potential cash bonus amounts, pursuant to his January 2010 employment agreement was contractually set at $305,000. However, to conserve cash for our operations during our fiscal years ended March 31, 2014 and 2013,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2014 and 2012, Dr. Snodgrass voluntarily refrained from receiving any cash bonus from us.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32" w:name="page133"/>
    <w:bookmarkEnd w:id="132"/>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288" w:hanging="288"/>
        <w:spacing w:after="0"/>
        <w:tabs>
          <w:tab w:leader="none" w:pos="288" w:val="left"/>
        </w:tabs>
        <w:numPr>
          <w:ilvl w:val="0"/>
          <w:numId w:val="53"/>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our employee.</w:t>
      </w:r>
    </w:p>
    <w:p>
      <w:pPr>
        <w:spacing w:after="0" w:line="150" w:lineRule="exact"/>
        <w:rPr>
          <w:rFonts w:ascii="Arial" w:cs="Arial" w:eastAsia="Arial" w:hAnsi="Arial"/>
          <w:sz w:val="12"/>
          <w:szCs w:val="12"/>
          <w:color w:val="auto"/>
        </w:rPr>
      </w:pPr>
    </w:p>
    <w:p>
      <w:pPr>
        <w:ind w:left="288" w:hanging="288"/>
        <w:spacing w:after="0"/>
        <w:tabs>
          <w:tab w:leader="none" w:pos="288" w:val="left"/>
        </w:tabs>
        <w:numPr>
          <w:ilvl w:val="0"/>
          <w:numId w:val="53"/>
        </w:numPr>
        <w:rPr>
          <w:rFonts w:ascii="Arial" w:cs="Arial" w:eastAsia="Arial" w:hAnsi="Arial"/>
          <w:sz w:val="12"/>
          <w:szCs w:val="12"/>
          <w:color w:val="auto"/>
        </w:rPr>
      </w:pPr>
      <w:r>
        <w:rPr>
          <w:rFonts w:ascii="Arial" w:cs="Arial" w:eastAsia="Arial" w:hAnsi="Arial"/>
          <w:sz w:val="12"/>
          <w:szCs w:val="12"/>
          <w:color w:val="auto"/>
        </w:rPr>
        <w:t>Mr. Singh received only $125,000 in cash in our fiscal year ended March 31, 2014 and the remaining balance has been accrued for future payment.</w:t>
      </w:r>
    </w:p>
    <w:p>
      <w:pPr>
        <w:spacing w:after="0" w:line="150" w:lineRule="exact"/>
        <w:rPr>
          <w:rFonts w:ascii="Arial" w:cs="Arial" w:eastAsia="Arial" w:hAnsi="Arial"/>
          <w:sz w:val="12"/>
          <w:szCs w:val="12"/>
          <w:color w:val="auto"/>
        </w:rPr>
      </w:pPr>
    </w:p>
    <w:p>
      <w:pPr>
        <w:ind w:left="288" w:hanging="288"/>
        <w:spacing w:after="0"/>
        <w:tabs>
          <w:tab w:leader="none" w:pos="288" w:val="left"/>
        </w:tabs>
        <w:numPr>
          <w:ilvl w:val="0"/>
          <w:numId w:val="53"/>
        </w:numPr>
        <w:rPr>
          <w:rFonts w:ascii="Arial" w:cs="Arial" w:eastAsia="Arial" w:hAnsi="Arial"/>
          <w:sz w:val="12"/>
          <w:szCs w:val="12"/>
          <w:color w:val="auto"/>
        </w:rPr>
      </w:pPr>
      <w:r>
        <w:rPr>
          <w:rFonts w:ascii="Arial" w:cs="Arial" w:eastAsia="Arial" w:hAnsi="Arial"/>
          <w:sz w:val="12"/>
          <w:szCs w:val="12"/>
          <w:color w:val="auto"/>
        </w:rPr>
        <w:t>Dr. Snodgrass received only $149,606 in cash in our fiscal year ended March 31, 2014 and the remaining balance has been accrued for future payment.</w:t>
      </w:r>
    </w:p>
    <w:p>
      <w:pPr>
        <w:spacing w:after="0" w:line="150" w:lineRule="exact"/>
        <w:rPr>
          <w:rFonts w:ascii="Arial" w:cs="Arial" w:eastAsia="Arial" w:hAnsi="Arial"/>
          <w:sz w:val="12"/>
          <w:szCs w:val="12"/>
          <w:color w:val="auto"/>
        </w:rPr>
      </w:pPr>
    </w:p>
    <w:p>
      <w:pPr>
        <w:ind w:left="288" w:hanging="288"/>
        <w:spacing w:after="0"/>
        <w:tabs>
          <w:tab w:leader="none" w:pos="288" w:val="left"/>
        </w:tabs>
        <w:numPr>
          <w:ilvl w:val="0"/>
          <w:numId w:val="53"/>
        </w:numPr>
        <w:rPr>
          <w:rFonts w:ascii="Arial" w:cs="Arial" w:eastAsia="Arial" w:hAnsi="Arial"/>
          <w:sz w:val="12"/>
          <w:szCs w:val="12"/>
          <w:color w:val="auto"/>
        </w:rPr>
      </w:pPr>
      <w:r>
        <w:rPr>
          <w:rFonts w:ascii="Arial" w:cs="Arial" w:eastAsia="Arial" w:hAnsi="Arial"/>
          <w:sz w:val="12"/>
          <w:szCs w:val="12"/>
          <w:color w:val="auto"/>
        </w:rPr>
        <w:t>Mr. Dotson received only $143,333 in cash in our fiscal year ended March 31, 2014 and the remaining balance has been accrued for future payment.</w:t>
      </w:r>
    </w:p>
    <w:p>
      <w:pPr>
        <w:spacing w:after="0" w:line="150" w:lineRule="exact"/>
        <w:rPr>
          <w:rFonts w:ascii="Arial" w:cs="Arial" w:eastAsia="Arial" w:hAnsi="Arial"/>
          <w:sz w:val="12"/>
          <w:szCs w:val="12"/>
          <w:color w:val="auto"/>
        </w:rPr>
      </w:pPr>
    </w:p>
    <w:p>
      <w:pPr>
        <w:jc w:val="both"/>
        <w:ind w:left="288" w:right="20" w:hanging="288"/>
        <w:spacing w:after="0" w:line="286" w:lineRule="auto"/>
        <w:tabs>
          <w:tab w:leader="none" w:pos="288"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amounts in the Option and Warrant Awards column represent the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Except as indicated in note (9) below,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spacing w:after="0" w:line="111" w:lineRule="exact"/>
        <w:rPr>
          <w:rFonts w:ascii="Arial" w:cs="Arial" w:eastAsia="Arial" w:hAnsi="Arial"/>
          <w:sz w:val="11"/>
          <w:szCs w:val="11"/>
          <w:color w:val="auto"/>
        </w:rPr>
      </w:pPr>
    </w:p>
    <w:p>
      <w:pPr>
        <w:ind w:left="288" w:right="20" w:hanging="288"/>
        <w:spacing w:after="0" w:line="276" w:lineRule="auto"/>
        <w:tabs>
          <w:tab w:leader="none" w:pos="288"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tcPr>
          <w:p>
            <w:pPr>
              <w:jc w:val="center"/>
              <w:ind w:left="252"/>
              <w:spacing w:after="0"/>
              <w:rPr>
                <w:sz w:val="20"/>
                <w:szCs w:val="20"/>
                <w:color w:val="auto"/>
              </w:rPr>
            </w:pPr>
            <w:r>
              <w:rPr>
                <w:rFonts w:ascii="Arial" w:cs="Arial" w:eastAsia="Arial" w:hAnsi="Arial"/>
                <w:sz w:val="10"/>
                <w:szCs w:val="10"/>
                <w:color w:val="auto"/>
                <w:w w:val="94"/>
              </w:rPr>
              <w:t>Option</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left="252"/>
              <w:spacing w:after="0"/>
              <w:rPr>
                <w:sz w:val="20"/>
                <w:szCs w:val="20"/>
                <w:color w:val="auto"/>
              </w:rPr>
            </w:pPr>
            <w:r>
              <w:rPr>
                <w:rFonts w:ascii="Arial" w:cs="Arial" w:eastAsia="Arial" w:hAnsi="Arial"/>
                <w:sz w:val="10"/>
                <w:szCs w:val="10"/>
                <w:color w:val="auto"/>
                <w:w w:val="84"/>
              </w:rPr>
              <w:t>Warrant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jc w:val="center"/>
              <w:ind w:left="452"/>
              <w:spacing w:after="0"/>
              <w:rPr>
                <w:sz w:val="20"/>
                <w:szCs w:val="20"/>
                <w:color w:val="auto"/>
              </w:rPr>
            </w:pPr>
            <w:r>
              <w:rPr>
                <w:rFonts w:ascii="Arial" w:cs="Arial" w:eastAsia="Arial" w:hAnsi="Arial"/>
                <w:sz w:val="10"/>
                <w:szCs w:val="10"/>
                <w:color w:val="auto"/>
                <w:w w:val="88"/>
              </w:rPr>
              <w:t>Option/Warrant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40" w:type="dxa"/>
            <w:vAlign w:val="bottom"/>
          </w:tcPr>
          <w:p>
            <w:pPr>
              <w:jc w:val="center"/>
              <w:ind w:left="232"/>
              <w:spacing w:after="0" w:line="99" w:lineRule="exact"/>
              <w:rPr>
                <w:sz w:val="20"/>
                <w:szCs w:val="20"/>
                <w:color w:val="auto"/>
              </w:rPr>
            </w:pPr>
            <w:r>
              <w:rPr>
                <w:rFonts w:ascii="Arial" w:cs="Arial" w:eastAsia="Arial" w:hAnsi="Arial"/>
                <w:sz w:val="10"/>
                <w:szCs w:val="10"/>
                <w:color w:val="auto"/>
                <w:w w:val="87"/>
              </w:rPr>
              <w:t>Grant</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center"/>
              <w:ind w:left="252"/>
              <w:spacing w:after="0" w:line="99" w:lineRule="exact"/>
              <w:rPr>
                <w:sz w:val="20"/>
                <w:szCs w:val="20"/>
                <w:color w:val="auto"/>
              </w:rPr>
            </w:pPr>
            <w:r>
              <w:rPr>
                <w:rFonts w:ascii="Arial" w:cs="Arial" w:eastAsia="Arial" w:hAnsi="Arial"/>
                <w:sz w:val="10"/>
                <w:szCs w:val="10"/>
                <w:color w:val="auto"/>
                <w:w w:val="87"/>
              </w:rPr>
              <w:t>Grant</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gridSpan w:val="3"/>
          </w:tcPr>
          <w:p>
            <w:pPr>
              <w:jc w:val="right"/>
              <w:ind w:right="40"/>
              <w:spacing w:after="0" w:line="99" w:lineRule="exact"/>
              <w:rPr>
                <w:sz w:val="20"/>
                <w:szCs w:val="20"/>
                <w:color w:val="auto"/>
              </w:rPr>
            </w:pPr>
            <w:r>
              <w:rPr>
                <w:rFonts w:ascii="Arial" w:cs="Arial" w:eastAsia="Arial" w:hAnsi="Arial"/>
                <w:sz w:val="10"/>
                <w:szCs w:val="10"/>
                <w:color w:val="auto"/>
              </w:rPr>
              <w:t>Option Modification</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center"/>
              <w:spacing w:after="0" w:line="99" w:lineRule="exact"/>
              <w:rPr>
                <w:sz w:val="20"/>
                <w:szCs w:val="20"/>
                <w:color w:val="auto"/>
              </w:rPr>
            </w:pPr>
            <w:r>
              <w:rPr>
                <w:rFonts w:ascii="Arial" w:cs="Arial" w:eastAsia="Arial" w:hAnsi="Arial"/>
                <w:sz w:val="10"/>
                <w:szCs w:val="10"/>
                <w:color w:val="auto"/>
                <w:w w:val="91"/>
              </w:rPr>
              <w:t>Warrant Modification</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3"/>
          </w:tcPr>
          <w:p>
            <w:pPr>
              <w:ind w:left="640"/>
              <w:spacing w:after="0" w:line="99" w:lineRule="exact"/>
              <w:rPr>
                <w:sz w:val="20"/>
                <w:szCs w:val="20"/>
                <w:color w:val="auto"/>
              </w:rPr>
            </w:pPr>
            <w:r>
              <w:rPr>
                <w:rFonts w:ascii="Arial" w:cs="Arial" w:eastAsia="Arial" w:hAnsi="Arial"/>
                <w:sz w:val="10"/>
                <w:szCs w:val="10"/>
                <w:color w:val="auto"/>
              </w:rPr>
              <w:t>Exchange (a)</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40" w:type="dxa"/>
            <w:vAlign w:val="bottom"/>
          </w:tcPr>
          <w:p>
            <w:pPr>
              <w:jc w:val="center"/>
              <w:ind w:left="252"/>
              <w:spacing w:after="0" w:line="112" w:lineRule="exact"/>
              <w:rPr>
                <w:sz w:val="20"/>
                <w:szCs w:val="20"/>
                <w:color w:val="auto"/>
              </w:rPr>
            </w:pPr>
            <w:r>
              <w:rPr>
                <w:rFonts w:ascii="Arial" w:cs="Arial" w:eastAsia="Arial" w:hAnsi="Arial"/>
                <w:sz w:val="10"/>
                <w:szCs w:val="10"/>
                <w:color w:val="auto"/>
                <w:w w:val="87"/>
              </w:rPr>
              <w:t>10/27/2013</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spacing w:after="0" w:line="112" w:lineRule="exact"/>
              <w:rPr>
                <w:sz w:val="20"/>
                <w:szCs w:val="20"/>
                <w:color w:val="auto"/>
              </w:rPr>
            </w:pPr>
            <w:r>
              <w:rPr>
                <w:rFonts w:ascii="Arial" w:cs="Arial" w:eastAsia="Arial" w:hAnsi="Arial"/>
                <w:sz w:val="10"/>
                <w:szCs w:val="10"/>
                <w:color w:val="auto"/>
                <w:w w:val="89"/>
              </w:rPr>
              <w:t>3/19/2014</w:t>
            </w:r>
          </w:p>
        </w:tc>
        <w:tc>
          <w:tcPr>
            <w:tcW w:w="120" w:type="dxa"/>
            <w:vAlign w:val="bottom"/>
          </w:tcPr>
          <w:p>
            <w:pPr>
              <w:spacing w:after="0"/>
              <w:rPr>
                <w:sz w:val="9"/>
                <w:szCs w:val="9"/>
                <w:color w:val="auto"/>
              </w:rPr>
            </w:pPr>
          </w:p>
        </w:tc>
        <w:tc>
          <w:tcPr>
            <w:tcW w:w="1520" w:type="dxa"/>
            <w:vAlign w:val="bottom"/>
            <w:gridSpan w:val="3"/>
          </w:tcPr>
          <w:p>
            <w:pPr>
              <w:jc w:val="right"/>
              <w:ind w:right="220"/>
              <w:spacing w:after="0" w:line="112" w:lineRule="exact"/>
              <w:rPr>
                <w:sz w:val="20"/>
                <w:szCs w:val="20"/>
                <w:color w:val="auto"/>
              </w:rPr>
            </w:pPr>
            <w:r>
              <w:rPr>
                <w:rFonts w:ascii="Arial" w:cs="Arial" w:eastAsia="Arial" w:hAnsi="Arial"/>
                <w:sz w:val="10"/>
                <w:szCs w:val="10"/>
                <w:color w:val="auto"/>
              </w:rPr>
              <w:t>12/20/2013</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gridSpan w:val="3"/>
          </w:tcPr>
          <w:p>
            <w:pPr>
              <w:jc w:val="right"/>
              <w:ind w:right="220"/>
              <w:spacing w:after="0" w:line="112" w:lineRule="exact"/>
              <w:rPr>
                <w:sz w:val="20"/>
                <w:szCs w:val="20"/>
                <w:color w:val="auto"/>
              </w:rPr>
            </w:pPr>
            <w:r>
              <w:rPr>
                <w:rFonts w:ascii="Arial" w:cs="Arial" w:eastAsia="Arial" w:hAnsi="Arial"/>
                <w:sz w:val="10"/>
                <w:szCs w:val="10"/>
                <w:color w:val="auto"/>
              </w:rPr>
              <w:t>12/20/2013</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3"/>
          </w:tcPr>
          <w:p>
            <w:pPr>
              <w:jc w:val="right"/>
              <w:ind w:right="180"/>
              <w:spacing w:after="0" w:line="112" w:lineRule="exact"/>
              <w:rPr>
                <w:sz w:val="20"/>
                <w:szCs w:val="20"/>
                <w:color w:val="auto"/>
              </w:rPr>
            </w:pPr>
            <w:r>
              <w:rPr>
                <w:rFonts w:ascii="Arial" w:cs="Arial" w:eastAsia="Arial" w:hAnsi="Arial"/>
                <w:sz w:val="10"/>
                <w:szCs w:val="10"/>
                <w:color w:val="auto"/>
              </w:rPr>
              <w:t>3/19/2014</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ind w:left="420"/>
              <w:spacing w:after="0" w:line="112"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Singh</w:t>
            </w:r>
          </w:p>
        </w:tc>
        <w:tc>
          <w:tcPr>
            <w:tcW w:w="740" w:type="dxa"/>
            <w:vAlign w:val="bottom"/>
            <w:shd w:val="clear" w:color="auto" w:fill="CCEEFF"/>
          </w:tcPr>
          <w:p>
            <w:pPr>
              <w:jc w:val="right"/>
              <w:ind w:right="32"/>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w w:val="85"/>
              </w:rPr>
              <w:t>$ 134,436</w:t>
            </w:r>
          </w:p>
        </w:tc>
        <w:tc>
          <w:tcPr>
            <w:tcW w:w="6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$ 25,366</w:t>
            </w: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 -</w:t>
            </w:r>
          </w:p>
        </w:tc>
        <w:tc>
          <w:tcPr>
            <w:tcW w:w="106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$ 159,802</w:t>
            </w:r>
          </w:p>
        </w:tc>
        <w:tc>
          <w:tcPr>
            <w:tcW w:w="0" w:type="dxa"/>
            <w:vAlign w:val="bottom"/>
          </w:tcPr>
          <w:p>
            <w:pPr>
              <w:spacing w:after="0"/>
              <w:rPr>
                <w:sz w:val="1"/>
                <w:szCs w:val="1"/>
                <w:color w:val="auto"/>
              </w:rPr>
            </w:pPr>
          </w:p>
        </w:tc>
      </w:tr>
      <w:tr>
        <w:trPr>
          <w:trHeight w:val="99"/>
        </w:trPr>
        <w:tc>
          <w:tcPr>
            <w:tcW w:w="1380" w:type="dxa"/>
            <w:vAlign w:val="bottom"/>
            <w:gridSpan w:val="2"/>
          </w:tcPr>
          <w:p>
            <w:pPr>
              <w:spacing w:after="0" w:line="99" w:lineRule="exact"/>
              <w:rPr>
                <w:sz w:val="20"/>
                <w:szCs w:val="20"/>
                <w:color w:val="auto"/>
              </w:rPr>
            </w:pPr>
            <w:r>
              <w:rPr>
                <w:rFonts w:ascii="Arial" w:cs="Arial" w:eastAsia="Arial" w:hAnsi="Arial"/>
                <w:sz w:val="10"/>
                <w:szCs w:val="10"/>
                <w:color w:val="auto"/>
              </w:rPr>
              <w:t>Snodgrass</w:t>
            </w:r>
          </w:p>
        </w:tc>
        <w:tc>
          <w:tcPr>
            <w:tcW w:w="740" w:type="dxa"/>
            <w:vAlign w:val="bottom"/>
          </w:tcPr>
          <w:p>
            <w:pPr>
              <w:spacing w:after="0"/>
              <w:rPr>
                <w:sz w:val="8"/>
                <w:szCs w:val="8"/>
                <w:color w:val="auto"/>
              </w:rPr>
            </w:pPr>
          </w:p>
        </w:tc>
        <w:tc>
          <w:tcPr>
            <w:tcW w:w="4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600" w:type="dxa"/>
            <w:vAlign w:val="bottom"/>
          </w:tcPr>
          <w:p>
            <w:pPr>
              <w:spacing w:after="0"/>
              <w:rPr>
                <w:sz w:val="8"/>
                <w:szCs w:val="8"/>
                <w:color w:val="auto"/>
              </w:rPr>
            </w:pPr>
          </w:p>
        </w:tc>
        <w:tc>
          <w:tcPr>
            <w:tcW w:w="44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w w:val="97"/>
              </w:rPr>
              <w:t>14,560</w:t>
            </w: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56,835</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30,958</w:t>
            </w:r>
          </w:p>
        </w:tc>
        <w:tc>
          <w:tcPr>
            <w:tcW w:w="106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102,353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Dotson</w:t>
            </w:r>
          </w:p>
        </w:tc>
        <w:tc>
          <w:tcPr>
            <w:tcW w:w="7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6,380</w:t>
            </w:r>
          </w:p>
        </w:tc>
        <w:tc>
          <w:tcPr>
            <w:tcW w:w="6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w w:val="97"/>
              </w:rPr>
              <w:t>29,120</w:t>
            </w: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1,346</w:t>
            </w:r>
          </w:p>
        </w:tc>
        <w:tc>
          <w:tcPr>
            <w:tcW w:w="6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36,846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tcBorders>
              <w:top w:val="single" w:sz="8" w:color="CCEE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99"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6,380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97"/>
              </w:rPr>
              <w:t>43,680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w w:val="85"/>
              </w:rPr>
              <w:t>$ 192,617</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$ 25,366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$ 30,958</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$ 299,001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gridSpan w:val="2"/>
          </w:tcPr>
          <w:p>
            <w:pPr>
              <w:ind w:left="380"/>
              <w:spacing w:after="0"/>
              <w:rPr>
                <w:sz w:val="20"/>
                <w:szCs w:val="20"/>
                <w:color w:val="auto"/>
              </w:rPr>
            </w:pPr>
            <w:r>
              <w:rPr>
                <w:rFonts w:ascii="Arial" w:cs="Arial" w:eastAsia="Arial" w:hAnsi="Arial"/>
                <w:sz w:val="10"/>
                <w:szCs w:val="10"/>
                <w:color w:val="auto"/>
              </w:rPr>
              <w:t>Before</w:t>
            </w:r>
          </w:p>
        </w:tc>
        <w:tc>
          <w:tcPr>
            <w:tcW w:w="3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auto"/>
                <w:w w:val="94"/>
              </w:rPr>
              <w:t>After</w:t>
            </w:r>
          </w:p>
        </w:tc>
        <w:tc>
          <w:tcPr>
            <w:tcW w:w="4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Before</w:t>
            </w:r>
          </w:p>
        </w:tc>
        <w:tc>
          <w:tcPr>
            <w:tcW w:w="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372"/>
              <w:spacing w:after="0"/>
              <w:rPr>
                <w:sz w:val="20"/>
                <w:szCs w:val="20"/>
                <w:color w:val="auto"/>
              </w:rPr>
            </w:pPr>
            <w:r>
              <w:rPr>
                <w:rFonts w:ascii="Arial" w:cs="Arial" w:eastAsia="Arial" w:hAnsi="Arial"/>
                <w:sz w:val="10"/>
                <w:szCs w:val="10"/>
                <w:color w:val="auto"/>
              </w:rPr>
              <w:t>After</w:t>
            </w:r>
          </w:p>
        </w:tc>
        <w:tc>
          <w:tcPr>
            <w:tcW w:w="300" w:type="dxa"/>
            <w:vAlign w:val="bottom"/>
            <w:tcBorders>
              <w:top w:val="single" w:sz="8" w:color="CCEEFF"/>
            </w:tcBorders>
            <w:gridSpan w:val="2"/>
          </w:tcPr>
          <w:p>
            <w:pPr>
              <w:spacing w:after="0"/>
              <w:rPr>
                <w:sz w:val="15"/>
                <w:szCs w:val="15"/>
                <w:color w:val="auto"/>
              </w:rPr>
            </w:pPr>
          </w:p>
        </w:tc>
        <w:tc>
          <w:tcPr>
            <w:tcW w:w="94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0"/>
                <w:szCs w:val="10"/>
                <w:color w:val="auto"/>
              </w:rPr>
              <w:t>Before</w:t>
            </w: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372"/>
              <w:spacing w:after="0"/>
              <w:rPr>
                <w:sz w:val="20"/>
                <w:szCs w:val="20"/>
                <w:color w:val="auto"/>
              </w:rPr>
            </w:pPr>
            <w:r>
              <w:rPr>
                <w:rFonts w:ascii="Arial" w:cs="Arial" w:eastAsia="Arial" w:hAnsi="Arial"/>
                <w:sz w:val="10"/>
                <w:szCs w:val="10"/>
                <w:color w:val="auto"/>
              </w:rPr>
              <w:t>After</w:t>
            </w:r>
          </w:p>
        </w:tc>
        <w:tc>
          <w:tcPr>
            <w:tcW w:w="10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80" w:type="dxa"/>
            <w:vAlign w:val="bottom"/>
            <w:gridSpan w:val="2"/>
            <w:shd w:val="clear" w:color="auto" w:fill="CCEEFF"/>
          </w:tcPr>
          <w:p>
            <w:pPr>
              <w:spacing w:after="0" w:line="99" w:lineRule="exact"/>
              <w:rPr>
                <w:sz w:val="20"/>
                <w:szCs w:val="20"/>
                <w:color w:val="auto"/>
              </w:rPr>
            </w:pPr>
            <w:r>
              <w:rPr>
                <w:rFonts w:ascii="Arial" w:cs="Arial" w:eastAsia="Arial" w:hAnsi="Arial"/>
                <w:sz w:val="10"/>
                <w:szCs w:val="10"/>
                <w:color w:val="auto"/>
              </w:rPr>
              <w:t>Market price per share</w:t>
            </w:r>
          </w:p>
        </w:tc>
        <w:tc>
          <w:tcPr>
            <w:tcW w:w="740" w:type="dxa"/>
            <w:vAlign w:val="bottom"/>
            <w:shd w:val="clear" w:color="auto" w:fill="CCEEFF"/>
          </w:tcPr>
          <w:p>
            <w:pPr>
              <w:jc w:val="right"/>
              <w:ind w:right="12"/>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0.40</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0.46</w:t>
            </w:r>
          </w:p>
        </w:tc>
        <w:tc>
          <w:tcPr>
            <w:tcW w:w="104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$ 0.40</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$ 0.40</w:t>
            </w:r>
          </w:p>
        </w:tc>
        <w:tc>
          <w:tcPr>
            <w:tcW w:w="6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$ 0.40</w:t>
            </w: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$ 0.40</w:t>
            </w:r>
          </w:p>
        </w:tc>
        <w:tc>
          <w:tcPr>
            <w:tcW w:w="2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$ 0.46</w:t>
            </w: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rPr>
              <w:t>$ 0.46</w:t>
            </w: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80" w:type="dxa"/>
            <w:vAlign w:val="bottom"/>
            <w:gridSpan w:val="2"/>
          </w:tcPr>
          <w:p>
            <w:pPr>
              <w:spacing w:after="0" w:line="87" w:lineRule="exact"/>
              <w:rPr>
                <w:sz w:val="20"/>
                <w:szCs w:val="20"/>
                <w:color w:val="auto"/>
              </w:rPr>
            </w:pPr>
            <w:r>
              <w:rPr>
                <w:rFonts w:ascii="Arial" w:cs="Arial" w:eastAsia="Arial" w:hAnsi="Arial"/>
                <w:sz w:val="10"/>
                <w:szCs w:val="10"/>
                <w:color w:val="auto"/>
              </w:rPr>
              <w:t>Exercise price per share</w:t>
            </w:r>
          </w:p>
        </w:tc>
        <w:tc>
          <w:tcPr>
            <w:tcW w:w="740" w:type="dxa"/>
            <w:vAlign w:val="bottom"/>
          </w:tcPr>
          <w:p>
            <w:pPr>
              <w:jc w:val="right"/>
              <w:ind w:right="12"/>
              <w:spacing w:after="0" w:line="87"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rPr>
              <w:t>0.40</w:t>
            </w:r>
          </w:p>
        </w:tc>
        <w:tc>
          <w:tcPr>
            <w:tcW w:w="600" w:type="dxa"/>
            <w:vAlign w:val="bottom"/>
          </w:tcPr>
          <w:p>
            <w:pPr>
              <w:jc w:val="right"/>
              <w:spacing w:after="0" w:line="87"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rPr>
              <w:t>0.50</w:t>
            </w:r>
          </w:p>
        </w:tc>
        <w:tc>
          <w:tcPr>
            <w:tcW w:w="1520" w:type="dxa"/>
            <w:vAlign w:val="bottom"/>
            <w:gridSpan w:val="3"/>
          </w:tcPr>
          <w:p>
            <w:pPr>
              <w:jc w:val="right"/>
              <w:ind w:right="380"/>
              <w:spacing w:after="0" w:line="87" w:lineRule="exact"/>
              <w:rPr>
                <w:sz w:val="20"/>
                <w:szCs w:val="20"/>
                <w:color w:val="auto"/>
              </w:rPr>
            </w:pPr>
            <w:r>
              <w:rPr>
                <w:rFonts w:ascii="Arial" w:cs="Arial" w:eastAsia="Arial" w:hAnsi="Arial"/>
                <w:sz w:val="10"/>
                <w:szCs w:val="10"/>
                <w:color w:val="auto"/>
              </w:rPr>
              <w:t>$ 0.75 to</w:t>
            </w:r>
          </w:p>
        </w:tc>
        <w:tc>
          <w:tcPr>
            <w:tcW w:w="260" w:type="dxa"/>
            <w:vAlign w:val="bottom"/>
          </w:tcPr>
          <w:p>
            <w:pPr>
              <w:spacing w:after="0"/>
              <w:rPr>
                <w:sz w:val="7"/>
                <w:szCs w:val="7"/>
                <w:color w:val="auto"/>
              </w:rPr>
            </w:pPr>
          </w:p>
        </w:tc>
        <w:tc>
          <w:tcPr>
            <w:tcW w:w="52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rPr>
              <w:t>$ 0.50</w:t>
            </w:r>
          </w:p>
        </w:tc>
        <w:tc>
          <w:tcPr>
            <w:tcW w:w="660" w:type="dxa"/>
            <w:vAlign w:val="bottom"/>
          </w:tcPr>
          <w:p>
            <w:pPr>
              <w:spacing w:after="0"/>
              <w:rPr>
                <w:sz w:val="7"/>
                <w:szCs w:val="7"/>
                <w:color w:val="auto"/>
              </w:rPr>
            </w:pPr>
          </w:p>
        </w:tc>
        <w:tc>
          <w:tcPr>
            <w:tcW w:w="880" w:type="dxa"/>
            <w:vAlign w:val="bottom"/>
            <w:gridSpan w:val="3"/>
          </w:tcPr>
          <w:p>
            <w:pPr>
              <w:jc w:val="right"/>
              <w:ind w:right="380"/>
              <w:spacing w:after="0" w:line="87" w:lineRule="exact"/>
              <w:rPr>
                <w:sz w:val="20"/>
                <w:szCs w:val="20"/>
                <w:color w:val="auto"/>
              </w:rPr>
            </w:pPr>
            <w:r>
              <w:rPr>
                <w:rFonts w:ascii="Arial" w:cs="Arial" w:eastAsia="Arial" w:hAnsi="Arial"/>
                <w:sz w:val="10"/>
                <w:szCs w:val="10"/>
                <w:color w:val="auto"/>
              </w:rPr>
              <w:t>$ 0.50</w:t>
            </w:r>
          </w:p>
        </w:tc>
        <w:tc>
          <w:tcPr>
            <w:tcW w:w="760" w:type="dxa"/>
            <w:vAlign w:val="bottom"/>
            <w:gridSpan w:val="2"/>
          </w:tcPr>
          <w:p>
            <w:pPr>
              <w:jc w:val="right"/>
              <w:ind w:right="100"/>
              <w:spacing w:after="0" w:line="87" w:lineRule="exact"/>
              <w:rPr>
                <w:sz w:val="20"/>
                <w:szCs w:val="20"/>
                <w:color w:val="auto"/>
              </w:rPr>
            </w:pPr>
            <w:r>
              <w:rPr>
                <w:rFonts w:ascii="Arial" w:cs="Arial" w:eastAsia="Arial" w:hAnsi="Arial"/>
                <w:sz w:val="10"/>
                <w:szCs w:val="10"/>
                <w:color w:val="auto"/>
              </w:rPr>
              <w:t>$ 0.50</w:t>
            </w:r>
          </w:p>
        </w:tc>
        <w:tc>
          <w:tcPr>
            <w:tcW w:w="200" w:type="dxa"/>
            <w:vAlign w:val="bottom"/>
          </w:tcPr>
          <w:p>
            <w:pPr>
              <w:spacing w:after="0"/>
              <w:rPr>
                <w:sz w:val="7"/>
                <w:szCs w:val="7"/>
                <w:color w:val="auto"/>
              </w:rPr>
            </w:pPr>
          </w:p>
        </w:tc>
        <w:tc>
          <w:tcPr>
            <w:tcW w:w="94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rPr>
              <w:t>$ 0.50</w:t>
            </w:r>
          </w:p>
        </w:tc>
        <w:tc>
          <w:tcPr>
            <w:tcW w:w="320" w:type="dxa"/>
            <w:vAlign w:val="bottom"/>
          </w:tcPr>
          <w:p>
            <w:pPr>
              <w:spacing w:after="0"/>
              <w:rPr>
                <w:sz w:val="7"/>
                <w:szCs w:val="7"/>
                <w:color w:val="auto"/>
              </w:rPr>
            </w:pPr>
          </w:p>
        </w:tc>
        <w:tc>
          <w:tcPr>
            <w:tcW w:w="700" w:type="dxa"/>
            <w:vAlign w:val="bottom"/>
          </w:tcPr>
          <w:p>
            <w:pPr>
              <w:jc w:val="right"/>
              <w:spacing w:after="0" w:line="87" w:lineRule="exact"/>
              <w:rPr>
                <w:sz w:val="20"/>
                <w:szCs w:val="20"/>
                <w:color w:val="auto"/>
              </w:rPr>
            </w:pPr>
            <w:r>
              <w:rPr>
                <w:rFonts w:ascii="Arial" w:cs="Arial" w:eastAsia="Arial" w:hAnsi="Arial"/>
                <w:sz w:val="10"/>
                <w:szCs w:val="10"/>
                <w:color w:val="auto"/>
              </w:rPr>
              <w:t>$ 0.50</w:t>
            </w: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3"/>
          </w:tcPr>
          <w:p>
            <w:pPr>
              <w:jc w:val="right"/>
              <w:ind w:right="380"/>
              <w:spacing w:after="0" w:line="112" w:lineRule="exact"/>
              <w:rPr>
                <w:sz w:val="20"/>
                <w:szCs w:val="20"/>
                <w:color w:val="auto"/>
              </w:rPr>
            </w:pPr>
            <w:r>
              <w:rPr>
                <w:rFonts w:ascii="Arial" w:cs="Arial" w:eastAsia="Arial" w:hAnsi="Arial"/>
                <w:sz w:val="10"/>
                <w:szCs w:val="10"/>
                <w:color w:val="auto"/>
              </w:rPr>
              <w:t>$2.10</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gridSpan w:val="3"/>
          </w:tcPr>
          <w:p>
            <w:pPr>
              <w:jc w:val="right"/>
              <w:ind w:right="380"/>
              <w:spacing w:after="0" w:line="112" w:lineRule="exact"/>
              <w:rPr>
                <w:sz w:val="20"/>
                <w:szCs w:val="20"/>
                <w:color w:val="auto"/>
              </w:rPr>
            </w:pPr>
            <w:r>
              <w:rPr>
                <w:rFonts w:ascii="Arial" w:cs="Arial" w:eastAsia="Arial" w:hAnsi="Arial"/>
                <w:sz w:val="10"/>
                <w:szCs w:val="10"/>
                <w:color w:val="auto"/>
              </w:rPr>
              <w:t>to $1.75</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Risk-free interest rate</w:t>
            </w:r>
          </w:p>
        </w:tc>
        <w:tc>
          <w:tcPr>
            <w:tcW w:w="7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10"/>
                <w:szCs w:val="10"/>
                <w:color w:val="auto"/>
                <w:w w:val="82"/>
              </w:rPr>
              <w:t>1.675%</w:t>
            </w:r>
          </w:p>
        </w:tc>
        <w:tc>
          <w:tcPr>
            <w:tcW w:w="6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10"/>
                <w:szCs w:val="10"/>
                <w:color w:val="auto"/>
                <w:w w:val="88"/>
              </w:rPr>
              <w:t>1.750%</w:t>
            </w:r>
          </w:p>
        </w:tc>
        <w:tc>
          <w:tcPr>
            <w:tcW w:w="1520" w:type="dxa"/>
            <w:vAlign w:val="bottom"/>
            <w:gridSpan w:val="3"/>
            <w:shd w:val="clear" w:color="auto" w:fill="CCEEFF"/>
          </w:tcPr>
          <w:p>
            <w:pPr>
              <w:jc w:val="right"/>
              <w:ind w:right="380"/>
              <w:spacing w:after="0" w:line="87" w:lineRule="exact"/>
              <w:rPr>
                <w:sz w:val="20"/>
                <w:szCs w:val="20"/>
                <w:color w:val="auto"/>
              </w:rPr>
            </w:pPr>
            <w:r>
              <w:rPr>
                <w:rFonts w:ascii="Arial" w:cs="Arial" w:eastAsia="Arial" w:hAnsi="Arial"/>
                <w:sz w:val="10"/>
                <w:szCs w:val="10"/>
                <w:color w:val="auto"/>
              </w:rPr>
              <w:t>0.7% to</w:t>
            </w:r>
          </w:p>
        </w:tc>
        <w:tc>
          <w:tcPr>
            <w:tcW w:w="260" w:type="dxa"/>
            <w:vAlign w:val="bottom"/>
            <w:shd w:val="clear" w:color="auto" w:fill="CCEEFF"/>
          </w:tcPr>
          <w:p>
            <w:pPr>
              <w:spacing w:after="0"/>
              <w:rPr>
                <w:sz w:val="7"/>
                <w:szCs w:val="7"/>
                <w:color w:val="auto"/>
              </w:rPr>
            </w:pPr>
          </w:p>
        </w:tc>
        <w:tc>
          <w:tcPr>
            <w:tcW w:w="1180" w:type="dxa"/>
            <w:vAlign w:val="bottom"/>
            <w:gridSpan w:val="3"/>
            <w:shd w:val="clear" w:color="auto" w:fill="CCEEFF"/>
          </w:tcPr>
          <w:p>
            <w:pPr>
              <w:jc w:val="right"/>
              <w:ind w:right="612"/>
              <w:spacing w:after="0" w:line="87" w:lineRule="exact"/>
              <w:rPr>
                <w:sz w:val="20"/>
                <w:szCs w:val="20"/>
                <w:color w:val="auto"/>
              </w:rPr>
            </w:pPr>
            <w:r>
              <w:rPr>
                <w:rFonts w:ascii="Arial" w:cs="Arial" w:eastAsia="Arial" w:hAnsi="Arial"/>
                <w:sz w:val="10"/>
                <w:szCs w:val="10"/>
                <w:color w:val="auto"/>
              </w:rPr>
              <w:t>0.12% to</w:t>
            </w:r>
          </w:p>
        </w:tc>
        <w:tc>
          <w:tcPr>
            <w:tcW w:w="880" w:type="dxa"/>
            <w:vAlign w:val="bottom"/>
            <w:gridSpan w:val="3"/>
            <w:shd w:val="clear" w:color="auto" w:fill="CCEEFF"/>
          </w:tcPr>
          <w:p>
            <w:pPr>
              <w:jc w:val="right"/>
              <w:ind w:right="380"/>
              <w:spacing w:after="0" w:line="87" w:lineRule="exact"/>
              <w:rPr>
                <w:sz w:val="20"/>
                <w:szCs w:val="20"/>
                <w:color w:val="auto"/>
              </w:rPr>
            </w:pPr>
            <w:r>
              <w:rPr>
                <w:rFonts w:ascii="Arial" w:cs="Arial" w:eastAsia="Arial" w:hAnsi="Arial"/>
                <w:sz w:val="10"/>
                <w:szCs w:val="10"/>
                <w:color w:val="auto"/>
              </w:rPr>
              <w:t>0.07% to</w:t>
            </w:r>
          </w:p>
        </w:tc>
        <w:tc>
          <w:tcPr>
            <w:tcW w:w="96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10"/>
                <w:szCs w:val="10"/>
                <w:color w:val="auto"/>
              </w:rPr>
              <w:t>0.75% to</w:t>
            </w:r>
          </w:p>
        </w:tc>
        <w:tc>
          <w:tcPr>
            <w:tcW w:w="94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10"/>
                <w:szCs w:val="10"/>
                <w:color w:val="auto"/>
              </w:rPr>
              <w:t>0.106%</w:t>
            </w:r>
          </w:p>
        </w:tc>
        <w:tc>
          <w:tcPr>
            <w:tcW w:w="32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100"/>
              <w:spacing w:after="0" w:line="87" w:lineRule="exact"/>
              <w:rPr>
                <w:sz w:val="20"/>
                <w:szCs w:val="20"/>
                <w:color w:val="auto"/>
              </w:rPr>
            </w:pPr>
            <w:r>
              <w:rPr>
                <w:rFonts w:ascii="Arial" w:cs="Arial" w:eastAsia="Arial" w:hAnsi="Arial"/>
                <w:sz w:val="10"/>
                <w:szCs w:val="10"/>
                <w:color w:val="auto"/>
              </w:rPr>
              <w:t>1.750%</w:t>
            </w:r>
          </w:p>
        </w:tc>
        <w:tc>
          <w:tcPr>
            <w:tcW w:w="10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20" w:type="dxa"/>
            <w:vAlign w:val="bottom"/>
            <w:gridSpan w:val="3"/>
            <w:shd w:val="clear" w:color="auto" w:fill="CCEEFF"/>
          </w:tcPr>
          <w:p>
            <w:pPr>
              <w:jc w:val="right"/>
              <w:ind w:right="380"/>
              <w:spacing w:after="0" w:line="112" w:lineRule="exact"/>
              <w:rPr>
                <w:sz w:val="20"/>
                <w:szCs w:val="20"/>
                <w:color w:val="auto"/>
              </w:rPr>
            </w:pPr>
            <w:r>
              <w:rPr>
                <w:rFonts w:ascii="Arial" w:cs="Arial" w:eastAsia="Arial" w:hAnsi="Arial"/>
                <w:sz w:val="10"/>
                <w:szCs w:val="10"/>
                <w:color w:val="auto"/>
              </w:rPr>
              <w:t>2.68%</w:t>
            </w:r>
          </w:p>
        </w:tc>
        <w:tc>
          <w:tcPr>
            <w:tcW w:w="260" w:type="dxa"/>
            <w:vAlign w:val="bottom"/>
            <w:shd w:val="clear" w:color="auto" w:fill="CCEEFF"/>
          </w:tcPr>
          <w:p>
            <w:pPr>
              <w:spacing w:after="0"/>
              <w:rPr>
                <w:sz w:val="9"/>
                <w:szCs w:val="9"/>
                <w:color w:val="auto"/>
              </w:rPr>
            </w:pPr>
          </w:p>
        </w:tc>
        <w:tc>
          <w:tcPr>
            <w:tcW w:w="1180" w:type="dxa"/>
            <w:vAlign w:val="bottom"/>
            <w:gridSpan w:val="3"/>
            <w:shd w:val="clear" w:color="auto" w:fill="CCEEFF"/>
          </w:tcPr>
          <w:p>
            <w:pPr>
              <w:jc w:val="right"/>
              <w:ind w:right="612"/>
              <w:spacing w:after="0" w:line="112" w:lineRule="exact"/>
              <w:rPr>
                <w:sz w:val="20"/>
                <w:szCs w:val="20"/>
                <w:color w:val="auto"/>
              </w:rPr>
            </w:pPr>
            <w:r>
              <w:rPr>
                <w:rFonts w:ascii="Arial" w:cs="Arial" w:eastAsia="Arial" w:hAnsi="Arial"/>
                <w:sz w:val="10"/>
                <w:szCs w:val="10"/>
                <w:color w:val="auto"/>
              </w:rPr>
              <w:t>2.68%</w:t>
            </w:r>
          </w:p>
        </w:tc>
        <w:tc>
          <w:tcPr>
            <w:tcW w:w="880" w:type="dxa"/>
            <w:vAlign w:val="bottom"/>
            <w:gridSpan w:val="3"/>
            <w:shd w:val="clear" w:color="auto" w:fill="CCEEFF"/>
          </w:tcPr>
          <w:p>
            <w:pPr>
              <w:jc w:val="right"/>
              <w:ind w:right="380"/>
              <w:spacing w:after="0" w:line="112" w:lineRule="exact"/>
              <w:rPr>
                <w:sz w:val="20"/>
                <w:szCs w:val="20"/>
                <w:color w:val="auto"/>
              </w:rPr>
            </w:pPr>
            <w:r>
              <w:rPr>
                <w:rFonts w:ascii="Arial" w:cs="Arial" w:eastAsia="Arial" w:hAnsi="Arial"/>
                <w:sz w:val="10"/>
                <w:szCs w:val="10"/>
                <w:color w:val="auto"/>
              </w:rPr>
              <w:t>1.18%</w:t>
            </w:r>
          </w:p>
        </w:tc>
        <w:tc>
          <w:tcPr>
            <w:tcW w:w="960" w:type="dxa"/>
            <w:vAlign w:val="bottom"/>
            <w:gridSpan w:val="3"/>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1.18%</w:t>
            </w: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tcPr>
          <w:p>
            <w:pPr>
              <w:spacing w:after="0" w:line="87" w:lineRule="exact"/>
              <w:rPr>
                <w:sz w:val="20"/>
                <w:szCs w:val="20"/>
                <w:color w:val="auto"/>
              </w:rPr>
            </w:pPr>
            <w:r>
              <w:rPr>
                <w:rFonts w:ascii="Arial" w:cs="Arial" w:eastAsia="Arial" w:hAnsi="Arial"/>
                <w:sz w:val="10"/>
                <w:szCs w:val="10"/>
                <w:color w:val="auto"/>
              </w:rPr>
              <w:t>Volatility</w:t>
            </w:r>
          </w:p>
        </w:tc>
        <w:tc>
          <w:tcPr>
            <w:tcW w:w="740" w:type="dxa"/>
            <w:vAlign w:val="bottom"/>
          </w:tcPr>
          <w:p>
            <w:pPr>
              <w:spacing w:after="0"/>
              <w:rPr>
                <w:sz w:val="7"/>
                <w:szCs w:val="7"/>
                <w:color w:val="auto"/>
              </w:rPr>
            </w:pPr>
          </w:p>
        </w:tc>
        <w:tc>
          <w:tcPr>
            <w:tcW w:w="42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w w:val="82"/>
              </w:rPr>
              <w:t>99.53%</w:t>
            </w:r>
          </w:p>
        </w:tc>
        <w:tc>
          <w:tcPr>
            <w:tcW w:w="600" w:type="dxa"/>
            <w:vAlign w:val="bottom"/>
          </w:tcPr>
          <w:p>
            <w:pPr>
              <w:spacing w:after="0"/>
              <w:rPr>
                <w:sz w:val="7"/>
                <w:szCs w:val="7"/>
                <w:color w:val="auto"/>
              </w:rPr>
            </w:pPr>
          </w:p>
        </w:tc>
        <w:tc>
          <w:tcPr>
            <w:tcW w:w="44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w w:val="88"/>
              </w:rPr>
              <w:t>80.57%</w:t>
            </w:r>
          </w:p>
        </w:tc>
        <w:tc>
          <w:tcPr>
            <w:tcW w:w="1520" w:type="dxa"/>
            <w:vAlign w:val="bottom"/>
            <w:gridSpan w:val="3"/>
          </w:tcPr>
          <w:p>
            <w:pPr>
              <w:jc w:val="right"/>
              <w:ind w:right="380"/>
              <w:spacing w:after="0" w:line="87" w:lineRule="exact"/>
              <w:rPr>
                <w:sz w:val="20"/>
                <w:szCs w:val="20"/>
                <w:color w:val="auto"/>
              </w:rPr>
            </w:pPr>
            <w:r>
              <w:rPr>
                <w:rFonts w:ascii="Arial" w:cs="Arial" w:eastAsia="Arial" w:hAnsi="Arial"/>
                <w:sz w:val="10"/>
                <w:szCs w:val="10"/>
                <w:color w:val="auto"/>
              </w:rPr>
              <w:t>68.8% to</w:t>
            </w:r>
          </w:p>
        </w:tc>
        <w:tc>
          <w:tcPr>
            <w:tcW w:w="260" w:type="dxa"/>
            <w:vAlign w:val="bottom"/>
          </w:tcPr>
          <w:p>
            <w:pPr>
              <w:spacing w:after="0"/>
              <w:rPr>
                <w:sz w:val="7"/>
                <w:szCs w:val="7"/>
                <w:color w:val="auto"/>
              </w:rPr>
            </w:pPr>
          </w:p>
        </w:tc>
        <w:tc>
          <w:tcPr>
            <w:tcW w:w="1180" w:type="dxa"/>
            <w:vAlign w:val="bottom"/>
            <w:gridSpan w:val="3"/>
          </w:tcPr>
          <w:p>
            <w:pPr>
              <w:jc w:val="right"/>
              <w:ind w:right="612"/>
              <w:spacing w:after="0" w:line="87" w:lineRule="exact"/>
              <w:rPr>
                <w:sz w:val="20"/>
                <w:szCs w:val="20"/>
                <w:color w:val="auto"/>
              </w:rPr>
            </w:pPr>
            <w:r>
              <w:rPr>
                <w:rFonts w:ascii="Arial" w:cs="Arial" w:eastAsia="Arial" w:hAnsi="Arial"/>
                <w:sz w:val="10"/>
                <w:szCs w:val="10"/>
                <w:color w:val="auto"/>
              </w:rPr>
              <w:t>68.8% to</w:t>
            </w:r>
          </w:p>
        </w:tc>
        <w:tc>
          <w:tcPr>
            <w:tcW w:w="880" w:type="dxa"/>
            <w:vAlign w:val="bottom"/>
            <w:gridSpan w:val="3"/>
          </w:tcPr>
          <w:p>
            <w:pPr>
              <w:jc w:val="right"/>
              <w:ind w:right="380"/>
              <w:spacing w:after="0" w:line="87" w:lineRule="exact"/>
              <w:rPr>
                <w:sz w:val="20"/>
                <w:szCs w:val="20"/>
                <w:color w:val="auto"/>
              </w:rPr>
            </w:pPr>
            <w:r>
              <w:rPr>
                <w:rFonts w:ascii="Arial" w:cs="Arial" w:eastAsia="Arial" w:hAnsi="Arial"/>
                <w:sz w:val="10"/>
                <w:szCs w:val="10"/>
                <w:color w:val="auto"/>
              </w:rPr>
              <w:t>68.76% to</w:t>
            </w:r>
          </w:p>
        </w:tc>
        <w:tc>
          <w:tcPr>
            <w:tcW w:w="960" w:type="dxa"/>
            <w:vAlign w:val="bottom"/>
            <w:gridSpan w:val="3"/>
          </w:tcPr>
          <w:p>
            <w:pPr>
              <w:jc w:val="right"/>
              <w:ind w:right="200"/>
              <w:spacing w:after="0" w:line="87" w:lineRule="exact"/>
              <w:rPr>
                <w:sz w:val="20"/>
                <w:szCs w:val="20"/>
                <w:color w:val="auto"/>
              </w:rPr>
            </w:pPr>
            <w:r>
              <w:rPr>
                <w:rFonts w:ascii="Arial" w:cs="Arial" w:eastAsia="Arial" w:hAnsi="Arial"/>
                <w:sz w:val="10"/>
                <w:szCs w:val="10"/>
                <w:color w:val="auto"/>
              </w:rPr>
              <w:t>76.51% to</w:t>
            </w:r>
          </w:p>
        </w:tc>
        <w:tc>
          <w:tcPr>
            <w:tcW w:w="94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rPr>
              <w:t>68.96%</w:t>
            </w:r>
          </w:p>
        </w:tc>
        <w:tc>
          <w:tcPr>
            <w:tcW w:w="320" w:type="dxa"/>
            <w:vAlign w:val="bottom"/>
          </w:tcPr>
          <w:p>
            <w:pPr>
              <w:spacing w:after="0"/>
              <w:rPr>
                <w:sz w:val="7"/>
                <w:szCs w:val="7"/>
                <w:color w:val="auto"/>
              </w:rPr>
            </w:pPr>
          </w:p>
        </w:tc>
        <w:tc>
          <w:tcPr>
            <w:tcW w:w="800" w:type="dxa"/>
            <w:vAlign w:val="bottom"/>
            <w:gridSpan w:val="2"/>
          </w:tcPr>
          <w:p>
            <w:pPr>
              <w:jc w:val="right"/>
              <w:ind w:right="100"/>
              <w:spacing w:after="0" w:line="87" w:lineRule="exact"/>
              <w:rPr>
                <w:sz w:val="20"/>
                <w:szCs w:val="20"/>
                <w:color w:val="auto"/>
              </w:rPr>
            </w:pPr>
            <w:r>
              <w:rPr>
                <w:rFonts w:ascii="Arial" w:cs="Arial" w:eastAsia="Arial" w:hAnsi="Arial"/>
                <w:sz w:val="10"/>
                <w:szCs w:val="10"/>
                <w:color w:val="auto"/>
              </w:rPr>
              <w:t>80.57%</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3"/>
          </w:tcPr>
          <w:p>
            <w:pPr>
              <w:jc w:val="right"/>
              <w:ind w:right="380"/>
              <w:spacing w:after="0" w:line="112" w:lineRule="exact"/>
              <w:rPr>
                <w:sz w:val="20"/>
                <w:szCs w:val="20"/>
                <w:color w:val="auto"/>
              </w:rPr>
            </w:pPr>
            <w:r>
              <w:rPr>
                <w:rFonts w:ascii="Arial" w:cs="Arial" w:eastAsia="Arial" w:hAnsi="Arial"/>
                <w:sz w:val="10"/>
                <w:szCs w:val="10"/>
                <w:color w:val="auto"/>
              </w:rPr>
              <w:t>97.6%</w:t>
            </w:r>
          </w:p>
        </w:tc>
        <w:tc>
          <w:tcPr>
            <w:tcW w:w="260" w:type="dxa"/>
            <w:vAlign w:val="bottom"/>
          </w:tcPr>
          <w:p>
            <w:pPr>
              <w:spacing w:after="0"/>
              <w:rPr>
                <w:sz w:val="9"/>
                <w:szCs w:val="9"/>
                <w:color w:val="auto"/>
              </w:rPr>
            </w:pPr>
          </w:p>
        </w:tc>
        <w:tc>
          <w:tcPr>
            <w:tcW w:w="1180" w:type="dxa"/>
            <w:vAlign w:val="bottom"/>
            <w:gridSpan w:val="3"/>
          </w:tcPr>
          <w:p>
            <w:pPr>
              <w:jc w:val="right"/>
              <w:ind w:right="612"/>
              <w:spacing w:after="0" w:line="112" w:lineRule="exact"/>
              <w:rPr>
                <w:sz w:val="20"/>
                <w:szCs w:val="20"/>
                <w:color w:val="auto"/>
              </w:rPr>
            </w:pPr>
            <w:r>
              <w:rPr>
                <w:rFonts w:ascii="Arial" w:cs="Arial" w:eastAsia="Arial" w:hAnsi="Arial"/>
                <w:sz w:val="10"/>
                <w:szCs w:val="10"/>
                <w:color w:val="auto"/>
              </w:rPr>
              <w:t>97.6%</w:t>
            </w:r>
          </w:p>
        </w:tc>
        <w:tc>
          <w:tcPr>
            <w:tcW w:w="880" w:type="dxa"/>
            <w:vAlign w:val="bottom"/>
            <w:gridSpan w:val="3"/>
          </w:tcPr>
          <w:p>
            <w:pPr>
              <w:jc w:val="right"/>
              <w:ind w:right="380"/>
              <w:spacing w:after="0" w:line="112" w:lineRule="exact"/>
              <w:rPr>
                <w:sz w:val="20"/>
                <w:szCs w:val="20"/>
                <w:color w:val="auto"/>
              </w:rPr>
            </w:pPr>
            <w:r>
              <w:rPr>
                <w:rFonts w:ascii="Arial" w:cs="Arial" w:eastAsia="Arial" w:hAnsi="Arial"/>
                <w:sz w:val="10"/>
                <w:szCs w:val="10"/>
                <w:color w:val="auto"/>
              </w:rPr>
              <w:t>78.21%</w:t>
            </w:r>
          </w:p>
        </w:tc>
        <w:tc>
          <w:tcPr>
            <w:tcW w:w="960" w:type="dxa"/>
            <w:vAlign w:val="bottom"/>
            <w:gridSpan w:val="3"/>
          </w:tcPr>
          <w:p>
            <w:pPr>
              <w:jc w:val="right"/>
              <w:ind w:right="200"/>
              <w:spacing w:after="0" w:line="112" w:lineRule="exact"/>
              <w:rPr>
                <w:sz w:val="20"/>
                <w:szCs w:val="20"/>
                <w:color w:val="auto"/>
              </w:rPr>
            </w:pPr>
            <w:r>
              <w:rPr>
                <w:rFonts w:ascii="Arial" w:cs="Arial" w:eastAsia="Arial" w:hAnsi="Arial"/>
                <w:sz w:val="10"/>
                <w:szCs w:val="10"/>
                <w:color w:val="auto"/>
              </w:rPr>
              <w:t>78.21%</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36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Expected term (years)</w:t>
            </w:r>
          </w:p>
        </w:tc>
        <w:tc>
          <w:tcPr>
            <w:tcW w:w="7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10"/>
                <w:szCs w:val="10"/>
                <w:color w:val="auto"/>
              </w:rPr>
              <w:t>6.25</w:t>
            </w:r>
          </w:p>
        </w:tc>
        <w:tc>
          <w:tcPr>
            <w:tcW w:w="60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10"/>
                <w:szCs w:val="10"/>
                <w:color w:val="auto"/>
              </w:rPr>
              <w:t>5.00</w:t>
            </w:r>
          </w:p>
        </w:tc>
        <w:tc>
          <w:tcPr>
            <w:tcW w:w="1520" w:type="dxa"/>
            <w:vAlign w:val="bottom"/>
            <w:gridSpan w:val="3"/>
            <w:shd w:val="clear" w:color="auto" w:fill="CCEEFF"/>
          </w:tcPr>
          <w:p>
            <w:pPr>
              <w:jc w:val="right"/>
              <w:ind w:right="480"/>
              <w:spacing w:after="0" w:line="87" w:lineRule="exact"/>
              <w:rPr>
                <w:sz w:val="20"/>
                <w:szCs w:val="20"/>
                <w:color w:val="auto"/>
              </w:rPr>
            </w:pPr>
            <w:r>
              <w:rPr>
                <w:rFonts w:ascii="Arial" w:cs="Arial" w:eastAsia="Arial" w:hAnsi="Arial"/>
                <w:sz w:val="10"/>
                <w:szCs w:val="10"/>
                <w:color w:val="auto"/>
              </w:rPr>
              <w:t>0.25 to</w:t>
            </w:r>
          </w:p>
        </w:tc>
        <w:tc>
          <w:tcPr>
            <w:tcW w:w="260" w:type="dxa"/>
            <w:vAlign w:val="bottom"/>
            <w:shd w:val="clear" w:color="auto" w:fill="CCEEFF"/>
          </w:tcPr>
          <w:p>
            <w:pPr>
              <w:spacing w:after="0"/>
              <w:rPr>
                <w:sz w:val="7"/>
                <w:szCs w:val="7"/>
                <w:color w:val="auto"/>
              </w:rPr>
            </w:pPr>
          </w:p>
        </w:tc>
        <w:tc>
          <w:tcPr>
            <w:tcW w:w="1180" w:type="dxa"/>
            <w:vAlign w:val="bottom"/>
            <w:gridSpan w:val="3"/>
            <w:shd w:val="clear" w:color="auto" w:fill="CCEEFF"/>
          </w:tcPr>
          <w:p>
            <w:pPr>
              <w:jc w:val="right"/>
              <w:ind w:right="732"/>
              <w:spacing w:after="0" w:line="87" w:lineRule="exact"/>
              <w:rPr>
                <w:sz w:val="20"/>
                <w:szCs w:val="20"/>
                <w:color w:val="auto"/>
              </w:rPr>
            </w:pPr>
            <w:r>
              <w:rPr>
                <w:rFonts w:ascii="Arial" w:cs="Arial" w:eastAsia="Arial" w:hAnsi="Arial"/>
                <w:sz w:val="10"/>
                <w:szCs w:val="10"/>
                <w:color w:val="auto"/>
              </w:rPr>
              <w:t>0.87 to</w:t>
            </w:r>
          </w:p>
        </w:tc>
        <w:tc>
          <w:tcPr>
            <w:tcW w:w="880" w:type="dxa"/>
            <w:vAlign w:val="bottom"/>
            <w:gridSpan w:val="3"/>
            <w:shd w:val="clear" w:color="auto" w:fill="CCEEFF"/>
          </w:tcPr>
          <w:p>
            <w:pPr>
              <w:ind w:left="120"/>
              <w:spacing w:after="0" w:line="87" w:lineRule="exact"/>
              <w:rPr>
                <w:sz w:val="20"/>
                <w:szCs w:val="20"/>
                <w:color w:val="auto"/>
              </w:rPr>
            </w:pPr>
            <w:r>
              <w:rPr>
                <w:rFonts w:ascii="Arial" w:cs="Arial" w:eastAsia="Arial" w:hAnsi="Arial"/>
                <w:sz w:val="10"/>
                <w:szCs w:val="10"/>
                <w:color w:val="auto"/>
              </w:rPr>
              <w:t>0.03 to</w:t>
            </w:r>
          </w:p>
        </w:tc>
        <w:tc>
          <w:tcPr>
            <w:tcW w:w="960" w:type="dxa"/>
            <w:vAlign w:val="bottom"/>
            <w:gridSpan w:val="3"/>
            <w:shd w:val="clear" w:color="auto" w:fill="CCEEFF"/>
          </w:tcPr>
          <w:p>
            <w:pPr>
              <w:ind w:left="380"/>
              <w:spacing w:after="0" w:line="87" w:lineRule="exact"/>
              <w:rPr>
                <w:sz w:val="20"/>
                <w:szCs w:val="20"/>
                <w:color w:val="auto"/>
              </w:rPr>
            </w:pPr>
            <w:r>
              <w:rPr>
                <w:rFonts w:ascii="Arial" w:cs="Arial" w:eastAsia="Arial" w:hAnsi="Arial"/>
                <w:sz w:val="10"/>
                <w:szCs w:val="10"/>
                <w:color w:val="auto"/>
              </w:rPr>
              <w:t>3.03 to</w:t>
            </w:r>
          </w:p>
        </w:tc>
        <w:tc>
          <w:tcPr>
            <w:tcW w:w="94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10"/>
                <w:szCs w:val="10"/>
                <w:color w:val="auto"/>
              </w:rPr>
              <w:t>0.63</w:t>
            </w:r>
          </w:p>
        </w:tc>
        <w:tc>
          <w:tcPr>
            <w:tcW w:w="32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100"/>
              <w:spacing w:after="0" w:line="87" w:lineRule="exact"/>
              <w:rPr>
                <w:sz w:val="20"/>
                <w:szCs w:val="20"/>
                <w:color w:val="auto"/>
              </w:rPr>
            </w:pPr>
            <w:r>
              <w:rPr>
                <w:rFonts w:ascii="Arial" w:cs="Arial" w:eastAsia="Arial" w:hAnsi="Arial"/>
                <w:sz w:val="10"/>
                <w:szCs w:val="10"/>
                <w:color w:val="auto"/>
              </w:rPr>
              <w:t>5.00</w:t>
            </w:r>
          </w:p>
        </w:tc>
        <w:tc>
          <w:tcPr>
            <w:tcW w:w="10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8.86</w:t>
            </w:r>
          </w:p>
        </w:tc>
        <w:tc>
          <w:tcPr>
            <w:tcW w:w="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8.86</w:t>
            </w:r>
          </w:p>
        </w:tc>
        <w:tc>
          <w:tcPr>
            <w:tcW w:w="6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3.96</w:t>
            </w:r>
          </w:p>
        </w:tc>
        <w:tc>
          <w:tcPr>
            <w:tcW w:w="3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3.96</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60" w:type="dxa"/>
            <w:vAlign w:val="bottom"/>
          </w:tcPr>
          <w:p>
            <w:pPr>
              <w:spacing w:after="0" w:line="99" w:lineRule="exact"/>
              <w:rPr>
                <w:sz w:val="20"/>
                <w:szCs w:val="20"/>
                <w:color w:val="auto"/>
              </w:rPr>
            </w:pPr>
            <w:r>
              <w:rPr>
                <w:rFonts w:ascii="Arial" w:cs="Arial" w:eastAsia="Arial" w:hAnsi="Arial"/>
                <w:sz w:val="10"/>
                <w:szCs w:val="10"/>
                <w:color w:val="auto"/>
              </w:rPr>
              <w:t>Dividend rate</w:t>
            </w:r>
          </w:p>
        </w:tc>
        <w:tc>
          <w:tcPr>
            <w:tcW w:w="740" w:type="dxa"/>
            <w:vAlign w:val="bottom"/>
          </w:tcPr>
          <w:p>
            <w:pPr>
              <w:spacing w:after="0"/>
              <w:rPr>
                <w:sz w:val="8"/>
                <w:szCs w:val="8"/>
                <w:color w:val="auto"/>
              </w:rPr>
            </w:pPr>
          </w:p>
        </w:tc>
        <w:tc>
          <w:tcPr>
            <w:tcW w:w="4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0%</w:t>
            </w:r>
          </w:p>
        </w:tc>
        <w:tc>
          <w:tcPr>
            <w:tcW w:w="600" w:type="dxa"/>
            <w:vAlign w:val="bottom"/>
          </w:tcPr>
          <w:p>
            <w:pPr>
              <w:spacing w:after="0"/>
              <w:rPr>
                <w:sz w:val="8"/>
                <w:szCs w:val="8"/>
                <w:color w:val="auto"/>
              </w:rPr>
            </w:pPr>
          </w:p>
        </w:tc>
        <w:tc>
          <w:tcPr>
            <w:tcW w:w="44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0%</w:t>
            </w:r>
          </w:p>
        </w:tc>
        <w:tc>
          <w:tcPr>
            <w:tcW w:w="1040" w:type="dxa"/>
            <w:vAlign w:val="bottom"/>
          </w:tcPr>
          <w:p>
            <w:pPr>
              <w:jc w:val="right"/>
              <w:spacing w:after="0" w:line="99" w:lineRule="exact"/>
              <w:rPr>
                <w:sz w:val="20"/>
                <w:szCs w:val="20"/>
                <w:color w:val="auto"/>
              </w:rPr>
            </w:pPr>
            <w:r>
              <w:rPr>
                <w:rFonts w:ascii="Arial" w:cs="Arial" w:eastAsia="Arial" w:hAnsi="Arial"/>
                <w:sz w:val="10"/>
                <w:szCs w:val="10"/>
                <w:color w:val="auto"/>
              </w:rPr>
              <w:t>0%</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0%</w:t>
            </w:r>
          </w:p>
        </w:tc>
        <w:tc>
          <w:tcPr>
            <w:tcW w:w="66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10"/>
                <w:szCs w:val="10"/>
                <w:color w:val="auto"/>
              </w:rPr>
              <w:t>0%</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0%</w:t>
            </w:r>
          </w:p>
        </w:tc>
        <w:tc>
          <w:tcPr>
            <w:tcW w:w="200" w:type="dxa"/>
            <w:vAlign w:val="bottom"/>
          </w:tcPr>
          <w:p>
            <w:pPr>
              <w:spacing w:after="0"/>
              <w:rPr>
                <w:sz w:val="8"/>
                <w:szCs w:val="8"/>
                <w:color w:val="auto"/>
              </w:rPr>
            </w:pPr>
          </w:p>
        </w:tc>
        <w:tc>
          <w:tcPr>
            <w:tcW w:w="94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0%</w:t>
            </w:r>
          </w:p>
        </w:tc>
        <w:tc>
          <w:tcPr>
            <w:tcW w:w="320" w:type="dxa"/>
            <w:vAlign w:val="bottom"/>
          </w:tcPr>
          <w:p>
            <w:pPr>
              <w:spacing w:after="0"/>
              <w:rPr>
                <w:sz w:val="8"/>
                <w:szCs w:val="8"/>
                <w:color w:val="auto"/>
              </w:rPr>
            </w:pP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0%</w:t>
            </w: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80" w:type="dxa"/>
            <w:vAlign w:val="bottom"/>
            <w:gridSpan w:val="2"/>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80" w:type="dxa"/>
            <w:vAlign w:val="bottom"/>
            <w:gridSpan w:val="2"/>
          </w:tcPr>
          <w:p>
            <w:pPr>
              <w:spacing w:after="0" w:line="87" w:lineRule="exact"/>
              <w:rPr>
                <w:sz w:val="20"/>
                <w:szCs w:val="20"/>
                <w:color w:val="auto"/>
              </w:rPr>
            </w:pPr>
            <w:r>
              <w:rPr>
                <w:rFonts w:ascii="Arial" w:cs="Arial" w:eastAsia="Arial" w:hAnsi="Arial"/>
                <w:sz w:val="10"/>
                <w:szCs w:val="10"/>
                <w:color w:val="auto"/>
              </w:rPr>
              <w:t>Fair value per share</w:t>
            </w:r>
          </w:p>
        </w:tc>
        <w:tc>
          <w:tcPr>
            <w:tcW w:w="740" w:type="dxa"/>
            <w:vAlign w:val="bottom"/>
          </w:tcPr>
          <w:p>
            <w:pPr>
              <w:jc w:val="right"/>
              <w:ind w:right="12"/>
              <w:spacing w:after="0" w:line="87"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rPr>
              <w:t>0.32</w:t>
            </w:r>
          </w:p>
        </w:tc>
        <w:tc>
          <w:tcPr>
            <w:tcW w:w="600" w:type="dxa"/>
            <w:vAlign w:val="bottom"/>
          </w:tcPr>
          <w:p>
            <w:pPr>
              <w:jc w:val="right"/>
              <w:spacing w:after="0" w:line="87"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rPr>
              <w:t>0.29</w:t>
            </w:r>
          </w:p>
        </w:tc>
        <w:tc>
          <w:tcPr>
            <w:tcW w:w="1520" w:type="dxa"/>
            <w:vAlign w:val="bottom"/>
            <w:gridSpan w:val="3"/>
          </w:tcPr>
          <w:p>
            <w:pPr>
              <w:jc w:val="right"/>
              <w:ind w:right="380"/>
              <w:spacing w:after="0" w:line="87" w:lineRule="exact"/>
              <w:rPr>
                <w:sz w:val="20"/>
                <w:szCs w:val="20"/>
                <w:color w:val="auto"/>
              </w:rPr>
            </w:pPr>
            <w:r>
              <w:rPr>
                <w:rFonts w:ascii="Arial" w:cs="Arial" w:eastAsia="Arial" w:hAnsi="Arial"/>
                <w:sz w:val="10"/>
                <w:szCs w:val="10"/>
                <w:color w:val="auto"/>
              </w:rPr>
              <w:t>$ 0.00 to</w:t>
            </w:r>
          </w:p>
        </w:tc>
        <w:tc>
          <w:tcPr>
            <w:tcW w:w="260" w:type="dxa"/>
            <w:vAlign w:val="bottom"/>
          </w:tcPr>
          <w:p>
            <w:pPr>
              <w:spacing w:after="0"/>
              <w:rPr>
                <w:sz w:val="7"/>
                <w:szCs w:val="7"/>
                <w:color w:val="auto"/>
              </w:rPr>
            </w:pPr>
          </w:p>
        </w:tc>
        <w:tc>
          <w:tcPr>
            <w:tcW w:w="1180" w:type="dxa"/>
            <w:vAlign w:val="bottom"/>
            <w:gridSpan w:val="3"/>
          </w:tcPr>
          <w:p>
            <w:pPr>
              <w:jc w:val="right"/>
              <w:ind w:right="612"/>
              <w:spacing w:after="0" w:line="87" w:lineRule="exact"/>
              <w:rPr>
                <w:sz w:val="20"/>
                <w:szCs w:val="20"/>
                <w:color w:val="auto"/>
              </w:rPr>
            </w:pPr>
            <w:r>
              <w:rPr>
                <w:rFonts w:ascii="Arial" w:cs="Arial" w:eastAsia="Arial" w:hAnsi="Arial"/>
                <w:sz w:val="10"/>
                <w:szCs w:val="10"/>
                <w:color w:val="auto"/>
              </w:rPr>
              <w:t>$ 0.07 to</w:t>
            </w:r>
          </w:p>
        </w:tc>
        <w:tc>
          <w:tcPr>
            <w:tcW w:w="880" w:type="dxa"/>
            <w:vAlign w:val="bottom"/>
            <w:gridSpan w:val="3"/>
          </w:tcPr>
          <w:p>
            <w:pPr>
              <w:jc w:val="right"/>
              <w:ind w:right="380"/>
              <w:spacing w:after="0" w:line="87" w:lineRule="exact"/>
              <w:rPr>
                <w:sz w:val="20"/>
                <w:szCs w:val="20"/>
                <w:color w:val="auto"/>
              </w:rPr>
            </w:pPr>
            <w:r>
              <w:rPr>
                <w:rFonts w:ascii="Arial" w:cs="Arial" w:eastAsia="Arial" w:hAnsi="Arial"/>
                <w:sz w:val="10"/>
                <w:szCs w:val="10"/>
                <w:color w:val="auto"/>
              </w:rPr>
              <w:t>$ 0.00 to</w:t>
            </w:r>
          </w:p>
        </w:tc>
        <w:tc>
          <w:tcPr>
            <w:tcW w:w="960" w:type="dxa"/>
            <w:vAlign w:val="bottom"/>
            <w:gridSpan w:val="3"/>
          </w:tcPr>
          <w:p>
            <w:pPr>
              <w:jc w:val="right"/>
              <w:ind w:right="200"/>
              <w:spacing w:after="0" w:line="87" w:lineRule="exact"/>
              <w:rPr>
                <w:sz w:val="20"/>
                <w:szCs w:val="20"/>
                <w:color w:val="auto"/>
              </w:rPr>
            </w:pPr>
            <w:r>
              <w:rPr>
                <w:rFonts w:ascii="Arial" w:cs="Arial" w:eastAsia="Arial" w:hAnsi="Arial"/>
                <w:sz w:val="10"/>
                <w:szCs w:val="10"/>
                <w:color w:val="auto"/>
              </w:rPr>
              <w:t>$0.18 to</w:t>
            </w:r>
          </w:p>
        </w:tc>
        <w:tc>
          <w:tcPr>
            <w:tcW w:w="940" w:type="dxa"/>
            <w:vAlign w:val="bottom"/>
            <w:gridSpan w:val="2"/>
          </w:tcPr>
          <w:p>
            <w:pPr>
              <w:jc w:val="right"/>
              <w:ind w:right="120"/>
              <w:spacing w:after="0" w:line="87" w:lineRule="exact"/>
              <w:rPr>
                <w:sz w:val="20"/>
                <w:szCs w:val="20"/>
                <w:color w:val="auto"/>
              </w:rPr>
            </w:pPr>
            <w:r>
              <w:rPr>
                <w:rFonts w:ascii="Arial" w:cs="Arial" w:eastAsia="Arial" w:hAnsi="Arial"/>
                <w:sz w:val="10"/>
                <w:szCs w:val="10"/>
                <w:color w:val="auto"/>
              </w:rPr>
              <w:t>$ 0.08</w:t>
            </w:r>
          </w:p>
        </w:tc>
        <w:tc>
          <w:tcPr>
            <w:tcW w:w="320" w:type="dxa"/>
            <w:vAlign w:val="bottom"/>
          </w:tcPr>
          <w:p>
            <w:pPr>
              <w:spacing w:after="0"/>
              <w:rPr>
                <w:sz w:val="7"/>
                <w:szCs w:val="7"/>
                <w:color w:val="auto"/>
              </w:rPr>
            </w:pPr>
          </w:p>
        </w:tc>
        <w:tc>
          <w:tcPr>
            <w:tcW w:w="700" w:type="dxa"/>
            <w:vAlign w:val="bottom"/>
          </w:tcPr>
          <w:p>
            <w:pPr>
              <w:jc w:val="right"/>
              <w:spacing w:after="0" w:line="87" w:lineRule="exact"/>
              <w:rPr>
                <w:sz w:val="20"/>
                <w:szCs w:val="20"/>
                <w:color w:val="auto"/>
              </w:rPr>
            </w:pPr>
            <w:r>
              <w:rPr>
                <w:rFonts w:ascii="Arial" w:cs="Arial" w:eastAsia="Arial" w:hAnsi="Arial"/>
                <w:sz w:val="10"/>
                <w:szCs w:val="10"/>
                <w:color w:val="auto"/>
              </w:rPr>
              <w:t>$ 0.29</w:t>
            </w: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3"/>
          </w:tcPr>
          <w:p>
            <w:pPr>
              <w:jc w:val="right"/>
              <w:ind w:right="380"/>
              <w:spacing w:after="0" w:line="112" w:lineRule="exact"/>
              <w:rPr>
                <w:sz w:val="20"/>
                <w:szCs w:val="20"/>
                <w:color w:val="auto"/>
              </w:rPr>
            </w:pPr>
            <w:r>
              <w:rPr>
                <w:rFonts w:ascii="Arial" w:cs="Arial" w:eastAsia="Arial" w:hAnsi="Arial"/>
                <w:sz w:val="10"/>
                <w:szCs w:val="10"/>
                <w:color w:val="auto"/>
              </w:rPr>
              <w:t>$0.32</w:t>
            </w:r>
          </w:p>
        </w:tc>
        <w:tc>
          <w:tcPr>
            <w:tcW w:w="260" w:type="dxa"/>
            <w:vAlign w:val="bottom"/>
          </w:tcPr>
          <w:p>
            <w:pPr>
              <w:spacing w:after="0"/>
              <w:rPr>
                <w:sz w:val="9"/>
                <w:szCs w:val="9"/>
                <w:color w:val="auto"/>
              </w:rPr>
            </w:pPr>
          </w:p>
        </w:tc>
        <w:tc>
          <w:tcPr>
            <w:tcW w:w="1180" w:type="dxa"/>
            <w:vAlign w:val="bottom"/>
            <w:gridSpan w:val="3"/>
          </w:tcPr>
          <w:p>
            <w:pPr>
              <w:jc w:val="right"/>
              <w:ind w:right="612"/>
              <w:spacing w:after="0" w:line="112" w:lineRule="exact"/>
              <w:rPr>
                <w:sz w:val="20"/>
                <w:szCs w:val="20"/>
                <w:color w:val="auto"/>
              </w:rPr>
            </w:pPr>
            <w:r>
              <w:rPr>
                <w:rFonts w:ascii="Arial" w:cs="Arial" w:eastAsia="Arial" w:hAnsi="Arial"/>
                <w:sz w:val="10"/>
                <w:szCs w:val="10"/>
                <w:color w:val="auto"/>
              </w:rPr>
              <w:t>$0.34</w:t>
            </w:r>
          </w:p>
        </w:tc>
        <w:tc>
          <w:tcPr>
            <w:tcW w:w="880" w:type="dxa"/>
            <w:vAlign w:val="bottom"/>
            <w:gridSpan w:val="3"/>
          </w:tcPr>
          <w:p>
            <w:pPr>
              <w:jc w:val="right"/>
              <w:ind w:right="380"/>
              <w:spacing w:after="0" w:line="112" w:lineRule="exact"/>
              <w:rPr>
                <w:sz w:val="20"/>
                <w:szCs w:val="20"/>
                <w:color w:val="auto"/>
              </w:rPr>
            </w:pPr>
            <w:r>
              <w:rPr>
                <w:rFonts w:ascii="Arial" w:cs="Arial" w:eastAsia="Arial" w:hAnsi="Arial"/>
                <w:sz w:val="10"/>
                <w:szCs w:val="10"/>
                <w:color w:val="auto"/>
              </w:rPr>
              <w:t>$0.11</w:t>
            </w:r>
          </w:p>
        </w:tc>
        <w:tc>
          <w:tcPr>
            <w:tcW w:w="960" w:type="dxa"/>
            <w:vAlign w:val="bottom"/>
            <w:gridSpan w:val="3"/>
          </w:tcPr>
          <w:p>
            <w:pPr>
              <w:jc w:val="right"/>
              <w:ind w:right="200"/>
              <w:spacing w:after="0" w:line="112" w:lineRule="exact"/>
              <w:rPr>
                <w:sz w:val="20"/>
                <w:szCs w:val="20"/>
                <w:color w:val="auto"/>
              </w:rPr>
            </w:pPr>
            <w:r>
              <w:rPr>
                <w:rFonts w:ascii="Arial" w:cs="Arial" w:eastAsia="Arial" w:hAnsi="Arial"/>
                <w:sz w:val="10"/>
                <w:szCs w:val="10"/>
                <w:color w:val="auto"/>
              </w:rPr>
              <w:t>$0.21</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60" w:type="dxa"/>
            <w:vAlign w:val="bottom"/>
          </w:tcPr>
          <w:p>
            <w:pPr>
              <w:spacing w:after="0"/>
              <w:rPr>
                <w:sz w:val="20"/>
                <w:szCs w:val="20"/>
                <w:color w:val="auto"/>
              </w:rPr>
            </w:pPr>
            <w:r>
              <w:rPr>
                <w:rFonts w:ascii="Arial" w:cs="Arial" w:eastAsia="Arial" w:hAnsi="Arial"/>
                <w:sz w:val="10"/>
                <w:szCs w:val="10"/>
                <w:color w:val="auto"/>
              </w:rPr>
              <w:t>Aggregate shares</w:t>
            </w:r>
          </w:p>
        </w:tc>
        <w:tc>
          <w:tcPr>
            <w:tcW w:w="74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w w:val="91"/>
              </w:rPr>
              <w:t>20,000</w:t>
            </w:r>
          </w:p>
        </w:tc>
        <w:tc>
          <w:tcPr>
            <w:tcW w:w="60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w w:val="82"/>
              </w:rPr>
              <w:t>150,000</w:t>
            </w:r>
          </w:p>
        </w:tc>
        <w:tc>
          <w:tcPr>
            <w:tcW w:w="1040" w:type="dxa"/>
            <w:vAlign w:val="bottom"/>
          </w:tcPr>
          <w:p>
            <w:pPr>
              <w:jc w:val="right"/>
              <w:spacing w:after="0"/>
              <w:rPr>
                <w:sz w:val="20"/>
                <w:szCs w:val="20"/>
                <w:color w:val="auto"/>
              </w:rPr>
            </w:pPr>
            <w:r>
              <w:rPr>
                <w:rFonts w:ascii="Arial" w:cs="Arial" w:eastAsia="Arial" w:hAnsi="Arial"/>
                <w:sz w:val="10"/>
                <w:szCs w:val="10"/>
                <w:color w:val="auto"/>
              </w:rPr>
              <w:t>2,322,500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w w:val="85"/>
              </w:rPr>
              <w:t>2,322,500</w:t>
            </w:r>
          </w:p>
        </w:tc>
        <w:tc>
          <w:tcPr>
            <w:tcW w:w="66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w w:val="99"/>
              </w:rPr>
              <w:t>166,052</w:t>
            </w:r>
          </w:p>
        </w:tc>
        <w:tc>
          <w:tcPr>
            <w:tcW w:w="38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166,052</w:t>
            </w:r>
          </w:p>
        </w:tc>
        <w:tc>
          <w:tcPr>
            <w:tcW w:w="20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150,000</w:t>
            </w:r>
          </w:p>
        </w:tc>
        <w:tc>
          <w:tcPr>
            <w:tcW w:w="3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150,000</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8" w:hanging="8"/>
        <w:spacing w:after="0" w:line="297" w:lineRule="auto"/>
        <w:tabs>
          <w:tab w:leader="none" w:pos="165" w:val="left"/>
        </w:tabs>
        <w:numPr>
          <w:ilvl w:val="0"/>
          <w:numId w:val="54"/>
        </w:numPr>
        <w:rPr>
          <w:rFonts w:ascii="Arial" w:cs="Arial" w:eastAsia="Arial" w:hAnsi="Arial"/>
          <w:sz w:val="8"/>
          <w:szCs w:val="8"/>
          <w:color w:val="auto"/>
        </w:rPr>
      </w:pPr>
      <w:r>
        <w:rPr>
          <w:rFonts w:ascii="Arial" w:cs="Arial" w:eastAsia="Arial" w:hAnsi="Arial"/>
          <w:sz w:val="8"/>
          <w:szCs w:val="8"/>
          <w:color w:val="auto"/>
        </w:rPr>
        <w:t>On March 19, 2014, the Board and Dr. Snodgrass agreed to cancel a fully-vested option to purchase 150,000 shares of our restricted common stock at a price of $0.50 per share and expiring on November 4, 2014 in exchange for the grant of a five-year warrant to purchase 150,000 shares of our restricted common stock at a price of $0.50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33" w:name="page134"/>
    <w:bookmarkEnd w:id="133"/>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288" w:right="20" w:hanging="288"/>
        <w:spacing w:after="0" w:line="276" w:lineRule="auto"/>
        <w:tabs>
          <w:tab w:leader="none" w:pos="288"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 June and October 2013, Mr. Singh exercised warrants granted to him in March 2013, described in Note 10, below, to purchase an aggregate of 60,000 shares of our restricted common stock at $0.64 per share. Mr. Singh continues to hold the shares of our restricted common stock issued upon his exercise of the warrants.</w:t>
      </w:r>
    </w:p>
    <w:p>
      <w:pPr>
        <w:spacing w:after="0" w:line="132" w:lineRule="exact"/>
        <w:rPr>
          <w:rFonts w:ascii="Arial" w:cs="Arial" w:eastAsia="Arial" w:hAnsi="Arial"/>
          <w:sz w:val="12"/>
          <w:szCs w:val="12"/>
          <w:color w:val="auto"/>
        </w:rPr>
      </w:pPr>
    </w:p>
    <w:p>
      <w:pPr>
        <w:ind w:left="288" w:hanging="288"/>
        <w:spacing w:after="0"/>
        <w:tabs>
          <w:tab w:leader="none" w:pos="288" w:val="left"/>
        </w:tabs>
        <w:numPr>
          <w:ilvl w:val="0"/>
          <w:numId w:val="55"/>
        </w:numPr>
        <w:rPr>
          <w:rFonts w:ascii="Arial" w:cs="Arial" w:eastAsia="Arial" w:hAnsi="Arial"/>
          <w:sz w:val="12"/>
          <w:szCs w:val="12"/>
          <w:color w:val="auto"/>
        </w:rPr>
      </w:pPr>
      <w:r>
        <w:rPr>
          <w:rFonts w:ascii="Arial" w:cs="Arial" w:eastAsia="Arial" w:hAnsi="Arial"/>
          <w:sz w:val="12"/>
          <w:szCs w:val="12"/>
          <w:color w:val="auto"/>
        </w:rPr>
        <w:t>We used the Black Scholes Option Pricing Model and the following assumptions for determining the grant date fair value of the warrants to purchase shares of our common stock granted in March 2013.</w:t>
      </w:r>
    </w:p>
    <w:p>
      <w:pPr>
        <w:spacing w:after="0" w:line="177" w:lineRule="exact"/>
        <w:rPr>
          <w:sz w:val="20"/>
          <w:szCs w:val="20"/>
          <w:color w:val="auto"/>
        </w:rPr>
      </w:pPr>
    </w:p>
    <w:tbl>
      <w:tblPr>
        <w:tblLayout w:type="fixed"/>
        <w:tblInd w:w="172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4020" w:type="dxa"/>
            <w:vAlign w:val="bottom"/>
            <w:shd w:val="clear" w:color="auto" w:fill="CCEEFF"/>
          </w:tcPr>
          <w:p>
            <w:pPr>
              <w:jc w:val="center"/>
              <w:ind w:left="1460"/>
              <w:spacing w:after="0"/>
              <w:rPr>
                <w:sz w:val="20"/>
                <w:szCs w:val="20"/>
                <w:color w:val="auto"/>
              </w:rPr>
            </w:pPr>
            <w:r>
              <w:rPr>
                <w:rFonts w:ascii="Arial" w:cs="Arial" w:eastAsia="Arial" w:hAnsi="Arial"/>
                <w:sz w:val="12"/>
                <w:szCs w:val="12"/>
                <w:color w:val="auto"/>
                <w:w w:val="86"/>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4020" w:type="dxa"/>
            <w:vAlign w:val="bottom"/>
          </w:tcPr>
          <w:p>
            <w:pPr>
              <w:jc w:val="center"/>
              <w:ind w:left="1460"/>
              <w:spacing w:after="0"/>
              <w:rPr>
                <w:sz w:val="20"/>
                <w:szCs w:val="20"/>
                <w:color w:val="auto"/>
              </w:rPr>
            </w:pPr>
            <w:r>
              <w:rPr>
                <w:rFonts w:ascii="Arial" w:cs="Arial" w:eastAsia="Arial" w:hAnsi="Arial"/>
                <w:sz w:val="12"/>
                <w:szCs w:val="12"/>
                <w:color w:val="auto"/>
                <w:w w:val="86"/>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4020" w:type="dxa"/>
            <w:vAlign w:val="bottom"/>
            <w:shd w:val="clear" w:color="auto" w:fill="CCEEFF"/>
          </w:tcPr>
          <w:p>
            <w:pPr>
              <w:jc w:val="center"/>
              <w:ind w:left="1460"/>
              <w:spacing w:after="0"/>
              <w:rPr>
                <w:sz w:val="20"/>
                <w:szCs w:val="20"/>
                <w:color w:val="auto"/>
              </w:rPr>
            </w:pPr>
            <w:r>
              <w:rPr>
                <w:rFonts w:ascii="Arial" w:cs="Arial" w:eastAsia="Arial" w:hAnsi="Arial"/>
                <w:sz w:val="12"/>
                <w:szCs w:val="12"/>
                <w:color w:val="auto"/>
                <w:w w:val="88"/>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Expected Term (years)</w:t>
            </w:r>
          </w:p>
        </w:tc>
        <w:tc>
          <w:tcPr>
            <w:tcW w:w="4020" w:type="dxa"/>
            <w:vAlign w:val="bottom"/>
          </w:tcPr>
          <w:p>
            <w:pPr>
              <w:jc w:val="center"/>
              <w:ind w:left="1460"/>
              <w:spacing w:after="0"/>
              <w:rPr>
                <w:sz w:val="20"/>
                <w:szCs w:val="20"/>
                <w:color w:val="auto"/>
              </w:rPr>
            </w:pPr>
            <w:r>
              <w:rPr>
                <w:rFonts w:ascii="Arial" w:cs="Arial" w:eastAsia="Arial" w:hAnsi="Arial"/>
                <w:sz w:val="12"/>
                <w:szCs w:val="12"/>
                <w:color w:val="auto"/>
                <w:w w:val="93"/>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4020" w:type="dxa"/>
            <w:vAlign w:val="bottom"/>
            <w:shd w:val="clear" w:color="auto" w:fill="CCEEFF"/>
          </w:tcPr>
          <w:p>
            <w:pPr>
              <w:jc w:val="center"/>
              <w:ind w:left="1460"/>
              <w:spacing w:after="0"/>
              <w:rPr>
                <w:sz w:val="20"/>
                <w:szCs w:val="20"/>
                <w:color w:val="auto"/>
              </w:rPr>
            </w:pPr>
            <w:r>
              <w:rPr>
                <w:rFonts w:ascii="Arial" w:cs="Arial" w:eastAsia="Arial" w:hAnsi="Arial"/>
                <w:sz w:val="12"/>
                <w:szCs w:val="12"/>
                <w:color w:val="auto"/>
                <w:w w:val="93"/>
              </w:rPr>
              <w:t>84.73%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Dividend rate</w:t>
            </w:r>
          </w:p>
        </w:tc>
        <w:tc>
          <w:tcPr>
            <w:tcW w:w="4020" w:type="dxa"/>
            <w:vAlign w:val="bottom"/>
          </w:tcPr>
          <w:p>
            <w:pPr>
              <w:jc w:val="center"/>
              <w:ind w:left="1460"/>
              <w:spacing w:after="0"/>
              <w:rPr>
                <w:sz w:val="20"/>
                <w:szCs w:val="20"/>
                <w:color w:val="auto"/>
              </w:rPr>
            </w:pPr>
            <w:r>
              <w:rPr>
                <w:rFonts w:ascii="Arial" w:cs="Arial" w:eastAsia="Arial" w:hAnsi="Arial"/>
                <w:sz w:val="12"/>
                <w:szCs w:val="12"/>
                <w:color w:val="auto"/>
                <w:w w:val="94"/>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Grant date fair value per share</w:t>
            </w:r>
          </w:p>
        </w:tc>
        <w:tc>
          <w:tcPr>
            <w:tcW w:w="4020" w:type="dxa"/>
            <w:vAlign w:val="bottom"/>
          </w:tcPr>
          <w:p>
            <w:pPr>
              <w:jc w:val="center"/>
              <w:ind w:left="1460"/>
              <w:spacing w:after="0"/>
              <w:rPr>
                <w:sz w:val="20"/>
                <w:szCs w:val="20"/>
                <w:color w:val="auto"/>
              </w:rPr>
            </w:pPr>
            <w:r>
              <w:rPr>
                <w:rFonts w:ascii="Arial" w:cs="Arial" w:eastAsia="Arial" w:hAnsi="Arial"/>
                <w:sz w:val="12"/>
                <w:szCs w:val="12"/>
                <w:color w:val="auto"/>
                <w:w w:val="86"/>
              </w:rPr>
              <w:t>$0.53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Mr. Singh, Dr. Snodgrass and Mr. Dotson were granted warrants to purchase 1,500,000, 1,000,000 and 200,000 restricted shares of our common stock, respectively.</w:t>
      </w:r>
    </w:p>
    <w:p>
      <w:pPr>
        <w:spacing w:after="0" w:line="168" w:lineRule="exact"/>
        <w:rPr>
          <w:sz w:val="20"/>
          <w:szCs w:val="20"/>
          <w:color w:val="auto"/>
        </w:rPr>
      </w:pPr>
    </w:p>
    <w:p>
      <w:pPr>
        <w:jc w:val="both"/>
        <w:ind w:left="288" w:right="20" w:hanging="288"/>
        <w:spacing w:after="0" w:line="257" w:lineRule="auto"/>
        <w:tabs>
          <w:tab w:leader="none" w:pos="288"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 October 2012, we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spacing w:after="0" w:line="125" w:lineRule="exact"/>
        <w:rPr>
          <w:rFonts w:ascii="Arial" w:cs="Arial" w:eastAsia="Arial" w:hAnsi="Arial"/>
          <w:sz w:val="12"/>
          <w:szCs w:val="12"/>
          <w:color w:val="auto"/>
        </w:rPr>
      </w:pPr>
    </w:p>
    <w:p>
      <w:pPr>
        <w:ind w:left="288" w:hanging="288"/>
        <w:spacing w:after="0"/>
        <w:tabs>
          <w:tab w:leader="none" w:pos="288" w:val="left"/>
        </w:tabs>
        <w:numPr>
          <w:ilvl w:val="0"/>
          <w:numId w:val="56"/>
        </w:numPr>
        <w:rPr>
          <w:rFonts w:ascii="Arial" w:cs="Arial" w:eastAsia="Arial" w:hAnsi="Arial"/>
          <w:sz w:val="12"/>
          <w:szCs w:val="12"/>
          <w:color w:val="auto"/>
        </w:rPr>
      </w:pPr>
      <w:r>
        <w:rPr>
          <w:rFonts w:ascii="Arial" w:cs="Arial" w:eastAsia="Arial" w:hAnsi="Arial"/>
          <w:sz w:val="12"/>
          <w:szCs w:val="12"/>
          <w:color w:val="auto"/>
        </w:rPr>
        <w:t>Amount shown represent cash compensation paid to Mr. Dotson under the terms of the consulting agreement between us and Mr. Dotson for the period April 2012 through August 2012.</w:t>
      </w:r>
    </w:p>
    <w:p>
      <w:pPr>
        <w:spacing w:after="0" w:line="168" w:lineRule="exact"/>
        <w:rPr>
          <w:sz w:val="20"/>
          <w:szCs w:val="20"/>
          <w:color w:val="auto"/>
        </w:rPr>
      </w:pPr>
    </w:p>
    <w:p>
      <w:pPr>
        <w:ind w:left="28"/>
        <w:spacing w:after="0"/>
        <w:rPr>
          <w:sz w:val="20"/>
          <w:szCs w:val="20"/>
          <w:color w:val="auto"/>
        </w:rPr>
      </w:pPr>
      <w:r>
        <w:rPr>
          <w:rFonts w:ascii="Arial" w:cs="Arial" w:eastAsia="Arial" w:hAnsi="Arial"/>
          <w:sz w:val="12"/>
          <w:szCs w:val="12"/>
          <w:color w:val="auto"/>
        </w:rPr>
        <w:t>None of the NEOs is entitled to perquisites or other personal benefits which, in the aggregate, are worth over $50,000 or over 10% of their base salary.</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Benefit Plans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401(k) Plan</w:t>
      </w:r>
    </w:p>
    <w:p>
      <w:pPr>
        <w:spacing w:after="0" w:line="150"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34" w:name="page135"/>
    <w:bookmarkEnd w:id="134"/>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Options and Warrants Granted to NEOs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regarding each unexercised stock option and warrant to purchase restricted shares of our common stock held by each of the named executive officers as of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Stock Options</w:t>
            </w:r>
          </w:p>
        </w:tc>
        <w:tc>
          <w:tcPr>
            <w:tcW w:w="2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93"/>
              </w:rPr>
              <w:t>Number of</w:t>
            </w:r>
          </w:p>
        </w:tc>
        <w:tc>
          <w:tcPr>
            <w:tcW w:w="1280" w:type="dxa"/>
            <w:vAlign w:val="bottom"/>
            <w:gridSpan w:val="2"/>
          </w:tcPr>
          <w:p>
            <w:pPr>
              <w:jc w:val="center"/>
              <w:ind w:right="40"/>
              <w:spacing w:after="0" w:line="129" w:lineRule="exact"/>
              <w:rPr>
                <w:sz w:val="20"/>
                <w:szCs w:val="20"/>
                <w:color w:val="auto"/>
              </w:rPr>
            </w:pPr>
            <w:r>
              <w:rPr>
                <w:rFonts w:ascii="Arial" w:cs="Arial" w:eastAsia="Arial" w:hAnsi="Arial"/>
                <w:sz w:val="12"/>
                <w:szCs w:val="12"/>
                <w:b w:val="1"/>
                <w:bCs w:val="1"/>
                <w:color w:val="auto"/>
                <w:w w:val="93"/>
              </w:rPr>
              <w:t>Number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Securities</w:t>
            </w:r>
          </w:p>
        </w:tc>
        <w:tc>
          <w:tcPr>
            <w:tcW w:w="12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7"/>
              </w:rPr>
              <w:t>Securities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Underlying</w:t>
            </w:r>
          </w:p>
        </w:tc>
        <w:tc>
          <w:tcPr>
            <w:tcW w:w="12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Option</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Unexercised</w:t>
            </w:r>
          </w:p>
        </w:tc>
        <w:tc>
          <w:tcPr>
            <w:tcW w:w="12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6"/>
              </w:rPr>
              <w:t>Unexercised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Exercise</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Options (#)</w:t>
            </w:r>
          </w:p>
        </w:tc>
        <w:tc>
          <w:tcPr>
            <w:tcW w:w="12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1"/>
              </w:rPr>
              <w:t>Options (#)</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Price</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0" w:type="dxa"/>
            <w:vAlign w:val="bottom"/>
          </w:tcPr>
          <w:p>
            <w:pPr>
              <w:spacing w:after="0"/>
              <w:rPr>
                <w:sz w:val="1"/>
                <w:szCs w:val="1"/>
                <w:color w:val="auto"/>
              </w:rPr>
            </w:pPr>
          </w:p>
        </w:tc>
      </w:tr>
      <w:tr>
        <w:trPr>
          <w:trHeight w:val="157"/>
        </w:trPr>
        <w:tc>
          <w:tcPr>
            <w:tcW w:w="47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Exercisable</w:t>
            </w:r>
          </w:p>
        </w:tc>
        <w:tc>
          <w:tcPr>
            <w:tcW w:w="12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8"/>
              </w:rPr>
              <w:t>Unexercisable</w:t>
            </w:r>
          </w:p>
        </w:tc>
        <w:tc>
          <w:tcPr>
            <w:tcW w:w="200" w:type="dxa"/>
            <w:vAlign w:val="bottom"/>
          </w:tcPr>
          <w:p>
            <w:pPr>
              <w:spacing w:after="0"/>
              <w:rPr>
                <w:sz w:val="13"/>
                <w:szCs w:val="13"/>
                <w:color w:val="auto"/>
              </w:rPr>
            </w:pP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w w:val="95"/>
              </w:rPr>
              <w:t>($)</w:t>
            </w:r>
          </w:p>
        </w:tc>
        <w:tc>
          <w:tcPr>
            <w:tcW w:w="10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0.80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12/21/2016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40,000</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0.72</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5/17/2017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20,000</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60,000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22,500</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6/17/2019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425,000</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72,916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27,084</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80,338</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35,714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12/6/2017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7/30/2016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690,000</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750,000</w:t>
            </w:r>
          </w:p>
        </w:tc>
        <w:tc>
          <w:tcPr>
            <w:tcW w:w="200" w:type="dxa"/>
            <w:vAlign w:val="bottom"/>
          </w:tcPr>
          <w:p>
            <w:pPr>
              <w:jc w:val="right"/>
              <w:ind w:right="38"/>
              <w:spacing w:after="0"/>
              <w:rPr>
                <w:sz w:val="20"/>
                <w:szCs w:val="20"/>
                <w:color w:val="auto"/>
              </w:rPr>
            </w:pPr>
            <w:r>
              <w:rPr>
                <w:rFonts w:ascii="Arial" w:cs="Arial" w:eastAsia="Arial" w:hAnsi="Arial"/>
                <w:sz w:val="8"/>
                <w:szCs w:val="8"/>
                <w:color w:val="auto"/>
              </w:rPr>
              <w:t>(1)</w:t>
            </w: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0.64</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2,636,468</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777,084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H. Ralph Snodgrass, Ph.D.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25,000</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6/17/2014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6,362</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0.88</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12/20/2016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250,000</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72,916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27,084</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500,000</w:t>
            </w:r>
          </w:p>
        </w:tc>
        <w:tc>
          <w:tcPr>
            <w:tcW w:w="200" w:type="dxa"/>
            <w:vAlign w:val="bottom"/>
          </w:tcPr>
          <w:p>
            <w:pPr>
              <w:jc w:val="right"/>
              <w:ind w:right="38"/>
              <w:spacing w:after="0"/>
              <w:rPr>
                <w:sz w:val="20"/>
                <w:szCs w:val="20"/>
                <w:color w:val="auto"/>
              </w:rPr>
            </w:pPr>
            <w:r>
              <w:rPr>
                <w:rFonts w:ascii="Arial" w:cs="Arial" w:eastAsia="Arial" w:hAnsi="Arial"/>
                <w:sz w:val="8"/>
                <w:szCs w:val="8"/>
                <w:color w:val="auto"/>
              </w:rPr>
              <w:t>(1)</w:t>
            </w: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0.64</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50,000</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150,000</w:t>
            </w:r>
          </w:p>
        </w:tc>
        <w:tc>
          <w:tcPr>
            <w:tcW w:w="200" w:type="dxa"/>
            <w:vAlign w:val="bottom"/>
          </w:tcPr>
          <w:p>
            <w:pPr>
              <w:jc w:val="right"/>
              <w:ind w:right="38"/>
              <w:spacing w:after="0"/>
              <w:rPr>
                <w:sz w:val="20"/>
                <w:szCs w:val="20"/>
                <w:color w:val="auto"/>
              </w:rPr>
            </w:pPr>
            <w:r>
              <w:rPr>
                <w:rFonts w:ascii="Arial" w:cs="Arial" w:eastAsia="Arial" w:hAnsi="Arial"/>
                <w:sz w:val="8"/>
                <w:szCs w:val="8"/>
                <w:color w:val="auto"/>
              </w:rPr>
              <w:t>(2)</w:t>
            </w: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3/19/2024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904,278</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727,084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74,782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25,218</w:t>
            </w:r>
          </w:p>
        </w:tc>
        <w:tc>
          <w:tcPr>
            <w:tcW w:w="20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10/30/2022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4,166</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15,834</w:t>
            </w:r>
          </w:p>
        </w:tc>
        <w:tc>
          <w:tcPr>
            <w:tcW w:w="200" w:type="dxa"/>
            <w:vAlign w:val="bottom"/>
          </w:tcPr>
          <w:p>
            <w:pPr>
              <w:spacing w:after="0"/>
              <w:rPr>
                <w:sz w:val="12"/>
                <w:szCs w:val="12"/>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0.40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10/27/2023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100,000</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0.64</w:t>
            </w:r>
          </w:p>
        </w:tc>
        <w:tc>
          <w:tcPr>
            <w:tcW w:w="2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100,000</w:t>
            </w:r>
          </w:p>
        </w:tc>
        <w:tc>
          <w:tcPr>
            <w:tcW w:w="200" w:type="dxa"/>
            <w:vAlign w:val="bottom"/>
          </w:tcPr>
          <w:p>
            <w:pPr>
              <w:jc w:val="right"/>
              <w:ind w:right="38"/>
              <w:spacing w:after="0"/>
              <w:rPr>
                <w:sz w:val="20"/>
                <w:szCs w:val="20"/>
                <w:color w:val="auto"/>
              </w:rPr>
            </w:pPr>
            <w:r>
              <w:rPr>
                <w:rFonts w:ascii="Arial" w:cs="Arial" w:eastAsia="Arial" w:hAnsi="Arial"/>
                <w:sz w:val="8"/>
                <w:szCs w:val="8"/>
                <w:color w:val="auto"/>
              </w:rPr>
              <w:t>(2)</w:t>
            </w:r>
          </w:p>
        </w:tc>
        <w:tc>
          <w:tcPr>
            <w:tcW w:w="13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540" w:type="dxa"/>
            <w:vAlign w:val="bottom"/>
          </w:tcPr>
          <w:p>
            <w:pPr>
              <w:jc w:val="center"/>
              <w:spacing w:after="0"/>
              <w:rPr>
                <w:sz w:val="20"/>
                <w:szCs w:val="20"/>
                <w:color w:val="auto"/>
              </w:rPr>
            </w:pPr>
            <w:r>
              <w:rPr>
                <w:rFonts w:ascii="Arial" w:cs="Arial" w:eastAsia="Arial" w:hAnsi="Arial"/>
                <w:sz w:val="12"/>
                <w:szCs w:val="12"/>
                <w:color w:val="auto"/>
                <w:w w:val="89"/>
              </w:rPr>
              <w:t>3/19/2024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178,948</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241,052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868" w:right="20" w:hanging="868"/>
        <w:spacing w:after="0" w:line="263" w:lineRule="auto"/>
        <w:tabs>
          <w:tab w:leader="none" w:pos="86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3, 2013 at the market price of our common stock on the grant date. The warrant becomes exercisable for 50% of the shares on April 1, 2013, 25% of the shares on April 1, 2014 and 25% of the shares on April 1, 2015, provided that the warrant will become fully vested upon a change in control of the Company, as defined, or upon the consummation by the Company and a third party of a license or sale transaction involving at least one new drug rescue variant.</w:t>
      </w:r>
    </w:p>
    <w:p>
      <w:pPr>
        <w:spacing w:after="0" w:line="122" w:lineRule="exact"/>
        <w:rPr>
          <w:rFonts w:ascii="Arial" w:cs="Arial" w:eastAsia="Arial" w:hAnsi="Arial"/>
          <w:sz w:val="12"/>
          <w:szCs w:val="12"/>
          <w:color w:val="auto"/>
        </w:rPr>
      </w:pPr>
    </w:p>
    <w:p>
      <w:pPr>
        <w:jc w:val="both"/>
        <w:ind w:left="868" w:right="20" w:hanging="868"/>
        <w:spacing w:after="0" w:line="263" w:lineRule="auto"/>
        <w:tabs>
          <w:tab w:leader="none" w:pos="86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19, 2014 when the market price of our common stock was $0.46 per share. The warrant becomes exercisable for 50% of the shares on April 1, 2014, 25% of the shares on April 1, 2015 and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35" w:name="page136"/>
    <w:bookmarkEnd w:id="135"/>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or Severance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employment agreements with Mr. Singh and Dr. Snodgrass.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Singh Agreement</w:t>
      </w:r>
    </w:p>
    <w:p>
      <w:pPr>
        <w:spacing w:after="0" w:line="150"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We entered into an employment agreement with Mr. Singh on April 28, 2010. Under the agreement, as amended on May 9, 2011, Mr. Singh’s base salary is $347,500 per year. However, Mr. Singh has not received his full base salary in any fiscal year since he entered into his agreement in 2010. In each of our fiscal years ended March 31, 2014, 2013, 2012 and 2011, Mr. Singh voluntarily reduced his base salary to $250,000, $201,646, 292,268 and $168,274, respectively, to conserve cash for our operations. Although, under his agreement, Mr. Singh is eligible to receive an annual incentive cash bonus of up to 50% of his base salary, he has voluntarily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94" w:lineRule="exact"/>
        <w:rPr>
          <w:sz w:val="20"/>
          <w:szCs w:val="20"/>
          <w:color w:val="auto"/>
        </w:rPr>
      </w:pPr>
    </w:p>
    <w:p>
      <w:pPr>
        <w:ind w:left="1440" w:hanging="727"/>
        <w:spacing w:after="0"/>
        <w:tabs>
          <w:tab w:leader="none" w:pos="14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50" w:lineRule="exact"/>
        <w:rPr>
          <w:rFonts w:ascii="Arial" w:cs="Arial" w:eastAsia="Arial" w:hAnsi="Arial"/>
          <w:sz w:val="12"/>
          <w:szCs w:val="12"/>
          <w:color w:val="auto"/>
        </w:rPr>
      </w:pPr>
    </w:p>
    <w:p>
      <w:pPr>
        <w:ind w:left="1440" w:hanging="727"/>
        <w:spacing w:after="0"/>
        <w:tabs>
          <w:tab w:leader="none" w:pos="14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pro-rated portion of the incentive cash bonus that the board of directors determines in good faith that Mr. Singh earned prior to his termination; and</w:t>
      </w:r>
    </w:p>
    <w:p>
      <w:pPr>
        <w:spacing w:after="0" w:line="150" w:lineRule="exact"/>
        <w:rPr>
          <w:rFonts w:ascii="Arial" w:cs="Arial" w:eastAsia="Arial" w:hAnsi="Arial"/>
          <w:sz w:val="12"/>
          <w:szCs w:val="12"/>
          <w:color w:val="auto"/>
        </w:rPr>
      </w:pPr>
    </w:p>
    <w:p>
      <w:pPr>
        <w:ind w:right="780" w:firstLine="713"/>
        <w:spacing w:after="0" w:line="601" w:lineRule="auto"/>
        <w:tabs>
          <w:tab w:leader="none" w:pos="1441" w:val="left"/>
        </w:tabs>
        <w:numPr>
          <w:ilvl w:val="0"/>
          <w:numId w:val="58"/>
        </w:numPr>
        <w:rPr>
          <w:rFonts w:ascii="Arial" w:cs="Arial" w:eastAsia="Arial" w:hAnsi="Arial"/>
          <w:sz w:val="10"/>
          <w:szCs w:val="10"/>
          <w:color w:val="auto"/>
        </w:rPr>
      </w:pPr>
      <w:r>
        <w:rPr>
          <w:rFonts w:ascii="Arial" w:cs="Arial" w:eastAsia="Arial" w:hAnsi="Arial"/>
          <w:sz w:val="10"/>
          <w:szCs w:val="10"/>
          <w:color w:val="auto"/>
        </w:rPr>
        <w:t>such amounts required to reimburse him for Consolidated Omnibus Budget Reconciliation Act (</w:t>
      </w:r>
      <w:r>
        <w:rPr>
          <w:rFonts w:ascii="Arial" w:cs="Arial" w:eastAsia="Arial" w:hAnsi="Arial"/>
          <w:sz w:val="10"/>
          <w:szCs w:val="10"/>
          <w:i w:val="1"/>
          <w:iCs w:val="1"/>
          <w:color w:val="auto"/>
        </w:rPr>
        <w:t>COBRA</w:t>
      </w:r>
      <w:r>
        <w:rPr>
          <w:rFonts w:ascii="Arial" w:cs="Arial" w:eastAsia="Arial" w:hAnsi="Arial"/>
          <w:sz w:val="10"/>
          <w:szCs w:val="10"/>
          <w:color w:val="auto"/>
        </w:rPr>
        <w:t>) payments for continuation of his medical health benefits for such twelve-month period. In addition, in the event Mr. Singh terminates his employment with good reason following a change of control, he is entitled to twelve months of his then-current base salary payable in the form of salary continuation.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December 2006, we accepted a full-recourse promissory note in the amount of $103,411 from Mr. Singh in payment of the exercise price for options and warrants to purchase an aggregate of 126,389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2014 and 2013, we had accrued $101,936 as an estimate of the gross-up amount. However, at Mr. Singh’s suggestion, we have not yet paid such amount to Mr. Singh to conserve capital for our operations. See Notes 10 and 15 to our audited consolidated financial statements which are included elsewhere in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Snodgrass Agreement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entered into an employment agreement with Dr. Snodgrass on April 28, 2010. As amended on May 9, 2011, under the agreement, Dr. Snodgrass’s base salary is $305,000 per year. However, in our fiscal years ended March 31, 2014, 2013, 2012 and 2011, Dr. Snodgrass voluntarily reduced his annual salary to $250,000, $203,086, $249,266 and $141,486, respectively, to conserve cash for our operations. Dr. Snodgrass is eligible to receive an annual incentive cash bonus of up to 50% of his base salary. Payment of his annual incentive bonus is at the discretion of the board of directors. In the event we terminate Dr. Snodgrass’s employment without cause, he is entitled to receive severance in an amount equal to</w:t>
      </w:r>
    </w:p>
    <w:p>
      <w:pPr>
        <w:spacing w:after="0" w:line="143" w:lineRule="exact"/>
        <w:rPr>
          <w:sz w:val="20"/>
          <w:szCs w:val="20"/>
          <w:color w:val="auto"/>
        </w:rPr>
      </w:pPr>
    </w:p>
    <w:p>
      <w:pPr>
        <w:ind w:left="1440" w:hanging="727"/>
        <w:spacing w:after="0"/>
        <w:tabs>
          <w:tab w:leader="none" w:pos="14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50" w:lineRule="exact"/>
        <w:rPr>
          <w:rFonts w:ascii="Arial" w:cs="Arial" w:eastAsia="Arial" w:hAnsi="Arial"/>
          <w:sz w:val="12"/>
          <w:szCs w:val="12"/>
          <w:color w:val="auto"/>
        </w:rPr>
      </w:pPr>
    </w:p>
    <w:p>
      <w:pPr>
        <w:ind w:left="1440" w:hanging="727"/>
        <w:spacing w:after="0"/>
        <w:tabs>
          <w:tab w:leader="none" w:pos="14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 pro-rated portion of the incentive bonus that the board of directors determines in good faith that Dr. Snodgrass earned prior to his termination; and</w:t>
      </w:r>
    </w:p>
    <w:p>
      <w:pPr>
        <w:spacing w:after="0" w:line="150" w:lineRule="exact"/>
        <w:rPr>
          <w:rFonts w:ascii="Arial" w:cs="Arial" w:eastAsia="Arial" w:hAnsi="Arial"/>
          <w:sz w:val="12"/>
          <w:szCs w:val="12"/>
          <w:color w:val="auto"/>
        </w:rPr>
      </w:pPr>
    </w:p>
    <w:p>
      <w:pPr>
        <w:ind w:left="1440" w:hanging="727"/>
        <w:spacing w:after="0"/>
        <w:tabs>
          <w:tab w:leader="none" w:pos="14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such amounts required to reimburse him for COBRA payments for continuation of his medical health benefits for such twelve-month period.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6" w:name="page137"/>
    <w:bookmarkEnd w:id="13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In addition, in the event Dr. Snodgrass terminates his employment with good reason, he is entitled to twelve months of his then-current base salary payable in the form of salary continuation.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of Control Provisions</w:t>
      </w:r>
    </w:p>
    <w:p>
      <w:pPr>
        <w:spacing w:after="0" w:line="150" w:lineRule="exact"/>
        <w:rPr>
          <w:sz w:val="20"/>
          <w:szCs w:val="20"/>
          <w:color w:val="auto"/>
        </w:rPr>
      </w:pPr>
    </w:p>
    <w:p>
      <w:pPr>
        <w:spacing w:after="0" w:line="380" w:lineRule="auto"/>
        <w:rPr>
          <w:sz w:val="20"/>
          <w:szCs w:val="20"/>
          <w:color w:val="auto"/>
        </w:rPr>
      </w:pPr>
      <w:r>
        <w:rPr>
          <w:rFonts w:ascii="Arial" w:cs="Arial" w:eastAsia="Arial" w:hAnsi="Arial"/>
          <w:sz w:val="10"/>
          <w:szCs w:val="10"/>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68" w:lineRule="exact"/>
        <w:rPr>
          <w:sz w:val="20"/>
          <w:szCs w:val="20"/>
          <w:color w:val="auto"/>
        </w:rPr>
      </w:pPr>
    </w:p>
    <w:p>
      <w:pPr>
        <w:ind w:left="1460" w:hanging="738"/>
        <w:spacing w:after="0"/>
        <w:tabs>
          <w:tab w:leader="none" w:pos="1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 material reduction in the executive’s responsibility; or</w:t>
      </w:r>
    </w:p>
    <w:p>
      <w:pPr>
        <w:spacing w:after="0" w:line="168" w:lineRule="exact"/>
        <w:rPr>
          <w:rFonts w:ascii="Arial" w:cs="Arial" w:eastAsia="Arial" w:hAnsi="Arial"/>
          <w:sz w:val="12"/>
          <w:szCs w:val="12"/>
          <w:color w:val="auto"/>
        </w:rPr>
      </w:pPr>
    </w:p>
    <w:p>
      <w:pPr>
        <w:ind w:left="1460" w:hanging="738"/>
        <w:spacing w:after="0"/>
        <w:tabs>
          <w:tab w:leader="none" w:pos="14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a material reduction in the executive’s base salary following the Merger except for reductions that are comparable to reductions generally applicable to similarly situated executives of VistaGen.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become fully vested and exercisable.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 COMPENSATION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We did not pay our independent directors cash compensation during our fiscal year ended March 31, 2014.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2">
              <w:r>
                <w:rPr>
                  <w:rFonts w:ascii="Arial" w:cs="Arial" w:eastAsia="Arial" w:hAnsi="Arial"/>
                  <w:sz w:val="11"/>
                  <w:szCs w:val="11"/>
                  <w:i w:val="1"/>
                  <w:iCs w:val="1"/>
                  <w:color w:val="0000EE"/>
                  <w:w w:val="85"/>
                </w:rPr>
                <w:t>Table of Contents</w:t>
              </w:r>
            </w:hyperlink>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900" w:type="dxa"/>
            <w:vAlign w:val="bottom"/>
            <w:gridSpan w:val="7"/>
          </w:tcPr>
          <w:p>
            <w:pPr>
              <w:spacing w:after="0"/>
              <w:rPr>
                <w:sz w:val="20"/>
                <w:szCs w:val="20"/>
                <w:color w:val="auto"/>
              </w:rPr>
            </w:pPr>
            <w:r>
              <w:rPr>
                <w:rFonts w:ascii="Arial" w:cs="Arial" w:eastAsia="Arial" w:hAnsi="Arial"/>
                <w:sz w:val="12"/>
                <w:szCs w:val="12"/>
                <w:color w:val="auto"/>
                <w:w w:val="91"/>
              </w:rPr>
              <w:t>The following table sets forth a summary of the compensation earned by our non-employee directors in our fiscal year ended March 31, 2014.</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ind w:left="320"/>
              <w:spacing w:after="0"/>
              <w:rPr>
                <w:sz w:val="20"/>
                <w:szCs w:val="20"/>
                <w:color w:val="auto"/>
              </w:rPr>
            </w:pPr>
            <w:r>
              <w:rPr>
                <w:rFonts w:ascii="Arial" w:cs="Arial" w:eastAsia="Arial" w:hAnsi="Arial"/>
                <w:sz w:val="12"/>
                <w:szCs w:val="12"/>
                <w:b w:val="1"/>
                <w:bCs w:val="1"/>
                <w:color w:val="auto"/>
              </w:rPr>
              <w:t>Fees Earned or</w:t>
            </w:r>
          </w:p>
        </w:tc>
        <w:tc>
          <w:tcPr>
            <w:tcW w:w="1400" w:type="dxa"/>
            <w:vAlign w:val="bottom"/>
          </w:tcPr>
          <w:p>
            <w:pPr>
              <w:jc w:val="right"/>
              <w:ind w:right="200"/>
              <w:spacing w:after="0"/>
              <w:rPr>
                <w:sz w:val="20"/>
                <w:szCs w:val="20"/>
                <w:color w:val="auto"/>
              </w:rPr>
            </w:pPr>
            <w:r>
              <w:rPr>
                <w:rFonts w:ascii="Arial" w:cs="Arial" w:eastAsia="Arial" w:hAnsi="Arial"/>
                <w:sz w:val="12"/>
                <w:szCs w:val="12"/>
                <w:b w:val="1"/>
                <w:bCs w:val="1"/>
                <w:color w:val="auto"/>
                <w:w w:val="99"/>
              </w:rPr>
              <w:t>Option and Warrant</w:t>
            </w:r>
          </w:p>
        </w:tc>
        <w:tc>
          <w:tcPr>
            <w:tcW w:w="120" w:type="dxa"/>
            <w:vAlign w:val="bottom"/>
          </w:tcPr>
          <w:p>
            <w:pPr>
              <w:spacing w:after="0"/>
              <w:rPr>
                <w:sz w:val="24"/>
                <w:szCs w:val="24"/>
                <w:color w:val="auto"/>
              </w:rPr>
            </w:pPr>
          </w:p>
        </w:tc>
        <w:tc>
          <w:tcPr>
            <w:tcW w:w="1480" w:type="dxa"/>
            <w:vAlign w:val="bottom"/>
          </w:tcPr>
          <w:p>
            <w:pPr>
              <w:jc w:val="right"/>
              <w:ind w:right="56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ind w:left="340"/>
              <w:spacing w:after="0" w:line="144" w:lineRule="exact"/>
              <w:rPr>
                <w:sz w:val="20"/>
                <w:szCs w:val="20"/>
                <w:color w:val="auto"/>
              </w:rPr>
            </w:pPr>
            <w:r>
              <w:rPr>
                <w:rFonts w:ascii="Arial" w:cs="Arial" w:eastAsia="Arial" w:hAnsi="Arial"/>
                <w:sz w:val="12"/>
                <w:szCs w:val="12"/>
                <w:b w:val="1"/>
                <w:bCs w:val="1"/>
                <w:color w:val="auto"/>
              </w:rPr>
              <w:t xml:space="preserve">Paid in Cash </w:t>
            </w:r>
            <w:r>
              <w:rPr>
                <w:rFonts w:ascii="Arial" w:cs="Arial" w:eastAsia="Arial" w:hAnsi="Arial"/>
                <w:sz w:val="16"/>
                <w:szCs w:val="16"/>
                <w:b w:val="1"/>
                <w:bCs w:val="1"/>
                <w:color w:val="auto"/>
                <w:vertAlign w:val="superscript"/>
              </w:rPr>
              <w:t>(1)</w:t>
            </w:r>
          </w:p>
        </w:tc>
        <w:tc>
          <w:tcPr>
            <w:tcW w:w="1400" w:type="dxa"/>
            <w:vAlign w:val="bottom"/>
          </w:tcPr>
          <w:p>
            <w:pPr>
              <w:jc w:val="right"/>
              <w:ind w:right="440"/>
              <w:spacing w:after="0" w:line="144"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6"/>
                <w:szCs w:val="16"/>
                <w:b w:val="1"/>
                <w:bCs w:val="1"/>
                <w:color w:val="auto"/>
                <w:vertAlign w:val="superscript"/>
              </w:rPr>
              <w:t>(2)</w:t>
            </w:r>
          </w:p>
        </w:tc>
        <w:tc>
          <w:tcPr>
            <w:tcW w:w="120" w:type="dxa"/>
            <w:vAlign w:val="bottom"/>
          </w:tcPr>
          <w:p>
            <w:pPr>
              <w:spacing w:after="0"/>
              <w:rPr>
                <w:sz w:val="12"/>
                <w:szCs w:val="12"/>
                <w:color w:val="auto"/>
              </w:rPr>
            </w:pPr>
          </w:p>
        </w:tc>
        <w:tc>
          <w:tcPr>
            <w:tcW w:w="1480" w:type="dxa"/>
            <w:vAlign w:val="bottom"/>
          </w:tcPr>
          <w:p>
            <w:pPr>
              <w:jc w:val="right"/>
              <w:ind w:right="340"/>
              <w:spacing w:after="0"/>
              <w:rPr>
                <w:sz w:val="20"/>
                <w:szCs w:val="20"/>
                <w:color w:val="auto"/>
              </w:rPr>
            </w:pPr>
            <w:r>
              <w:rPr>
                <w:rFonts w:ascii="Arial" w:cs="Arial" w:eastAsia="Arial" w:hAnsi="Arial"/>
                <w:sz w:val="12"/>
                <w:szCs w:val="12"/>
                <w:b w:val="1"/>
                <w:bCs w:val="1"/>
                <w:color w:val="auto"/>
              </w:rPr>
              <w:t>Compensation</w:t>
            </w:r>
          </w:p>
        </w:tc>
        <w:tc>
          <w:tcPr>
            <w:tcW w:w="100" w:type="dxa"/>
            <w:vAlign w:val="bottom"/>
          </w:tcPr>
          <w:p>
            <w:pPr>
              <w:spacing w:after="0"/>
              <w:rPr>
                <w:sz w:val="12"/>
                <w:szCs w:val="12"/>
                <w:color w:val="auto"/>
              </w:rPr>
            </w:pPr>
          </w:p>
        </w:tc>
        <w:tc>
          <w:tcPr>
            <w:tcW w:w="1480" w:type="dxa"/>
            <w:vAlign w:val="bottom"/>
          </w:tcPr>
          <w:p>
            <w:pPr>
              <w:jc w:val="right"/>
              <w:ind w:right="5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50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62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ind w:right="64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04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perscript"/>
              </w:rPr>
              <w:t>(3)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4" w:lineRule="exact"/>
              <w:rPr>
                <w:sz w:val="20"/>
                <w:szCs w:val="20"/>
                <w:color w:val="auto"/>
              </w:rPr>
            </w:pPr>
            <w:r>
              <w:rPr>
                <w:rFonts w:ascii="Arial" w:cs="Arial" w:eastAsia="Arial" w:hAnsi="Arial"/>
                <w:sz w:val="12"/>
                <w:szCs w:val="12"/>
                <w:color w:val="auto"/>
              </w:rPr>
              <w:t xml:space="preserve">40,683 </w:t>
            </w:r>
            <w:r>
              <w:rPr>
                <w:rFonts w:ascii="Arial" w:cs="Arial" w:eastAsia="Arial" w:hAnsi="Arial"/>
                <w:sz w:val="16"/>
                <w:szCs w:val="16"/>
                <w:color w:val="auto"/>
                <w:vertAlign w:val="superscript"/>
              </w:rPr>
              <w:t>(5)</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54,683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2"/>
                <w:szCs w:val="12"/>
                <w:color w:val="auto"/>
              </w:rPr>
              <w:t>Brian J. Underdown, Ph.D</w:t>
            </w:r>
            <w:r>
              <w:rPr>
                <w:rFonts w:ascii="Arial" w:cs="Arial" w:eastAsia="Arial" w:hAnsi="Arial"/>
                <w:sz w:val="16"/>
                <w:szCs w:val="16"/>
                <w:color w:val="auto"/>
                <w:vertAlign w:val="superscript"/>
              </w:rPr>
              <w:t>. (4)</w:t>
            </w:r>
          </w:p>
        </w:tc>
        <w:tc>
          <w:tcPr>
            <w:tcW w:w="1620" w:type="dxa"/>
            <w:vAlign w:val="bottom"/>
            <w:gridSpan w:val="2"/>
          </w:tcPr>
          <w:p>
            <w:pPr>
              <w:jc w:val="right"/>
              <w:ind w:right="80"/>
              <w:spacing w:after="0"/>
              <w:rPr>
                <w:sz w:val="20"/>
                <w:szCs w:val="20"/>
                <w:color w:val="auto"/>
              </w:rPr>
            </w:pPr>
            <w:r>
              <w:rPr>
                <w:rFonts w:ascii="Arial" w:cs="Arial" w:eastAsia="Arial" w:hAnsi="Arial"/>
                <w:sz w:val="12"/>
                <w:szCs w:val="12"/>
                <w:color w:val="auto"/>
              </w:rPr>
              <w:t>12,000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 xml:space="preserve">32,267 </w:t>
            </w:r>
            <w:r>
              <w:rPr>
                <w:rFonts w:ascii="Arial" w:cs="Arial" w:eastAsia="Arial" w:hAnsi="Arial"/>
                <w:sz w:val="16"/>
                <w:szCs w:val="16"/>
                <w:color w:val="auto"/>
                <w:vertAlign w:val="superscript"/>
              </w:rPr>
              <w:t>(5)</w:t>
            </w:r>
          </w:p>
        </w:tc>
        <w:tc>
          <w:tcPr>
            <w:tcW w:w="1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2"/>
                <w:szCs w:val="12"/>
                <w:color w:val="auto"/>
              </w:rPr>
              <w:t>44,267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60" w:hanging="285"/>
        <w:spacing w:after="0"/>
        <w:tabs>
          <w:tab w:leader="none" w:pos="5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amounts shown represent fees earned for service on our Board of Directors and Audit Committee during the fiscal year which we have accrued but have not paid to the director at March 31, 2014.</w:t>
      </w:r>
    </w:p>
    <w:p>
      <w:pPr>
        <w:spacing w:after="0" w:line="150" w:lineRule="exact"/>
        <w:rPr>
          <w:rFonts w:ascii="Arial" w:cs="Arial" w:eastAsia="Arial" w:hAnsi="Arial"/>
          <w:sz w:val="12"/>
          <w:szCs w:val="12"/>
          <w:color w:val="auto"/>
        </w:rPr>
      </w:pPr>
    </w:p>
    <w:p>
      <w:pPr>
        <w:jc w:val="both"/>
        <w:ind w:left="560" w:right="20" w:hanging="285"/>
        <w:spacing w:after="0" w:line="286" w:lineRule="auto"/>
        <w:tabs>
          <w:tab w:leader="none" w:pos="5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amounts in this column represent the aggregate grant date fair value of warrants to purchase restricted shares of our common stock awarded to Mr. Saxe and Dr. Underdown or the effect of modifications to prior grants of options or warrants occurring during the fiscal year ended March 31, 2014,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xml:space="preserve">”). The amounts in this column do </w:t>
      </w:r>
      <w:r>
        <w:rPr>
          <w:rFonts w:ascii="Arial" w:cs="Arial" w:eastAsia="Arial" w:hAnsi="Arial"/>
          <w:sz w:val="11"/>
          <w:szCs w:val="11"/>
          <w:b w:val="1"/>
          <w:bCs w:val="1"/>
          <w:color w:val="auto"/>
        </w:rPr>
        <w:t>not</w:t>
      </w:r>
      <w:r>
        <w:rPr>
          <w:rFonts w:ascii="Arial" w:cs="Arial" w:eastAsia="Arial" w:hAnsi="Arial"/>
          <w:sz w:val="11"/>
          <w:szCs w:val="11"/>
          <w:color w:val="auto"/>
        </w:rPr>
        <w:t xml:space="preserve"> represent any cash payment actually received by Mr. Saxe or Dr. Underdown with respect to any of such options or warrants to purchase restricted shares of our common stock awarded to them or modified during the fiscal year ended March 31, 2014. To date, Mr. Saxe and Dr. Underdown have not exercised such options or warrants to purchase common stock, and there can be no assurance that either of them will ever realize any of the ASC 718 grant date fair value amounts presented in the Option and Warrant Awards column.</w:t>
      </w:r>
    </w:p>
    <w:p>
      <w:pPr>
        <w:spacing w:after="0" w:line="111" w:lineRule="exact"/>
        <w:rPr>
          <w:rFonts w:ascii="Arial" w:cs="Arial" w:eastAsia="Arial" w:hAnsi="Arial"/>
          <w:sz w:val="11"/>
          <w:szCs w:val="11"/>
          <w:color w:val="auto"/>
        </w:rPr>
      </w:pPr>
    </w:p>
    <w:p>
      <w:pPr>
        <w:jc w:val="both"/>
        <w:ind w:left="560" w:right="20" w:hanging="285"/>
        <w:spacing w:after="0" w:line="263" w:lineRule="auto"/>
        <w:tabs>
          <w:tab w:leader="none" w:pos="5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Mr. Saxe has served as the Chairman of our Board of Directors and the Chairman of our Audit Committee throughout our fiscal year ended March 31, 2014. At March 31, 2014, Mr. Saxe holds: (i) 37,492 restricted shares of our common stock; (ii) options to purchase 264,750 restricted shares of our common stock, of which options to purchase 251,208 restricted shares are vested; and (iii) warrants to purchase 265,000 restricted shares of our common stock, of which 125,000 are exercisable.</w:t>
      </w:r>
    </w:p>
    <w:p>
      <w:pPr>
        <w:spacing w:after="0" w:line="122" w:lineRule="exact"/>
        <w:rPr>
          <w:rFonts w:ascii="Arial" w:cs="Arial" w:eastAsia="Arial" w:hAnsi="Arial"/>
          <w:sz w:val="12"/>
          <w:szCs w:val="12"/>
          <w:color w:val="auto"/>
        </w:rPr>
      </w:pPr>
    </w:p>
    <w:p>
      <w:pPr>
        <w:ind w:left="560" w:right="20" w:hanging="285"/>
        <w:spacing w:after="0" w:line="380" w:lineRule="auto"/>
        <w:tabs>
          <w:tab w:leader="none" w:pos="560" w:val="left"/>
        </w:tabs>
        <w:numPr>
          <w:ilvl w:val="0"/>
          <w:numId w:val="61"/>
        </w:numPr>
        <w:rPr>
          <w:rFonts w:ascii="Arial" w:cs="Arial" w:eastAsia="Arial" w:hAnsi="Arial"/>
          <w:sz w:val="10"/>
          <w:szCs w:val="10"/>
          <w:color w:val="auto"/>
        </w:rPr>
      </w:pPr>
      <w:r>
        <w:rPr>
          <w:rFonts w:ascii="Arial" w:cs="Arial" w:eastAsia="Arial" w:hAnsi="Arial"/>
          <w:sz w:val="10"/>
          <w:szCs w:val="10"/>
          <w:color w:val="auto"/>
        </w:rPr>
        <w:t>Dr. Underdown has served as a member of our Board of Directors and a member of our Audit Committee throughout our fiscal year ended March 31, 2014. At March 31, 2014, Dr. Underdown holds: (i) options to purchase 185,000 restricted shares of our common stock, of which options to purchase 171,458 restricted shares are vested; and (ii) warrants to purchase 250,000 restricted shares of our common stock, of which 125,000 are exercisable.</w:t>
      </w:r>
    </w:p>
    <w:p>
      <w:pPr>
        <w:spacing w:after="0" w:line="68" w:lineRule="exact"/>
        <w:rPr>
          <w:rFonts w:ascii="Arial" w:cs="Arial" w:eastAsia="Arial" w:hAnsi="Arial"/>
          <w:sz w:val="10"/>
          <w:szCs w:val="10"/>
          <w:color w:val="auto"/>
        </w:rPr>
      </w:pPr>
    </w:p>
    <w:p>
      <w:pPr>
        <w:ind w:left="560" w:right="20" w:hanging="285"/>
        <w:spacing w:after="0" w:line="276" w:lineRule="auto"/>
        <w:tabs>
          <w:tab w:leader="none" w:pos="5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warrant awards and option and warrant modifications we granted to Mr. Saxe and Dr. Underdown during fiscal 2014 and the assumptions used in the Black Scholes Option Pricing Model to determine the grant date fair values of the respective awards and modifications.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800" w:type="dxa"/>
            <w:vAlign w:val="bottom"/>
          </w:tcPr>
          <w:p>
            <w:pPr>
              <w:jc w:val="center"/>
              <w:ind w:left="307"/>
              <w:spacing w:after="0"/>
              <w:rPr>
                <w:sz w:val="20"/>
                <w:szCs w:val="20"/>
                <w:color w:val="auto"/>
              </w:rPr>
            </w:pPr>
            <w:r>
              <w:rPr>
                <w:rFonts w:ascii="Arial" w:cs="Arial" w:eastAsia="Arial" w:hAnsi="Arial"/>
                <w:sz w:val="10"/>
                <w:szCs w:val="10"/>
                <w:color w:val="auto"/>
                <w:w w:val="84"/>
              </w:rPr>
              <w:t>Warrant</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99"/>
        </w:trPr>
        <w:tc>
          <w:tcPr>
            <w:tcW w:w="2640" w:type="dxa"/>
            <w:vAlign w:val="bottom"/>
          </w:tcPr>
          <w:p>
            <w:pPr>
              <w:spacing w:after="0"/>
              <w:rPr>
                <w:sz w:val="8"/>
                <w:szCs w:val="8"/>
                <w:color w:val="auto"/>
              </w:rPr>
            </w:pPr>
          </w:p>
        </w:tc>
        <w:tc>
          <w:tcPr>
            <w:tcW w:w="800" w:type="dxa"/>
            <w:vAlign w:val="bottom"/>
          </w:tcPr>
          <w:p>
            <w:pPr>
              <w:jc w:val="center"/>
              <w:ind w:left="307"/>
              <w:spacing w:after="0" w:line="99" w:lineRule="exact"/>
              <w:rPr>
                <w:sz w:val="20"/>
                <w:szCs w:val="20"/>
                <w:color w:val="auto"/>
              </w:rPr>
            </w:pPr>
            <w:r>
              <w:rPr>
                <w:rFonts w:ascii="Arial" w:cs="Arial" w:eastAsia="Arial" w:hAnsi="Arial"/>
                <w:sz w:val="10"/>
                <w:szCs w:val="10"/>
                <w:color w:val="auto"/>
                <w:w w:val="87"/>
              </w:rPr>
              <w:t>Grant</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3"/>
          </w:tcPr>
          <w:p>
            <w:pPr>
              <w:jc w:val="right"/>
              <w:ind w:right="76"/>
              <w:spacing w:after="0" w:line="99" w:lineRule="exact"/>
              <w:rPr>
                <w:sz w:val="20"/>
                <w:szCs w:val="20"/>
                <w:color w:val="auto"/>
              </w:rPr>
            </w:pPr>
            <w:r>
              <w:rPr>
                <w:rFonts w:ascii="Arial" w:cs="Arial" w:eastAsia="Arial" w:hAnsi="Arial"/>
                <w:sz w:val="10"/>
                <w:szCs w:val="10"/>
                <w:color w:val="auto"/>
              </w:rPr>
              <w:t>Option Modification</w:t>
            </w: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gridSpan w:val="4"/>
          </w:tcPr>
          <w:p>
            <w:pPr>
              <w:jc w:val="right"/>
              <w:ind w:right="120"/>
              <w:spacing w:after="0" w:line="99" w:lineRule="exact"/>
              <w:rPr>
                <w:sz w:val="20"/>
                <w:szCs w:val="20"/>
                <w:color w:val="auto"/>
              </w:rPr>
            </w:pPr>
            <w:r>
              <w:rPr>
                <w:rFonts w:ascii="Arial" w:cs="Arial" w:eastAsia="Arial" w:hAnsi="Arial"/>
                <w:sz w:val="10"/>
                <w:szCs w:val="10"/>
                <w:color w:val="auto"/>
              </w:rPr>
              <w:t>Warrant Modification</w:t>
            </w: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2"/>
        </w:trPr>
        <w:tc>
          <w:tcPr>
            <w:tcW w:w="2640" w:type="dxa"/>
            <w:vAlign w:val="bottom"/>
          </w:tcPr>
          <w:p>
            <w:pPr>
              <w:spacing w:after="0"/>
              <w:rPr>
                <w:sz w:val="9"/>
                <w:szCs w:val="9"/>
                <w:color w:val="auto"/>
              </w:rPr>
            </w:pPr>
          </w:p>
        </w:tc>
        <w:tc>
          <w:tcPr>
            <w:tcW w:w="800" w:type="dxa"/>
            <w:vAlign w:val="bottom"/>
          </w:tcPr>
          <w:p>
            <w:pPr>
              <w:jc w:val="center"/>
              <w:ind w:left="327"/>
              <w:spacing w:after="0" w:line="112" w:lineRule="exact"/>
              <w:rPr>
                <w:sz w:val="20"/>
                <w:szCs w:val="20"/>
                <w:color w:val="auto"/>
              </w:rPr>
            </w:pPr>
            <w:r>
              <w:rPr>
                <w:rFonts w:ascii="Arial" w:cs="Arial" w:eastAsia="Arial" w:hAnsi="Arial"/>
                <w:sz w:val="10"/>
                <w:szCs w:val="10"/>
                <w:color w:val="auto"/>
                <w:w w:val="89"/>
              </w:rPr>
              <w:t>3/19/2014</w:t>
            </w: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3"/>
          </w:tcPr>
          <w:p>
            <w:pPr>
              <w:jc w:val="right"/>
              <w:ind w:right="256"/>
              <w:spacing w:after="0" w:line="112" w:lineRule="exact"/>
              <w:rPr>
                <w:sz w:val="20"/>
                <w:szCs w:val="20"/>
                <w:color w:val="auto"/>
              </w:rPr>
            </w:pPr>
            <w:r>
              <w:rPr>
                <w:rFonts w:ascii="Arial" w:cs="Arial" w:eastAsia="Arial" w:hAnsi="Arial"/>
                <w:sz w:val="10"/>
                <w:szCs w:val="10"/>
                <w:color w:val="auto"/>
              </w:rPr>
              <w:t>12/20/2013</w:t>
            </w: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4"/>
          </w:tcPr>
          <w:p>
            <w:pPr>
              <w:jc w:val="right"/>
              <w:ind w:right="320"/>
              <w:spacing w:after="0" w:line="112" w:lineRule="exact"/>
              <w:rPr>
                <w:sz w:val="20"/>
                <w:szCs w:val="20"/>
                <w:color w:val="auto"/>
              </w:rPr>
            </w:pPr>
            <w:r>
              <w:rPr>
                <w:rFonts w:ascii="Arial" w:cs="Arial" w:eastAsia="Arial" w:hAnsi="Arial"/>
                <w:sz w:val="10"/>
                <w:szCs w:val="10"/>
                <w:color w:val="auto"/>
              </w:rPr>
              <w:t>12/20/2013</w:t>
            </w: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tcPr>
          <w:p>
            <w:pPr>
              <w:jc w:val="right"/>
              <w:ind w:right="280"/>
              <w:spacing w:after="0" w:line="112" w:lineRule="exact"/>
              <w:rPr>
                <w:sz w:val="20"/>
                <w:szCs w:val="20"/>
                <w:color w:val="auto"/>
              </w:rPr>
            </w:pPr>
            <w:r>
              <w:rPr>
                <w:rFonts w:ascii="Arial" w:cs="Arial" w:eastAsia="Arial" w:hAnsi="Arial"/>
                <w:sz w:val="10"/>
                <w:szCs w:val="10"/>
                <w:color w:val="auto"/>
              </w:rPr>
              <w:t>Total</w:t>
            </w:r>
          </w:p>
        </w:tc>
      </w:tr>
      <w:tr>
        <w:trPr>
          <w:trHeight w:val="97"/>
        </w:trPr>
        <w:tc>
          <w:tcPr>
            <w:tcW w:w="26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Saxe</w:t>
            </w:r>
          </w:p>
        </w:tc>
        <w:tc>
          <w:tcPr>
            <w:tcW w:w="800" w:type="dxa"/>
            <w:vAlign w:val="bottom"/>
            <w:shd w:val="clear" w:color="auto" w:fill="CCEEFF"/>
          </w:tcPr>
          <w:p>
            <w:pPr>
              <w:jc w:val="right"/>
              <w:ind w:right="72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18,928</w:t>
            </w: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jc w:val="right"/>
              <w:ind w:right="256"/>
              <w:spacing w:after="0"/>
              <w:rPr>
                <w:sz w:val="20"/>
                <w:szCs w:val="20"/>
                <w:color w:val="auto"/>
              </w:rPr>
            </w:pPr>
            <w:r>
              <w:rPr>
                <w:rFonts w:ascii="Arial" w:cs="Arial" w:eastAsia="Arial" w:hAnsi="Arial"/>
                <w:sz w:val="5"/>
                <w:szCs w:val="5"/>
                <w:color w:val="auto"/>
                <w:w w:val="70"/>
              </w:rPr>
              <w:t>$</w:t>
            </w:r>
          </w:p>
        </w:tc>
        <w:tc>
          <w:tcPr>
            <w:tcW w:w="150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15,291</w:t>
            </w: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110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6,464</w:t>
            </w:r>
          </w:p>
        </w:tc>
        <w:tc>
          <w:tcPr>
            <w:tcW w:w="140" w:type="dxa"/>
            <w:vAlign w:val="bottom"/>
            <w:shd w:val="clear" w:color="auto" w:fill="CCEEFF"/>
          </w:tcPr>
          <w:p>
            <w:pPr>
              <w:jc w:val="right"/>
              <w:ind w:right="32"/>
              <w:spacing w:after="0" w:line="99"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40,683</w:t>
            </w:r>
          </w:p>
        </w:tc>
      </w:tr>
      <w:tr>
        <w:trPr>
          <w:trHeight w:val="99"/>
        </w:trPr>
        <w:tc>
          <w:tcPr>
            <w:tcW w:w="2640" w:type="dxa"/>
            <w:vAlign w:val="bottom"/>
          </w:tcPr>
          <w:p>
            <w:pPr>
              <w:spacing w:after="0" w:line="99" w:lineRule="exact"/>
              <w:rPr>
                <w:sz w:val="20"/>
                <w:szCs w:val="20"/>
                <w:color w:val="auto"/>
              </w:rPr>
            </w:pPr>
            <w:r>
              <w:rPr>
                <w:rFonts w:ascii="Arial" w:cs="Arial" w:eastAsia="Arial" w:hAnsi="Arial"/>
                <w:sz w:val="10"/>
                <w:szCs w:val="10"/>
                <w:color w:val="auto"/>
              </w:rPr>
              <w:t>Underdown</w:t>
            </w: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14,560</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11,243</w:t>
            </w: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6,464</w:t>
            </w: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color w:val="auto"/>
              </w:rPr>
              <w:t>32,267</w:t>
            </w:r>
          </w:p>
        </w:tc>
        <w:tc>
          <w:tcPr>
            <w:tcW w:w="40" w:type="dxa"/>
            <w:vAlign w:val="bottom"/>
          </w:tcPr>
          <w:p>
            <w:pPr>
              <w:spacing w:after="0"/>
              <w:rPr>
                <w:sz w:val="8"/>
                <w:szCs w:val="8"/>
                <w:color w:val="auto"/>
              </w:rPr>
            </w:pPr>
          </w:p>
        </w:tc>
      </w:tr>
      <w:tr>
        <w:trPr>
          <w:trHeight w:val="137"/>
        </w:trPr>
        <w:tc>
          <w:tcPr>
            <w:tcW w:w="26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727"/>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33,488</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56"/>
              <w:spacing w:after="0"/>
              <w:rPr>
                <w:sz w:val="20"/>
                <w:szCs w:val="20"/>
                <w:color w:val="auto"/>
              </w:rPr>
            </w:pPr>
            <w:r>
              <w:rPr>
                <w:rFonts w:ascii="Arial" w:cs="Arial" w:eastAsia="Arial" w:hAnsi="Arial"/>
                <w:sz w:val="5"/>
                <w:szCs w:val="5"/>
                <w:color w:val="auto"/>
                <w:w w:val="70"/>
              </w:rPr>
              <w:t>$</w:t>
            </w:r>
          </w:p>
        </w:tc>
        <w:tc>
          <w:tcPr>
            <w:tcW w:w="118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26,534</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320"/>
              <w:spacing w:after="0" w:line="97" w:lineRule="exact"/>
              <w:rPr>
                <w:sz w:val="20"/>
                <w:szCs w:val="20"/>
                <w:color w:val="auto"/>
              </w:rPr>
            </w:pPr>
            <w:r>
              <w:rPr>
                <w:rFonts w:ascii="Arial" w:cs="Arial" w:eastAsia="Arial" w:hAnsi="Arial"/>
                <w:sz w:val="10"/>
                <w:szCs w:val="10"/>
                <w:color w:val="auto"/>
              </w:rPr>
              <w:t>$</w:t>
            </w:r>
          </w:p>
        </w:tc>
        <w:tc>
          <w:tcPr>
            <w:tcW w:w="1100" w:type="dxa"/>
            <w:vAlign w:val="bottom"/>
            <w:gridSpan w:val="2"/>
            <w:shd w:val="clear" w:color="auto" w:fill="CCEEFF"/>
          </w:tcPr>
          <w:p>
            <w:pPr>
              <w:jc w:val="right"/>
              <w:ind w:right="320"/>
              <w:spacing w:after="0" w:line="97" w:lineRule="exact"/>
              <w:rPr>
                <w:sz w:val="20"/>
                <w:szCs w:val="20"/>
                <w:color w:val="auto"/>
              </w:rPr>
            </w:pPr>
            <w:r>
              <w:rPr>
                <w:rFonts w:ascii="Arial" w:cs="Arial" w:eastAsia="Arial" w:hAnsi="Arial"/>
                <w:sz w:val="10"/>
                <w:szCs w:val="10"/>
                <w:color w:val="auto"/>
              </w:rPr>
              <w:t>12,928</w:t>
            </w:r>
          </w:p>
        </w:tc>
        <w:tc>
          <w:tcPr>
            <w:tcW w:w="140" w:type="dxa"/>
            <w:vAlign w:val="bottom"/>
            <w:shd w:val="clear" w:color="auto" w:fill="CCEEFF"/>
          </w:tcPr>
          <w:p>
            <w:pPr>
              <w:jc w:val="right"/>
              <w:ind w:right="32"/>
              <w:spacing w:after="0" w:line="97"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72,950</w:t>
            </w:r>
          </w:p>
        </w:tc>
      </w:tr>
      <w:tr>
        <w:trPr>
          <w:trHeight w:val="174"/>
        </w:trPr>
        <w:tc>
          <w:tcPr>
            <w:tcW w:w="264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gridSpan w:val="2"/>
          </w:tcPr>
          <w:p>
            <w:pPr>
              <w:jc w:val="right"/>
              <w:ind w:right="980"/>
              <w:spacing w:after="0"/>
              <w:rPr>
                <w:sz w:val="20"/>
                <w:szCs w:val="20"/>
                <w:color w:val="auto"/>
              </w:rPr>
            </w:pPr>
            <w:r>
              <w:rPr>
                <w:rFonts w:ascii="Arial" w:cs="Arial" w:eastAsia="Arial" w:hAnsi="Arial"/>
                <w:sz w:val="10"/>
                <w:szCs w:val="10"/>
                <w:color w:val="auto"/>
              </w:rPr>
              <w:t>Before</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292"/>
              <w:spacing w:after="0"/>
              <w:rPr>
                <w:sz w:val="20"/>
                <w:szCs w:val="20"/>
                <w:color w:val="auto"/>
              </w:rPr>
            </w:pPr>
            <w:r>
              <w:rPr>
                <w:rFonts w:ascii="Arial" w:cs="Arial" w:eastAsia="Arial" w:hAnsi="Arial"/>
                <w:sz w:val="10"/>
                <w:szCs w:val="10"/>
                <w:color w:val="auto"/>
                <w:w w:val="94"/>
              </w:rPr>
              <w:t>After</w:t>
            </w:r>
          </w:p>
        </w:tc>
        <w:tc>
          <w:tcPr>
            <w:tcW w:w="3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gridSpan w:val="2"/>
          </w:tcPr>
          <w:p>
            <w:pPr>
              <w:jc w:val="right"/>
              <w:ind w:right="640"/>
              <w:spacing w:after="0"/>
              <w:rPr>
                <w:sz w:val="20"/>
                <w:szCs w:val="20"/>
                <w:color w:val="auto"/>
              </w:rPr>
            </w:pPr>
            <w:r>
              <w:rPr>
                <w:rFonts w:ascii="Arial" w:cs="Arial" w:eastAsia="Arial" w:hAnsi="Arial"/>
                <w:sz w:val="10"/>
                <w:szCs w:val="10"/>
                <w:color w:val="auto"/>
              </w:rPr>
              <w:t>Before</w:t>
            </w:r>
          </w:p>
        </w:tc>
        <w:tc>
          <w:tcPr>
            <w:tcW w:w="14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432"/>
              <w:spacing w:after="0"/>
              <w:rPr>
                <w:sz w:val="20"/>
                <w:szCs w:val="20"/>
                <w:color w:val="auto"/>
              </w:rPr>
            </w:pPr>
            <w:r>
              <w:rPr>
                <w:rFonts w:ascii="Arial" w:cs="Arial" w:eastAsia="Arial" w:hAnsi="Arial"/>
                <w:sz w:val="10"/>
                <w:szCs w:val="10"/>
                <w:color w:val="auto"/>
              </w:rPr>
              <w:t>After</w:t>
            </w:r>
          </w:p>
        </w:tc>
        <w:tc>
          <w:tcPr>
            <w:tcW w:w="3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r>
        <w:trPr>
          <w:trHeight w:val="97"/>
        </w:trPr>
        <w:tc>
          <w:tcPr>
            <w:tcW w:w="2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Market price per share</w:t>
            </w:r>
          </w:p>
        </w:tc>
        <w:tc>
          <w:tcPr>
            <w:tcW w:w="800" w:type="dxa"/>
            <w:vAlign w:val="bottom"/>
            <w:shd w:val="clear" w:color="auto" w:fill="CCEEFF"/>
          </w:tcPr>
          <w:p>
            <w:pPr>
              <w:jc w:val="right"/>
              <w:ind w:right="72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0.46</w:t>
            </w:r>
          </w:p>
        </w:tc>
        <w:tc>
          <w:tcPr>
            <w:tcW w:w="48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10"/>
                <w:szCs w:val="10"/>
                <w:color w:val="auto"/>
              </w:rPr>
              <w:t>$</w:t>
            </w:r>
          </w:p>
        </w:tc>
        <w:tc>
          <w:tcPr>
            <w:tcW w:w="152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10"/>
                <w:szCs w:val="10"/>
                <w:color w:val="auto"/>
              </w:rPr>
              <w:t>0.40</w:t>
            </w:r>
          </w:p>
        </w:tc>
        <w:tc>
          <w:tcPr>
            <w:tcW w:w="320" w:type="dxa"/>
            <w:vAlign w:val="bottom"/>
            <w:shd w:val="clear" w:color="auto" w:fill="CCEEFF"/>
          </w:tcPr>
          <w:p>
            <w:pPr>
              <w:jc w:val="right"/>
              <w:ind w:right="256"/>
              <w:spacing w:after="0"/>
              <w:rPr>
                <w:sz w:val="20"/>
                <w:szCs w:val="20"/>
                <w:color w:val="auto"/>
              </w:rPr>
            </w:pPr>
            <w:r>
              <w:rPr>
                <w:rFonts w:ascii="Arial" w:cs="Arial" w:eastAsia="Arial" w:hAnsi="Arial"/>
                <w:sz w:val="5"/>
                <w:szCs w:val="5"/>
                <w:color w:val="auto"/>
                <w:w w:val="70"/>
              </w:rPr>
              <w:t>$</w:t>
            </w:r>
          </w:p>
        </w:tc>
        <w:tc>
          <w:tcPr>
            <w:tcW w:w="150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0.40</w:t>
            </w:r>
          </w:p>
        </w:tc>
        <w:tc>
          <w:tcPr>
            <w:tcW w:w="260" w:type="dxa"/>
            <w:vAlign w:val="bottom"/>
            <w:shd w:val="clear" w:color="auto" w:fill="CCEEFF"/>
          </w:tcPr>
          <w:p>
            <w:pPr>
              <w:jc w:val="right"/>
              <w:ind w:right="152"/>
              <w:spacing w:after="0" w:line="99" w:lineRule="exact"/>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0.40</w:t>
            </w:r>
          </w:p>
        </w:tc>
        <w:tc>
          <w:tcPr>
            <w:tcW w:w="50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110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0.40</w:t>
            </w: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9"/>
        </w:trPr>
        <w:tc>
          <w:tcPr>
            <w:tcW w:w="2640" w:type="dxa"/>
            <w:vAlign w:val="bottom"/>
          </w:tcPr>
          <w:p>
            <w:pPr>
              <w:spacing w:after="0" w:line="99" w:lineRule="exact"/>
              <w:rPr>
                <w:sz w:val="20"/>
                <w:szCs w:val="20"/>
                <w:color w:val="auto"/>
              </w:rPr>
            </w:pPr>
            <w:r>
              <w:rPr>
                <w:rFonts w:ascii="Arial" w:cs="Arial" w:eastAsia="Arial" w:hAnsi="Arial"/>
                <w:sz w:val="10"/>
                <w:szCs w:val="10"/>
                <w:color w:val="auto"/>
              </w:rPr>
              <w:t>Exercise price per share</w:t>
            </w:r>
          </w:p>
        </w:tc>
        <w:tc>
          <w:tcPr>
            <w:tcW w:w="800" w:type="dxa"/>
            <w:vAlign w:val="bottom"/>
          </w:tcPr>
          <w:p>
            <w:pPr>
              <w:jc w:val="right"/>
              <w:ind w:right="72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0.50</w:t>
            </w:r>
          </w:p>
        </w:tc>
        <w:tc>
          <w:tcPr>
            <w:tcW w:w="480" w:type="dxa"/>
            <w:vAlign w:val="bottom"/>
            <w:gridSpan w:val="2"/>
          </w:tcPr>
          <w:p>
            <w:pPr>
              <w:jc w:val="right"/>
              <w:ind w:right="280"/>
              <w:spacing w:after="0" w:line="99" w:lineRule="exact"/>
              <w:rPr>
                <w:sz w:val="20"/>
                <w:szCs w:val="20"/>
                <w:color w:val="auto"/>
              </w:rPr>
            </w:pPr>
            <w:r>
              <w:rPr>
                <w:rFonts w:ascii="Arial" w:cs="Arial" w:eastAsia="Arial" w:hAnsi="Arial"/>
                <w:sz w:val="10"/>
                <w:szCs w:val="10"/>
                <w:color w:val="auto"/>
              </w:rPr>
              <w:t>$</w:t>
            </w:r>
          </w:p>
        </w:tc>
        <w:tc>
          <w:tcPr>
            <w:tcW w:w="1520" w:type="dxa"/>
            <w:vAlign w:val="bottom"/>
            <w:gridSpan w:val="2"/>
          </w:tcPr>
          <w:p>
            <w:pPr>
              <w:jc w:val="right"/>
              <w:ind w:right="360"/>
              <w:spacing w:after="0" w:line="99" w:lineRule="exact"/>
              <w:rPr>
                <w:sz w:val="20"/>
                <w:szCs w:val="20"/>
                <w:color w:val="auto"/>
              </w:rPr>
            </w:pPr>
            <w:r>
              <w:rPr>
                <w:rFonts w:ascii="Arial" w:cs="Arial" w:eastAsia="Arial" w:hAnsi="Arial"/>
                <w:sz w:val="10"/>
                <w:szCs w:val="10"/>
                <w:color w:val="auto"/>
              </w:rPr>
              <w:t>1.13 to $2.10</w:t>
            </w:r>
          </w:p>
        </w:tc>
        <w:tc>
          <w:tcPr>
            <w:tcW w:w="320" w:type="dxa"/>
            <w:vAlign w:val="bottom"/>
          </w:tcPr>
          <w:p>
            <w:pPr>
              <w:jc w:val="right"/>
              <w:ind w:right="256"/>
              <w:spacing w:after="0"/>
              <w:rPr>
                <w:sz w:val="20"/>
                <w:szCs w:val="20"/>
                <w:color w:val="auto"/>
              </w:rPr>
            </w:pPr>
            <w:r>
              <w:rPr>
                <w:rFonts w:ascii="Arial" w:cs="Arial" w:eastAsia="Arial" w:hAnsi="Arial"/>
                <w:sz w:val="5"/>
                <w:szCs w:val="5"/>
                <w:color w:val="auto"/>
                <w:w w:val="70"/>
              </w:rPr>
              <w:t>$</w:t>
            </w:r>
          </w:p>
        </w:tc>
        <w:tc>
          <w:tcPr>
            <w:tcW w:w="150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0.50</w:t>
            </w:r>
          </w:p>
        </w:tc>
        <w:tc>
          <w:tcPr>
            <w:tcW w:w="260" w:type="dxa"/>
            <w:vAlign w:val="bottom"/>
          </w:tcPr>
          <w:p>
            <w:pPr>
              <w:jc w:val="right"/>
              <w:ind w:right="152"/>
              <w:spacing w:after="0" w:line="99" w:lineRule="exact"/>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3.00</w:t>
            </w:r>
          </w:p>
        </w:tc>
        <w:tc>
          <w:tcPr>
            <w:tcW w:w="50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110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0.50</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Risk-free interest rate</w:t>
            </w:r>
          </w:p>
        </w:tc>
        <w:tc>
          <w:tcPr>
            <w:tcW w:w="8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1.750%</w:t>
            </w: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10"/>
                <w:szCs w:val="10"/>
                <w:color w:val="auto"/>
              </w:rPr>
              <w:t>1.24% to 2.40%</w:t>
            </w:r>
          </w:p>
        </w:tc>
        <w:tc>
          <w:tcPr>
            <w:tcW w:w="320" w:type="dxa"/>
            <w:vAlign w:val="bottom"/>
            <w:shd w:val="clear" w:color="auto" w:fill="CCEEFF"/>
          </w:tcPr>
          <w:p>
            <w:pPr>
              <w:spacing w:after="0"/>
              <w:rPr>
                <w:sz w:val="8"/>
                <w:szCs w:val="8"/>
                <w:color w:val="auto"/>
              </w:rPr>
            </w:pPr>
          </w:p>
        </w:tc>
        <w:tc>
          <w:tcPr>
            <w:tcW w:w="1500" w:type="dxa"/>
            <w:vAlign w:val="bottom"/>
            <w:gridSpan w:val="2"/>
            <w:shd w:val="clear" w:color="auto" w:fill="CCEEFF"/>
          </w:tcPr>
          <w:p>
            <w:pPr>
              <w:jc w:val="center"/>
              <w:ind w:right="640"/>
              <w:spacing w:after="0" w:line="99" w:lineRule="exact"/>
              <w:rPr>
                <w:sz w:val="20"/>
                <w:szCs w:val="20"/>
                <w:color w:val="auto"/>
              </w:rPr>
            </w:pPr>
            <w:r>
              <w:rPr>
                <w:rFonts w:ascii="Arial" w:cs="Arial" w:eastAsia="Arial" w:hAnsi="Arial"/>
                <w:sz w:val="10"/>
                <w:szCs w:val="10"/>
                <w:color w:val="auto"/>
                <w:w w:val="87"/>
              </w:rPr>
              <w:t>1.24% to 2.40%</w:t>
            </w:r>
          </w:p>
        </w:tc>
        <w:tc>
          <w:tcPr>
            <w:tcW w:w="2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4.25%</w:t>
            </w: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240"/>
              <w:spacing w:after="0" w:line="99" w:lineRule="exact"/>
              <w:rPr>
                <w:sz w:val="20"/>
                <w:szCs w:val="20"/>
                <w:color w:val="auto"/>
              </w:rPr>
            </w:pPr>
            <w:r>
              <w:rPr>
                <w:rFonts w:ascii="Arial" w:cs="Arial" w:eastAsia="Arial" w:hAnsi="Arial"/>
                <w:sz w:val="10"/>
                <w:szCs w:val="10"/>
                <w:color w:val="auto"/>
              </w:rPr>
              <w:t>4.25%</w:t>
            </w: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9"/>
        </w:trPr>
        <w:tc>
          <w:tcPr>
            <w:tcW w:w="2640" w:type="dxa"/>
            <w:vAlign w:val="bottom"/>
          </w:tcPr>
          <w:p>
            <w:pPr>
              <w:spacing w:after="0" w:line="99" w:lineRule="exact"/>
              <w:rPr>
                <w:sz w:val="20"/>
                <w:szCs w:val="20"/>
                <w:color w:val="auto"/>
              </w:rPr>
            </w:pPr>
            <w:r>
              <w:rPr>
                <w:rFonts w:ascii="Arial" w:cs="Arial" w:eastAsia="Arial" w:hAnsi="Arial"/>
                <w:sz w:val="10"/>
                <w:szCs w:val="10"/>
                <w:color w:val="auto"/>
              </w:rPr>
              <w:t>Volatility</w:t>
            </w:r>
          </w:p>
        </w:tc>
        <w:tc>
          <w:tcPr>
            <w:tcW w:w="800" w:type="dxa"/>
            <w:vAlign w:val="bottom"/>
          </w:tcPr>
          <w:p>
            <w:pPr>
              <w:spacing w:after="0"/>
              <w:rPr>
                <w:sz w:val="8"/>
                <w:szCs w:val="8"/>
                <w:color w:val="auto"/>
              </w:rPr>
            </w:pPr>
          </w:p>
        </w:tc>
        <w:tc>
          <w:tcPr>
            <w:tcW w:w="5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80.57%</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gridSpan w:val="2"/>
          </w:tcPr>
          <w:p>
            <w:pPr>
              <w:jc w:val="right"/>
              <w:ind w:right="360"/>
              <w:spacing w:after="0" w:line="99" w:lineRule="exact"/>
              <w:rPr>
                <w:sz w:val="20"/>
                <w:szCs w:val="20"/>
                <w:color w:val="auto"/>
              </w:rPr>
            </w:pPr>
            <w:r>
              <w:rPr>
                <w:rFonts w:ascii="Arial" w:cs="Arial" w:eastAsia="Arial" w:hAnsi="Arial"/>
                <w:sz w:val="10"/>
                <w:szCs w:val="10"/>
                <w:color w:val="auto"/>
              </w:rPr>
              <w:t>78.9% to 97.62%</w:t>
            </w:r>
          </w:p>
        </w:tc>
        <w:tc>
          <w:tcPr>
            <w:tcW w:w="320" w:type="dxa"/>
            <w:vAlign w:val="bottom"/>
          </w:tcPr>
          <w:p>
            <w:pPr>
              <w:spacing w:after="0"/>
              <w:rPr>
                <w:sz w:val="8"/>
                <w:szCs w:val="8"/>
                <w:color w:val="auto"/>
              </w:rPr>
            </w:pPr>
          </w:p>
        </w:tc>
        <w:tc>
          <w:tcPr>
            <w:tcW w:w="1500" w:type="dxa"/>
            <w:vAlign w:val="bottom"/>
            <w:gridSpan w:val="2"/>
          </w:tcPr>
          <w:p>
            <w:pPr>
              <w:jc w:val="center"/>
              <w:ind w:right="640"/>
              <w:spacing w:after="0" w:line="99" w:lineRule="exact"/>
              <w:rPr>
                <w:sz w:val="20"/>
                <w:szCs w:val="20"/>
                <w:color w:val="auto"/>
              </w:rPr>
            </w:pPr>
            <w:r>
              <w:rPr>
                <w:rFonts w:ascii="Arial" w:cs="Arial" w:eastAsia="Arial" w:hAnsi="Arial"/>
                <w:sz w:val="10"/>
                <w:szCs w:val="10"/>
                <w:color w:val="auto"/>
                <w:w w:val="86"/>
              </w:rPr>
              <w:t>78.9% to 97.62%</w:t>
            </w:r>
          </w:p>
        </w:tc>
        <w:tc>
          <w:tcPr>
            <w:tcW w:w="260" w:type="dxa"/>
            <w:vAlign w:val="bottom"/>
          </w:tcPr>
          <w:p>
            <w:pPr>
              <w:spacing w:after="0"/>
              <w:rPr>
                <w:sz w:val="8"/>
                <w:szCs w:val="8"/>
                <w:color w:val="auto"/>
              </w:rPr>
            </w:pPr>
          </w:p>
        </w:tc>
        <w:tc>
          <w:tcPr>
            <w:tcW w:w="108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76.10%</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gridSpan w:val="2"/>
          </w:tcPr>
          <w:p>
            <w:pPr>
              <w:jc w:val="right"/>
              <w:ind w:right="240"/>
              <w:spacing w:after="0" w:line="99" w:lineRule="exact"/>
              <w:rPr>
                <w:sz w:val="20"/>
                <w:szCs w:val="20"/>
                <w:color w:val="auto"/>
              </w:rPr>
            </w:pPr>
            <w:r>
              <w:rPr>
                <w:rFonts w:ascii="Arial" w:cs="Arial" w:eastAsia="Arial" w:hAnsi="Arial"/>
                <w:sz w:val="10"/>
                <w:szCs w:val="10"/>
                <w:color w:val="auto"/>
              </w:rPr>
              <w:t>76.10%</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26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Expected term (years)</w:t>
            </w:r>
          </w:p>
        </w:tc>
        <w:tc>
          <w:tcPr>
            <w:tcW w:w="8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5.00</w:t>
            </w: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20" w:type="dxa"/>
            <w:vAlign w:val="bottom"/>
            <w:gridSpan w:val="2"/>
            <w:shd w:val="clear" w:color="auto" w:fill="CCEEFF"/>
          </w:tcPr>
          <w:p>
            <w:pPr>
              <w:jc w:val="right"/>
              <w:ind w:right="360"/>
              <w:spacing w:after="0" w:line="99" w:lineRule="exact"/>
              <w:rPr>
                <w:sz w:val="20"/>
                <w:szCs w:val="20"/>
                <w:color w:val="auto"/>
              </w:rPr>
            </w:pPr>
            <w:r>
              <w:rPr>
                <w:rFonts w:ascii="Arial" w:cs="Arial" w:eastAsia="Arial" w:hAnsi="Arial"/>
                <w:sz w:val="10"/>
                <w:szCs w:val="10"/>
                <w:color w:val="auto"/>
              </w:rPr>
              <w:t>4.08 to 7.35</w:t>
            </w:r>
          </w:p>
        </w:tc>
        <w:tc>
          <w:tcPr>
            <w:tcW w:w="320" w:type="dxa"/>
            <w:vAlign w:val="bottom"/>
            <w:shd w:val="clear" w:color="auto" w:fill="CCEEFF"/>
          </w:tcPr>
          <w:p>
            <w:pPr>
              <w:spacing w:after="0"/>
              <w:rPr>
                <w:sz w:val="8"/>
                <w:szCs w:val="8"/>
                <w:color w:val="auto"/>
              </w:rPr>
            </w:pPr>
          </w:p>
        </w:tc>
        <w:tc>
          <w:tcPr>
            <w:tcW w:w="1500" w:type="dxa"/>
            <w:vAlign w:val="bottom"/>
            <w:gridSpan w:val="2"/>
            <w:shd w:val="clear" w:color="auto" w:fill="CCEEFF"/>
          </w:tcPr>
          <w:p>
            <w:pPr>
              <w:jc w:val="center"/>
              <w:ind w:right="640"/>
              <w:spacing w:after="0" w:line="99" w:lineRule="exact"/>
              <w:rPr>
                <w:sz w:val="20"/>
                <w:szCs w:val="20"/>
                <w:color w:val="auto"/>
              </w:rPr>
            </w:pPr>
            <w:r>
              <w:rPr>
                <w:rFonts w:ascii="Arial" w:cs="Arial" w:eastAsia="Arial" w:hAnsi="Arial"/>
                <w:sz w:val="10"/>
                <w:szCs w:val="10"/>
                <w:color w:val="auto"/>
                <w:w w:val="86"/>
              </w:rPr>
              <w:t>4.08 to 7.35</w:t>
            </w:r>
          </w:p>
        </w:tc>
        <w:tc>
          <w:tcPr>
            <w:tcW w:w="26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2.15</w:t>
            </w: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10"/>
                <w:szCs w:val="10"/>
                <w:color w:val="auto"/>
              </w:rPr>
              <w:t>2.15</w:t>
            </w: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9"/>
        </w:trPr>
        <w:tc>
          <w:tcPr>
            <w:tcW w:w="2640" w:type="dxa"/>
            <w:vAlign w:val="bottom"/>
          </w:tcPr>
          <w:p>
            <w:pPr>
              <w:spacing w:after="0" w:line="99" w:lineRule="exact"/>
              <w:rPr>
                <w:sz w:val="20"/>
                <w:szCs w:val="20"/>
                <w:color w:val="auto"/>
              </w:rPr>
            </w:pPr>
            <w:r>
              <w:rPr>
                <w:rFonts w:ascii="Arial" w:cs="Arial" w:eastAsia="Arial" w:hAnsi="Arial"/>
                <w:sz w:val="10"/>
                <w:szCs w:val="10"/>
                <w:color w:val="auto"/>
              </w:rPr>
              <w:t>Dividend rate</w:t>
            </w:r>
          </w:p>
        </w:tc>
        <w:tc>
          <w:tcPr>
            <w:tcW w:w="800" w:type="dxa"/>
            <w:vAlign w:val="bottom"/>
          </w:tcPr>
          <w:p>
            <w:pPr>
              <w:spacing w:after="0"/>
              <w:rPr>
                <w:sz w:val="8"/>
                <w:szCs w:val="8"/>
                <w:color w:val="auto"/>
              </w:rPr>
            </w:pPr>
          </w:p>
        </w:tc>
        <w:tc>
          <w:tcPr>
            <w:tcW w:w="5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0%</w:t>
            </w: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gridSpan w:val="2"/>
          </w:tcPr>
          <w:p>
            <w:pPr>
              <w:jc w:val="right"/>
              <w:ind w:right="280"/>
              <w:spacing w:after="0" w:line="99" w:lineRule="exact"/>
              <w:rPr>
                <w:sz w:val="20"/>
                <w:szCs w:val="20"/>
                <w:color w:val="auto"/>
              </w:rPr>
            </w:pPr>
            <w:r>
              <w:rPr>
                <w:rFonts w:ascii="Arial" w:cs="Arial" w:eastAsia="Arial" w:hAnsi="Arial"/>
                <w:sz w:val="10"/>
                <w:szCs w:val="10"/>
                <w:color w:val="auto"/>
              </w:rPr>
              <w:t>0%</w:t>
            </w:r>
          </w:p>
        </w:tc>
        <w:tc>
          <w:tcPr>
            <w:tcW w:w="320" w:type="dxa"/>
            <w:vAlign w:val="bottom"/>
          </w:tcPr>
          <w:p>
            <w:pPr>
              <w:spacing w:after="0"/>
              <w:rPr>
                <w:sz w:val="8"/>
                <w:szCs w:val="8"/>
                <w:color w:val="auto"/>
              </w:rPr>
            </w:pPr>
          </w:p>
        </w:tc>
        <w:tc>
          <w:tcPr>
            <w:tcW w:w="1500" w:type="dxa"/>
            <w:vAlign w:val="bottom"/>
            <w:gridSpan w:val="2"/>
          </w:tcPr>
          <w:p>
            <w:pPr>
              <w:jc w:val="right"/>
              <w:ind w:right="240"/>
              <w:spacing w:after="0" w:line="99" w:lineRule="exact"/>
              <w:rPr>
                <w:sz w:val="20"/>
                <w:szCs w:val="20"/>
                <w:color w:val="auto"/>
              </w:rPr>
            </w:pPr>
            <w:r>
              <w:rPr>
                <w:rFonts w:ascii="Arial" w:cs="Arial" w:eastAsia="Arial" w:hAnsi="Arial"/>
                <w:sz w:val="10"/>
                <w:szCs w:val="10"/>
                <w:color w:val="auto"/>
              </w:rPr>
              <w:t>0%</w:t>
            </w:r>
          </w:p>
        </w:tc>
        <w:tc>
          <w:tcPr>
            <w:tcW w:w="260" w:type="dxa"/>
            <w:vAlign w:val="bottom"/>
          </w:tcPr>
          <w:p>
            <w:pPr>
              <w:spacing w:after="0"/>
              <w:rPr>
                <w:sz w:val="8"/>
                <w:szCs w:val="8"/>
                <w:color w:val="auto"/>
              </w:rPr>
            </w:pPr>
          </w:p>
        </w:tc>
        <w:tc>
          <w:tcPr>
            <w:tcW w:w="108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0%</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gridSpan w:val="2"/>
          </w:tcPr>
          <w:p>
            <w:pPr>
              <w:jc w:val="right"/>
              <w:ind w:right="240"/>
              <w:spacing w:after="0" w:line="99" w:lineRule="exact"/>
              <w:rPr>
                <w:sz w:val="20"/>
                <w:szCs w:val="20"/>
                <w:color w:val="auto"/>
              </w:rPr>
            </w:pPr>
            <w:r>
              <w:rPr>
                <w:rFonts w:ascii="Arial" w:cs="Arial" w:eastAsia="Arial" w:hAnsi="Arial"/>
                <w:sz w:val="10"/>
                <w:szCs w:val="10"/>
                <w:color w:val="auto"/>
              </w:rPr>
              <w:t>0%</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26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9"/>
        </w:trPr>
        <w:tc>
          <w:tcPr>
            <w:tcW w:w="2640" w:type="dxa"/>
            <w:vAlign w:val="bottom"/>
          </w:tcPr>
          <w:p>
            <w:pPr>
              <w:spacing w:after="0" w:line="99" w:lineRule="exact"/>
              <w:rPr>
                <w:sz w:val="20"/>
                <w:szCs w:val="20"/>
                <w:color w:val="auto"/>
              </w:rPr>
            </w:pPr>
            <w:r>
              <w:rPr>
                <w:rFonts w:ascii="Arial" w:cs="Arial" w:eastAsia="Arial" w:hAnsi="Arial"/>
                <w:sz w:val="10"/>
                <w:szCs w:val="10"/>
                <w:color w:val="auto"/>
              </w:rPr>
              <w:t>Fair value per share</w:t>
            </w:r>
          </w:p>
        </w:tc>
        <w:tc>
          <w:tcPr>
            <w:tcW w:w="800" w:type="dxa"/>
            <w:vAlign w:val="bottom"/>
          </w:tcPr>
          <w:p>
            <w:pPr>
              <w:jc w:val="right"/>
              <w:ind w:right="727"/>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0.29</w:t>
            </w:r>
          </w:p>
        </w:tc>
        <w:tc>
          <w:tcPr>
            <w:tcW w:w="480" w:type="dxa"/>
            <w:vAlign w:val="bottom"/>
            <w:gridSpan w:val="2"/>
          </w:tcPr>
          <w:p>
            <w:pPr>
              <w:jc w:val="right"/>
              <w:ind w:right="280"/>
              <w:spacing w:after="0" w:line="99" w:lineRule="exact"/>
              <w:rPr>
                <w:sz w:val="20"/>
                <w:szCs w:val="20"/>
                <w:color w:val="auto"/>
              </w:rPr>
            </w:pPr>
            <w:r>
              <w:rPr>
                <w:rFonts w:ascii="Arial" w:cs="Arial" w:eastAsia="Arial" w:hAnsi="Arial"/>
                <w:sz w:val="10"/>
                <w:szCs w:val="10"/>
                <w:color w:val="auto"/>
              </w:rPr>
              <w:t>$</w:t>
            </w:r>
          </w:p>
        </w:tc>
        <w:tc>
          <w:tcPr>
            <w:tcW w:w="1520" w:type="dxa"/>
            <w:vAlign w:val="bottom"/>
            <w:gridSpan w:val="2"/>
          </w:tcPr>
          <w:p>
            <w:pPr>
              <w:jc w:val="right"/>
              <w:ind w:right="360"/>
              <w:spacing w:after="0" w:line="99" w:lineRule="exact"/>
              <w:rPr>
                <w:sz w:val="20"/>
                <w:szCs w:val="20"/>
                <w:color w:val="auto"/>
              </w:rPr>
            </w:pPr>
            <w:r>
              <w:rPr>
                <w:rFonts w:ascii="Arial" w:cs="Arial" w:eastAsia="Arial" w:hAnsi="Arial"/>
                <w:sz w:val="10"/>
                <w:szCs w:val="10"/>
                <w:color w:val="auto"/>
              </w:rPr>
              <w:t>0.10 to $0.27</w:t>
            </w:r>
          </w:p>
        </w:tc>
        <w:tc>
          <w:tcPr>
            <w:tcW w:w="320" w:type="dxa"/>
            <w:vAlign w:val="bottom"/>
          </w:tcPr>
          <w:p>
            <w:pPr>
              <w:jc w:val="right"/>
              <w:ind w:right="256"/>
              <w:spacing w:after="0"/>
              <w:rPr>
                <w:sz w:val="20"/>
                <w:szCs w:val="20"/>
                <w:color w:val="auto"/>
              </w:rPr>
            </w:pPr>
            <w:r>
              <w:rPr>
                <w:rFonts w:ascii="Arial" w:cs="Arial" w:eastAsia="Arial" w:hAnsi="Arial"/>
                <w:sz w:val="5"/>
                <w:szCs w:val="5"/>
                <w:color w:val="auto"/>
                <w:w w:val="70"/>
              </w:rPr>
              <w:t>$</w:t>
            </w:r>
          </w:p>
        </w:tc>
        <w:tc>
          <w:tcPr>
            <w:tcW w:w="150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0.21 to $0.32</w:t>
            </w:r>
          </w:p>
        </w:tc>
        <w:tc>
          <w:tcPr>
            <w:tcW w:w="260" w:type="dxa"/>
            <w:vAlign w:val="bottom"/>
          </w:tcPr>
          <w:p>
            <w:pPr>
              <w:jc w:val="right"/>
              <w:ind w:right="152"/>
              <w:spacing w:after="0" w:line="99" w:lineRule="exact"/>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0.02</w:t>
            </w:r>
          </w:p>
        </w:tc>
        <w:tc>
          <w:tcPr>
            <w:tcW w:w="50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110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0.14</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26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54"/>
        </w:trPr>
        <w:tc>
          <w:tcPr>
            <w:tcW w:w="2640" w:type="dxa"/>
            <w:vAlign w:val="bottom"/>
          </w:tcPr>
          <w:p>
            <w:pPr>
              <w:spacing w:after="0"/>
              <w:rPr>
                <w:sz w:val="20"/>
                <w:szCs w:val="20"/>
                <w:color w:val="auto"/>
              </w:rPr>
            </w:pPr>
            <w:r>
              <w:rPr>
                <w:rFonts w:ascii="Arial" w:cs="Arial" w:eastAsia="Arial" w:hAnsi="Arial"/>
                <w:sz w:val="10"/>
                <w:szCs w:val="10"/>
                <w:color w:val="auto"/>
              </w:rPr>
              <w:t>Aggregate shares</w:t>
            </w:r>
          </w:p>
        </w:tc>
        <w:tc>
          <w:tcPr>
            <w:tcW w:w="80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w w:val="93"/>
              </w:rPr>
              <w:t>115,000</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0"/>
                <w:szCs w:val="10"/>
                <w:color w:val="auto"/>
              </w:rPr>
              <w:t>422,500</w:t>
            </w:r>
          </w:p>
        </w:tc>
        <w:tc>
          <w:tcPr>
            <w:tcW w:w="320" w:type="dxa"/>
            <w:vAlign w:val="bottom"/>
          </w:tcPr>
          <w:p>
            <w:pPr>
              <w:spacing w:after="0"/>
              <w:rPr>
                <w:sz w:val="13"/>
                <w:szCs w:val="13"/>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0"/>
                <w:szCs w:val="10"/>
                <w:color w:val="auto"/>
              </w:rPr>
              <w:t>422,500</w:t>
            </w:r>
          </w:p>
        </w:tc>
        <w:tc>
          <w:tcPr>
            <w:tcW w:w="26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0"/>
                <w:szCs w:val="10"/>
                <w:color w:val="auto"/>
              </w:rPr>
              <w:t>100,000</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0"/>
                <w:szCs w:val="10"/>
                <w:color w:val="auto"/>
              </w:rPr>
              <w:t>100,000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38" w:name="page139"/>
    <w:bookmarkEnd w:id="13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Director Compensation for Fiscal Year Ending March 31, 2015</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have adopted a new director compensation policy for our independent directors, as independence is defined by the Nasdaq Stock Market, which became effective for our fiscal year beginning April 1, 2014. Under the new independent director compensation policy, our independent directors will receive a $25,000 annual cash retainer. For service on a committee of the board, an independent director will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Each independent director will also receive an annual grant of an option to purchase 25,000 shares, which will vest monthly over a one-year period from the date of grant. The first grant of options under this policy will be made effective as soon as practicable following April 1, 2014. Future grants are expected to be made on the same date as our annual meeting. Prorated option grants will be made for partial years of service.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securities are not currently listed on a national securities exchange or on any inter-dealer quotation system which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National Market.</w:t>
      </w:r>
    </w:p>
    <w:p>
      <w:pPr>
        <w:spacing w:after="0" w:line="12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our company and all other facts and circumstances that our board of directors deemed relevant.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June 19, 2014 for</w:t>
      </w:r>
    </w:p>
    <w:p>
      <w:pPr>
        <w:spacing w:after="0" w:line="168" w:lineRule="exact"/>
        <w:rPr>
          <w:sz w:val="20"/>
          <w:szCs w:val="20"/>
          <w:color w:val="auto"/>
        </w:rPr>
      </w:pPr>
    </w:p>
    <w:p>
      <w:pPr>
        <w:ind w:left="420" w:hanging="227"/>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each stockholder known by us to be the beneficial owner of more than 5% of our common stock;</w:t>
      </w:r>
    </w:p>
    <w:p>
      <w:pPr>
        <w:spacing w:after="0" w:line="14" w:lineRule="exact"/>
        <w:rPr>
          <w:rFonts w:ascii="Arial" w:cs="Arial" w:eastAsia="Arial" w:hAnsi="Arial"/>
          <w:sz w:val="12"/>
          <w:szCs w:val="12"/>
          <w:color w:val="auto"/>
        </w:rPr>
      </w:pPr>
    </w:p>
    <w:p>
      <w:pPr>
        <w:ind w:left="420" w:hanging="227"/>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6" w:lineRule="exact"/>
        <w:rPr>
          <w:rFonts w:ascii="Arial" w:cs="Arial" w:eastAsia="Arial" w:hAnsi="Arial"/>
          <w:sz w:val="12"/>
          <w:szCs w:val="12"/>
          <w:color w:val="auto"/>
        </w:rPr>
      </w:pPr>
    </w:p>
    <w:p>
      <w:pPr>
        <w:ind w:left="420" w:hanging="227"/>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 w:lineRule="exact"/>
        <w:rPr>
          <w:rFonts w:ascii="Arial" w:cs="Arial" w:eastAsia="Arial" w:hAnsi="Arial"/>
          <w:sz w:val="12"/>
          <w:szCs w:val="12"/>
          <w:color w:val="auto"/>
        </w:rPr>
      </w:pPr>
    </w:p>
    <w:p>
      <w:pPr>
        <w:ind w:left="420" w:hanging="227"/>
        <w:spacing w:after="0"/>
        <w:tabs>
          <w:tab w:leader="none" w:pos="4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9" w:name="page140"/>
    <w:bookmarkEnd w:id="139"/>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49"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of the capital stock that they beneficially own, subject to applicable community property laws.</w:t>
      </w:r>
    </w:p>
    <w:p>
      <w:pPr>
        <w:spacing w:after="0" w:line="133" w:lineRule="exact"/>
        <w:rPr>
          <w:sz w:val="20"/>
          <w:szCs w:val="20"/>
          <w:color w:val="auto"/>
        </w:rPr>
      </w:pPr>
    </w:p>
    <w:p>
      <w:pPr>
        <w:jc w:val="both"/>
        <w:ind w:left="8"/>
        <w:spacing w:after="0" w:line="320" w:lineRule="auto"/>
        <w:rPr>
          <w:sz w:val="20"/>
          <w:szCs w:val="20"/>
          <w:color w:val="auto"/>
        </w:rPr>
      </w:pPr>
      <w:r>
        <w:rPr>
          <w:rFonts w:ascii="Arial" w:cs="Arial" w:eastAsia="Arial" w:hAnsi="Arial"/>
          <w:sz w:val="10"/>
          <w:szCs w:val="10"/>
          <w:color w:val="auto"/>
        </w:rPr>
        <w:t>Applicable percentage ownership is based on 25,451,877 shares of capital stock outstanding at June 19, 2014.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June 19, 2014 and all shares of common stock issuable pursuant to promissory notes and related accrued interest convertible into shares of common stock at June 19, 2014. In computing the percentage of shares beneficially owned, we deemed to be outstanding all shares of common stock subject to options or warrants held by that person or entity that are currently exercisable or that will become exercisable within 60 days of June 19, 2014 and all shares of common stock issuable pursuant to promissory notes and related accrued interest convertible into shares of common stock at June 19, 2014. Unless otherwise noted below, the address of each beneficial owner listed in the table is c/o VistaGen Therapeutics, Inc., 343 Allerton Avenue, South San Francisco, California 94080.</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ind w:right="240"/>
              <w:spacing w:after="0"/>
              <w:rPr>
                <w:sz w:val="20"/>
                <w:szCs w:val="20"/>
                <w:color w:val="auto"/>
              </w:rPr>
            </w:pPr>
            <w:r>
              <w:rPr>
                <w:rFonts w:ascii="Arial" w:cs="Arial" w:eastAsia="Arial" w:hAnsi="Arial"/>
                <w:sz w:val="12"/>
                <w:szCs w:val="12"/>
                <w:b w:val="1"/>
                <w:bCs w:val="1"/>
                <w:color w:val="auto"/>
              </w:rPr>
              <w:t>Number of shares</w:t>
            </w:r>
          </w:p>
        </w:tc>
        <w:tc>
          <w:tcPr>
            <w:tcW w:w="100" w:type="dxa"/>
            <w:vAlign w:val="bottom"/>
          </w:tcPr>
          <w:p>
            <w:pPr>
              <w:spacing w:after="0"/>
              <w:rPr>
                <w:sz w:val="12"/>
                <w:szCs w:val="12"/>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Percent of shares</w:t>
            </w:r>
          </w:p>
        </w:tc>
        <w:tc>
          <w:tcPr>
            <w:tcW w:w="0" w:type="dxa"/>
            <w:vAlign w:val="bottom"/>
          </w:tcPr>
          <w:p>
            <w:pPr>
              <w:spacing w:after="0"/>
              <w:rPr>
                <w:sz w:val="1"/>
                <w:szCs w:val="1"/>
                <w:color w:val="auto"/>
              </w:rPr>
            </w:pPr>
          </w:p>
        </w:tc>
      </w:tr>
      <w:tr>
        <w:trPr>
          <w:trHeight w:val="157"/>
        </w:trPr>
        <w:tc>
          <w:tcPr>
            <w:tcW w:w="8260" w:type="dxa"/>
            <w:vAlign w:val="bottom"/>
            <w:gridSpan w:val="2"/>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20" w:type="dxa"/>
            <w:vAlign w:val="bottom"/>
          </w:tcPr>
          <w:p>
            <w:pPr>
              <w:spacing w:after="0"/>
              <w:rPr>
                <w:sz w:val="13"/>
                <w:szCs w:val="13"/>
                <w:color w:val="auto"/>
              </w:rPr>
            </w:pPr>
          </w:p>
        </w:tc>
        <w:tc>
          <w:tcPr>
            <w:tcW w:w="1500" w:type="dxa"/>
            <w:vAlign w:val="bottom"/>
          </w:tcPr>
          <w:p>
            <w:pPr>
              <w:jc w:val="right"/>
              <w:ind w:right="220"/>
              <w:spacing w:after="0"/>
              <w:rPr>
                <w:sz w:val="20"/>
                <w:szCs w:val="20"/>
                <w:color w:val="auto"/>
              </w:rPr>
            </w:pPr>
            <w:r>
              <w:rPr>
                <w:rFonts w:ascii="Arial" w:cs="Arial" w:eastAsia="Arial" w:hAnsi="Arial"/>
                <w:sz w:val="12"/>
                <w:szCs w:val="12"/>
                <w:b w:val="1"/>
                <w:bCs w:val="1"/>
                <w:color w:val="auto"/>
              </w:rPr>
              <w:t>beneficially owned</w:t>
            </w:r>
          </w:p>
        </w:tc>
        <w:tc>
          <w:tcPr>
            <w:tcW w:w="100" w:type="dxa"/>
            <w:vAlign w:val="bottom"/>
          </w:tcPr>
          <w:p>
            <w:pPr>
              <w:spacing w:after="0"/>
              <w:rPr>
                <w:sz w:val="13"/>
                <w:szCs w:val="13"/>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42"/>
        </w:trPr>
        <w:tc>
          <w:tcPr>
            <w:tcW w:w="8260" w:type="dxa"/>
            <w:vAlign w:val="bottom"/>
            <w:tcBorders>
              <w:top w:val="single" w:sz="8" w:color="auto"/>
            </w:tcBorders>
            <w:gridSpan w:val="2"/>
          </w:tcPr>
          <w:p>
            <w:pPr>
              <w:spacing w:after="0"/>
              <w:rPr>
                <w:sz w:val="20"/>
                <w:szCs w:val="20"/>
                <w:color w:val="auto"/>
              </w:rPr>
            </w:pPr>
            <w:r>
              <w:rPr>
                <w:rFonts w:ascii="Arial" w:cs="Arial" w:eastAsia="Arial" w:hAnsi="Arial"/>
                <w:sz w:val="12"/>
                <w:szCs w:val="12"/>
                <w:i w:val="1"/>
                <w:iCs w:val="1"/>
                <w:color w:val="auto"/>
              </w:rPr>
              <w:t>Executive officers and directors</w:t>
            </w:r>
          </w:p>
        </w:tc>
        <w:tc>
          <w:tcPr>
            <w:tcW w:w="1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perscript"/>
              </w:rPr>
              <w:t>(1)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3,476,575</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12.19%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tcPr>
          <w:p>
            <w:pPr>
              <w:spacing w:after="0" w:line="144" w:lineRule="exact"/>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perscript"/>
              </w:rPr>
              <w:t>(2)</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2,467,079</w:t>
            </w:r>
          </w:p>
        </w:tc>
        <w:tc>
          <w:tcPr>
            <w:tcW w:w="1600" w:type="dxa"/>
            <w:vAlign w:val="bottom"/>
            <w:gridSpan w:val="3"/>
          </w:tcPr>
          <w:p>
            <w:pPr>
              <w:jc w:val="right"/>
              <w:ind w:right="20"/>
              <w:spacing w:after="0"/>
              <w:rPr>
                <w:sz w:val="20"/>
                <w:szCs w:val="20"/>
                <w:color w:val="auto"/>
              </w:rPr>
            </w:pPr>
            <w:r>
              <w:rPr>
                <w:rFonts w:ascii="Arial" w:cs="Arial" w:eastAsia="Arial" w:hAnsi="Arial"/>
                <w:sz w:val="12"/>
                <w:szCs w:val="12"/>
                <w:color w:val="auto"/>
              </w:rPr>
              <w:t>9.23%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perscript"/>
              </w:rPr>
              <w:t>(3)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309,410</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tcPr>
          <w:p>
            <w:pPr>
              <w:spacing w:after="0" w:line="144"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perscript"/>
              </w:rPr>
              <w:t>(4)</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473,116</w:t>
            </w:r>
          </w:p>
        </w:tc>
        <w:tc>
          <w:tcPr>
            <w:tcW w:w="1600" w:type="dxa"/>
            <w:vAlign w:val="bottom"/>
            <w:gridSpan w:val="3"/>
          </w:tcPr>
          <w:p>
            <w:pPr>
              <w:jc w:val="right"/>
              <w:ind w:right="2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perscript"/>
              </w:rPr>
              <w:t>(5)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363,124</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5% Stockholders</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tcPr>
          <w:p>
            <w:pPr>
              <w:spacing w:after="0" w:line="144" w:lineRule="exact"/>
              <w:rPr>
                <w:sz w:val="20"/>
                <w:szCs w:val="20"/>
                <w:color w:val="auto"/>
              </w:rPr>
            </w:pPr>
            <w:r>
              <w:rPr>
                <w:rFonts w:ascii="Arial" w:cs="Arial" w:eastAsia="Arial" w:hAnsi="Arial"/>
                <w:sz w:val="12"/>
                <w:szCs w:val="12"/>
                <w:color w:val="auto"/>
              </w:rPr>
              <w:t xml:space="preserve">Cato BioVentures </w:t>
            </w:r>
            <w:r>
              <w:rPr>
                <w:rFonts w:ascii="Arial" w:cs="Arial" w:eastAsia="Arial" w:hAnsi="Arial"/>
                <w:sz w:val="16"/>
                <w:szCs w:val="16"/>
                <w:color w:val="auto"/>
                <w:vertAlign w:val="superscript"/>
              </w:rPr>
              <w:t>(6)</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4,687,165</w:t>
            </w:r>
          </w:p>
        </w:tc>
        <w:tc>
          <w:tcPr>
            <w:tcW w:w="1600" w:type="dxa"/>
            <w:vAlign w:val="bottom"/>
            <w:gridSpan w:val="3"/>
          </w:tcPr>
          <w:p>
            <w:pPr>
              <w:jc w:val="right"/>
              <w:ind w:right="20"/>
              <w:spacing w:after="0"/>
              <w:rPr>
                <w:sz w:val="20"/>
                <w:szCs w:val="20"/>
                <w:color w:val="auto"/>
              </w:rPr>
            </w:pPr>
            <w:r>
              <w:rPr>
                <w:rFonts w:ascii="Arial" w:cs="Arial" w:eastAsia="Arial" w:hAnsi="Arial"/>
                <w:sz w:val="12"/>
                <w:szCs w:val="12"/>
                <w:color w:val="auto"/>
              </w:rPr>
              <w:t>17.47%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Platinum Long Term Growth Fund VII </w:t>
            </w:r>
            <w:r>
              <w:rPr>
                <w:rFonts w:ascii="Arial" w:cs="Arial" w:eastAsia="Arial" w:hAnsi="Arial"/>
                <w:sz w:val="16"/>
                <w:szCs w:val="16"/>
                <w:color w:val="auto"/>
                <w:vertAlign w:val="superscript"/>
              </w:rPr>
              <w:t>(7)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1,540,000</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tcPr>
          <w:p>
            <w:pPr>
              <w:spacing w:after="0" w:line="144" w:lineRule="exact"/>
              <w:rPr>
                <w:sz w:val="20"/>
                <w:szCs w:val="20"/>
                <w:color w:val="auto"/>
              </w:rPr>
            </w:pPr>
            <w:r>
              <w:rPr>
                <w:rFonts w:ascii="Arial" w:cs="Arial" w:eastAsia="Arial" w:hAnsi="Arial"/>
                <w:sz w:val="12"/>
                <w:szCs w:val="12"/>
                <w:color w:val="auto"/>
              </w:rPr>
              <w:t xml:space="preserve">Morrison &amp; Foerster LLP </w:t>
            </w:r>
            <w:r>
              <w:rPr>
                <w:rFonts w:ascii="Arial" w:cs="Arial" w:eastAsia="Arial" w:hAnsi="Arial"/>
                <w:sz w:val="16"/>
                <w:szCs w:val="16"/>
                <w:color w:val="auto"/>
                <w:vertAlign w:val="superscript"/>
              </w:rPr>
              <w:t>(8)</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2,199,567</w:t>
            </w:r>
          </w:p>
        </w:tc>
        <w:tc>
          <w:tcPr>
            <w:tcW w:w="1600" w:type="dxa"/>
            <w:vAlign w:val="bottom"/>
            <w:gridSpan w:val="3"/>
          </w:tcPr>
          <w:p>
            <w:pPr>
              <w:jc w:val="right"/>
              <w:ind w:right="20"/>
              <w:spacing w:after="0"/>
              <w:rPr>
                <w:sz w:val="20"/>
                <w:szCs w:val="20"/>
                <w:color w:val="auto"/>
              </w:rPr>
            </w:pPr>
            <w:r>
              <w:rPr>
                <w:rFonts w:ascii="Arial" w:cs="Arial" w:eastAsia="Arial" w:hAnsi="Arial"/>
                <w:sz w:val="12"/>
                <w:szCs w:val="12"/>
                <w:color w:val="auto"/>
              </w:rPr>
              <w:t>8.01%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David Young </w:t>
            </w:r>
            <w:r>
              <w:rPr>
                <w:rFonts w:ascii="Arial" w:cs="Arial" w:eastAsia="Arial" w:hAnsi="Arial"/>
                <w:sz w:val="16"/>
                <w:szCs w:val="16"/>
                <w:color w:val="auto"/>
                <w:vertAlign w:val="superscript"/>
              </w:rPr>
              <w:t>(9)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2,100,498</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tcPr>
          <w:p>
            <w:pPr>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(10)</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1,748,188</w:t>
            </w:r>
          </w:p>
        </w:tc>
        <w:tc>
          <w:tcPr>
            <w:tcW w:w="1600" w:type="dxa"/>
            <w:vAlign w:val="bottom"/>
            <w:gridSpan w:val="3"/>
          </w:tcPr>
          <w:p>
            <w:pPr>
              <w:jc w:val="right"/>
              <w:ind w:right="20"/>
              <w:spacing w:after="0"/>
              <w:rPr>
                <w:sz w:val="20"/>
                <w:szCs w:val="20"/>
                <w:color w:val="auto"/>
              </w:rPr>
            </w:pPr>
            <w:r>
              <w:rPr>
                <w:rFonts w:ascii="Arial" w:cs="Arial" w:eastAsia="Arial" w:hAnsi="Arial"/>
                <w:sz w:val="12"/>
                <w:szCs w:val="12"/>
                <w:color w:val="auto"/>
              </w:rPr>
              <w:t>6.71%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 xml:space="preserve">All executive officers and directors as a group (5 persons) </w:t>
            </w:r>
            <w:r>
              <w:rPr>
                <w:rFonts w:ascii="Arial" w:cs="Arial" w:eastAsia="Arial" w:hAnsi="Arial"/>
                <w:sz w:val="16"/>
                <w:szCs w:val="16"/>
                <w:color w:val="auto"/>
                <w:vertAlign w:val="superscript"/>
              </w:rPr>
              <w:t>(11)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7,089,304</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23.95%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08" w:right="20" w:hanging="708"/>
        <w:spacing w:after="0" w:line="276" w:lineRule="auto"/>
        <w:tabs>
          <w:tab w:leader="none" w:pos="7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options to purchase 1,688,749 restricted shares of common stock exercisable within 60 days of June 19, 2014; warrants to purchase 1,331,052 restricted shares of common stock exercisable within 60 days of June 16, 2014, and 44,600 restricted shares of common stock upon conversion of a currently convertible promissory note and accrued interest.</w:t>
      </w:r>
    </w:p>
    <w:p>
      <w:pPr>
        <w:spacing w:after="0" w:line="114" w:lineRule="exact"/>
        <w:rPr>
          <w:rFonts w:ascii="Arial" w:cs="Arial" w:eastAsia="Arial" w:hAnsi="Arial"/>
          <w:sz w:val="12"/>
          <w:szCs w:val="12"/>
          <w:color w:val="auto"/>
        </w:rPr>
      </w:pPr>
    </w:p>
    <w:p>
      <w:pPr>
        <w:ind w:left="708" w:right="20" w:hanging="708"/>
        <w:spacing w:after="0" w:line="276" w:lineRule="auto"/>
        <w:tabs>
          <w:tab w:leader="none" w:pos="7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options to purchase 412,611 restricted shares of common stock exercisable within 60 days of June 19, 2014 and warrants to purchase 850,000 restricted shares of common stock exercisable within 60 days of June 19, 2014.</w:t>
      </w:r>
    </w:p>
    <w:p>
      <w:pPr>
        <w:spacing w:after="0" w:line="114" w:lineRule="exact"/>
        <w:rPr>
          <w:rFonts w:ascii="Arial" w:cs="Arial" w:eastAsia="Arial" w:hAnsi="Arial"/>
          <w:sz w:val="12"/>
          <w:szCs w:val="12"/>
          <w:color w:val="auto"/>
        </w:rPr>
      </w:pPr>
    </w:p>
    <w:p>
      <w:pPr>
        <w:ind w:left="708" w:right="20" w:hanging="708"/>
        <w:spacing w:after="0" w:line="276" w:lineRule="auto"/>
        <w:tabs>
          <w:tab w:leader="none" w:pos="7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options to purchase 109,410 restricted shares of common stock exercisable within 60 days of June 19, 2014, including options to purchase 12,718 shares of common stock held by Mr. Dotson’s wife, and warrants to purchase 200,000 restricted shares of common stock exercisable within 60 days of June 19, 2014.</w:t>
      </w:r>
    </w:p>
    <w:p>
      <w:pPr>
        <w:spacing w:after="0" w:line="114" w:lineRule="exact"/>
        <w:rPr>
          <w:rFonts w:ascii="Arial" w:cs="Arial" w:eastAsia="Arial" w:hAnsi="Arial"/>
          <w:sz w:val="12"/>
          <w:szCs w:val="12"/>
          <w:color w:val="auto"/>
        </w:rPr>
      </w:pPr>
    </w:p>
    <w:p>
      <w:pPr>
        <w:ind w:left="708" w:right="20" w:hanging="708"/>
        <w:spacing w:after="0" w:line="276" w:lineRule="auto"/>
        <w:tabs>
          <w:tab w:leader="none" w:pos="7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options to purchase 240,624 restricted shares of common stock exercisable within 60 days of June 19, 2014 and warrants to purchase 195,000 restricted shares of common stock exercisable within 60 days of June 19, 2014.</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40" w:name="page141"/>
    <w:bookmarkEnd w:id="140"/>
    <w:p>
      <w:pPr>
        <w:ind w:left="8"/>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708" w:right="20" w:hanging="708"/>
        <w:spacing w:after="0" w:line="276" w:lineRule="auto"/>
        <w:tabs>
          <w:tab w:leader="none" w:pos="7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Includes options to purchase 175,624 restricted shares of common stock exercisable within 60 days of June 19, 2014 and warrants to purchase 187,500 restricted shares of common stock exercisable within 60 days of June 19, 2014.</w:t>
      </w:r>
    </w:p>
    <w:p>
      <w:pPr>
        <w:spacing w:after="0" w:line="114" w:lineRule="exact"/>
        <w:rPr>
          <w:rFonts w:ascii="Arial" w:cs="Arial" w:eastAsia="Arial" w:hAnsi="Arial"/>
          <w:sz w:val="12"/>
          <w:szCs w:val="12"/>
          <w:color w:val="auto"/>
        </w:rPr>
      </w:pPr>
    </w:p>
    <w:p>
      <w:pPr>
        <w:ind w:left="708" w:right="20" w:hanging="708"/>
        <w:spacing w:after="0" w:line="323" w:lineRule="auto"/>
        <w:tabs>
          <w:tab w:leader="none" w:pos="708" w:val="left"/>
        </w:tabs>
        <w:numPr>
          <w:ilvl w:val="0"/>
          <w:numId w:val="64"/>
        </w:numPr>
        <w:rPr>
          <w:rFonts w:ascii="Arial" w:cs="Arial" w:eastAsia="Arial" w:hAnsi="Arial"/>
          <w:sz w:val="11"/>
          <w:szCs w:val="11"/>
          <w:color w:val="auto"/>
        </w:rPr>
      </w:pPr>
      <w:r>
        <w:rPr>
          <w:rFonts w:ascii="Arial" w:cs="Arial" w:eastAsia="Arial" w:hAnsi="Arial"/>
          <w:sz w:val="11"/>
          <w:szCs w:val="11"/>
          <w:color w:val="auto"/>
        </w:rPr>
        <w:t>Based upon information contained in Form 4 filed on January 9, 2012. Includes currently exercisable warrants to purchase 1,376,329 shares of restricted common stock. Dr. Allen E. Cato, Ph.D., M.D. is deemed to have voting and investment authority over the shares held by Cato Holding Company. The primary business address of Cato BioVentures is 4364 South Alston Avenue, Durham, North Carolina 27713.</w:t>
      </w:r>
    </w:p>
    <w:p>
      <w:pPr>
        <w:spacing w:after="0" w:line="91" w:lineRule="exact"/>
        <w:rPr>
          <w:rFonts w:ascii="Arial" w:cs="Arial" w:eastAsia="Arial" w:hAnsi="Arial"/>
          <w:sz w:val="11"/>
          <w:szCs w:val="11"/>
          <w:color w:val="auto"/>
        </w:rPr>
      </w:pPr>
    </w:p>
    <w:p>
      <w:pPr>
        <w:jc w:val="both"/>
        <w:ind w:left="708" w:hanging="708"/>
        <w:spacing w:after="0" w:line="257" w:lineRule="auto"/>
        <w:tabs>
          <w:tab w:leader="none" w:pos="7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Based upon information contained in Schedule 13G/A filed on February 14, 2014, we believe that Platinum has transferred or assigned 15% of its holdings of our common stock and other securities as of December 31, 2013 to another party. The figures reported in the table above and in this note reflect the impact of Platinum’s transfer or assignment and are adjusted for securities sold to Platinum in transactions on April 1, 2014, May 14, 2014 and June 18, 2014, including an aggregate of 750,000 restricted shares of our common stock, currently exercisable warrants to purchase 750,000 shares of our restricted common stock (subject to beneficial ownership restrictions noted below); and three currently convertible promissory notes (subject to beneficial ownership restrictions noted below). The number of beneficially owned shares reported at June 19, 2014 includes 1,540,000 restricted shares of common stock owned by Platinum.</w:t>
      </w:r>
    </w:p>
    <w:p>
      <w:pPr>
        <w:spacing w:after="0" w:line="125" w:lineRule="exact"/>
        <w:rPr>
          <w:rFonts w:ascii="Arial" w:cs="Arial" w:eastAsia="Arial" w:hAnsi="Arial"/>
          <w:sz w:val="12"/>
          <w:szCs w:val="12"/>
          <w:color w:val="auto"/>
        </w:rPr>
      </w:pPr>
    </w:p>
    <w:p>
      <w:pPr>
        <w:jc w:val="both"/>
        <w:ind w:left="708"/>
        <w:spacing w:after="0" w:line="327" w:lineRule="auto"/>
        <w:rPr>
          <w:rFonts w:ascii="Arial" w:cs="Arial" w:eastAsia="Arial" w:hAnsi="Arial"/>
          <w:sz w:val="12"/>
          <w:szCs w:val="12"/>
          <w:color w:val="auto"/>
        </w:rPr>
      </w:pPr>
      <w:r>
        <w:rPr>
          <w:rFonts w:ascii="Arial" w:cs="Arial" w:eastAsia="Arial" w:hAnsi="Arial"/>
          <w:sz w:val="10"/>
          <w:szCs w:val="10"/>
          <w:color w:val="auto"/>
        </w:rPr>
        <w:t>The reported number of shares beneficially owned excludes 12,750,000 restricted shares of common stock and a warrant to purchase 6,375,000 restricted shares of common stock that may currently be acquired by Platinum upon exchange of 425,000 restricted shares of our Series A Preferred Stock. Pursuant to the October 11, 2012 Note Exchange and Purchase Agreement by and between us and Platinum, there is a limitation on exchange such that the number of shares of our common stock that may be acquired by Platinum upon exchange of the Series A Preferred Stock is limited to the extent necessary to ensure that, following such exchange, the total number of shares of our common stock then beneficially owned by Platinum does not exceed 9.99% of the total number of our issued and outstanding shares of common stock without providing us with 61 days’ prior notice thereof.</w:t>
      </w:r>
    </w:p>
    <w:p>
      <w:pPr>
        <w:spacing w:after="0" w:line="93" w:lineRule="exact"/>
        <w:rPr>
          <w:rFonts w:ascii="Arial" w:cs="Arial" w:eastAsia="Arial" w:hAnsi="Arial"/>
          <w:sz w:val="12"/>
          <w:szCs w:val="12"/>
          <w:color w:val="auto"/>
        </w:rPr>
      </w:pPr>
    </w:p>
    <w:p>
      <w:pPr>
        <w:jc w:val="both"/>
        <w:ind w:left="708"/>
        <w:spacing w:after="0" w:line="283" w:lineRule="auto"/>
        <w:rPr>
          <w:rFonts w:ascii="Arial" w:cs="Arial" w:eastAsia="Arial" w:hAnsi="Arial"/>
          <w:sz w:val="12"/>
          <w:szCs w:val="12"/>
          <w:color w:val="auto"/>
        </w:rPr>
      </w:pPr>
      <w:r>
        <w:rPr>
          <w:rFonts w:ascii="Arial" w:cs="Arial" w:eastAsia="Arial" w:hAnsi="Arial"/>
          <w:sz w:val="11"/>
          <w:szCs w:val="11"/>
          <w:color w:val="auto"/>
        </w:rPr>
        <w:t>Further, the reported number of shares beneficially owned also excludes an aggregate of 10,942,464 restricted shares of our Common Stock that may be acquired by Platinum upon (i) conversion of various Senior Secured Convertible Promissory Notes in the aggregate face amount of $3,522,577 and a Subordinate Convertible Promissory Note in the face amount of $250,000 (together, the “</w:t>
      </w:r>
      <w:r>
        <w:rPr>
          <w:rFonts w:ascii="Arial" w:cs="Arial" w:eastAsia="Arial" w:hAnsi="Arial"/>
          <w:sz w:val="11"/>
          <w:szCs w:val="11"/>
          <w:i w:val="1"/>
          <w:iCs w:val="1"/>
          <w:color w:val="auto"/>
        </w:rPr>
        <w:t>Convertible Notes</w:t>
      </w:r>
      <w:r>
        <w:rPr>
          <w:rFonts w:ascii="Arial" w:cs="Arial" w:eastAsia="Arial" w:hAnsi="Arial"/>
          <w:sz w:val="11"/>
          <w:szCs w:val="11"/>
          <w:color w:val="auto"/>
        </w:rPr>
        <w:t>”) plus accrued but unpaid interest or (ii) exercise of various common stock purchase warrants to purchase an aggregate of 3,494,190 restricted shares of our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p>
      <w:pPr>
        <w:spacing w:after="0" w:line="113" w:lineRule="exact"/>
        <w:rPr>
          <w:rFonts w:ascii="Arial" w:cs="Arial" w:eastAsia="Arial" w:hAnsi="Arial"/>
          <w:sz w:val="12"/>
          <w:szCs w:val="12"/>
          <w:color w:val="auto"/>
        </w:rPr>
      </w:pPr>
    </w:p>
    <w:p>
      <w:pPr>
        <w:ind w:left="708" w:right="20"/>
        <w:spacing w:after="0" w:line="291" w:lineRule="auto"/>
        <w:rPr>
          <w:rFonts w:ascii="Arial" w:cs="Arial" w:eastAsia="Arial" w:hAnsi="Arial"/>
          <w:sz w:val="12"/>
          <w:szCs w:val="12"/>
          <w:color w:val="auto"/>
        </w:rPr>
      </w:pPr>
      <w:r>
        <w:rPr>
          <w:rFonts w:ascii="Arial" w:cs="Arial" w:eastAsia="Arial" w:hAnsi="Arial"/>
          <w:sz w:val="12"/>
          <w:szCs w:val="12"/>
          <w:color w:val="auto"/>
        </w:rPr>
        <w:t>Including the shares otherwise excluded due to the beneficial ownership restrictions noted above, Platinum beneficially owns 31,857,464 shares or 57.12% of our common stock. The primary business address of Platinum Long Term Growth Fund VII is 152 West 57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Street, 54</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Floor, New York, New York 10019. Mark Nordlicht has voting and investment control over the shares held by Platinum.</w:t>
      </w:r>
    </w:p>
    <w:p>
      <w:pPr>
        <w:spacing w:after="0" w:line="41" w:lineRule="exact"/>
        <w:rPr>
          <w:rFonts w:ascii="Arial" w:cs="Arial" w:eastAsia="Arial" w:hAnsi="Arial"/>
          <w:sz w:val="12"/>
          <w:szCs w:val="12"/>
          <w:color w:val="auto"/>
        </w:rPr>
      </w:pPr>
    </w:p>
    <w:p>
      <w:pPr>
        <w:ind w:left="708" w:hanging="708"/>
        <w:spacing w:after="0"/>
        <w:tabs>
          <w:tab w:leader="none" w:pos="708" w:val="left"/>
        </w:tabs>
        <w:numPr>
          <w:ilvl w:val="0"/>
          <w:numId w:val="64"/>
        </w:numPr>
        <w:rPr>
          <w:rFonts w:ascii="Arial" w:cs="Arial" w:eastAsia="Arial" w:hAnsi="Arial"/>
          <w:sz w:val="11"/>
          <w:szCs w:val="11"/>
          <w:color w:val="auto"/>
        </w:rPr>
      </w:pPr>
      <w:r>
        <w:rPr>
          <w:rFonts w:ascii="Arial" w:cs="Arial" w:eastAsia="Arial" w:hAnsi="Arial"/>
          <w:sz w:val="11"/>
          <w:szCs w:val="11"/>
          <w:color w:val="auto"/>
        </w:rPr>
        <w:t>Includes currently exercisable warrants to purchase 1,999,567 restricted shares of common stock. The primary business address of Morrison &amp; Foerster is 555 Market Street, San Francisco, California 94105.</w:t>
      </w:r>
    </w:p>
    <w:p>
      <w:pPr>
        <w:spacing w:after="0" w:line="161" w:lineRule="exact"/>
        <w:rPr>
          <w:rFonts w:ascii="Arial" w:cs="Arial" w:eastAsia="Arial" w:hAnsi="Arial"/>
          <w:sz w:val="11"/>
          <w:szCs w:val="11"/>
          <w:color w:val="auto"/>
        </w:rPr>
      </w:pPr>
    </w:p>
    <w:p>
      <w:pPr>
        <w:ind w:left="708" w:right="20" w:hanging="708"/>
        <w:spacing w:after="0" w:line="276" w:lineRule="auto"/>
        <w:tabs>
          <w:tab w:leader="none" w:pos="7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658,728 restricted shares of common stock and 537,556 restricted shares of common stock upon conversion of currently convertible promissory notes and accrued interest. Mr. Young’s primary business address is c/o Coldwell Banker Residential Brokerage, 580 El Camino Real, San Carlos, California 94070.</w:t>
      </w:r>
    </w:p>
    <w:p>
      <w:pPr>
        <w:spacing w:after="0" w:line="114" w:lineRule="exact"/>
        <w:rPr>
          <w:rFonts w:ascii="Arial" w:cs="Arial" w:eastAsia="Arial" w:hAnsi="Arial"/>
          <w:sz w:val="12"/>
          <w:szCs w:val="12"/>
          <w:color w:val="auto"/>
        </w:rPr>
      </w:pPr>
    </w:p>
    <w:p>
      <w:pPr>
        <w:ind w:left="708" w:right="20" w:hanging="708"/>
        <w:spacing w:after="0" w:line="276" w:lineRule="auto"/>
        <w:tabs>
          <w:tab w:leader="none" w:pos="708"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610,133 restricted shares of common stock. The primary business address of University Health Network is 101 College Street, Suite 150, Toronto, Ontario Canada M5G 1L7.</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41" w:name="page142"/>
    <w:bookmarkEnd w:id="141"/>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0" w:type="dxa"/>
            <w:vAlign w:val="bottom"/>
          </w:tcPr>
          <w:p>
            <w:pPr>
              <w:jc w:val="right"/>
              <w:ind w:right="200"/>
              <w:spacing w:after="0"/>
              <w:rPr>
                <w:sz w:val="20"/>
                <w:szCs w:val="20"/>
                <w:color w:val="auto"/>
              </w:rPr>
            </w:pPr>
            <w:r>
              <w:rPr>
                <w:rFonts w:ascii="Arial" w:cs="Arial" w:eastAsia="Arial" w:hAnsi="Arial"/>
                <w:sz w:val="12"/>
                <w:szCs w:val="12"/>
                <w:color w:val="auto"/>
                <w:w w:val="74"/>
              </w:rPr>
              <w:t>(11)</w:t>
            </w:r>
          </w:p>
        </w:tc>
        <w:tc>
          <w:tcPr>
            <w:tcW w:w="11020" w:type="dxa"/>
            <w:vAlign w:val="bottom"/>
          </w:tcPr>
          <w:p>
            <w:pPr>
              <w:ind w:left="260"/>
              <w:spacing w:after="0"/>
              <w:rPr>
                <w:sz w:val="20"/>
                <w:szCs w:val="20"/>
                <w:color w:val="auto"/>
              </w:rPr>
            </w:pPr>
            <w:r>
              <w:rPr>
                <w:rFonts w:ascii="Arial" w:cs="Arial" w:eastAsia="Arial" w:hAnsi="Arial"/>
                <w:sz w:val="12"/>
                <w:szCs w:val="12"/>
                <w:color w:val="auto"/>
                <w:w w:val="91"/>
              </w:rPr>
              <w:t>Includes options to purchase an aggregate of 2,627,018 restricted shares of common stock exercisable within 60 days of June 19, 2014,   warrants to purchase an aggregate of 2,763,552 restricted shares of common stock</w:t>
            </w:r>
          </w:p>
        </w:tc>
      </w:tr>
      <w:tr>
        <w:trPr>
          <w:trHeight w:val="153"/>
        </w:trPr>
        <w:tc>
          <w:tcPr>
            <w:tcW w:w="440" w:type="dxa"/>
            <w:vAlign w:val="bottom"/>
          </w:tcPr>
          <w:p>
            <w:pPr>
              <w:spacing w:after="0"/>
              <w:rPr>
                <w:sz w:val="13"/>
                <w:szCs w:val="13"/>
                <w:color w:val="auto"/>
              </w:rPr>
            </w:pPr>
          </w:p>
        </w:tc>
        <w:tc>
          <w:tcPr>
            <w:tcW w:w="11020" w:type="dxa"/>
            <w:vAlign w:val="bottom"/>
          </w:tcPr>
          <w:p>
            <w:pPr>
              <w:ind w:left="260"/>
              <w:spacing w:after="0"/>
              <w:rPr>
                <w:sz w:val="20"/>
                <w:szCs w:val="20"/>
                <w:color w:val="auto"/>
              </w:rPr>
            </w:pPr>
            <w:r>
              <w:rPr>
                <w:rFonts w:ascii="Arial" w:cs="Arial" w:eastAsia="Arial" w:hAnsi="Arial"/>
                <w:sz w:val="12"/>
                <w:szCs w:val="12"/>
                <w:color w:val="auto"/>
              </w:rPr>
              <w:t>exercisable within 60 days of June 19, 2014 and 44,600 restricted shares of common stock upon conversion of a currently convertible promissory note and accrued interest.</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Grants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March 31, 2014, options to purchase a total of 4,249,271 restricted shares of our common stock are outstanding at a weighted average exercise price of $0.50 per share, of which 3,655,061 options are vested and exercisable at a weighted average exercise price of $0.50 per share and 593,867 are unvested and not exercisable at a weighted average exercise price of $0.51 per share. These options were issued under our 2008 Plan and our 1999 Plan, each as described below. At March 31, 2014, an additional 735,200 shares remain available for future equity grants under our 2008 Plan.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60"/>
              <w:spacing w:after="0"/>
              <w:rPr>
                <w:sz w:val="20"/>
                <w:szCs w:val="20"/>
                <w:color w:val="auto"/>
              </w:rPr>
            </w:pPr>
            <w:r>
              <w:rPr>
                <w:rFonts w:ascii="Arial" w:cs="Arial" w:eastAsia="Arial" w:hAnsi="Arial"/>
                <w:sz w:val="12"/>
                <w:szCs w:val="12"/>
                <w:b w:val="1"/>
                <w:bCs w:val="1"/>
                <w:color w:val="auto"/>
                <w:w w:val="90"/>
              </w:rPr>
              <w:t>Weighted-average</w:t>
            </w:r>
          </w:p>
        </w:tc>
        <w:tc>
          <w:tcPr>
            <w:tcW w:w="240" w:type="dxa"/>
            <w:vAlign w:val="bottom"/>
          </w:tcPr>
          <w:p>
            <w:pPr>
              <w:spacing w:after="0"/>
              <w:rPr>
                <w:sz w:val="12"/>
                <w:szCs w:val="12"/>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Number of 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88"/>
              </w:rPr>
              <w:t>Number of securities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60"/>
              <w:spacing w:after="0"/>
              <w:rPr>
                <w:sz w:val="20"/>
                <w:szCs w:val="20"/>
                <w:color w:val="auto"/>
              </w:rPr>
            </w:pPr>
            <w:r>
              <w:rPr>
                <w:rFonts w:ascii="Arial" w:cs="Arial" w:eastAsia="Arial" w:hAnsi="Arial"/>
                <w:sz w:val="12"/>
                <w:szCs w:val="12"/>
                <w:b w:val="1"/>
                <w:bCs w:val="1"/>
                <w:color w:val="auto"/>
                <w:w w:val="87"/>
              </w:rPr>
              <w:t>exercise</w:t>
            </w:r>
          </w:p>
        </w:tc>
        <w:tc>
          <w:tcPr>
            <w:tcW w:w="240" w:type="dxa"/>
            <w:vAlign w:val="bottom"/>
          </w:tcPr>
          <w:p>
            <w:pPr>
              <w:spacing w:after="0"/>
              <w:rPr>
                <w:sz w:val="12"/>
                <w:szCs w:val="12"/>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remaining available for future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85"/>
              </w:rPr>
              <w:t>to be issued upon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60"/>
              <w:spacing w:after="0"/>
              <w:rPr>
                <w:sz w:val="20"/>
                <w:szCs w:val="20"/>
                <w:color w:val="auto"/>
              </w:rPr>
            </w:pPr>
            <w:r>
              <w:rPr>
                <w:rFonts w:ascii="Arial" w:cs="Arial" w:eastAsia="Arial" w:hAnsi="Arial"/>
                <w:sz w:val="12"/>
                <w:szCs w:val="12"/>
                <w:b w:val="1"/>
                <w:bCs w:val="1"/>
                <w:color w:val="auto"/>
                <w:w w:val="87"/>
              </w:rPr>
              <w:t>price of</w:t>
            </w:r>
          </w:p>
        </w:tc>
        <w:tc>
          <w:tcPr>
            <w:tcW w:w="240" w:type="dxa"/>
            <w:vAlign w:val="bottom"/>
          </w:tcPr>
          <w:p>
            <w:pPr>
              <w:spacing w:after="0"/>
              <w:rPr>
                <w:sz w:val="12"/>
                <w:szCs w:val="12"/>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issuance under equity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86"/>
              </w:rPr>
              <w:t>exercise of</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60"/>
              <w:spacing w:after="0"/>
              <w:rPr>
                <w:sz w:val="20"/>
                <w:szCs w:val="20"/>
                <w:color w:val="auto"/>
              </w:rPr>
            </w:pPr>
            <w:r>
              <w:rPr>
                <w:rFonts w:ascii="Arial" w:cs="Arial" w:eastAsia="Arial" w:hAnsi="Arial"/>
                <w:sz w:val="12"/>
                <w:szCs w:val="12"/>
                <w:b w:val="1"/>
                <w:bCs w:val="1"/>
                <w:color w:val="auto"/>
                <w:w w:val="90"/>
              </w:rPr>
              <w:t>outstanding</w:t>
            </w:r>
          </w:p>
        </w:tc>
        <w:tc>
          <w:tcPr>
            <w:tcW w:w="240" w:type="dxa"/>
            <w:vAlign w:val="bottom"/>
          </w:tcPr>
          <w:p>
            <w:pPr>
              <w:spacing w:after="0"/>
              <w:rPr>
                <w:sz w:val="12"/>
                <w:szCs w:val="12"/>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6"/>
              </w:rPr>
              <w:t>compensation plans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87"/>
              </w:rPr>
              <w:t>outstanding options,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60"/>
              <w:spacing w:after="0"/>
              <w:rPr>
                <w:sz w:val="20"/>
                <w:szCs w:val="20"/>
                <w:color w:val="auto"/>
              </w:rPr>
            </w:pPr>
            <w:r>
              <w:rPr>
                <w:rFonts w:ascii="Arial" w:cs="Arial" w:eastAsia="Arial" w:hAnsi="Arial"/>
                <w:sz w:val="12"/>
                <w:szCs w:val="12"/>
                <w:b w:val="1"/>
                <w:bCs w:val="1"/>
                <w:color w:val="auto"/>
                <w:w w:val="89"/>
              </w:rPr>
              <w:t>options, warrants</w:t>
            </w:r>
          </w:p>
        </w:tc>
        <w:tc>
          <w:tcPr>
            <w:tcW w:w="240" w:type="dxa"/>
            <w:vAlign w:val="bottom"/>
          </w:tcPr>
          <w:p>
            <w:pPr>
              <w:spacing w:after="0"/>
              <w:rPr>
                <w:sz w:val="12"/>
                <w:szCs w:val="12"/>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(excluding 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91"/>
              </w:rPr>
              <w:t>warrants and rights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60"/>
              <w:spacing w:after="0"/>
              <w:rPr>
                <w:sz w:val="20"/>
                <w:szCs w:val="20"/>
                <w:color w:val="auto"/>
              </w:rPr>
            </w:pPr>
            <w:r>
              <w:rPr>
                <w:rFonts w:ascii="Arial" w:cs="Arial" w:eastAsia="Arial" w:hAnsi="Arial"/>
                <w:sz w:val="12"/>
                <w:szCs w:val="12"/>
                <w:b w:val="1"/>
                <w:bCs w:val="1"/>
                <w:color w:val="auto"/>
                <w:w w:val="93"/>
              </w:rPr>
              <w:t>and rights</w:t>
            </w:r>
          </w:p>
        </w:tc>
        <w:tc>
          <w:tcPr>
            <w:tcW w:w="240" w:type="dxa"/>
            <w:vAlign w:val="bottom"/>
          </w:tcPr>
          <w:p>
            <w:pPr>
              <w:spacing w:after="0"/>
              <w:rPr>
                <w:sz w:val="12"/>
                <w:szCs w:val="12"/>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reflected in column (a))</w:t>
            </w:r>
          </w:p>
        </w:tc>
        <w:tc>
          <w:tcPr>
            <w:tcW w:w="0" w:type="dxa"/>
            <w:vAlign w:val="bottom"/>
          </w:tcPr>
          <w:p>
            <w:pPr>
              <w:spacing w:after="0"/>
              <w:rPr>
                <w:sz w:val="1"/>
                <w:szCs w:val="1"/>
                <w:color w:val="auto"/>
              </w:rPr>
            </w:pPr>
          </w:p>
        </w:tc>
      </w:tr>
      <w:tr>
        <w:trPr>
          <w:trHeight w:val="157"/>
        </w:trPr>
        <w:tc>
          <w:tcPr>
            <w:tcW w:w="5980" w:type="dxa"/>
            <w:vAlign w:val="bottom"/>
            <w:gridSpan w:val="2"/>
          </w:tcPr>
          <w:p>
            <w:pPr>
              <w:spacing w:after="0"/>
              <w:rPr>
                <w:sz w:val="20"/>
                <w:szCs w:val="20"/>
                <w:color w:val="auto"/>
              </w:rPr>
            </w:pPr>
            <w:r>
              <w:rPr>
                <w:rFonts w:ascii="Arial" w:cs="Arial" w:eastAsia="Arial" w:hAnsi="Arial"/>
                <w:sz w:val="12"/>
                <w:szCs w:val="12"/>
                <w:b w:val="1"/>
                <w:bCs w:val="1"/>
                <w:color w:val="auto"/>
              </w:rPr>
              <w:t>Plan category</w:t>
            </w: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95"/>
              </w:rPr>
              <w:t>(a)</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60"/>
              <w:spacing w:after="0"/>
              <w:rPr>
                <w:sz w:val="20"/>
                <w:szCs w:val="20"/>
                <w:color w:val="auto"/>
              </w:rPr>
            </w:pPr>
            <w:r>
              <w:rPr>
                <w:rFonts w:ascii="Arial" w:cs="Arial" w:eastAsia="Arial" w:hAnsi="Arial"/>
                <w:sz w:val="12"/>
                <w:szCs w:val="12"/>
                <w:b w:val="1"/>
                <w:bCs w:val="1"/>
                <w:color w:val="auto"/>
                <w:w w:val="91"/>
              </w:rPr>
              <w:t>(b)</w:t>
            </w:r>
          </w:p>
        </w:tc>
        <w:tc>
          <w:tcPr>
            <w:tcW w:w="240" w:type="dxa"/>
            <w:vAlign w:val="bottom"/>
          </w:tcPr>
          <w:p>
            <w:pPr>
              <w:spacing w:after="0"/>
              <w:rPr>
                <w:sz w:val="13"/>
                <w:szCs w:val="13"/>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3,964,800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0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284,471</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0.59</w:t>
            </w:r>
          </w:p>
        </w:tc>
        <w:tc>
          <w:tcPr>
            <w:tcW w:w="240" w:type="dxa"/>
            <w:vAlign w:val="bottom"/>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4,249,271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2008 Stock Incentive Plan</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Shareholders of VistaGen California adopted our 2008 Plan on December 19, 2008 and we assumed the plan in connection with the Merger (as defined in Item 7 below). The maximum number of shares of common stock that may be granted pursuant to the 2008 Plan is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2"/>
          <w:szCs w:val="12"/>
          <w:i w:val="1"/>
          <w:iCs w:val="1"/>
          <w:color w:val="auto"/>
        </w:rPr>
        <w:t>Code</w:t>
      </w:r>
      <w:r>
        <w:rPr>
          <w:rFonts w:ascii="Arial" w:cs="Arial" w:eastAsia="Arial" w:hAnsi="Arial"/>
          <w:sz w:val="12"/>
          <w:szCs w:val="12"/>
          <w:color w:val="auto"/>
        </w:rPr>
        <w:t>”), is 5,000,000.</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2" w:name="page143"/>
    <w:bookmarkEnd w:id="14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15" w:lineRule="exact"/>
        <w:rPr>
          <w:sz w:val="20"/>
          <w:szCs w:val="20"/>
          <w:color w:val="auto"/>
        </w:rPr>
      </w:pPr>
    </w:p>
    <w:p>
      <w:pPr>
        <w:ind w:left="420" w:hanging="140"/>
        <w:spacing w:after="0"/>
        <w:tabs>
          <w:tab w:leader="none" w:pos="4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by will and by the laws of descent and distribution; and</w:t>
      </w:r>
    </w:p>
    <w:p>
      <w:pPr>
        <w:spacing w:after="0" w:line="168" w:lineRule="exact"/>
        <w:rPr>
          <w:rFonts w:ascii="Arial" w:cs="Arial" w:eastAsia="Arial" w:hAnsi="Arial"/>
          <w:sz w:val="12"/>
          <w:szCs w:val="12"/>
          <w:color w:val="auto"/>
        </w:rPr>
      </w:pPr>
    </w:p>
    <w:p>
      <w:pPr>
        <w:ind w:right="1460" w:firstLine="280"/>
        <w:spacing w:after="0" w:line="516" w:lineRule="auto"/>
        <w:tabs>
          <w:tab w:leader="none" w:pos="423" w:val="left"/>
        </w:tabs>
        <w:numPr>
          <w:ilvl w:val="0"/>
          <w:numId w:val="65"/>
        </w:numPr>
        <w:rPr>
          <w:rFonts w:ascii="Arial" w:cs="Arial" w:eastAsia="Arial" w:hAnsi="Arial"/>
          <w:sz w:val="12"/>
          <w:szCs w:val="12"/>
          <w:color w:val="auto"/>
        </w:rPr>
      </w:pPr>
      <w:r>
        <w:rPr>
          <w:rFonts w:ascii="Arial" w:cs="Arial" w:eastAsia="Arial" w:hAnsi="Arial"/>
          <w:sz w:val="12"/>
          <w:szCs w:val="12"/>
          <w:color w:val="auto"/>
        </w:rPr>
        <w:t>during the lifetime of the participant, to the extent and in the manner authorized by the Administrator by gift or pursuant to a domestic relations order to members of the participant’s immediate family. The 2008 Plan permits the designation of beneficiaries by holders of awards, including incentive stock options.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92" w:lineRule="exact"/>
        <w:rPr>
          <w:sz w:val="20"/>
          <w:szCs w:val="20"/>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14"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operating margin;</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gross margin;</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return on equity;</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return on assets;</w:t>
      </w:r>
    </w:p>
    <w:p>
      <w:pPr>
        <w:spacing w:after="0" w:line="6" w:lineRule="exact"/>
        <w:rPr>
          <w:rFonts w:ascii="Arial" w:cs="Arial" w:eastAsia="Arial" w:hAnsi="Arial"/>
          <w:sz w:val="12"/>
          <w:szCs w:val="12"/>
          <w:color w:val="auto"/>
        </w:rPr>
      </w:pPr>
    </w:p>
    <w:p>
      <w:pPr>
        <w:ind w:left="1480" w:hanging="794"/>
        <w:spacing w:after="0"/>
        <w:tabs>
          <w:tab w:leader="none" w:pos="14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return on investment;</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operating income;</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net operating income;</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pre-tax profit;</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cash flow;</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revenue;</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expenses;</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earnings before interest, taxes and depreciation;</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economic value added; and</w:t>
      </w:r>
    </w:p>
    <w:p>
      <w:pPr>
        <w:spacing w:after="0" w:line="6" w:lineRule="exact"/>
        <w:rPr>
          <w:rFonts w:ascii="Arial" w:cs="Arial" w:eastAsia="Arial" w:hAnsi="Arial"/>
          <w:sz w:val="12"/>
          <w:szCs w:val="12"/>
          <w:color w:val="auto"/>
        </w:rPr>
      </w:pPr>
    </w:p>
    <w:p>
      <w:pPr>
        <w:ind w:left="1440" w:hanging="727"/>
        <w:spacing w:after="0"/>
        <w:tabs>
          <w:tab w:leader="none" w:pos="14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3" w:name="page144"/>
    <w:bookmarkEnd w:id="143"/>
    <w:p>
      <w:pPr>
        <w:jc w:val="both"/>
        <w:spacing w:after="0" w:line="298" w:lineRule="auto"/>
        <w:rPr>
          <w:sz w:val="20"/>
          <w:szCs w:val="20"/>
          <w:color w:val="auto"/>
        </w:rPr>
      </w:pPr>
      <w:r>
        <w:rPr>
          <w:rFonts w:ascii="Arial" w:cs="Arial" w:eastAsia="Arial" w:hAnsi="Arial"/>
          <w:sz w:val="11"/>
          <w:szCs w:val="11"/>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Under our 2008 Plan, a Corporate Transaction is generally defined as:</w:t>
      </w:r>
    </w:p>
    <w:p>
      <w:pPr>
        <w:spacing w:after="0" w:line="150" w:lineRule="exact"/>
        <w:rPr>
          <w:sz w:val="20"/>
          <w:szCs w:val="20"/>
          <w:color w:val="auto"/>
        </w:rPr>
      </w:pPr>
    </w:p>
    <w:p>
      <w:pPr>
        <w:ind w:left="460" w:right="20" w:hanging="259"/>
        <w:spacing w:after="0" w:line="276" w:lineRule="auto"/>
        <w:tabs>
          <w:tab w:leader="none" w:pos="460" w:val="left"/>
        </w:tabs>
        <w:numPr>
          <w:ilvl w:val="3"/>
          <w:numId w:val="67"/>
        </w:numPr>
        <w:rPr>
          <w:rFonts w:ascii="Arial" w:cs="Arial" w:eastAsia="Arial" w:hAnsi="Arial"/>
          <w:sz w:val="12"/>
          <w:szCs w:val="12"/>
          <w:color w:val="auto"/>
        </w:rPr>
      </w:pPr>
      <w:r>
        <w:rPr>
          <w:rFonts w:ascii="Arial" w:cs="Arial" w:eastAsia="Arial" w:hAnsi="Arial"/>
          <w:sz w:val="12"/>
          <w:szCs w:val="12"/>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14" w:lineRule="exact"/>
        <w:rPr>
          <w:rFonts w:ascii="Arial" w:cs="Arial" w:eastAsia="Arial" w:hAnsi="Arial"/>
          <w:sz w:val="12"/>
          <w:szCs w:val="12"/>
          <w:color w:val="auto"/>
        </w:rPr>
      </w:pPr>
    </w:p>
    <w:p>
      <w:pPr>
        <w:jc w:val="both"/>
        <w:ind w:left="340" w:right="20" w:hanging="198"/>
        <w:spacing w:after="0" w:line="263" w:lineRule="auto"/>
        <w:tabs>
          <w:tab w:leader="none" w:pos="340" w:val="left"/>
        </w:tabs>
        <w:numPr>
          <w:ilvl w:val="2"/>
          <w:numId w:val="67"/>
        </w:numPr>
        <w:rPr>
          <w:rFonts w:ascii="Arial" w:cs="Arial" w:eastAsia="Arial" w:hAnsi="Arial"/>
          <w:sz w:val="12"/>
          <w:szCs w:val="12"/>
          <w:color w:val="auto"/>
        </w:rPr>
      </w:pPr>
      <w:r>
        <w:rPr>
          <w:rFonts w:ascii="Arial" w:cs="Arial" w:eastAsia="Arial" w:hAnsi="Arial"/>
          <w:sz w:val="12"/>
          <w:szCs w:val="12"/>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40" w:lineRule="exact"/>
        <w:rPr>
          <w:rFonts w:ascii="Arial" w:cs="Arial" w:eastAsia="Arial" w:hAnsi="Arial"/>
          <w:sz w:val="12"/>
          <w:szCs w:val="12"/>
          <w:color w:val="auto"/>
        </w:rPr>
      </w:pPr>
    </w:p>
    <w:p>
      <w:pPr>
        <w:ind w:left="220" w:hanging="141"/>
        <w:spacing w:after="0"/>
        <w:tabs>
          <w:tab w:leader="none" w:pos="2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 sale, transfer or other disposition of all or substantially all of the assets of our Corporation;</w:t>
      </w:r>
    </w:p>
    <w:p>
      <w:pPr>
        <w:spacing w:after="0" w:line="168" w:lineRule="exact"/>
        <w:rPr>
          <w:rFonts w:ascii="Arial" w:cs="Arial" w:eastAsia="Arial" w:hAnsi="Arial"/>
          <w:sz w:val="12"/>
          <w:szCs w:val="12"/>
          <w:color w:val="auto"/>
        </w:rPr>
      </w:pPr>
    </w:p>
    <w:p>
      <w:pPr>
        <w:ind w:left="300" w:hanging="176"/>
        <w:spacing w:after="0"/>
        <w:tabs>
          <w:tab w:leader="none" w:pos="300" w:val="left"/>
        </w:tabs>
        <w:numPr>
          <w:ilvl w:val="1"/>
          <w:numId w:val="67"/>
        </w:numPr>
        <w:rPr>
          <w:rFonts w:ascii="Arial" w:cs="Arial" w:eastAsia="Arial" w:hAnsi="Arial"/>
          <w:sz w:val="12"/>
          <w:szCs w:val="12"/>
          <w:color w:val="auto"/>
        </w:rPr>
      </w:pPr>
      <w:r>
        <w:rPr>
          <w:rFonts w:ascii="Arial" w:cs="Arial" w:eastAsia="Arial" w:hAnsi="Arial"/>
          <w:sz w:val="12"/>
          <w:szCs w:val="12"/>
          <w:color w:val="auto"/>
        </w:rPr>
        <w:t>a merger or consolidation in which our Corporation is not the surviving entity; or</w:t>
      </w:r>
    </w:p>
    <w:p>
      <w:pPr>
        <w:spacing w:after="0" w:line="168" w:lineRule="exact"/>
        <w:rPr>
          <w:rFonts w:ascii="Arial" w:cs="Arial" w:eastAsia="Arial" w:hAnsi="Arial"/>
          <w:sz w:val="12"/>
          <w:szCs w:val="12"/>
          <w:color w:val="auto"/>
        </w:rPr>
      </w:pPr>
    </w:p>
    <w:p>
      <w:pPr>
        <w:ind w:left="300" w:hanging="176"/>
        <w:spacing w:after="0"/>
        <w:tabs>
          <w:tab w:leader="none" w:pos="300" w:val="left"/>
        </w:tabs>
        <w:numPr>
          <w:ilvl w:val="1"/>
          <w:numId w:val="67"/>
        </w:numPr>
        <w:rPr>
          <w:rFonts w:ascii="Arial" w:cs="Arial" w:eastAsia="Arial" w:hAnsi="Arial"/>
          <w:sz w:val="12"/>
          <w:szCs w:val="12"/>
          <w:color w:val="auto"/>
        </w:rPr>
      </w:pPr>
      <w:r>
        <w:rPr>
          <w:rFonts w:ascii="Arial" w:cs="Arial" w:eastAsia="Arial" w:hAnsi="Arial"/>
          <w:sz w:val="12"/>
          <w:szCs w:val="12"/>
          <w:color w:val="auto"/>
        </w:rPr>
        <w:t>a complete liquidation or dissolution.</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shareholders accept; (ii) or a change in the composition of our Board of Directors over a period of 12 months or less.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2014, we have options to purchase an aggregate of 3,964,800 restricted shares of common stock outstanding under our 2008 Plan.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44" w:name="page145"/>
    <w:bookmarkEnd w:id="144"/>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1999 Plan permitted VistaGen California to make grants of incentive stock options, non-qualified stock options and restricted stock awards. VistaGen California initially reserved 450,000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shareholder)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2014, we have options outstanding under the 1999 Plan to purchase an aggregate of 284,471 restricted shares of our common stock.</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45" w:name="page146"/>
    <w:bookmarkEnd w:id="145"/>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of Securities to Cato Holding Company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Cato Holding Company (</w:t>
      </w:r>
      <w:r>
        <w:rPr>
          <w:rFonts w:ascii="Arial" w:cs="Arial" w:eastAsia="Arial" w:hAnsi="Arial"/>
          <w:sz w:val="12"/>
          <w:szCs w:val="12"/>
          <w:i w:val="1"/>
          <w:iCs w:val="1"/>
          <w:color w:val="auto"/>
        </w:rPr>
        <w:t>CHC</w:t>
      </w:r>
      <w:r>
        <w:rPr>
          <w:rFonts w:ascii="Arial" w:cs="Arial" w:eastAsia="Arial" w:hAnsi="Arial"/>
          <w:sz w:val="12"/>
          <w:szCs w:val="12"/>
          <w:color w:val="auto"/>
        </w:rPr>
        <w:t>),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of our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us $352,300 under the terms of a Promissory Note (</w:t>
      </w:r>
      <w:r>
        <w:rPr>
          <w:rFonts w:ascii="Arial" w:cs="Arial" w:eastAsia="Arial" w:hAnsi="Arial"/>
          <w:sz w:val="12"/>
          <w:szCs w:val="12"/>
          <w:i w:val="1"/>
          <w:iCs w:val="1"/>
          <w:color w:val="auto"/>
        </w:rPr>
        <w:t>2011 CHC Note</w:t>
      </w:r>
      <w:r>
        <w:rPr>
          <w:rFonts w:ascii="Arial" w:cs="Arial" w:eastAsia="Arial" w:hAnsi="Arial"/>
          <w:sz w:val="12"/>
          <w:szCs w:val="12"/>
          <w:color w:val="auto"/>
        </w:rPr>
        <w:t>). On October 10, 2012, we agreed with CHC to cancel the 2011 CHC Note and exchange it for a new unsecured promissory note in the principal amount of $310,400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our common stock at a price of $1.50 per share (</w:t>
      </w:r>
      <w:r>
        <w:rPr>
          <w:rFonts w:ascii="Arial" w:cs="Arial" w:eastAsia="Arial" w:hAnsi="Arial"/>
          <w:sz w:val="12"/>
          <w:szCs w:val="12"/>
          <w:i w:val="1"/>
          <w:iCs w:val="1"/>
          <w:color w:val="auto"/>
        </w:rPr>
        <w:t>CHC Warrant</w:t>
      </w:r>
      <w:r>
        <w:rPr>
          <w:rFonts w:ascii="Arial" w:cs="Arial" w:eastAsia="Arial" w:hAnsi="Arial"/>
          <w:sz w:val="12"/>
          <w:szCs w:val="12"/>
          <w:color w:val="auto"/>
        </w:rPr>
        <w:t>). Additionally, on October 10, 2012, we issued to CRL: (i) an unsecured promissory note in the initial principal amount of $1,009,000, which is payable solely in restricted shares of our common stock and which accrues interest at the rate of 7.5% per annum, compounded monthly (</w:t>
      </w:r>
      <w:r>
        <w:rPr>
          <w:rFonts w:ascii="Arial" w:cs="Arial" w:eastAsia="Arial" w:hAnsi="Arial"/>
          <w:sz w:val="12"/>
          <w:szCs w:val="12"/>
          <w:i w:val="1"/>
          <w:iCs w:val="1"/>
          <w:color w:val="auto"/>
        </w:rPr>
        <w:t>CRL</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as payment in full for all contract research and development services and regulatory advice rendered by CRL to us through December 31, 2012 with respect to the preclinical and clinical development of AV-101, and (ii) a five-year</w:t>
      </w:r>
      <w:r>
        <w:rPr>
          <w:rFonts w:ascii="Arial" w:cs="Arial" w:eastAsia="Arial" w:hAnsi="Arial"/>
          <w:sz w:val="12"/>
          <w:szCs w:val="12"/>
          <w:i w:val="1"/>
          <w:iCs w:val="1"/>
          <w:color w:val="auto"/>
        </w:rPr>
        <w:t xml:space="preserve"> </w:t>
      </w:r>
      <w:r>
        <w:rPr>
          <w:rFonts w:ascii="Arial" w:cs="Arial" w:eastAsia="Arial" w:hAnsi="Arial"/>
          <w:sz w:val="12"/>
          <w:szCs w:val="12"/>
          <w:color w:val="auto"/>
        </w:rPr>
        <w:t>warrant to purchase, at a price of $1.00 per share, 1,009,000 restricted shares of our common stock. Total interest expense on notes payable to CHC and CRL was $167,900 and $101,700 for the fiscal years ended March 31, 2014 and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Research and Development Agreement with Cato Research Ltd.</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During fiscal year 2007, we entered into a contract research organization arrangement with CRL related to the development of AV-101, under which we incurred expenses of $52,500 and $703,800 for the fiscal years ended March 31, 2014 and 2013, respectively, with a substantial portion of the fiscal year 2013 expense reimbursed under the NIH grant.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 Receivable from Shawn K. Singh, JD and Advances to us by Mr. Singh</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we had accrued $101,900 as an estimate of the gross-up amount payable to Mr. Singh, but we had not yet paid it to Mr. Singh.</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46" w:name="page147"/>
    <w:bookmarkEnd w:id="146"/>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2014, we have partially repaid Mr. Singh the remaining balance of the advances.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Fees and Services</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OUM &amp; Co. LLP (</w:t>
      </w:r>
      <w:r>
        <w:rPr>
          <w:rFonts w:ascii="Arial" w:cs="Arial" w:eastAsia="Arial" w:hAnsi="Arial"/>
          <w:sz w:val="12"/>
          <w:szCs w:val="12"/>
          <w:i w:val="1"/>
          <w:iCs w:val="1"/>
          <w:color w:val="auto"/>
        </w:rPr>
        <w:t>OUM</w:t>
      </w:r>
      <w:r>
        <w:rPr>
          <w:rFonts w:ascii="Arial" w:cs="Arial" w:eastAsia="Arial" w:hAnsi="Arial"/>
          <w:sz w:val="12"/>
          <w:szCs w:val="12"/>
          <w:color w:val="auto"/>
        </w:rPr>
        <w:t>) served as our independent registered public accounting firm for the fiscal years ended March 31, 2014 and March 31, 2013. Information provided below includes fees for professional services provided to us by OUM for the fiscal years ended March 31, 2014 and 2013.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1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2"/>
                <w:szCs w:val="12"/>
                <w:color w:val="auto"/>
              </w:rPr>
              <w:t>Fiscal Years Ended March 31,</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2013</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Audit fees</w:t>
            </w:r>
          </w:p>
        </w:tc>
        <w:tc>
          <w:tcPr>
            <w:tcW w:w="740" w:type="dxa"/>
            <w:vAlign w:val="bottom"/>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172,500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167,500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Audit-related fees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4,600</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Tax fees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12,643</w:t>
            </w: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All other fees</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fees</w:t>
            </w:r>
          </w:p>
        </w:tc>
        <w:tc>
          <w:tcPr>
            <w:tcW w:w="740" w:type="dxa"/>
            <w:vAlign w:val="bottom"/>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189,743</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186,247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 Fees: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Audit fees include fees billed for the annual audit of the Company’s financial statements and quarterly reviews for the fiscal years ended March 31, 2014 and 2013, and for services normally provided by OUM in connection with routine statutory and regulatory filings or engagements.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7" w:name="page148"/>
    <w:bookmarkEnd w:id="147"/>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Audit-Related Fees: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Audit- related fees includes fees billed for assurance and related services that are reasonably related to the performance of the annual audit or reviews of the Company’s financial statements and are not reported under “Audit Fees.” During the fiscal years ended March 31, 2014 or 2013, no such fees were billed by OUM.</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Fees: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Tax fees include fees for professional services for tax compliance, tax advice and tax planning for the tax years ended March 31, 2014 and 2013.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All Other Fees: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All other fees include fees for products and services other than those described above. During the fiscal years ended March 31, 2014 and 2013, no such fees were billed by OUM.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Pre-Approval of Audit and Non-Audit Services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All auditing services and non-audit services provided to us by our independent registered public accounting firm are required to be pre-approved by the Audit Committee. OUM did not provide any audit-related or other services in fiscal 2014 and 2013. The pre-approval of non-audit services to be provided by OUM includes making a determination that the provision of the services is compatible with maintaining the independence of OUM as an independent registered public accounting firm and would be approved in accordance with SEC rules for maintaining auditor independence. None of the fees outlined above were approved using the “de minimis exception” under SEC rules.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the Audit Committee of the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The Audit Committee has reviewed and discussed with management and OUM &amp; Co. LLP (</w:t>
      </w:r>
      <w:r>
        <w:rPr>
          <w:rFonts w:ascii="Arial" w:cs="Arial" w:eastAsia="Arial" w:hAnsi="Arial"/>
          <w:sz w:val="11"/>
          <w:szCs w:val="11"/>
          <w:i w:val="1"/>
          <w:iCs w:val="1"/>
          <w:color w:val="auto"/>
        </w:rPr>
        <w:t>OUM</w:t>
      </w:r>
      <w:r>
        <w:rPr>
          <w:rFonts w:ascii="Arial" w:cs="Arial" w:eastAsia="Arial" w:hAnsi="Arial"/>
          <w:sz w:val="11"/>
          <w:szCs w:val="11"/>
          <w:color w:val="auto"/>
        </w:rPr>
        <w:t>), our independent registered public accounting firm, the audited consolidated financial statements in the VistaGen Therapeutics, Inc.</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Annual Report on Form 10-K for the year ended March 31, 2014. The Audit Committee has also discussed with OUM those matters required to be discussed by Public Company Accounting Oversight Board Auditing Standard No. 16.</w:t>
      </w:r>
    </w:p>
    <w:p>
      <w:pPr>
        <w:spacing w:after="0" w:line="17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2014.</w:t>
      </w:r>
    </w:p>
    <w:p>
      <w:pPr>
        <w:spacing w:after="0" w:line="133" w:lineRule="exact"/>
        <w:rPr>
          <w:sz w:val="20"/>
          <w:szCs w:val="20"/>
          <w:color w:val="auto"/>
        </w:rPr>
      </w:pPr>
    </w:p>
    <w:p>
      <w:pPr>
        <w:ind w:left="3720"/>
        <w:spacing w:after="0"/>
        <w:rPr>
          <w:sz w:val="20"/>
          <w:szCs w:val="20"/>
          <w:color w:val="auto"/>
        </w:rPr>
      </w:pPr>
      <w:r>
        <w:rPr>
          <w:rFonts w:ascii="Arial" w:cs="Arial" w:eastAsia="Arial" w:hAnsi="Arial"/>
          <w:sz w:val="12"/>
          <w:szCs w:val="12"/>
          <w:color w:val="auto"/>
        </w:rPr>
        <w:t>Respectfully Submitted by:</w:t>
      </w:r>
    </w:p>
    <w:p>
      <w:pPr>
        <w:spacing w:after="0" w:line="168" w:lineRule="exact"/>
        <w:rPr>
          <w:sz w:val="20"/>
          <w:szCs w:val="20"/>
          <w:color w:val="auto"/>
        </w:rPr>
      </w:pPr>
    </w:p>
    <w:p>
      <w:pPr>
        <w:ind w:left="3720"/>
        <w:spacing w:after="0"/>
        <w:rPr>
          <w:sz w:val="20"/>
          <w:szCs w:val="20"/>
          <w:color w:val="auto"/>
        </w:rPr>
      </w:pPr>
      <w:r>
        <w:rPr>
          <w:rFonts w:ascii="Arial" w:cs="Arial" w:eastAsia="Arial" w:hAnsi="Arial"/>
          <w:sz w:val="12"/>
          <w:szCs w:val="12"/>
          <w:color w:val="auto"/>
        </w:rPr>
        <w:t>MEMBERS OF THE AUDIT COMMITTEE</w:t>
      </w:r>
    </w:p>
    <w:p>
      <w:pPr>
        <w:spacing w:after="0" w:line="15" w:lineRule="exact"/>
        <w:rPr>
          <w:sz w:val="20"/>
          <w:szCs w:val="20"/>
          <w:color w:val="auto"/>
        </w:rPr>
      </w:pPr>
    </w:p>
    <w:p>
      <w:pPr>
        <w:ind w:left="3720"/>
        <w:spacing w:after="0"/>
        <w:rPr>
          <w:sz w:val="20"/>
          <w:szCs w:val="20"/>
          <w:color w:val="auto"/>
        </w:rPr>
      </w:pPr>
      <w:r>
        <w:rPr>
          <w:rFonts w:ascii="Arial" w:cs="Arial" w:eastAsia="Arial" w:hAnsi="Arial"/>
          <w:sz w:val="12"/>
          <w:szCs w:val="12"/>
          <w:color w:val="auto"/>
        </w:rPr>
        <w:t>Jon S. Saxe, Audit Committee Chairman</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2"/>
          <w:szCs w:val="12"/>
          <w:color w:val="auto"/>
        </w:rPr>
        <w:t>Brian J. Underdown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Dated: June 23, 2014</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information contained above under the caption “Report of the Audit Committee of the Board of Directors” shall not be deemed to be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8" w:name="page149"/>
    <w:bookmarkEnd w:id="148"/>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IV</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(a)(1)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See Index to Financial Statements under Item 8 on page 67.</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(a)(2) Consolidated Financial Statement Schedules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(a)(3) Exhibits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exhibits listed in the Exhibit Index below are filed or incorporated by reference as part of this report.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580" w:type="dxa"/>
            <w:vAlign w:val="bottom"/>
            <w:gridSpan w:val="2"/>
          </w:tcPr>
          <w:p>
            <w:pPr>
              <w:ind w:left="4500"/>
              <w:spacing w:after="0"/>
              <w:rPr>
                <w:sz w:val="20"/>
                <w:szCs w:val="20"/>
                <w:color w:val="auto"/>
              </w:rPr>
            </w:pPr>
            <w:r>
              <w:rPr>
                <w:rFonts w:ascii="Arial" w:cs="Arial" w:eastAsia="Arial" w:hAnsi="Arial"/>
                <w:sz w:val="12"/>
                <w:szCs w:val="12"/>
                <w:b w:val="1"/>
                <w:bCs w:val="1"/>
                <w:color w:val="auto"/>
              </w:rPr>
              <w:t>Exhibit Index</w:t>
            </w:r>
          </w:p>
        </w:tc>
      </w:tr>
      <w:tr>
        <w:trPr>
          <w:trHeight w:val="162"/>
        </w:trPr>
        <w:tc>
          <w:tcPr>
            <w:tcW w:w="900" w:type="dxa"/>
            <w:vAlign w:val="bottom"/>
            <w:gridSpan w:val="2"/>
          </w:tcPr>
          <w:p>
            <w:pPr>
              <w:spacing w:after="0"/>
              <w:rPr>
                <w:sz w:val="14"/>
                <w:szCs w:val="14"/>
                <w:color w:val="auto"/>
              </w:rPr>
            </w:pPr>
          </w:p>
        </w:tc>
        <w:tc>
          <w:tcPr>
            <w:tcW w:w="10580" w:type="dxa"/>
            <w:vAlign w:val="bottom"/>
            <w:gridSpan w:val="2"/>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880" w:type="dxa"/>
            <w:vAlign w:val="bottom"/>
            <w:tcBorders>
              <w:top w:val="single" w:sz="8" w:color="4F81BD"/>
              <w:bottom w:val="single" w:sz="8" w:color="auto"/>
            </w:tcBorders>
          </w:tcPr>
          <w:p>
            <w:pPr>
              <w:spacing w:after="0" w:line="133" w:lineRule="exact"/>
              <w:rPr>
                <w:sz w:val="20"/>
                <w:szCs w:val="20"/>
                <w:color w:val="auto"/>
              </w:rPr>
            </w:pPr>
            <w:r>
              <w:rPr>
                <w:rFonts w:ascii="Arial" w:cs="Arial" w:eastAsia="Arial" w:hAnsi="Arial"/>
                <w:sz w:val="12"/>
                <w:szCs w:val="12"/>
                <w:color w:val="auto"/>
              </w:rPr>
              <w:t>Exhibit No.</w:t>
            </w:r>
          </w:p>
        </w:tc>
        <w:tc>
          <w:tcPr>
            <w:tcW w:w="10460" w:type="dxa"/>
            <w:vAlign w:val="bottom"/>
            <w:tcBorders>
              <w:top w:val="single" w:sz="8" w:color="4F81BD"/>
              <w:bottom w:val="single" w:sz="8" w:color="auto"/>
            </w:tcBorders>
          </w:tcPr>
          <w:p>
            <w:pPr>
              <w:ind w:left="360"/>
              <w:spacing w:after="0" w:line="133" w:lineRule="exact"/>
              <w:rPr>
                <w:sz w:val="20"/>
                <w:szCs w:val="20"/>
                <w:color w:val="auto"/>
              </w:rPr>
            </w:pPr>
            <w:r>
              <w:rPr>
                <w:rFonts w:ascii="Arial" w:cs="Arial" w:eastAsia="Arial" w:hAnsi="Arial"/>
                <w:sz w:val="12"/>
                <w:szCs w:val="12"/>
                <w:color w:val="auto"/>
              </w:rPr>
              <w:t>Description*</w:t>
            </w:r>
          </w:p>
        </w:tc>
        <w:tc>
          <w:tcPr>
            <w:tcW w:w="1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2.1 *</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Agreement and Plan of Merger by and among Excaliber Enterprises, Ltd., VistaGen Therapeutics, Inc. and Excaliber Merger Subsidiary, Inc.</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3.1 *</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Articles of Incorporation, dated October 6, 2005.</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3.2</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w w:val="97"/>
              </w:rPr>
              <w:t>Certificate of Amendment filed with the Nevada Secretary of State on December 6, 2011, incorporated by reference from Exhibit 3.3 to the Company's Annual Report on Form 10-K, filed July 2, 2012.</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3.3</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Amended and Restated Bylaws as of February 5, 2014, incorporated by reference from the Company’s Report on Form 8-K filed on February 7, 2014.</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3.4</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Bylaws in effect.as of May 11, 2011, incorporated by reference from the document filed as Exhibit 3.2 in the Company’s Current Report on Form 8-K filed on May 16, 2011.</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3.5</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Articles of Merger filed with the Nevada Secretary of State on May 24, 2011, incorporated by reference from Exhibit 3.1 to the Company's Current Report on Form 8-K filed on May 31, 2011.</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3.6</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Certificate of Designations Series A Preferred, incorporated by reference from Exhibit 3.1 to the Company’s Current Report on Form 8-K filed on December 23, 2011.</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10.1 *</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VistaGen’s 1999 Stock Incentive Plan.</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10.2 *</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Form of Option Agreement under VistaGen’s 1999 Stock Incentive Plan.</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10.5 *</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VistaGen’s 2008 Stock Incentive Plan.</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10.6 *</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Form of Option Agreement under VistaGen’s 2008 Stock Incentive Plan.</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10.20 *</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Strategic Development Services Agreement, dated February 26, 2007, by and between VistaGen and Cato Research Ltd.</w:t>
            </w: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10.21 *</w:t>
            </w:r>
          </w:p>
        </w:tc>
        <w:tc>
          <w:tcPr>
            <w:tcW w:w="1058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2"/>
                <w:szCs w:val="12"/>
                <w:color w:val="auto"/>
                <w:w w:val="91"/>
              </w:rPr>
              <w:t>License Agreement by and between National Jewish Medical and Research Center and VistaGen, dated July 12, 1999, as amended by that certain Amendment to License Agreement dated January 25, 2001, as</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w w:val="91"/>
              </w:rPr>
              <w:t>amended by that certain Second Amendment to License Agreement dated November 6, 2002, as amended by that certain Third Amendment to License Agreement dated March 1, 2003, and as amended by that</w:t>
            </w: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certain Fourth Amendment to License Agreement dated April 15, 2010.</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10.22 *</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License Agreement by and between Mount Sinai School of Medicine of New York University and the Company, dated October 1, 2004.</w:t>
            </w:r>
          </w:p>
        </w:tc>
      </w:tr>
      <w:tr>
        <w:trPr>
          <w:trHeight w:val="135"/>
        </w:trPr>
        <w:tc>
          <w:tcPr>
            <w:tcW w:w="20" w:type="dxa"/>
            <w:vAlign w:val="bottom"/>
          </w:tcPr>
          <w:p>
            <w:pPr>
              <w:spacing w:after="0"/>
              <w:rPr>
                <w:sz w:val="11"/>
                <w:szCs w:val="11"/>
                <w:color w:val="auto"/>
              </w:rPr>
            </w:pPr>
          </w:p>
        </w:tc>
        <w:tc>
          <w:tcPr>
            <w:tcW w:w="8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10.23 *</w:t>
            </w:r>
          </w:p>
        </w:tc>
        <w:tc>
          <w:tcPr>
            <w:tcW w:w="1058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2"/>
                <w:szCs w:val="12"/>
                <w:color w:val="auto"/>
                <w:w w:val="91"/>
              </w:rPr>
              <w:t>Non-Exclusive License Agreement, dated December 5, 2008, by and between VistaGen and Wisconsin Alumni Research Foundation, as amended by that certain Wisconsin Materials Addendum, dated February</w:t>
            </w:r>
          </w:p>
        </w:tc>
      </w:tr>
      <w:tr>
        <w:trPr>
          <w:trHeight w:val="153"/>
        </w:trPr>
        <w:tc>
          <w:tcPr>
            <w:tcW w:w="20" w:type="dxa"/>
            <w:vAlign w:val="bottom"/>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4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2, 2009.</w:t>
            </w:r>
          </w:p>
        </w:tc>
        <w:tc>
          <w:tcPr>
            <w:tcW w:w="12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line="136" w:lineRule="exact"/>
              <w:rPr>
                <w:sz w:val="20"/>
                <w:szCs w:val="20"/>
                <w:color w:val="auto"/>
              </w:rPr>
            </w:pPr>
            <w:r>
              <w:rPr>
                <w:rFonts w:ascii="Arial" w:cs="Arial" w:eastAsia="Arial" w:hAnsi="Arial"/>
                <w:sz w:val="12"/>
                <w:szCs w:val="12"/>
                <w:color w:val="auto"/>
              </w:rPr>
              <w:t>10.24 *</w:t>
            </w:r>
          </w:p>
        </w:tc>
        <w:tc>
          <w:tcPr>
            <w:tcW w:w="10580" w:type="dxa"/>
            <w:vAlign w:val="bottom"/>
            <w:gridSpan w:val="2"/>
          </w:tcPr>
          <w:p>
            <w:pPr>
              <w:ind w:left="360"/>
              <w:spacing w:after="0" w:line="136" w:lineRule="exact"/>
              <w:rPr>
                <w:sz w:val="20"/>
                <w:szCs w:val="20"/>
                <w:color w:val="auto"/>
              </w:rPr>
            </w:pPr>
            <w:r>
              <w:rPr>
                <w:rFonts w:ascii="Arial" w:cs="Arial" w:eastAsia="Arial" w:hAnsi="Arial"/>
                <w:sz w:val="12"/>
                <w:szCs w:val="12"/>
                <w:color w:val="auto"/>
                <w:w w:val="92"/>
              </w:rPr>
              <w:t>Sponsored Research Collaboration Agreement, dated September 18, 2007, between VistaGen and University Health Network, as amended by that certain Amendment No. 1 and Amendment No. 2, dated April</w:t>
            </w:r>
          </w:p>
        </w:tc>
      </w:tr>
      <w:tr>
        <w:trPr>
          <w:trHeight w:val="153"/>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19, 2010 and December 15, 2010, respectively.</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10.26 *</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License Agreement, dated October 24, 2001, by and between the University of Maryland, Baltimore, Cornell Research Foundation and Artemis Neuroscience, Inc.</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10.27 *</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Non-exclusive License Agreement, dated September 1, 2010, by and between VistaGen and TET Systems GmbH &amp; Co. KG.</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10.31 *</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Unsecured Promissory Note dated April 28, 2011 issued by VistaGen to Desjardins Securities.</w:t>
            </w: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10.32 *</w:t>
            </w:r>
          </w:p>
        </w:tc>
        <w:tc>
          <w:tcPr>
            <w:tcW w:w="10580" w:type="dxa"/>
            <w:vAlign w:val="bottom"/>
            <w:gridSpan w:val="2"/>
          </w:tcPr>
          <w:p>
            <w:pPr>
              <w:ind w:left="360"/>
              <w:spacing w:after="0"/>
              <w:rPr>
                <w:sz w:val="20"/>
                <w:szCs w:val="20"/>
                <w:color w:val="auto"/>
              </w:rPr>
            </w:pPr>
            <w:r>
              <w:rPr>
                <w:rFonts w:ascii="Arial" w:cs="Arial" w:eastAsia="Arial" w:hAnsi="Arial"/>
                <w:sz w:val="12"/>
                <w:szCs w:val="12"/>
                <w:color w:val="auto"/>
              </w:rPr>
              <w:t>Unsecured Promissory Note dated April 28, 2011 issued by VistaGen to McCarthy Tetrault LLP.</w:t>
            </w:r>
          </w:p>
        </w:tc>
      </w:tr>
      <w:tr>
        <w:trPr>
          <w:trHeight w:val="144"/>
        </w:trPr>
        <w:tc>
          <w:tcPr>
            <w:tcW w:w="2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10.34 *</w:t>
            </w:r>
          </w:p>
        </w:tc>
        <w:tc>
          <w:tcPr>
            <w:tcW w:w="10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Promissory Note dated February 25, 2010 issued by VistaGen to The Regents of the University of California.</w:t>
            </w:r>
          </w:p>
        </w:tc>
      </w:tr>
      <w:tr>
        <w:trPr>
          <w:trHeight w:val="4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60" w:type="dxa"/>
            <w:vAlign w:val="bottom"/>
          </w:tcPr>
          <w:p>
            <w:pPr>
              <w:ind w:left="4740"/>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24"/>
                <w:szCs w:val="24"/>
                <w:color w:val="auto"/>
              </w:rPr>
            </w:pPr>
          </w:p>
        </w:tc>
      </w:tr>
      <w:tr>
        <w:trPr>
          <w:trHeight w:val="76"/>
        </w:trPr>
        <w:tc>
          <w:tcPr>
            <w:tcW w:w="2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4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26"/>
        </w:trPr>
        <w:tc>
          <w:tcPr>
            <w:tcW w:w="100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0480" w:type="dxa"/>
            <w:vAlign w:val="bottom"/>
          </w:tcPr>
          <w:p>
            <w:pPr>
              <w:spacing w:after="0"/>
              <w:rPr>
                <w:sz w:val="10"/>
                <w:szCs w:val="10"/>
                <w:color w:val="auto"/>
              </w:rPr>
            </w:pPr>
          </w:p>
        </w:tc>
      </w:tr>
      <w:tr>
        <w:trPr>
          <w:trHeight w:val="313"/>
        </w:trPr>
        <w:tc>
          <w:tcPr>
            <w:tcW w:w="760" w:type="dxa"/>
            <w:vAlign w:val="bottom"/>
            <w:tcBorders>
              <w:top w:val="single" w:sz="8" w:color="0000EE"/>
            </w:tcBorders>
          </w:tcPr>
          <w:p>
            <w:pPr>
              <w:spacing w:after="0"/>
              <w:rPr>
                <w:sz w:val="20"/>
                <w:szCs w:val="20"/>
                <w:color w:val="auto"/>
              </w:rPr>
            </w:pPr>
            <w:r>
              <w:rPr>
                <w:rFonts w:ascii="Arial" w:cs="Arial" w:eastAsia="Arial" w:hAnsi="Arial"/>
                <w:sz w:val="12"/>
                <w:szCs w:val="12"/>
                <w:color w:val="auto"/>
              </w:rPr>
              <w:t>10.40 *</w:t>
            </w:r>
          </w:p>
        </w:tc>
        <w:tc>
          <w:tcPr>
            <w:tcW w:w="240" w:type="dxa"/>
            <w:vAlign w:val="bottom"/>
          </w:tcPr>
          <w:p>
            <w:pPr>
              <w:spacing w:after="0"/>
              <w:rPr>
                <w:sz w:val="24"/>
                <w:szCs w:val="24"/>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Employment Agreement, by and between, VistaGen and Shawn K. Singh, dated April 28, 2010, as amended May 9, 2011.</w:t>
            </w:r>
          </w:p>
        </w:tc>
      </w:tr>
      <w:tr>
        <w:trPr>
          <w:trHeight w:val="144"/>
        </w:trPr>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10.41 *</w:t>
            </w:r>
          </w:p>
        </w:tc>
        <w:tc>
          <w:tcPr>
            <w:tcW w:w="240" w:type="dxa"/>
            <w:vAlign w:val="bottom"/>
            <w:shd w:val="clear" w:color="auto" w:fill="CCEEFF"/>
          </w:tcPr>
          <w:p>
            <w:pPr>
              <w:spacing w:after="0"/>
              <w:rPr>
                <w:sz w:val="12"/>
                <w:szCs w:val="12"/>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Employment Agreement, by and between, VistaGen and H. Ralph Snodgrass, PhD, dated April 28, 2010, as amended May 9, 2011.</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10.46</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5"/>
              </w:rPr>
              <w:t>Notice of Award by National Institutes of Health, Small Business Innovation Research Program, to VistaGen Therapeutics, Inc. for project, Clinical Development of 4-CI-KYN to Treat Pain dated June 22,</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2009, with revisions dated July 19, 2010 and August 9, 2011, incorporated by reference from Exhibit 10.46 to the Company’s Current Report on Form 8-K/A filed on December 20, 2011.</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10.47</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4"/>
              </w:rPr>
              <w:t>Notice of Grant Award by California Institute of Regenerative Medicine and VistaGen Therapeutics, Inc. for Project: Development of an hES Cell-Based Assay System for Hepatocyte Differentiation Studies</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and Predictive Toxicology Drug Screening, dated April 1, 2009, incorporated by reference from Exhibit 10.47 to the Company’s Current Report on Form 8-K/A filed on December 20, 2011.</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10.48</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2"/>
              </w:rPr>
              <w:t>Amendment No. 4, dated October 24, 2011, to Sponsored Research Collaboration Agreement between VistaGen and University Health Network, incorporated by reference from Exhibit 10.2 to the Company’s</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Current Report on Form 8-K filed on November 30, 2011.</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10.49</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License Agreement No. 1, dated as of October 24, 2011 between University Health Network and VistaGen Therapeutics, Inc., incorporated by reference from Exhibit 10.1 to the Company’s Current Report on</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Form 8-K filed on November 30, 2011.</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10.50</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4"/>
              </w:rPr>
              <w:t>Strategic Medicinal Chemistry Services Agreement, dated as of December 6, 2011, between Synterys, Inc. and VistaGen Therapeutics, Inc., incorporated by reference from Exhibit 10.1 to the Company’s</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Current Report on Form 8-K filed on December 7, 2011.</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10.51</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5"/>
              </w:rPr>
              <w:t>Common Stock Exchange Agreement, dated as of December 22, 2011 between Platinum Long Term Growth VII, LLC and VistaGen Therapeutics, Inc., incorporated by reference from Exhibit 10.1 to the</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December 23, 2011.</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10.52</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4"/>
              </w:rPr>
              <w:t>Note and Warrant Exchange Agreement, dated as of December 28, 2011 between Platinum Long Term Growth VII, LLC and VistaGen Therapeutics, Inc., incorporated by reference from Exhibit 10.1 to the</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Current Report on Form 8-K filed on January 4, 2012.</w:t>
            </w:r>
          </w:p>
        </w:tc>
      </w:tr>
      <w:tr>
        <w:trPr>
          <w:trHeight w:val="144"/>
        </w:trPr>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10.55</w:t>
            </w:r>
          </w:p>
        </w:tc>
        <w:tc>
          <w:tcPr>
            <w:tcW w:w="240" w:type="dxa"/>
            <w:vAlign w:val="bottom"/>
            <w:shd w:val="clear" w:color="auto" w:fill="CCEEFF"/>
          </w:tcPr>
          <w:p>
            <w:pPr>
              <w:spacing w:after="0"/>
              <w:rPr>
                <w:sz w:val="12"/>
                <w:szCs w:val="12"/>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Form of Warrant to Purchase Common Stock, dated as of February 28, 2012, incorporated by reference from Exhibit 10.3 to the Company’s Current Report on Form 8-K filed on March 2, 2012.</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10.57</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License Agreement No. 2, dated as of March 19, 2012 between University Health Network and VistaGen Therapeutics, Inc., incorporated by reference from Exhibit 10.57 to the Company’s Annual Report on</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Form 10-K filed on July 2, 2012.</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10.58</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Exchange Agreement dated as of June 29, 2012 between Platinum Long Term Growth VII, LLC and VistaGen Therapeutics. Inc., incorporated by reference from Exhibit 10.58 to the Company’s Annual Report</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on Form 10-K filed on July 2, 2012.</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10.63</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4"/>
              </w:rPr>
              <w:t>Unsecured Promissory Note in the face amount of $1,000,000 issued to Morrison &amp; Foerster LLP on August 31, 2012 (Replacement Note A), incorporated by reference from Exhibit 10.3 to the Company’s</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Current Report on Form 8-K filed on September 6, 2012.</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10.64</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4"/>
              </w:rPr>
              <w:t>Unsecured Promissory Note in the face amount of $1,379,376 issued to Morrison &amp; Foerster LLP on August 31, 2012 (Replacement Note B), incorporated by reference from Exhibit 10.4 to the Company’s</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Current Report on Form 8-K filed on September 6, 2012.</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10.65</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Stock Purchase Warrant issued to Morrison &amp; Foerster LLP on August 31, 2012 to purchase 1,379,376 shares of the Company’s common stock (New Morrison &amp; Foerster Warrant), incorporated by reference</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from Exhibit 10.5 to the Company’s Current Report on Form 8-K filed on September 6, 2012.</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10.66</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1"/>
              </w:rPr>
              <w:t>Warrant to Purchase Common Stock issued to Morrison &amp; Foerster LLP on August 31, 2012 to purchase 425,000 shares of the Company’s common stock (Amended Morrison &amp; Foerster Warrant), incorporated</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by reference from Exhibit 10.6 to the Company’s Current Report on Form 8-K filed on September 6, 2012.</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10.67</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1"/>
              </w:rPr>
              <w:t>Note Exchange and Purchase Agreement dated as of October 11, 2012 by and between VistaGen Therapeutics, Inc. and Platinum Long Term Growth VII, LLP, incorporated by reference from Exhibit 10.1 to the</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10.68</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4"/>
              </w:rPr>
              <w:t>Form of Senior Secured Convertible Promissory Note issued to Platinum Long Term Growth VII, LLP under the Note Exchange and Purchase Agreement, incorporated by reference from Exhibit 10.2 to the</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10.69</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Form of Warrant to Purchase Shares of Common Stock issued to Platinum Long Term Growth VII, LLP under the Note Exchange and Purchase Agreement, incorporated by reference from Exhibit 10.3 to the</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r>
      <w:tr>
        <w:trPr>
          <w:trHeight w:val="40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80" w:type="dxa"/>
            <w:vAlign w:val="bottom"/>
          </w:tcPr>
          <w:p>
            <w:pPr>
              <w:ind w:left="4640"/>
              <w:spacing w:after="0"/>
              <w:rPr>
                <w:sz w:val="20"/>
                <w:szCs w:val="20"/>
                <w:color w:val="auto"/>
              </w:rPr>
            </w:pPr>
            <w:r>
              <w:rPr>
                <w:rFonts w:ascii="Arial" w:cs="Arial" w:eastAsia="Arial" w:hAnsi="Arial"/>
                <w:sz w:val="12"/>
                <w:szCs w:val="12"/>
                <w:color w:val="auto"/>
              </w:rPr>
              <w:t>-97-</w:t>
            </w:r>
          </w:p>
        </w:tc>
      </w:tr>
      <w:tr>
        <w:trPr>
          <w:trHeight w:val="76"/>
        </w:trPr>
        <w:tc>
          <w:tcPr>
            <w:tcW w:w="7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4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26"/>
        </w:trPr>
        <w:tc>
          <w:tcPr>
            <w:tcW w:w="1000" w:type="dxa"/>
            <w:vAlign w:val="bottom"/>
            <w:gridSpan w:val="3"/>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0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10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10.70</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6"/>
              </w:rPr>
              <w:t>Amended and Restated Security Agreement as of October 11, 2012 between VistaGen Therapeutics, Inc. and Platinum Long Term Growth VII, LLP, incorporated by reference from Exhibit 10.4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10.71</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Intellectual Property Security and Stock Pledge Agreement as of October 11, 2012 between VistaGen California and Platinum Long Term Growth VII, LLP, incorporated by reference from Exhibit 10.5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10.72</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Negative Covenant Agreement dated October 11, 2012 between VistaGen California, Artemis Neuroscience, Inc. and Platinum Long Term Growth VII, LLP, incorporated by reference from Exhibit 10.6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10.73</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2"/>
              </w:rPr>
              <w:t>Amendment to Note Exchange and Purchase Agreement as of November 14, 2012 between VistaGen Therapeutics Inc. and Platinum Long Term Growth VII, LLP, incorporated by reference from Exhibit 10.1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to the Company’s Current Report on Form 8-K filed on November 20,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10.75</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Amendment No. 2 to Note Exchange and Purchase Agreement as of January 31,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10.1 to the Company’s Quarterly Report on Form 10-Q filed on February 14,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10.76</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Amendment No. 3 to Note Exchange and Purchase Agreement as of February 22,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10.1 to the Company’s Current Report on Form 8-K filed on February 28,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10.77</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Form of Warrant to Purchase Common Stock issued to independent members of the Company’s Board of Directors and its executive officers on March 3, 2013,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the Company’s Current Report on Form 8-K filed on March 6,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10.78</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Securities Purchase Agreement between VistaGen Therapeutics, Inc., and Autilion AG dated April 8, 2013, incorporated by reference from Exhibit 10.1 to the Company’s Current Report on Form 8-K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10.79</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5"/>
              </w:rPr>
              <w:t>Voting Agreement between VistaGen Therapeutics, Inc., and Autilion AG dated April 8, 2013, incorporated by reference from Exhibit 10.2 to the Company’s Current Report on Form 8-K filed on April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10.80</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Note Conversion Agreement as of April 4, 2013 between VistaGen Therapeutics Inc. and Platinum Long Term Growth VII, LLP, incorporated by reference from Exhibit 10.3 to the Company’s Current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on Form 8-K filed on 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10.81</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Assignment and Assumption Agreement between Autilion AG and Bergamo Acquisition Corp. PTE LTD dated April 12, 2013, incorporated by reference from Exhibit 10.81 to the Company’s Annual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Form 10-K filed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10.82</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Amendment No. 1 to Securities Purchase Agreement dated April 30, 2013 between VistaGen Therapeutics, Inc. and Bergamo Acquisition Corp. PTE LTD,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May 1,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10.83</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Lease between Bayside Area Development, LLC and VistaGen Therapeutics, Inc. (California) dated April 24, 2013, incorporated by reference from Exhibit 10.83 to the Company’s Annual Report on Form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K filed July 18,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10.84</w:t>
            </w:r>
          </w:p>
        </w:tc>
        <w:tc>
          <w:tcPr>
            <w:tcW w:w="240" w:type="dxa"/>
            <w:vAlign w:val="bottom"/>
          </w:tcPr>
          <w:p>
            <w:pPr>
              <w:spacing w:after="0"/>
              <w:rPr>
                <w:sz w:val="12"/>
                <w:szCs w:val="12"/>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w w:val="92"/>
              </w:rPr>
              <w:t>Indemnification Agreement effective May 20, 2013 between the Company and Jon S. Saxe, incorporated by reference from Exhibit 10.84 to the Company's Annual Report on Form 10-K filed on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10.85</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Shawn K. Singh, incorporated by reference from Exhibit 10.85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10.86</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2"/>
              </w:rPr>
              <w:t>Indemnification Agreement effective May 20, 2013 between the Company and H. Ralph Snodgrass, incorporated by reference from Exhibit 10.86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10.87</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Indemnification Agreement effective May 20, 2013 between the Company and Brian J. Underdown, incorporated by reference from Exhibit 10.87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10.88</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Jerrold D. Dotson, incorporated by reference from Exhibit 10.88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10.89</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Amendment and Waiver effective May 24, 2013 between the Company and Platinum Long Term Growth VII, LLC, incorporated by reference from Exhibit 10.1 to the Company’s Current Report on Form 8-K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filed on June 3, 2013.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80" w:type="dxa"/>
            <w:vAlign w:val="bottom"/>
          </w:tcPr>
          <w:p>
            <w:pPr>
              <w:ind w:left="464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4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51" w:name="page152"/>
    <w:bookmarkEnd w:id="151"/>
    <w:tbl>
      <w:tblPr>
        <w:tblLayout w:type="fixed"/>
        <w:tblInd w:w="8" w:type="dxa"/>
        <w:tblCellMar>
          <w:top w:w="0" w:type="dxa"/>
          <w:left w:w="0" w:type="dxa"/>
          <w:bottom w:w="0" w:type="dxa"/>
          <w:right w:w="0" w:type="dxa"/>
        </w:tblCellMar>
      </w:tblPr>
      <w:tr>
        <w:trPr>
          <w:trHeight w:val="126"/>
        </w:trPr>
        <w:tc>
          <w:tcPr>
            <w:tcW w:w="1000" w:type="dxa"/>
            <w:vAlign w:val="bottom"/>
            <w:gridSpan w:val="2"/>
          </w:tcPr>
          <w:p>
            <w:pPr>
              <w:spacing w:after="0"/>
              <w:rPr>
                <w:rFonts w:ascii="Arial" w:cs="Arial" w:eastAsia="Arial" w:hAnsi="Arial"/>
                <w:sz w:val="11"/>
                <w:szCs w:val="11"/>
                <w:i w:val="1"/>
                <w:iCs w:val="1"/>
                <w:color w:val="0000EE"/>
              </w:rPr>
            </w:pPr>
            <w:hyperlink w:anchor="page2">
              <w:r>
                <w:rPr>
                  <w:rFonts w:ascii="Arial" w:cs="Arial" w:eastAsia="Arial" w:hAnsi="Arial"/>
                  <w:sz w:val="11"/>
                  <w:szCs w:val="11"/>
                  <w:i w:val="1"/>
                  <w:iCs w:val="1"/>
                  <w:color w:val="0000EE"/>
                </w:rPr>
                <w:t>Table of Contents</w:t>
              </w:r>
            </w:hyperlink>
          </w:p>
        </w:tc>
        <w:tc>
          <w:tcPr>
            <w:tcW w:w="10480" w:type="dxa"/>
            <w:vAlign w:val="bottom"/>
          </w:tcPr>
          <w:p>
            <w:pPr>
              <w:spacing w:after="0"/>
              <w:rPr>
                <w:sz w:val="10"/>
                <w:szCs w:val="10"/>
                <w:color w:val="auto"/>
              </w:rPr>
            </w:pPr>
          </w:p>
        </w:tc>
      </w:tr>
      <w:tr>
        <w:trPr>
          <w:trHeight w:val="304"/>
        </w:trPr>
        <w:tc>
          <w:tcPr>
            <w:tcW w:w="760" w:type="dxa"/>
            <w:vAlign w:val="bottom"/>
            <w:tcBorders>
              <w:top w:val="single" w:sz="8" w:color="0000EE"/>
            </w:tcBorders>
          </w:tcPr>
          <w:p>
            <w:pPr>
              <w:spacing w:after="0"/>
              <w:rPr>
                <w:sz w:val="20"/>
                <w:szCs w:val="20"/>
                <w:color w:val="auto"/>
              </w:rPr>
            </w:pPr>
            <w:r>
              <w:rPr>
                <w:rFonts w:ascii="Arial" w:cs="Arial" w:eastAsia="Arial" w:hAnsi="Arial"/>
                <w:sz w:val="12"/>
                <w:szCs w:val="12"/>
                <w:color w:val="auto"/>
              </w:rPr>
              <w:t>10.90</w:t>
            </w:r>
          </w:p>
        </w:tc>
        <w:tc>
          <w:tcPr>
            <w:tcW w:w="240" w:type="dxa"/>
            <w:vAlign w:val="bottom"/>
          </w:tcPr>
          <w:p>
            <w:pPr>
              <w:spacing w:after="0"/>
              <w:rPr>
                <w:sz w:val="24"/>
                <w:szCs w:val="24"/>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w w:val="94"/>
              </w:rPr>
              <w:t>Amendment No 2 to Securities Purchase Agreement dated June 27, 2013 between the Company, Autilion AG and Bergamo Acquisition Corp. PTE LTD, incorporated by reference from Exhibit 10.1 to the</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June 28, 2013.</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10.91</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Senior Secured Convertible Promissory Note, dated July 26, 2013 issued to Platinum Long Term Growth VII, LLP, incorporated by reference from Exhibit 10.1 to the Company’s Current Report on Form 8-K</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filed on August 2, 2013.</w:t>
            </w:r>
          </w:p>
        </w:tc>
      </w:tr>
      <w:tr>
        <w:trPr>
          <w:trHeight w:val="144"/>
        </w:trPr>
        <w:tc>
          <w:tcPr>
            <w:tcW w:w="760" w:type="dxa"/>
            <w:vAlign w:val="bottom"/>
          </w:tcPr>
          <w:p>
            <w:pPr>
              <w:spacing w:after="0"/>
              <w:rPr>
                <w:sz w:val="20"/>
                <w:szCs w:val="20"/>
                <w:color w:val="auto"/>
              </w:rPr>
            </w:pPr>
            <w:r>
              <w:rPr>
                <w:rFonts w:ascii="Arial" w:cs="Arial" w:eastAsia="Arial" w:hAnsi="Arial"/>
                <w:sz w:val="12"/>
                <w:szCs w:val="12"/>
                <w:color w:val="auto"/>
              </w:rPr>
              <w:t>10.92</w:t>
            </w:r>
          </w:p>
        </w:tc>
        <w:tc>
          <w:tcPr>
            <w:tcW w:w="240" w:type="dxa"/>
            <w:vAlign w:val="bottom"/>
          </w:tcPr>
          <w:p>
            <w:pPr>
              <w:spacing w:after="0"/>
              <w:rPr>
                <w:sz w:val="12"/>
                <w:szCs w:val="12"/>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w w:val="92"/>
              </w:rPr>
              <w:t>Common Stock Warrant, dated July 26, 2013 issued to Platinum Long Term Growth VII, LLP, incorporated by reference from Exhibit 10.2 to the Company’s Current Report on Form 8-K filed on August 2, 2013.</w:t>
            </w:r>
          </w:p>
        </w:tc>
      </w:tr>
      <w:tr>
        <w:trPr>
          <w:trHeight w:val="144"/>
        </w:trPr>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10.93</w:t>
            </w:r>
          </w:p>
        </w:tc>
        <w:tc>
          <w:tcPr>
            <w:tcW w:w="240" w:type="dxa"/>
            <w:vAlign w:val="bottom"/>
            <w:shd w:val="clear" w:color="auto" w:fill="CCEEFF"/>
          </w:tcPr>
          <w:p>
            <w:pPr>
              <w:spacing w:after="0"/>
              <w:rPr>
                <w:sz w:val="12"/>
                <w:szCs w:val="12"/>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Form of Subscription Agreement between the Company and investors in the Fall 2013 Unit Private Placement.</w:t>
            </w:r>
          </w:p>
        </w:tc>
      </w:tr>
      <w:tr>
        <w:trPr>
          <w:trHeight w:val="144"/>
        </w:trPr>
        <w:tc>
          <w:tcPr>
            <w:tcW w:w="760" w:type="dxa"/>
            <w:vAlign w:val="bottom"/>
          </w:tcPr>
          <w:p>
            <w:pPr>
              <w:spacing w:after="0"/>
              <w:rPr>
                <w:sz w:val="20"/>
                <w:szCs w:val="20"/>
                <w:color w:val="auto"/>
              </w:rPr>
            </w:pPr>
            <w:r>
              <w:rPr>
                <w:rFonts w:ascii="Arial" w:cs="Arial" w:eastAsia="Arial" w:hAnsi="Arial"/>
                <w:sz w:val="12"/>
                <w:szCs w:val="12"/>
                <w:color w:val="auto"/>
              </w:rPr>
              <w:t>10.94</w:t>
            </w:r>
          </w:p>
        </w:tc>
        <w:tc>
          <w:tcPr>
            <w:tcW w:w="240" w:type="dxa"/>
            <w:vAlign w:val="bottom"/>
          </w:tcPr>
          <w:p>
            <w:pPr>
              <w:spacing w:after="0"/>
              <w:rPr>
                <w:sz w:val="12"/>
                <w:szCs w:val="12"/>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Form of Convertible Promissory Note between the Company and investors in the Fall 2013 Unit Private Placement.</w:t>
            </w:r>
          </w:p>
        </w:tc>
      </w:tr>
      <w:tr>
        <w:trPr>
          <w:trHeight w:val="144"/>
        </w:trPr>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10.95</w:t>
            </w:r>
          </w:p>
        </w:tc>
        <w:tc>
          <w:tcPr>
            <w:tcW w:w="240" w:type="dxa"/>
            <w:vAlign w:val="bottom"/>
            <w:shd w:val="clear" w:color="auto" w:fill="CCEEFF"/>
          </w:tcPr>
          <w:p>
            <w:pPr>
              <w:spacing w:after="0"/>
              <w:rPr>
                <w:sz w:val="12"/>
                <w:szCs w:val="12"/>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Form of Common Stock Purchase Warrant between the Company and investors in the Fall 2013 Unit Private Placement.</w:t>
            </w:r>
          </w:p>
        </w:tc>
      </w:tr>
      <w:tr>
        <w:trPr>
          <w:trHeight w:val="144"/>
        </w:trPr>
        <w:tc>
          <w:tcPr>
            <w:tcW w:w="760" w:type="dxa"/>
            <w:vAlign w:val="bottom"/>
          </w:tcPr>
          <w:p>
            <w:pPr>
              <w:spacing w:after="0"/>
              <w:rPr>
                <w:sz w:val="20"/>
                <w:szCs w:val="20"/>
                <w:color w:val="auto"/>
              </w:rPr>
            </w:pPr>
            <w:r>
              <w:rPr>
                <w:rFonts w:ascii="Arial" w:cs="Arial" w:eastAsia="Arial" w:hAnsi="Arial"/>
                <w:sz w:val="12"/>
                <w:szCs w:val="12"/>
                <w:color w:val="auto"/>
              </w:rPr>
              <w:t>10.96</w:t>
            </w:r>
          </w:p>
        </w:tc>
        <w:tc>
          <w:tcPr>
            <w:tcW w:w="240" w:type="dxa"/>
            <w:vAlign w:val="bottom"/>
          </w:tcPr>
          <w:p>
            <w:pPr>
              <w:spacing w:after="0"/>
              <w:rPr>
                <w:sz w:val="12"/>
                <w:szCs w:val="12"/>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Form of Amendment to Convertible Promissory Note and Warrant between the Company and investors in the Fall 2013 Unit Private Placement, effective May 31, 2014.</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10.97</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Form of Unit Subscription Agreement between the Company and investors in the Spring 2014 Unit Private Placement dated April 1, 2014, incorporated by reference from Exhibit 10.1 to the Company’s Current</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Report on Form 8-K filed on April 8, 2014.</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10.98</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5"/>
              </w:rPr>
              <w:t>Form of Subordinate Convertible Promissory Note between the Company and investors in the Spring 2014 Unit Private Placement dated April 1, 2014, incorporated by reference from Exhibit 10.2 to the</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April 8, 2014.</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10.99</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Form of Common Stock Purchase Warrant between the Company and investors in the Spring 2014 Unit Private Placement dated April 1, 2014, incorporated by reference from Exhibit 10.3 to the Company’s</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Current Report on Form 8-K filed on April 8, 2014.</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10.100</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1"/>
              </w:rPr>
              <w:t>Common Stock Purchase Warrant between the Company and Platinum Long Term Growth Fund VII dated May 14, 2014, incorporated by reference from Exhibit 10.1 to the Company’s Current Report on Form 8-</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K filed on May 19, 2014.</w:t>
            </w:r>
          </w:p>
        </w:tc>
      </w:tr>
      <w:tr>
        <w:trPr>
          <w:trHeight w:val="135"/>
        </w:trPr>
        <w:tc>
          <w:tcPr>
            <w:tcW w:w="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10.101</w:t>
            </w:r>
          </w:p>
        </w:tc>
        <w:tc>
          <w:tcPr>
            <w:tcW w:w="240" w:type="dxa"/>
            <w:vAlign w:val="bottom"/>
            <w:shd w:val="clear" w:color="auto" w:fill="CCEEFF"/>
          </w:tcPr>
          <w:p>
            <w:pPr>
              <w:spacing w:after="0"/>
              <w:rPr>
                <w:sz w:val="11"/>
                <w:szCs w:val="11"/>
                <w:color w:val="auto"/>
              </w:rPr>
            </w:pPr>
          </w:p>
        </w:tc>
        <w:tc>
          <w:tcPr>
            <w:tcW w:w="104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1"/>
              </w:rPr>
              <w:t>Subordinate Convertible Promissory Note between the Company and Platinum Long Term Growth Fund VII dated May 14, 2014, incorporated by reference from Exhibit 10.2 to the Company’s Current Report on</w:t>
            </w:r>
          </w:p>
        </w:tc>
      </w:tr>
      <w:tr>
        <w:trPr>
          <w:trHeight w:val="153"/>
        </w:trPr>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Form 8-K filed on May 19, 2014.</w:t>
            </w:r>
          </w:p>
        </w:tc>
      </w:tr>
      <w:tr>
        <w:trPr>
          <w:trHeight w:val="135"/>
        </w:trPr>
        <w:tc>
          <w:tcPr>
            <w:tcW w:w="760" w:type="dxa"/>
            <w:vAlign w:val="bottom"/>
          </w:tcPr>
          <w:p>
            <w:pPr>
              <w:spacing w:after="0" w:line="136" w:lineRule="exact"/>
              <w:rPr>
                <w:sz w:val="20"/>
                <w:szCs w:val="20"/>
                <w:color w:val="auto"/>
              </w:rPr>
            </w:pPr>
            <w:r>
              <w:rPr>
                <w:rFonts w:ascii="Arial" w:cs="Arial" w:eastAsia="Arial" w:hAnsi="Arial"/>
                <w:sz w:val="12"/>
                <w:szCs w:val="12"/>
                <w:color w:val="auto"/>
              </w:rPr>
              <w:t>10.102</w:t>
            </w:r>
          </w:p>
        </w:tc>
        <w:tc>
          <w:tcPr>
            <w:tcW w:w="240" w:type="dxa"/>
            <w:vAlign w:val="bottom"/>
          </w:tcPr>
          <w:p>
            <w:pPr>
              <w:spacing w:after="0"/>
              <w:rPr>
                <w:sz w:val="11"/>
                <w:szCs w:val="11"/>
                <w:color w:val="auto"/>
              </w:rPr>
            </w:pPr>
          </w:p>
        </w:tc>
        <w:tc>
          <w:tcPr>
            <w:tcW w:w="10480" w:type="dxa"/>
            <w:vAlign w:val="bottom"/>
          </w:tcPr>
          <w:p>
            <w:pPr>
              <w:ind w:left="260"/>
              <w:spacing w:after="0" w:line="136" w:lineRule="exact"/>
              <w:rPr>
                <w:sz w:val="20"/>
                <w:szCs w:val="20"/>
                <w:color w:val="auto"/>
              </w:rPr>
            </w:pPr>
            <w:r>
              <w:rPr>
                <w:rFonts w:ascii="Arial" w:cs="Arial" w:eastAsia="Arial" w:hAnsi="Arial"/>
                <w:sz w:val="12"/>
                <w:szCs w:val="12"/>
                <w:color w:val="auto"/>
                <w:w w:val="91"/>
              </w:rPr>
              <w:t>Form of Promissory Note and Form of Warrant issued by the Company to Icahn School of Business at Mount Sinai effective April 10, 2014 in satisfaction of technology license maintenance fees and reimbursable</w:t>
            </w:r>
          </w:p>
        </w:tc>
      </w:tr>
      <w:tr>
        <w:trPr>
          <w:trHeight w:val="153"/>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patent costs.</w:t>
            </w:r>
          </w:p>
        </w:tc>
      </w:tr>
      <w:tr>
        <w:trPr>
          <w:trHeight w:val="144"/>
        </w:trPr>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10.103</w:t>
            </w:r>
          </w:p>
        </w:tc>
        <w:tc>
          <w:tcPr>
            <w:tcW w:w="240" w:type="dxa"/>
            <w:vAlign w:val="bottom"/>
            <w:shd w:val="clear" w:color="auto" w:fill="CCEEFF"/>
          </w:tcPr>
          <w:p>
            <w:pPr>
              <w:spacing w:after="0"/>
              <w:rPr>
                <w:sz w:val="12"/>
                <w:szCs w:val="12"/>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Amendment No. 3 to Sponsored Research Collaboration Agreement, dated April 25, 2011, by and between VistaGen and University Health Network.</w:t>
            </w:r>
          </w:p>
        </w:tc>
      </w:tr>
      <w:tr>
        <w:trPr>
          <w:trHeight w:val="144"/>
        </w:trPr>
        <w:tc>
          <w:tcPr>
            <w:tcW w:w="760" w:type="dxa"/>
            <w:vAlign w:val="bottom"/>
          </w:tcPr>
          <w:p>
            <w:pPr>
              <w:spacing w:after="0"/>
              <w:rPr>
                <w:sz w:val="20"/>
                <w:szCs w:val="20"/>
                <w:color w:val="auto"/>
              </w:rPr>
            </w:pPr>
            <w:r>
              <w:rPr>
                <w:rFonts w:ascii="Arial" w:cs="Arial" w:eastAsia="Arial" w:hAnsi="Arial"/>
                <w:sz w:val="12"/>
                <w:szCs w:val="12"/>
                <w:color w:val="auto"/>
              </w:rPr>
              <w:t>10.104</w:t>
            </w:r>
          </w:p>
        </w:tc>
        <w:tc>
          <w:tcPr>
            <w:tcW w:w="240" w:type="dxa"/>
            <w:vAlign w:val="bottom"/>
          </w:tcPr>
          <w:p>
            <w:pPr>
              <w:spacing w:after="0"/>
              <w:rPr>
                <w:sz w:val="12"/>
                <w:szCs w:val="12"/>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Amendment No. 5 to Sponsored Research Collaboration Agreement, dated October 10, 2012, by and between VistaGen and University Health Network.</w:t>
            </w:r>
          </w:p>
        </w:tc>
      </w:tr>
      <w:tr>
        <w:trPr>
          <w:trHeight w:val="144"/>
        </w:trPr>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21.1*</w:t>
            </w:r>
          </w:p>
        </w:tc>
        <w:tc>
          <w:tcPr>
            <w:tcW w:w="240" w:type="dxa"/>
            <w:vAlign w:val="bottom"/>
            <w:shd w:val="clear" w:color="auto" w:fill="CCEEFF"/>
          </w:tcPr>
          <w:p>
            <w:pPr>
              <w:spacing w:after="0"/>
              <w:rPr>
                <w:sz w:val="12"/>
                <w:szCs w:val="12"/>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List of Subsidiaries.</w:t>
            </w:r>
          </w:p>
        </w:tc>
      </w:tr>
      <w:tr>
        <w:trPr>
          <w:trHeight w:val="144"/>
        </w:trPr>
        <w:tc>
          <w:tcPr>
            <w:tcW w:w="760" w:type="dxa"/>
            <w:vAlign w:val="bottom"/>
          </w:tcPr>
          <w:p>
            <w:pPr>
              <w:spacing w:after="0"/>
              <w:rPr>
                <w:sz w:val="20"/>
                <w:szCs w:val="20"/>
                <w:color w:val="auto"/>
              </w:rPr>
            </w:pPr>
            <w:r>
              <w:rPr>
                <w:rFonts w:ascii="Arial" w:cs="Arial" w:eastAsia="Arial" w:hAnsi="Arial"/>
                <w:sz w:val="12"/>
                <w:szCs w:val="12"/>
                <w:color w:val="auto"/>
              </w:rPr>
              <w:t>24.1</w:t>
            </w:r>
          </w:p>
        </w:tc>
        <w:tc>
          <w:tcPr>
            <w:tcW w:w="240" w:type="dxa"/>
            <w:vAlign w:val="bottom"/>
          </w:tcPr>
          <w:p>
            <w:pPr>
              <w:spacing w:after="0"/>
              <w:rPr>
                <w:sz w:val="12"/>
                <w:szCs w:val="12"/>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Power of Attorney</w:t>
            </w:r>
          </w:p>
        </w:tc>
      </w:tr>
      <w:tr>
        <w:trPr>
          <w:trHeight w:val="144"/>
        </w:trPr>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31.1</w:t>
            </w:r>
          </w:p>
        </w:tc>
        <w:tc>
          <w:tcPr>
            <w:tcW w:w="240" w:type="dxa"/>
            <w:vAlign w:val="bottom"/>
            <w:shd w:val="clear" w:color="auto" w:fill="CCEEFF"/>
          </w:tcPr>
          <w:p>
            <w:pPr>
              <w:spacing w:after="0"/>
              <w:rPr>
                <w:sz w:val="12"/>
                <w:szCs w:val="12"/>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Certification of the Company’s Chief Executive Officer pursuant to Section 302 of the Sarbanes-Oxley Act of 2002</w:t>
            </w:r>
          </w:p>
        </w:tc>
      </w:tr>
      <w:tr>
        <w:trPr>
          <w:trHeight w:val="144"/>
        </w:trPr>
        <w:tc>
          <w:tcPr>
            <w:tcW w:w="760" w:type="dxa"/>
            <w:vAlign w:val="bottom"/>
          </w:tcPr>
          <w:p>
            <w:pPr>
              <w:spacing w:after="0"/>
              <w:rPr>
                <w:sz w:val="20"/>
                <w:szCs w:val="20"/>
                <w:color w:val="auto"/>
              </w:rPr>
            </w:pPr>
            <w:r>
              <w:rPr>
                <w:rFonts w:ascii="Arial" w:cs="Arial" w:eastAsia="Arial" w:hAnsi="Arial"/>
                <w:sz w:val="12"/>
                <w:szCs w:val="12"/>
                <w:color w:val="auto"/>
              </w:rPr>
              <w:t>31.2</w:t>
            </w:r>
          </w:p>
        </w:tc>
        <w:tc>
          <w:tcPr>
            <w:tcW w:w="240" w:type="dxa"/>
            <w:vAlign w:val="bottom"/>
          </w:tcPr>
          <w:p>
            <w:pPr>
              <w:spacing w:after="0"/>
              <w:rPr>
                <w:sz w:val="12"/>
                <w:szCs w:val="12"/>
                <w:color w:val="auto"/>
              </w:rPr>
            </w:pPr>
          </w:p>
        </w:tc>
        <w:tc>
          <w:tcPr>
            <w:tcW w:w="10480" w:type="dxa"/>
            <w:vAlign w:val="bottom"/>
          </w:tcPr>
          <w:p>
            <w:pPr>
              <w:ind w:left="260"/>
              <w:spacing w:after="0"/>
              <w:rPr>
                <w:sz w:val="20"/>
                <w:szCs w:val="20"/>
                <w:color w:val="auto"/>
              </w:rPr>
            </w:pPr>
            <w:r>
              <w:rPr>
                <w:rFonts w:ascii="Arial" w:cs="Arial" w:eastAsia="Arial" w:hAnsi="Arial"/>
                <w:sz w:val="12"/>
                <w:szCs w:val="12"/>
                <w:color w:val="auto"/>
              </w:rPr>
              <w:t>Certification of the Company’s Chief Financial Officer pursuant to Section 302 of the Sarbanes-Oxley Act of 2002.</w:t>
            </w:r>
          </w:p>
        </w:tc>
      </w:tr>
      <w:tr>
        <w:trPr>
          <w:trHeight w:val="144"/>
        </w:trPr>
        <w:tc>
          <w:tcPr>
            <w:tcW w:w="760" w:type="dxa"/>
            <w:vAlign w:val="bottom"/>
            <w:shd w:val="clear" w:color="auto" w:fill="CCEEFF"/>
          </w:tcPr>
          <w:p>
            <w:pPr>
              <w:spacing w:after="0"/>
              <w:rPr>
                <w:sz w:val="20"/>
                <w:szCs w:val="20"/>
                <w:color w:val="auto"/>
              </w:rPr>
            </w:pPr>
            <w:r>
              <w:rPr>
                <w:rFonts w:ascii="Arial" w:cs="Arial" w:eastAsia="Arial" w:hAnsi="Arial"/>
                <w:sz w:val="12"/>
                <w:szCs w:val="12"/>
                <w:color w:val="auto"/>
              </w:rPr>
              <w:t>32.1</w:t>
            </w:r>
          </w:p>
        </w:tc>
        <w:tc>
          <w:tcPr>
            <w:tcW w:w="240" w:type="dxa"/>
            <w:vAlign w:val="bottom"/>
            <w:shd w:val="clear" w:color="auto" w:fill="CCEEFF"/>
          </w:tcPr>
          <w:p>
            <w:pPr>
              <w:spacing w:after="0"/>
              <w:rPr>
                <w:sz w:val="12"/>
                <w:szCs w:val="12"/>
                <w:color w:val="auto"/>
              </w:rPr>
            </w:pP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Certification of the Company’s Chief Executive Officer and Chief Financial Officer pursuant to Section 906 of the Sarbanes-Oxley Act of 2002.</w:t>
            </w:r>
          </w:p>
        </w:tc>
      </w:tr>
      <w:tr>
        <w:trPr>
          <w:trHeight w:val="144"/>
        </w:trPr>
        <w:tc>
          <w:tcPr>
            <w:tcW w:w="1000" w:type="dxa"/>
            <w:vAlign w:val="bottom"/>
            <w:gridSpan w:val="2"/>
          </w:tcPr>
          <w:p>
            <w:pPr>
              <w:spacing w:after="0"/>
              <w:rPr>
                <w:sz w:val="20"/>
                <w:szCs w:val="20"/>
                <w:color w:val="auto"/>
              </w:rPr>
            </w:pPr>
            <w:r>
              <w:rPr>
                <w:rFonts w:ascii="Arial" w:cs="Arial" w:eastAsia="Arial" w:hAnsi="Arial"/>
                <w:sz w:val="12"/>
                <w:szCs w:val="12"/>
                <w:color w:val="auto"/>
              </w:rPr>
              <w:t>101.INS</w:t>
            </w:r>
          </w:p>
        </w:tc>
        <w:tc>
          <w:tcPr>
            <w:tcW w:w="10480" w:type="dxa"/>
            <w:vAlign w:val="bottom"/>
          </w:tcPr>
          <w:p>
            <w:pPr>
              <w:ind w:left="260"/>
              <w:spacing w:after="0"/>
              <w:rPr>
                <w:sz w:val="20"/>
                <w:szCs w:val="20"/>
                <w:color w:val="auto"/>
              </w:rPr>
            </w:pPr>
            <w:r>
              <w:rPr>
                <w:rFonts w:ascii="Arial" w:cs="Arial" w:eastAsia="Arial" w:hAnsi="Arial"/>
                <w:sz w:val="12"/>
                <w:szCs w:val="12"/>
                <w:color w:val="auto"/>
              </w:rPr>
              <w:t>XBRL Instance Document</w:t>
            </w:r>
          </w:p>
        </w:tc>
      </w:tr>
      <w:tr>
        <w:trPr>
          <w:trHeight w:val="144"/>
        </w:trPr>
        <w:tc>
          <w:tcPr>
            <w:tcW w:w="1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101.SCH</w:t>
            </w: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XBRL Taxonomy Schema</w:t>
            </w:r>
          </w:p>
        </w:tc>
      </w:tr>
      <w:tr>
        <w:trPr>
          <w:trHeight w:val="144"/>
        </w:trPr>
        <w:tc>
          <w:tcPr>
            <w:tcW w:w="1000" w:type="dxa"/>
            <w:vAlign w:val="bottom"/>
            <w:gridSpan w:val="2"/>
          </w:tcPr>
          <w:p>
            <w:pPr>
              <w:spacing w:after="0"/>
              <w:rPr>
                <w:sz w:val="20"/>
                <w:szCs w:val="20"/>
                <w:color w:val="auto"/>
              </w:rPr>
            </w:pPr>
            <w:r>
              <w:rPr>
                <w:rFonts w:ascii="Arial" w:cs="Arial" w:eastAsia="Arial" w:hAnsi="Arial"/>
                <w:sz w:val="12"/>
                <w:szCs w:val="12"/>
                <w:color w:val="auto"/>
              </w:rPr>
              <w:t>101.CAL</w:t>
            </w:r>
          </w:p>
        </w:tc>
        <w:tc>
          <w:tcPr>
            <w:tcW w:w="10480" w:type="dxa"/>
            <w:vAlign w:val="bottom"/>
          </w:tcPr>
          <w:p>
            <w:pPr>
              <w:ind w:left="260"/>
              <w:spacing w:after="0"/>
              <w:rPr>
                <w:sz w:val="20"/>
                <w:szCs w:val="20"/>
                <w:color w:val="auto"/>
              </w:rPr>
            </w:pPr>
            <w:r>
              <w:rPr>
                <w:rFonts w:ascii="Arial" w:cs="Arial" w:eastAsia="Arial" w:hAnsi="Arial"/>
                <w:sz w:val="12"/>
                <w:szCs w:val="12"/>
                <w:color w:val="auto"/>
              </w:rPr>
              <w:t>XBRL Taxonomy Extension Calculation Linkbase</w:t>
            </w:r>
          </w:p>
        </w:tc>
      </w:tr>
      <w:tr>
        <w:trPr>
          <w:trHeight w:val="144"/>
        </w:trPr>
        <w:tc>
          <w:tcPr>
            <w:tcW w:w="1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101.DEF</w:t>
            </w: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XBRL Taxonomy Extension Definition Linkbase</w:t>
            </w:r>
          </w:p>
        </w:tc>
      </w:tr>
      <w:tr>
        <w:trPr>
          <w:trHeight w:val="144"/>
        </w:trPr>
        <w:tc>
          <w:tcPr>
            <w:tcW w:w="1000" w:type="dxa"/>
            <w:vAlign w:val="bottom"/>
            <w:gridSpan w:val="2"/>
          </w:tcPr>
          <w:p>
            <w:pPr>
              <w:spacing w:after="0"/>
              <w:rPr>
                <w:sz w:val="20"/>
                <w:szCs w:val="20"/>
                <w:color w:val="auto"/>
              </w:rPr>
            </w:pPr>
            <w:r>
              <w:rPr>
                <w:rFonts w:ascii="Arial" w:cs="Arial" w:eastAsia="Arial" w:hAnsi="Arial"/>
                <w:sz w:val="12"/>
                <w:szCs w:val="12"/>
                <w:color w:val="auto"/>
              </w:rPr>
              <w:t>101.LAB</w:t>
            </w:r>
          </w:p>
        </w:tc>
        <w:tc>
          <w:tcPr>
            <w:tcW w:w="10480" w:type="dxa"/>
            <w:vAlign w:val="bottom"/>
          </w:tcPr>
          <w:p>
            <w:pPr>
              <w:ind w:left="260"/>
              <w:spacing w:after="0"/>
              <w:rPr>
                <w:sz w:val="20"/>
                <w:szCs w:val="20"/>
                <w:color w:val="auto"/>
              </w:rPr>
            </w:pPr>
            <w:r>
              <w:rPr>
                <w:rFonts w:ascii="Arial" w:cs="Arial" w:eastAsia="Arial" w:hAnsi="Arial"/>
                <w:sz w:val="12"/>
                <w:szCs w:val="12"/>
                <w:color w:val="auto"/>
              </w:rPr>
              <w:t>XBRL Taxonomy Extension Label Linkbase</w:t>
            </w:r>
          </w:p>
        </w:tc>
      </w:tr>
      <w:tr>
        <w:trPr>
          <w:trHeight w:val="144"/>
        </w:trPr>
        <w:tc>
          <w:tcPr>
            <w:tcW w:w="1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101.PRE</w:t>
            </w:r>
          </w:p>
        </w:tc>
        <w:tc>
          <w:tcPr>
            <w:tcW w:w="104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XBRL Taxonomy Extension Presentation Linkbase</w:t>
            </w:r>
          </w:p>
        </w:tc>
      </w:tr>
    </w:tbl>
    <w:p>
      <w:pPr>
        <w:spacing w:after="0" w:line="135" w:lineRule="exact"/>
        <w:rPr>
          <w:sz w:val="20"/>
          <w:szCs w:val="20"/>
          <w:color w:val="auto"/>
        </w:rPr>
      </w:pPr>
    </w:p>
    <w:p>
      <w:pPr>
        <w:jc w:val="right"/>
        <w:ind w:left="5648" w:right="5620" w:hanging="5648"/>
        <w:spacing w:after="0" w:line="819" w:lineRule="auto"/>
        <w:tabs>
          <w:tab w:leader="none" w:pos="126" w:val="left"/>
        </w:tabs>
        <w:numPr>
          <w:ilvl w:val="0"/>
          <w:numId w:val="68"/>
        </w:numPr>
        <w:rPr>
          <w:rFonts w:ascii="Arial" w:cs="Arial" w:eastAsia="Arial" w:hAnsi="Arial"/>
          <w:sz w:val="11"/>
          <w:szCs w:val="11"/>
          <w:color w:val="auto"/>
        </w:rPr>
      </w:pPr>
      <w:r>
        <w:rPr>
          <w:rFonts w:ascii="Arial" w:cs="Arial" w:eastAsia="Arial" w:hAnsi="Arial"/>
          <w:sz w:val="11"/>
          <w:szCs w:val="11"/>
          <w:color w:val="auto"/>
        </w:rPr>
        <w:t>Incorporated by reference from the like-numbered exhibit filed with our Current Report on Form 8-K on May 16, 2011.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299325" cy="1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152" w:name="page153"/>
    <w:bookmarkEnd w:id="152"/>
    <w:p>
      <w:pPr>
        <w:spacing w:after="0"/>
        <w:rPr>
          <w:rFonts w:ascii="Arial" w:cs="Arial" w:eastAsia="Arial" w:hAnsi="Arial"/>
          <w:sz w:val="11"/>
          <w:szCs w:val="11"/>
          <w:i w:val="1"/>
          <w:iCs w:val="1"/>
          <w:u w:val="single" w:color="auto"/>
          <w:color w:val="0000EE"/>
        </w:rPr>
      </w:pPr>
      <w:hyperlink w:anchor="page2">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24th day of June, 2014.</w:t>
      </w:r>
    </w:p>
    <w:p>
      <w:pPr>
        <w:spacing w:after="0" w:line="255" w:lineRule="exact"/>
        <w:rPr>
          <w:sz w:val="20"/>
          <w:szCs w:val="20"/>
          <w:color w:val="auto"/>
        </w:rPr>
      </w:pPr>
    </w:p>
    <w:p>
      <w:pPr>
        <w:ind w:left="5320"/>
        <w:spacing w:after="0"/>
        <w:rPr>
          <w:sz w:val="20"/>
          <w:szCs w:val="20"/>
          <w:color w:val="auto"/>
        </w:rPr>
      </w:pPr>
      <w:r>
        <w:rPr>
          <w:rFonts w:ascii="Arial" w:cs="Arial" w:eastAsia="Arial" w:hAnsi="Arial"/>
          <w:sz w:val="12"/>
          <w:szCs w:val="12"/>
          <w:b w:val="1"/>
          <w:bCs w:val="1"/>
          <w:color w:val="auto"/>
        </w:rPr>
        <w:t>VistaGen Therapeutics, Inc.</w:t>
      </w:r>
    </w:p>
    <w:p>
      <w:pPr>
        <w:spacing w:after="0" w:line="154" w:lineRule="exact"/>
        <w:rPr>
          <w:sz w:val="20"/>
          <w:szCs w:val="20"/>
          <w:color w:val="auto"/>
        </w:rPr>
      </w:pPr>
    </w:p>
    <w:p>
      <w:pPr>
        <w:ind w:left="5320"/>
        <w:spacing w:after="0"/>
        <w:tabs>
          <w:tab w:leader="none" w:pos="8200" w:val="left"/>
          <w:tab w:leader="none" w:pos="84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w:t>
      </w:r>
      <w:r>
        <w:rPr>
          <w:sz w:val="20"/>
          <w:szCs w:val="20"/>
          <w:color w:val="auto"/>
        </w:rPr>
        <w:tab/>
      </w:r>
      <w:r>
        <w:rPr>
          <w:rFonts w:ascii="Arial" w:cs="Arial" w:eastAsia="Arial" w:hAnsi="Arial"/>
          <w:sz w:val="10"/>
          <w:szCs w:val="10"/>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9525</wp:posOffset>
            </wp:positionV>
            <wp:extent cx="3397250"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97250" cy="11430"/>
                    </a:xfrm>
                    <a:prstGeom prst="rect">
                      <a:avLst/>
                    </a:prstGeom>
                    <a:noFill/>
                  </pic:spPr>
                </pic:pic>
              </a:graphicData>
            </a:graphic>
          </wp:anchor>
        </w:drawing>
      </w:r>
    </w:p>
    <w:p>
      <w:pPr>
        <w:ind w:left="8260"/>
        <w:spacing w:after="0"/>
        <w:rPr>
          <w:sz w:val="20"/>
          <w:szCs w:val="20"/>
          <w:color w:val="auto"/>
        </w:rPr>
      </w:pPr>
      <w:r>
        <w:rPr>
          <w:rFonts w:ascii="Arial" w:cs="Arial" w:eastAsia="Arial" w:hAnsi="Arial"/>
          <w:sz w:val="12"/>
          <w:szCs w:val="12"/>
          <w:b w:val="1"/>
          <w:bCs w:val="1"/>
          <w:color w:val="auto"/>
        </w:rPr>
        <w:t>Shawn K. Singh, J.D.</w:t>
      </w:r>
    </w:p>
    <w:p>
      <w:pPr>
        <w:spacing w:after="0" w:line="19" w:lineRule="exact"/>
        <w:rPr>
          <w:sz w:val="20"/>
          <w:szCs w:val="20"/>
          <w:color w:val="auto"/>
        </w:rPr>
      </w:pPr>
    </w:p>
    <w:p>
      <w:pPr>
        <w:ind w:left="8220"/>
        <w:spacing w:after="0"/>
        <w:rPr>
          <w:sz w:val="20"/>
          <w:szCs w:val="20"/>
          <w:color w:val="auto"/>
        </w:rPr>
      </w:pPr>
      <w:r>
        <w:rPr>
          <w:rFonts w:ascii="Arial" w:cs="Arial" w:eastAsia="Arial" w:hAnsi="Arial"/>
          <w:sz w:val="12"/>
          <w:szCs w:val="12"/>
          <w:b w:val="1"/>
          <w:bCs w:val="1"/>
          <w:i w:val="1"/>
          <w:iCs w:val="1"/>
          <w:color w:val="auto"/>
        </w:rPr>
        <w:t>Chief Executive Officer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68"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0"/>
          <w:szCs w:val="10"/>
          <w:b w:val="1"/>
          <w:bCs w:val="1"/>
          <w:color w:val="auto"/>
        </w:rPr>
        <w:t>KNOW ALL PERSONS BY THESE PRESENTS</w:t>
      </w:r>
      <w:r>
        <w:rPr>
          <w:rFonts w:ascii="Arial" w:cs="Arial" w:eastAsia="Arial" w:hAnsi="Arial"/>
          <w:sz w:val="10"/>
          <w:szCs w:val="10"/>
          <w:color w:val="auto"/>
        </w:rPr>
        <w:t>, that each person whose signature appears below constitutes and appoints each of Shawn K. Singh, J.D. and Jerrold D. Dotson his true and lawful attorney-in-fact and agent, with</w:t>
      </w:r>
      <w:r>
        <w:rPr>
          <w:rFonts w:ascii="Arial" w:cs="Arial" w:eastAsia="Arial" w:hAnsi="Arial"/>
          <w:sz w:val="10"/>
          <w:szCs w:val="10"/>
          <w:b w:val="1"/>
          <w:bCs w:val="1"/>
          <w:color w:val="auto"/>
        </w:rPr>
        <w:t xml:space="preserve"> </w:t>
      </w:r>
      <w:r>
        <w:rPr>
          <w:rFonts w:ascii="Arial" w:cs="Arial" w:eastAsia="Arial" w:hAnsi="Arial"/>
          <w:sz w:val="10"/>
          <w:szCs w:val="10"/>
          <w:color w:val="auto"/>
        </w:rPr>
        <w:t>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WITNESS WHEREOF, each of the undersigned has executed this Power of Attorney as of the date indicated opposite his name.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by the following persons on behalf of the Registrant and in the capacities and on the dates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center"/>
              <w:ind w:right="1280"/>
              <w:spacing w:after="0"/>
              <w:rPr>
                <w:sz w:val="20"/>
                <w:szCs w:val="20"/>
                <w:color w:val="auto"/>
              </w:rPr>
            </w:pPr>
            <w:r>
              <w:rPr>
                <w:rFonts w:ascii="Arial" w:cs="Arial" w:eastAsia="Arial" w:hAnsi="Arial"/>
                <w:sz w:val="12"/>
                <w:szCs w:val="12"/>
                <w:b w:val="1"/>
                <w:bCs w:val="1"/>
                <w:color w:val="auto"/>
                <w:w w:val="90"/>
              </w:rPr>
              <w:t>Signature</w:t>
            </w:r>
          </w:p>
        </w:tc>
        <w:tc>
          <w:tcPr>
            <w:tcW w:w="240" w:type="dxa"/>
            <w:vAlign w:val="bottom"/>
          </w:tcPr>
          <w:p>
            <w:pPr>
              <w:spacing w:after="0"/>
              <w:rPr>
                <w:sz w:val="13"/>
                <w:szCs w:val="13"/>
                <w:color w:val="auto"/>
              </w:rPr>
            </w:pPr>
          </w:p>
        </w:tc>
        <w:tc>
          <w:tcPr>
            <w:tcW w:w="5620" w:type="dxa"/>
            <w:vAlign w:val="bottom"/>
            <w:tcBorders>
              <w:bottom w:val="single" w:sz="8" w:color="auto"/>
            </w:tcBorders>
          </w:tcPr>
          <w:p>
            <w:pPr>
              <w:ind w:left="270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286"/>
        </w:trPr>
        <w:tc>
          <w:tcPr>
            <w:tcW w:w="1320" w:type="dxa"/>
            <w:vAlign w:val="bottom"/>
            <w:tcBorders>
              <w:bottom w:val="single" w:sz="8" w:color="auto"/>
            </w:tcBorders>
          </w:tcPr>
          <w:p>
            <w:pPr>
              <w:ind w:left="1200"/>
              <w:spacing w:after="0"/>
              <w:rPr>
                <w:sz w:val="20"/>
                <w:szCs w:val="20"/>
                <w:color w:val="auto"/>
              </w:rPr>
            </w:pPr>
            <w:r>
              <w:rPr>
                <w:rFonts w:ascii="Arial" w:cs="Arial" w:eastAsia="Arial" w:hAnsi="Arial"/>
                <w:sz w:val="12"/>
                <w:szCs w:val="12"/>
                <w:color w:val="auto"/>
                <w:w w:val="78"/>
              </w:rPr>
              <w:t>/s/</w:t>
            </w:r>
          </w:p>
        </w:tc>
        <w:tc>
          <w:tcPr>
            <w:tcW w:w="2120" w:type="dxa"/>
            <w:vAlign w:val="bottom"/>
            <w:tcBorders>
              <w:bottom w:val="single" w:sz="8" w:color="auto"/>
            </w:tcBorders>
          </w:tcPr>
          <w:p>
            <w:pPr>
              <w:jc w:val="center"/>
              <w:ind w:right="1060"/>
              <w:spacing w:after="0"/>
              <w:rPr>
                <w:sz w:val="20"/>
                <w:szCs w:val="20"/>
                <w:color w:val="auto"/>
              </w:rPr>
            </w:pPr>
            <w:r>
              <w:rPr>
                <w:rFonts w:ascii="Arial" w:cs="Arial" w:eastAsia="Arial" w:hAnsi="Arial"/>
                <w:sz w:val="12"/>
                <w:szCs w:val="12"/>
                <w:color w:val="auto"/>
                <w:w w:val="93"/>
              </w:rPr>
              <w:t>Shawn K. Singh</w:t>
            </w:r>
          </w:p>
        </w:tc>
        <w:tc>
          <w:tcPr>
            <w:tcW w:w="2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Chief Executive Officer, and Director</w:t>
            </w:r>
          </w:p>
        </w:tc>
        <w:tc>
          <w:tcPr>
            <w:tcW w:w="2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89"/>
              </w:rPr>
              <w:t>June 24, 2014</w:t>
            </w:r>
          </w:p>
        </w:tc>
      </w:tr>
      <w:tr>
        <w:trPr>
          <w:trHeight w:val="155"/>
        </w:trPr>
        <w:tc>
          <w:tcPr>
            <w:tcW w:w="34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Shawn K. Singh, JD</w:t>
            </w:r>
          </w:p>
        </w:tc>
        <w:tc>
          <w:tcPr>
            <w:tcW w:w="240" w:type="dxa"/>
            <w:vAlign w:val="bottom"/>
          </w:tcPr>
          <w:p>
            <w:pPr>
              <w:spacing w:after="0"/>
              <w:rPr>
                <w:sz w:val="13"/>
                <w:szCs w:val="13"/>
                <w:color w:val="auto"/>
              </w:rPr>
            </w:pPr>
          </w:p>
        </w:tc>
        <w:tc>
          <w:tcPr>
            <w:tcW w:w="5620" w:type="dxa"/>
            <w:vAlign w:val="bottom"/>
          </w:tcPr>
          <w:p>
            <w:pPr>
              <w:spacing w:after="0"/>
              <w:rPr>
                <w:sz w:val="20"/>
                <w:szCs w:val="20"/>
                <w:color w:val="auto"/>
              </w:rPr>
            </w:pPr>
            <w:r>
              <w:rPr>
                <w:rFonts w:ascii="Arial" w:cs="Arial" w:eastAsia="Arial" w:hAnsi="Arial"/>
                <w:sz w:val="12"/>
                <w:szCs w:val="12"/>
                <w:i w:val="1"/>
                <w:iCs w:val="1"/>
                <w:color w:val="auto"/>
              </w:rPr>
              <w:t>(Principal Executive Officer)</w:t>
            </w: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75"/>
        </w:trPr>
        <w:tc>
          <w:tcPr>
            <w:tcW w:w="1320" w:type="dxa"/>
            <w:vAlign w:val="bottom"/>
            <w:tcBorders>
              <w:bottom w:val="single" w:sz="8" w:color="auto"/>
            </w:tcBorders>
          </w:tcPr>
          <w:p>
            <w:pPr>
              <w:ind w:left="1180"/>
              <w:spacing w:after="0"/>
              <w:rPr>
                <w:sz w:val="20"/>
                <w:szCs w:val="20"/>
                <w:color w:val="auto"/>
              </w:rPr>
            </w:pPr>
            <w:r>
              <w:rPr>
                <w:rFonts w:ascii="Arial" w:cs="Arial" w:eastAsia="Arial" w:hAnsi="Arial"/>
                <w:sz w:val="12"/>
                <w:szCs w:val="12"/>
                <w:color w:val="auto"/>
                <w:w w:val="94"/>
              </w:rPr>
              <w:t>/s/</w:t>
            </w:r>
          </w:p>
        </w:tc>
        <w:tc>
          <w:tcPr>
            <w:tcW w:w="2120" w:type="dxa"/>
            <w:vAlign w:val="bottom"/>
            <w:tcBorders>
              <w:bottom w:val="single" w:sz="8" w:color="auto"/>
            </w:tcBorders>
          </w:tcPr>
          <w:p>
            <w:pPr>
              <w:jc w:val="center"/>
              <w:ind w:right="1040"/>
              <w:spacing w:after="0"/>
              <w:rPr>
                <w:sz w:val="20"/>
                <w:szCs w:val="20"/>
                <w:color w:val="auto"/>
              </w:rPr>
            </w:pPr>
            <w:r>
              <w:rPr>
                <w:rFonts w:ascii="Arial" w:cs="Arial" w:eastAsia="Arial" w:hAnsi="Arial"/>
                <w:sz w:val="12"/>
                <w:szCs w:val="12"/>
                <w:color w:val="auto"/>
                <w:w w:val="92"/>
              </w:rPr>
              <w:t>Jerrold D. Dotson</w:t>
            </w:r>
          </w:p>
        </w:tc>
        <w:tc>
          <w:tcPr>
            <w:tcW w:w="24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Vice President and Chief Financial Officer</w:t>
            </w:r>
          </w:p>
        </w:tc>
        <w:tc>
          <w:tcPr>
            <w:tcW w:w="24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89"/>
              </w:rPr>
              <w:t>June 24, 2014</w:t>
            </w:r>
          </w:p>
        </w:tc>
      </w:tr>
      <w:tr>
        <w:trPr>
          <w:trHeight w:val="155"/>
        </w:trPr>
        <w:tc>
          <w:tcPr>
            <w:tcW w:w="34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Jerrold D. Dotson</w:t>
            </w:r>
          </w:p>
        </w:tc>
        <w:tc>
          <w:tcPr>
            <w:tcW w:w="240" w:type="dxa"/>
            <w:vAlign w:val="bottom"/>
          </w:tcPr>
          <w:p>
            <w:pPr>
              <w:spacing w:after="0"/>
              <w:rPr>
                <w:sz w:val="13"/>
                <w:szCs w:val="13"/>
                <w:color w:val="auto"/>
              </w:rPr>
            </w:pPr>
          </w:p>
        </w:tc>
        <w:tc>
          <w:tcPr>
            <w:tcW w:w="5620" w:type="dxa"/>
            <w:vAlign w:val="bottom"/>
          </w:tcPr>
          <w:p>
            <w:pPr>
              <w:spacing w:after="0"/>
              <w:rPr>
                <w:sz w:val="20"/>
                <w:szCs w:val="20"/>
                <w:color w:val="auto"/>
              </w:rPr>
            </w:pPr>
            <w:r>
              <w:rPr>
                <w:rFonts w:ascii="Arial" w:cs="Arial" w:eastAsia="Arial" w:hAnsi="Arial"/>
                <w:sz w:val="12"/>
                <w:szCs w:val="12"/>
                <w:i w:val="1"/>
                <w:iCs w:val="1"/>
                <w:color w:val="auto"/>
              </w:rPr>
              <w:t>(Principal Financial and Accounting Officer)</w:t>
            </w: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75"/>
        </w:trPr>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2"/>
                <w:szCs w:val="12"/>
                <w:color w:val="auto"/>
              </w:rPr>
              <w:t>/s/</w:t>
            </w:r>
          </w:p>
        </w:tc>
        <w:tc>
          <w:tcPr>
            <w:tcW w:w="2120" w:type="dxa"/>
            <w:vAlign w:val="bottom"/>
            <w:tcBorders>
              <w:bottom w:val="single" w:sz="8" w:color="auto"/>
            </w:tcBorders>
          </w:tcPr>
          <w:p>
            <w:pPr>
              <w:jc w:val="center"/>
              <w:ind w:right="1020"/>
              <w:spacing w:after="0"/>
              <w:rPr>
                <w:sz w:val="20"/>
                <w:szCs w:val="20"/>
                <w:color w:val="auto"/>
              </w:rPr>
            </w:pPr>
            <w:r>
              <w:rPr>
                <w:rFonts w:ascii="Arial" w:cs="Arial" w:eastAsia="Arial" w:hAnsi="Arial"/>
                <w:sz w:val="12"/>
                <w:szCs w:val="12"/>
                <w:color w:val="auto"/>
                <w:w w:val="89"/>
              </w:rPr>
              <w:t>H. Ralph Snodgrass</w:t>
            </w:r>
          </w:p>
        </w:tc>
        <w:tc>
          <w:tcPr>
            <w:tcW w:w="24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President, Chief Scientific Officer and Director</w:t>
            </w:r>
          </w:p>
        </w:tc>
        <w:tc>
          <w:tcPr>
            <w:tcW w:w="24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89"/>
              </w:rPr>
              <w:t>June 24, 2014</w:t>
            </w:r>
          </w:p>
        </w:tc>
      </w:tr>
      <w:tr>
        <w:trPr>
          <w:trHeight w:val="155"/>
        </w:trPr>
        <w:tc>
          <w:tcPr>
            <w:tcW w:w="34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H. Ralph Snodgrass, Ph.D</w:t>
            </w:r>
          </w:p>
        </w:tc>
        <w:tc>
          <w:tcPr>
            <w:tcW w:w="2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75"/>
        </w:trPr>
        <w:tc>
          <w:tcPr>
            <w:tcW w:w="13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center"/>
              <w:ind w:right="1260"/>
              <w:spacing w:after="0"/>
              <w:rPr>
                <w:sz w:val="20"/>
                <w:szCs w:val="20"/>
                <w:color w:val="auto"/>
              </w:rPr>
            </w:pPr>
            <w:r>
              <w:rPr>
                <w:rFonts w:ascii="Arial" w:cs="Arial" w:eastAsia="Arial" w:hAnsi="Arial"/>
                <w:sz w:val="12"/>
                <w:szCs w:val="12"/>
                <w:color w:val="auto"/>
                <w:w w:val="95"/>
              </w:rPr>
              <w:t>/s/  Jon S. Saxe</w:t>
            </w:r>
          </w:p>
        </w:tc>
        <w:tc>
          <w:tcPr>
            <w:tcW w:w="24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Chairman of the Board of Directors</w:t>
            </w:r>
          </w:p>
        </w:tc>
        <w:tc>
          <w:tcPr>
            <w:tcW w:w="24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89"/>
              </w:rPr>
              <w:t>June 24, 2014</w:t>
            </w:r>
          </w:p>
        </w:tc>
      </w:tr>
      <w:tr>
        <w:trPr>
          <w:trHeight w:val="155"/>
        </w:trPr>
        <w:tc>
          <w:tcPr>
            <w:tcW w:w="1320" w:type="dxa"/>
            <w:vAlign w:val="bottom"/>
          </w:tcPr>
          <w:p>
            <w:pPr>
              <w:spacing w:after="0"/>
              <w:rPr>
                <w:sz w:val="13"/>
                <w:szCs w:val="13"/>
                <w:color w:val="auto"/>
              </w:rPr>
            </w:pPr>
          </w:p>
        </w:tc>
        <w:tc>
          <w:tcPr>
            <w:tcW w:w="2120" w:type="dxa"/>
            <w:vAlign w:val="bottom"/>
          </w:tcPr>
          <w:p>
            <w:pPr>
              <w:jc w:val="center"/>
              <w:ind w:right="1280"/>
              <w:spacing w:after="0"/>
              <w:rPr>
                <w:sz w:val="20"/>
                <w:szCs w:val="20"/>
                <w:color w:val="auto"/>
              </w:rPr>
            </w:pPr>
            <w:r>
              <w:rPr>
                <w:rFonts w:ascii="Arial" w:cs="Arial" w:eastAsia="Arial" w:hAnsi="Arial"/>
                <w:sz w:val="12"/>
                <w:szCs w:val="12"/>
                <w:b w:val="1"/>
                <w:bCs w:val="1"/>
                <w:color w:val="auto"/>
                <w:w w:val="86"/>
              </w:rPr>
              <w:t>Jon S. Saxe</w:t>
            </w:r>
          </w:p>
        </w:tc>
        <w:tc>
          <w:tcPr>
            <w:tcW w:w="2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75"/>
        </w:trPr>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2"/>
                <w:szCs w:val="12"/>
                <w:color w:val="auto"/>
              </w:rPr>
              <w:t>/s/</w:t>
            </w:r>
          </w:p>
        </w:tc>
        <w:tc>
          <w:tcPr>
            <w:tcW w:w="2120" w:type="dxa"/>
            <w:vAlign w:val="bottom"/>
            <w:tcBorders>
              <w:bottom w:val="single" w:sz="8" w:color="auto"/>
            </w:tcBorders>
          </w:tcPr>
          <w:p>
            <w:pPr>
              <w:jc w:val="center"/>
              <w:ind w:right="1040"/>
              <w:spacing w:after="0"/>
              <w:rPr>
                <w:sz w:val="20"/>
                <w:szCs w:val="20"/>
                <w:color w:val="auto"/>
              </w:rPr>
            </w:pPr>
            <w:r>
              <w:rPr>
                <w:rFonts w:ascii="Arial" w:cs="Arial" w:eastAsia="Arial" w:hAnsi="Arial"/>
                <w:sz w:val="12"/>
                <w:szCs w:val="12"/>
                <w:color w:val="auto"/>
                <w:w w:val="92"/>
              </w:rPr>
              <w:t>Brian J. Underdown</w:t>
            </w:r>
          </w:p>
        </w:tc>
        <w:tc>
          <w:tcPr>
            <w:tcW w:w="24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Director</w:t>
            </w:r>
          </w:p>
        </w:tc>
        <w:tc>
          <w:tcPr>
            <w:tcW w:w="24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89"/>
              </w:rPr>
              <w:t>June 24, 2014</w:t>
            </w:r>
          </w:p>
        </w:tc>
      </w:tr>
      <w:tr>
        <w:trPr>
          <w:trHeight w:val="155"/>
        </w:trPr>
        <w:tc>
          <w:tcPr>
            <w:tcW w:w="34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Brian J. Underdown, Ph. D</w:t>
            </w:r>
          </w:p>
        </w:tc>
        <w:tc>
          <w:tcPr>
            <w:tcW w:w="2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r>
    </w:tbl>
    <w:p>
      <w:pPr>
        <w:sectPr>
          <w:pgSz w:w="11900" w:h="16838" w:orient="portrait"/>
          <w:cols w:equalWidth="0" w:num="1">
            <w:col w:w="11480"/>
          </w:cols>
          <w:pgMar w:left="220" w:top="134" w:right="199" w:bottom="1440" w:gutter="0" w:footer="0" w:header="0"/>
        </w:sectPr>
      </w:pPr>
    </w:p>
    <w:bookmarkStart w:id="153" w:name="page154"/>
    <w:bookmarkEnd w:id="153"/>
    <w:p>
      <w:pPr>
        <w:spacing w:after="0" w:line="200" w:lineRule="exact"/>
        <w:rPr>
          <w:sz w:val="20"/>
          <w:szCs w:val="20"/>
          <w:color w:val="auto"/>
        </w:rPr>
      </w:pPr>
    </w:p>
    <w:p>
      <w:pPr>
        <w:spacing w:after="0" w:line="398" w:lineRule="exact"/>
        <w:rPr>
          <w:sz w:val="20"/>
          <w:szCs w:val="20"/>
          <w:color w:val="auto"/>
        </w:rPr>
      </w:pPr>
    </w:p>
    <w:p>
      <w:pPr>
        <w:ind w:left="548"/>
        <w:spacing w:after="0"/>
        <w:rPr>
          <w:sz w:val="20"/>
          <w:szCs w:val="20"/>
          <w:color w:val="auto"/>
        </w:rPr>
      </w:pPr>
      <w:r>
        <w:rPr>
          <w:rFonts w:ascii="Arial" w:cs="Arial" w:eastAsia="Arial" w:hAnsi="Arial"/>
          <w:sz w:val="12"/>
          <w:szCs w:val="12"/>
          <w:color w:val="auto"/>
        </w:rPr>
        <w:t>TO:</w:t>
      </w:r>
    </w:p>
    <w:p>
      <w:pPr>
        <w:spacing w:after="0" w:line="15" w:lineRule="exact"/>
        <w:rPr>
          <w:sz w:val="20"/>
          <w:szCs w:val="20"/>
          <w:color w:val="auto"/>
        </w:rPr>
      </w:pPr>
    </w:p>
    <w:p>
      <w:pPr>
        <w:ind w:left="548"/>
        <w:spacing w:after="0"/>
        <w:rPr>
          <w:sz w:val="20"/>
          <w:szCs w:val="20"/>
          <w:color w:val="auto"/>
        </w:rPr>
      </w:pPr>
      <w:r>
        <w:rPr>
          <w:rFonts w:ascii="Arial" w:cs="Arial" w:eastAsia="Arial" w:hAnsi="Arial"/>
          <w:sz w:val="12"/>
          <w:szCs w:val="12"/>
          <w:color w:val="auto"/>
        </w:rPr>
        <w:t>RE:</w:t>
      </w:r>
    </w:p>
    <w:p>
      <w:pPr>
        <w:spacing w:after="0" w:line="137" w:lineRule="exact"/>
        <w:rPr>
          <w:sz w:val="20"/>
          <w:szCs w:val="20"/>
          <w:color w:val="auto"/>
        </w:rPr>
      </w:pPr>
    </w:p>
    <w:p>
      <w:pPr>
        <w:ind w:left="548"/>
        <w:spacing w:after="0"/>
        <w:rPr>
          <w:sz w:val="20"/>
          <w:szCs w:val="20"/>
          <w:color w:val="auto"/>
        </w:rPr>
      </w:pPr>
      <w:r>
        <w:rPr>
          <w:rFonts w:ascii="Arial" w:cs="Arial" w:eastAsia="Arial" w:hAnsi="Arial"/>
          <w:sz w:val="10"/>
          <w:szCs w:val="10"/>
          <w:b w:val="1"/>
          <w:bCs w:val="1"/>
          <w:color w:val="auto"/>
        </w:rPr>
        <w:t>Instructions: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2"/>
          <w:szCs w:val="12"/>
          <w:b w:val="1"/>
          <w:bCs w:val="1"/>
          <w:color w:val="auto"/>
        </w:rPr>
        <w:t>Exhibit 10.93</w:t>
      </w:r>
    </w:p>
    <w:p>
      <w:pPr>
        <w:spacing w:after="0" w:line="150" w:lineRule="exact"/>
        <w:rPr>
          <w:sz w:val="20"/>
          <w:szCs w:val="20"/>
          <w:color w:val="auto"/>
        </w:rPr>
      </w:pPr>
    </w:p>
    <w:p>
      <w:pPr>
        <w:ind w:left="2680"/>
        <w:spacing w:after="0"/>
        <w:rPr>
          <w:sz w:val="20"/>
          <w:szCs w:val="20"/>
          <w:color w:val="auto"/>
        </w:rPr>
      </w:pPr>
      <w:r>
        <w:rPr>
          <w:rFonts w:ascii="Arial" w:cs="Arial" w:eastAsia="Arial" w:hAnsi="Arial"/>
          <w:sz w:val="12"/>
          <w:szCs w:val="12"/>
          <w:b w:val="1"/>
          <w:bCs w:val="1"/>
          <w:color w:val="auto"/>
        </w:rPr>
        <w:t>SUBSCRIPTION AGREEMENT UNITS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 a Nevada corporation, (the “</w:t>
      </w:r>
      <w:r>
        <w:rPr>
          <w:rFonts w:ascii="Arial" w:cs="Arial" w:eastAsia="Arial" w:hAnsi="Arial"/>
          <w:sz w:val="12"/>
          <w:szCs w:val="12"/>
          <w:i w:val="1"/>
          <w:iCs w:val="1"/>
          <w:color w:val="auto"/>
        </w:rPr>
        <w:t>Corporation</w:t>
      </w: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Purchase of Units of VistaGen Therapeutics, Inc.</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Complete and sign this Subscription Agreement. Please be sure to initial the appropriate “accredited investor” category in Box C.</w:t>
      </w:r>
    </w:p>
    <w:p>
      <w:pPr>
        <w:spacing w:after="0" w:line="222" w:lineRule="exact"/>
        <w:rPr>
          <w:sz w:val="20"/>
          <w:szCs w:val="20"/>
          <w:color w:val="auto"/>
        </w:rPr>
      </w:pPr>
    </w:p>
    <w:p>
      <w:pPr>
        <w:ind w:right="1520"/>
        <w:spacing w:after="0" w:line="276" w:lineRule="auto"/>
        <w:rPr>
          <w:sz w:val="20"/>
          <w:szCs w:val="20"/>
          <w:color w:val="auto"/>
        </w:rPr>
      </w:pPr>
      <w:r>
        <w:rPr>
          <w:rFonts w:ascii="Arial" w:cs="Arial" w:eastAsia="Arial" w:hAnsi="Arial"/>
          <w:sz w:val="12"/>
          <w:szCs w:val="12"/>
          <w:color w:val="auto"/>
        </w:rPr>
        <w:t>A completed and originally executed copy of, and the other documents required to be delivered with, this Subscription Agreement, must be delivered to the following address:</w:t>
      </w:r>
    </w:p>
    <w:p>
      <w:pPr>
        <w:spacing w:after="0" w:line="115" w:lineRule="exact"/>
        <w:rPr>
          <w:sz w:val="20"/>
          <w:szCs w:val="20"/>
          <w:color w:val="auto"/>
        </w:rPr>
      </w:pPr>
    </w:p>
    <w:p>
      <w:pPr>
        <w:sectPr>
          <w:pgSz w:w="11900" w:h="16838" w:orient="portrait"/>
          <w:cols w:equalWidth="0" w:num="2">
            <w:col w:w="1288" w:space="720"/>
            <w:col w:w="9480"/>
          </w:cols>
          <w:pgMar w:left="212" w:top="127" w:right="199" w:bottom="1440" w:gutter="0" w:footer="0" w:header="0"/>
        </w:sectPr>
      </w:pPr>
    </w:p>
    <w:p>
      <w:pPr>
        <w:jc w:val="center"/>
        <w:ind w:right="652"/>
        <w:spacing w:after="0"/>
        <w:rPr>
          <w:sz w:val="20"/>
          <w:szCs w:val="20"/>
          <w:color w:val="auto"/>
        </w:rPr>
      </w:pPr>
      <w:r>
        <w:rPr>
          <w:rFonts w:ascii="Arial" w:cs="Arial" w:eastAsia="Arial" w:hAnsi="Arial"/>
          <w:sz w:val="12"/>
          <w:szCs w:val="12"/>
          <w:color w:val="auto"/>
        </w:rPr>
        <w:t>Shawn K. Singh, JD</w:t>
      </w:r>
    </w:p>
    <w:p>
      <w:pPr>
        <w:spacing w:after="0" w:line="15" w:lineRule="exact"/>
        <w:rPr>
          <w:sz w:val="20"/>
          <w:szCs w:val="20"/>
          <w:color w:val="auto"/>
        </w:rPr>
      </w:pPr>
    </w:p>
    <w:p>
      <w:pPr>
        <w:jc w:val="center"/>
        <w:ind w:right="652"/>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jc w:val="center"/>
        <w:ind w:right="652"/>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jc w:val="center"/>
        <w:ind w:right="652"/>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jc w:val="center"/>
        <w:ind w:right="652"/>
        <w:spacing w:after="0"/>
        <w:rPr>
          <w:sz w:val="20"/>
          <w:szCs w:val="20"/>
          <w:color w:val="auto"/>
        </w:rPr>
      </w:pPr>
      <w:r>
        <w:rPr>
          <w:rFonts w:ascii="Arial" w:cs="Arial" w:eastAsia="Arial" w:hAnsi="Arial"/>
          <w:sz w:val="12"/>
          <w:szCs w:val="12"/>
          <w:color w:val="auto"/>
        </w:rPr>
        <w:t>South San Francisco, CA 94080</w:t>
      </w:r>
    </w:p>
    <w:p>
      <w:pPr>
        <w:spacing w:after="0" w:line="6" w:lineRule="exact"/>
        <w:rPr>
          <w:sz w:val="20"/>
          <w:szCs w:val="20"/>
          <w:color w:val="auto"/>
        </w:rPr>
      </w:pPr>
    </w:p>
    <w:p>
      <w:pPr>
        <w:ind w:left="5328" w:hanging="290"/>
        <w:spacing w:after="0"/>
        <w:tabs>
          <w:tab w:leader="none" w:pos="5328" w:val="left"/>
        </w:tabs>
        <w:numPr>
          <w:ilvl w:val="0"/>
          <w:numId w:val="69"/>
        </w:numPr>
        <w:rPr>
          <w:rFonts w:ascii="Arial" w:cs="Arial" w:eastAsia="Arial" w:hAnsi="Arial"/>
          <w:sz w:val="12"/>
          <w:szCs w:val="12"/>
          <w:color w:val="auto"/>
        </w:rPr>
      </w:pPr>
      <w:r>
        <w:rPr>
          <w:rFonts w:ascii="Arial" w:cs="Arial" w:eastAsia="Arial" w:hAnsi="Arial"/>
          <w:sz w:val="12"/>
          <w:szCs w:val="12"/>
          <w:color w:val="auto"/>
        </w:rPr>
        <w:t>627-3483</w:t>
      </w:r>
    </w:p>
    <w:p>
      <w:pPr>
        <w:spacing w:after="0" w:line="6" w:lineRule="exact"/>
        <w:rPr>
          <w:rFonts w:ascii="Arial" w:cs="Arial" w:eastAsia="Arial" w:hAnsi="Arial"/>
          <w:sz w:val="12"/>
          <w:szCs w:val="12"/>
          <w:color w:val="auto"/>
        </w:rPr>
      </w:pPr>
    </w:p>
    <w:p>
      <w:pPr>
        <w:ind w:left="4888"/>
        <w:spacing w:after="0"/>
        <w:rPr>
          <w:rFonts w:ascii="Arial" w:cs="Arial" w:eastAsia="Arial" w:hAnsi="Arial"/>
          <w:sz w:val="12"/>
          <w:szCs w:val="12"/>
          <w:color w:val="auto"/>
        </w:rPr>
      </w:pPr>
      <w:r>
        <w:rPr>
          <w:rFonts w:ascii="Arial" w:cs="Arial" w:eastAsia="Arial" w:hAnsi="Arial"/>
          <w:sz w:val="12"/>
          <w:szCs w:val="12"/>
          <w:u w:val="single" w:color="auto"/>
          <w:color w:val="auto"/>
        </w:rPr>
        <w:t>ssingh@vistagen.com</w:t>
      </w:r>
    </w:p>
    <w:p>
      <w:pPr>
        <w:spacing w:after="0" w:line="141"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1. The undersigned (the “</w:t>
      </w:r>
      <w:r>
        <w:rPr>
          <w:rFonts w:ascii="Arial" w:cs="Arial" w:eastAsia="Arial" w:hAnsi="Arial"/>
          <w:sz w:val="12"/>
          <w:szCs w:val="12"/>
          <w:i w:val="1"/>
          <w:iCs w:val="1"/>
          <w:color w:val="auto"/>
        </w:rPr>
        <w:t>Subscriber</w:t>
      </w:r>
      <w:r>
        <w:rPr>
          <w:rFonts w:ascii="Arial" w:cs="Arial" w:eastAsia="Arial" w:hAnsi="Arial"/>
          <w:sz w:val="12"/>
          <w:szCs w:val="12"/>
          <w:color w:val="auto"/>
        </w:rPr>
        <w:t>”) hereby irrevocably subscribes for and agrees to purchase from the Corporation the number of units of the Corporation (“</w:t>
      </w:r>
      <w:r>
        <w:rPr>
          <w:rFonts w:ascii="Arial" w:cs="Arial" w:eastAsia="Arial" w:hAnsi="Arial"/>
          <w:sz w:val="12"/>
          <w:szCs w:val="12"/>
          <w:i w:val="1"/>
          <w:iCs w:val="1"/>
          <w:color w:val="auto"/>
        </w:rPr>
        <w:t>Units</w:t>
      </w:r>
      <w:r>
        <w:rPr>
          <w:rFonts w:ascii="Arial" w:cs="Arial" w:eastAsia="Arial" w:hAnsi="Arial"/>
          <w:sz w:val="12"/>
          <w:szCs w:val="12"/>
          <w:color w:val="auto"/>
        </w:rPr>
        <w:t>”) at the price and for the aggregate consideration set forth in Box A of Section 6 below (the “</w:t>
      </w:r>
      <w:r>
        <w:rPr>
          <w:rFonts w:ascii="Arial" w:cs="Arial" w:eastAsia="Arial" w:hAnsi="Arial"/>
          <w:sz w:val="12"/>
          <w:szCs w:val="12"/>
          <w:i w:val="1"/>
          <w:iCs w:val="1"/>
          <w:color w:val="auto"/>
        </w:rPr>
        <w:t>Subscription Price</w:t>
      </w:r>
      <w:r>
        <w:rPr>
          <w:rFonts w:ascii="Arial" w:cs="Arial" w:eastAsia="Arial" w:hAnsi="Arial"/>
          <w:sz w:val="12"/>
          <w:szCs w:val="12"/>
          <w:color w:val="auto"/>
        </w:rPr>
        <w:t>”). Each Unit will consist of (i) an unsecured convertible promissory note (a “</w:t>
      </w:r>
      <w:r>
        <w:rPr>
          <w:rFonts w:ascii="Arial" w:cs="Arial" w:eastAsia="Arial" w:hAnsi="Arial"/>
          <w:sz w:val="12"/>
          <w:szCs w:val="12"/>
          <w:i w:val="1"/>
          <w:iCs w:val="1"/>
          <w:color w:val="auto"/>
        </w:rPr>
        <w:t>Note</w:t>
      </w:r>
      <w:r>
        <w:rPr>
          <w:rFonts w:ascii="Arial" w:cs="Arial" w:eastAsia="Arial" w:hAnsi="Arial"/>
          <w:sz w:val="12"/>
          <w:szCs w:val="12"/>
          <w:color w:val="auto"/>
        </w:rPr>
        <w:t>”) in the face amount of $5,000 bearing interest at a rate of ten percent (10.0%) per annum and maturing on July 30, 2014; (ii) TEN THOUSAND (10,000) shares of unregistered Common Stock of the Corporation (the “</w:t>
      </w:r>
      <w:r>
        <w:rPr>
          <w:rFonts w:ascii="Arial" w:cs="Arial" w:eastAsia="Arial" w:hAnsi="Arial"/>
          <w:sz w:val="12"/>
          <w:szCs w:val="12"/>
          <w:i w:val="1"/>
          <w:iCs w:val="1"/>
          <w:color w:val="auto"/>
        </w:rPr>
        <w:t>Shares</w:t>
      </w:r>
      <w:r>
        <w:rPr>
          <w:rFonts w:ascii="Arial" w:cs="Arial" w:eastAsia="Arial" w:hAnsi="Arial"/>
          <w:sz w:val="12"/>
          <w:szCs w:val="12"/>
          <w:color w:val="auto"/>
        </w:rPr>
        <w:t>”) and (iii) a warrant to purchase TEN THOUSAND (10,000) shares of Common Stock of the Corporation at a price of $1.00 per share through July 30, 2016 (each warrant to purchase shares of Common Stock, a “</w:t>
      </w:r>
      <w:r>
        <w:rPr>
          <w:rFonts w:ascii="Arial" w:cs="Arial" w:eastAsia="Arial" w:hAnsi="Arial"/>
          <w:sz w:val="12"/>
          <w:szCs w:val="12"/>
          <w:i w:val="1"/>
          <w:iCs w:val="1"/>
          <w:color w:val="auto"/>
        </w:rPr>
        <w:t>Warrant</w:t>
      </w:r>
      <w:r>
        <w:rPr>
          <w:rFonts w:ascii="Arial" w:cs="Arial" w:eastAsia="Arial" w:hAnsi="Arial"/>
          <w:sz w:val="12"/>
          <w:szCs w:val="12"/>
          <w:color w:val="auto"/>
        </w:rPr>
        <w:t>”). The Subscription Price for each Unit shall be $5,000. The Subscriber acknowledges that this Subscription Agreement is subject to acceptance by the Corporation. The Corporation may also accept this Subscription Agreement in part. The Subscriber agrees that if this Subscription Agreement is not accepted in full, any funds related to the portion of this Subscription Agreement not accepted will be returned to the undersigned, without interest.</w:t>
      </w:r>
    </w:p>
    <w:p>
      <w:pPr>
        <w:spacing w:after="0" w:line="147" w:lineRule="exact"/>
        <w:rPr>
          <w:sz w:val="20"/>
          <w:szCs w:val="20"/>
          <w:color w:val="auto"/>
        </w:rPr>
      </w:pPr>
    </w:p>
    <w:p>
      <w:pPr>
        <w:ind w:left="8" w:hanging="8"/>
        <w:spacing w:after="0" w:line="276" w:lineRule="auto"/>
        <w:tabs>
          <w:tab w:leader="none" w:pos="234" w:val="left"/>
        </w:tabs>
        <w:numPr>
          <w:ilvl w:val="0"/>
          <w:numId w:val="70"/>
        </w:numPr>
        <w:rPr>
          <w:rFonts w:ascii="Arial" w:cs="Arial" w:eastAsia="Arial" w:hAnsi="Arial"/>
          <w:sz w:val="12"/>
          <w:szCs w:val="12"/>
          <w:color w:val="auto"/>
        </w:rPr>
      </w:pPr>
      <w:r>
        <w:rPr>
          <w:rFonts w:ascii="Arial" w:cs="Arial" w:eastAsia="Arial" w:hAnsi="Arial"/>
          <w:sz w:val="12"/>
          <w:szCs w:val="12"/>
          <w:color w:val="auto"/>
        </w:rPr>
        <w:t>By executing this Subscription Agreement, the Subscriber represents, warrants and covenants (on its own behalf and, if applicable, on behalf of each beneficial purchaser for whom it is contracting hereunder) to the Corporation (and acknowledges that the Corporation is relying thereon) that:</w:t>
      </w:r>
    </w:p>
    <w:p>
      <w:pPr>
        <w:spacing w:after="0" w:line="132" w:lineRule="exact"/>
        <w:rPr>
          <w:rFonts w:ascii="Arial" w:cs="Arial" w:eastAsia="Arial" w:hAnsi="Arial"/>
          <w:sz w:val="12"/>
          <w:szCs w:val="12"/>
          <w:color w:val="auto"/>
        </w:rPr>
      </w:pPr>
    </w:p>
    <w:p>
      <w:pPr>
        <w:ind w:left="1148" w:hanging="157"/>
        <w:spacing w:after="0"/>
        <w:tabs>
          <w:tab w:leader="none" w:pos="1148" w:val="left"/>
        </w:tabs>
        <w:numPr>
          <w:ilvl w:val="1"/>
          <w:numId w:val="70"/>
        </w:numPr>
        <w:rPr>
          <w:rFonts w:ascii="Arial" w:cs="Arial" w:eastAsia="Arial" w:hAnsi="Arial"/>
          <w:sz w:val="12"/>
          <w:szCs w:val="12"/>
          <w:color w:val="auto"/>
        </w:rPr>
      </w:pPr>
      <w:r>
        <w:rPr>
          <w:rFonts w:ascii="Arial" w:cs="Arial" w:eastAsia="Arial" w:hAnsi="Arial"/>
          <w:sz w:val="12"/>
          <w:szCs w:val="12"/>
          <w:color w:val="auto"/>
        </w:rPr>
        <w:t>it is authorized to consummate the purchase of the Units;</w:t>
      </w:r>
    </w:p>
    <w:p>
      <w:pPr>
        <w:spacing w:after="0" w:line="168" w:lineRule="exact"/>
        <w:rPr>
          <w:rFonts w:ascii="Arial" w:cs="Arial" w:eastAsia="Arial" w:hAnsi="Arial"/>
          <w:sz w:val="12"/>
          <w:szCs w:val="12"/>
          <w:color w:val="auto"/>
        </w:rPr>
      </w:pPr>
    </w:p>
    <w:p>
      <w:pPr>
        <w:jc w:val="both"/>
        <w:ind w:left="988" w:firstLine="3"/>
        <w:spacing w:after="0" w:line="259" w:lineRule="auto"/>
        <w:tabs>
          <w:tab w:leader="none" w:pos="1197" w:val="left"/>
        </w:tabs>
        <w:numPr>
          <w:ilvl w:val="1"/>
          <w:numId w:val="70"/>
        </w:numPr>
        <w:rPr>
          <w:rFonts w:ascii="Arial" w:cs="Arial" w:eastAsia="Arial" w:hAnsi="Arial"/>
          <w:sz w:val="12"/>
          <w:szCs w:val="12"/>
          <w:color w:val="auto"/>
        </w:rPr>
      </w:pPr>
      <w:r>
        <w:rPr>
          <w:rFonts w:ascii="Arial" w:cs="Arial" w:eastAsia="Arial" w:hAnsi="Arial"/>
          <w:sz w:val="12"/>
          <w:szCs w:val="12"/>
          <w:color w:val="auto"/>
        </w:rPr>
        <w:t>it understands that the Note, the Shares, the Warrants and the Shares issuable upon conversion of the Note or exercise of the Warrants (collectively, the “</w:t>
      </w:r>
      <w:r>
        <w:rPr>
          <w:rFonts w:ascii="Arial" w:cs="Arial" w:eastAsia="Arial" w:hAnsi="Arial"/>
          <w:sz w:val="12"/>
          <w:szCs w:val="12"/>
          <w:i w:val="1"/>
          <w:iCs w:val="1"/>
          <w:color w:val="auto"/>
        </w:rPr>
        <w:t>Securities</w:t>
      </w:r>
      <w:r>
        <w:rPr>
          <w:rFonts w:ascii="Arial" w:cs="Arial" w:eastAsia="Arial" w:hAnsi="Arial"/>
          <w:sz w:val="12"/>
          <w:szCs w:val="12"/>
          <w:color w:val="auto"/>
        </w:rPr>
        <w:t>”) have not been and will not be registered under the Securities Act of 1933 (the “</w:t>
      </w:r>
      <w:r>
        <w:rPr>
          <w:rFonts w:ascii="Arial" w:cs="Arial" w:eastAsia="Arial" w:hAnsi="Arial"/>
          <w:sz w:val="12"/>
          <w:szCs w:val="12"/>
          <w:i w:val="1"/>
          <w:iCs w:val="1"/>
          <w:color w:val="auto"/>
        </w:rPr>
        <w:t>Securities Act</w:t>
      </w:r>
      <w:r>
        <w:rPr>
          <w:rFonts w:ascii="Arial" w:cs="Arial" w:eastAsia="Arial" w:hAnsi="Arial"/>
          <w:sz w:val="12"/>
          <w:szCs w:val="12"/>
          <w:color w:val="auto"/>
        </w:rPr>
        <w:t>”), or any applicable state securities laws, and that the offer and sale of the Note, the Shares and Warrants to it is being made in reliance on a private placement exemption available under Section 4(2) of the Securities Act and Rule 506 of Regulation D under the Securities Act (“</w:t>
      </w:r>
      <w:r>
        <w:rPr>
          <w:rFonts w:ascii="Arial" w:cs="Arial" w:eastAsia="Arial" w:hAnsi="Arial"/>
          <w:sz w:val="12"/>
          <w:szCs w:val="12"/>
          <w:i w:val="1"/>
          <w:iCs w:val="1"/>
          <w:color w:val="auto"/>
        </w:rPr>
        <w:t>Regulation D</w:t>
      </w:r>
      <w:r>
        <w:rPr>
          <w:rFonts w:ascii="Arial" w:cs="Arial" w:eastAsia="Arial" w:hAnsi="Arial"/>
          <w:sz w:val="12"/>
          <w:szCs w:val="12"/>
          <w:color w:val="auto"/>
        </w:rPr>
        <w:t>”) to accredited investors (“</w:t>
      </w:r>
      <w:r>
        <w:rPr>
          <w:rFonts w:ascii="Arial" w:cs="Arial" w:eastAsia="Arial" w:hAnsi="Arial"/>
          <w:sz w:val="12"/>
          <w:szCs w:val="12"/>
          <w:i w:val="1"/>
          <w:iCs w:val="1"/>
          <w:color w:val="auto"/>
        </w:rPr>
        <w:t>Accredited Investors</w:t>
      </w:r>
      <w:r>
        <w:rPr>
          <w:rFonts w:ascii="Arial" w:cs="Arial" w:eastAsia="Arial" w:hAnsi="Arial"/>
          <w:sz w:val="12"/>
          <w:szCs w:val="12"/>
          <w:color w:val="auto"/>
        </w:rPr>
        <w:t>”), as defined in Rule 501(a) of Regulation D;</w:t>
      </w:r>
    </w:p>
    <w:p>
      <w:pPr>
        <w:spacing w:after="0" w:line="142" w:lineRule="exact"/>
        <w:rPr>
          <w:rFonts w:ascii="Arial" w:cs="Arial" w:eastAsia="Arial" w:hAnsi="Arial"/>
          <w:sz w:val="12"/>
          <w:szCs w:val="12"/>
          <w:color w:val="auto"/>
        </w:rPr>
      </w:pPr>
    </w:p>
    <w:p>
      <w:pPr>
        <w:ind w:left="988" w:right="20" w:firstLine="3"/>
        <w:spacing w:after="0" w:line="276" w:lineRule="auto"/>
        <w:tabs>
          <w:tab w:leader="none" w:pos="1156" w:val="left"/>
        </w:tabs>
        <w:numPr>
          <w:ilvl w:val="1"/>
          <w:numId w:val="70"/>
        </w:numPr>
        <w:rPr>
          <w:rFonts w:ascii="Arial" w:cs="Arial" w:eastAsia="Arial" w:hAnsi="Arial"/>
          <w:sz w:val="12"/>
          <w:szCs w:val="12"/>
          <w:color w:val="auto"/>
        </w:rPr>
      </w:pPr>
      <w:r>
        <w:rPr>
          <w:rFonts w:ascii="Arial" w:cs="Arial" w:eastAsia="Arial" w:hAnsi="Arial"/>
          <w:sz w:val="12"/>
          <w:szCs w:val="12"/>
          <w:color w:val="auto"/>
        </w:rPr>
        <w:t>it has such knowledge and experience in financial and business matters as to be capable of evaluating the merits and risks of its investment in the Units and is able to bear the economic risks of, and withstand the complete loss of, such investment;</w:t>
      </w:r>
    </w:p>
    <w:p>
      <w:pPr>
        <w:spacing w:after="0" w:line="132" w:lineRule="exact"/>
        <w:rPr>
          <w:rFonts w:ascii="Arial" w:cs="Arial" w:eastAsia="Arial" w:hAnsi="Arial"/>
          <w:sz w:val="12"/>
          <w:szCs w:val="12"/>
          <w:color w:val="auto"/>
        </w:rPr>
      </w:pPr>
    </w:p>
    <w:p>
      <w:pPr>
        <w:jc w:val="both"/>
        <w:ind w:left="988" w:firstLine="3"/>
        <w:spacing w:after="0" w:line="263" w:lineRule="auto"/>
        <w:tabs>
          <w:tab w:leader="none" w:pos="1165" w:val="left"/>
        </w:tabs>
        <w:numPr>
          <w:ilvl w:val="1"/>
          <w:numId w:val="70"/>
        </w:numPr>
        <w:rPr>
          <w:rFonts w:ascii="Arial" w:cs="Arial" w:eastAsia="Arial" w:hAnsi="Arial"/>
          <w:sz w:val="12"/>
          <w:szCs w:val="12"/>
          <w:color w:val="auto"/>
        </w:rPr>
      </w:pPr>
      <w:r>
        <w:rPr>
          <w:rFonts w:ascii="Arial" w:cs="Arial" w:eastAsia="Arial" w:hAnsi="Arial"/>
          <w:sz w:val="12"/>
          <w:szCs w:val="12"/>
          <w:color w:val="auto"/>
        </w:rPr>
        <w:t>it is an Accredited Investor acquiring the Units for its own account or, if the Units are to be purchased for one or more accounts (“</w:t>
      </w:r>
      <w:r>
        <w:rPr>
          <w:rFonts w:ascii="Arial" w:cs="Arial" w:eastAsia="Arial" w:hAnsi="Arial"/>
          <w:sz w:val="12"/>
          <w:szCs w:val="12"/>
          <w:i w:val="1"/>
          <w:iCs w:val="1"/>
          <w:color w:val="auto"/>
        </w:rPr>
        <w:t>Investor Accounts</w:t>
      </w:r>
      <w:r>
        <w:rPr>
          <w:rFonts w:ascii="Arial" w:cs="Arial" w:eastAsia="Arial" w:hAnsi="Arial"/>
          <w:sz w:val="12"/>
          <w:szCs w:val="12"/>
          <w:color w:val="auto"/>
        </w:rPr>
        <w:t>”) with respect to whom it is exercising sole investment discretion, each such investor account is an Accredited Investor on a like basis. In each case, the undersigned has completed Box C of Section 6 to indicate under which category of Rule 501(a) the investor qualifies as an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7299325"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type w:val="continuous"/>
        </w:sectPr>
      </w:pPr>
    </w:p>
    <w:bookmarkStart w:id="154" w:name="page155"/>
    <w:bookmarkEnd w:id="154"/>
    <w:p>
      <w:pPr>
        <w:jc w:val="both"/>
        <w:ind w:left="-3" w:firstLine="3"/>
        <w:spacing w:after="0" w:line="263" w:lineRule="auto"/>
        <w:tabs>
          <w:tab w:leader="none" w:pos="166" w:val="left"/>
        </w:tabs>
        <w:numPr>
          <w:ilvl w:val="0"/>
          <w:numId w:val="71"/>
        </w:numPr>
        <w:rPr>
          <w:rFonts w:ascii="Arial" w:cs="Arial" w:eastAsia="Arial" w:hAnsi="Arial"/>
          <w:sz w:val="12"/>
          <w:szCs w:val="12"/>
          <w:color w:val="auto"/>
        </w:rPr>
      </w:pPr>
      <w:r>
        <w:rPr>
          <w:rFonts w:ascii="Arial" w:cs="Arial" w:eastAsia="Arial" w:hAnsi="Arial"/>
          <w:sz w:val="12"/>
          <w:szCs w:val="12"/>
          <w:color w:val="auto"/>
        </w:rPr>
        <w:t>it is not acquiring the Units with a view to any resale, distribution or other disposition of the Units in violation of federal or applicable state securities laws, and, in particular, it has no intention to distribute either directly or indirectly any of the Units in the U.S. or to U.S. persons; provided, however, that the holder may sell or otherwise dispose of any of the Units pursuant to registration thereof under the Securities Act and any applicable state securities laws or pursuant to an exemption from such registration requirements;</w:t>
      </w:r>
    </w:p>
    <w:p>
      <w:pPr>
        <w:spacing w:after="0" w:line="122" w:lineRule="exact"/>
        <w:rPr>
          <w:rFonts w:ascii="Arial" w:cs="Arial" w:eastAsia="Arial" w:hAnsi="Arial"/>
          <w:sz w:val="12"/>
          <w:szCs w:val="12"/>
          <w:color w:val="auto"/>
        </w:rPr>
      </w:pPr>
    </w:p>
    <w:p>
      <w:pPr>
        <w:ind w:left="-3" w:firstLine="3"/>
        <w:spacing w:after="0" w:line="276" w:lineRule="auto"/>
        <w:tabs>
          <w:tab w:leader="none" w:pos="147"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 the case of the purchase by the Subscriber of the Units as agent or trustee for any other person, the Subscriber has due and proper authority to act as agent or trustee for and on behalf of such beneficial purchaser in connection with the transactions contemplated hereby;</w:t>
      </w:r>
    </w:p>
    <w:p>
      <w:pPr>
        <w:spacing w:after="0" w:line="132" w:lineRule="exact"/>
        <w:rPr>
          <w:rFonts w:ascii="Arial" w:cs="Arial" w:eastAsia="Arial" w:hAnsi="Arial"/>
          <w:sz w:val="12"/>
          <w:szCs w:val="12"/>
          <w:color w:val="auto"/>
        </w:rPr>
      </w:pPr>
    </w:p>
    <w:p>
      <w:pPr>
        <w:jc w:val="both"/>
        <w:ind w:left="-3" w:right="20" w:firstLine="3"/>
        <w:spacing w:after="0" w:line="380" w:lineRule="auto"/>
        <w:tabs>
          <w:tab w:leader="none" w:pos="179" w:val="left"/>
        </w:tabs>
        <w:numPr>
          <w:ilvl w:val="0"/>
          <w:numId w:val="71"/>
        </w:numPr>
        <w:rPr>
          <w:rFonts w:ascii="Arial" w:cs="Arial" w:eastAsia="Arial" w:hAnsi="Arial"/>
          <w:sz w:val="10"/>
          <w:szCs w:val="10"/>
          <w:color w:val="auto"/>
        </w:rPr>
      </w:pPr>
      <w:r>
        <w:rPr>
          <w:rFonts w:ascii="Arial" w:cs="Arial" w:eastAsia="Arial" w:hAnsi="Arial"/>
          <w:sz w:val="10"/>
          <w:szCs w:val="10"/>
          <w:color w:val="auto"/>
        </w:rPr>
        <w:t>it is not purchasing the Units as a result of any general solicitation or general advertising (as those terms are used in Regulation D under the Securities Act),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spacing w:after="0" w:line="86" w:lineRule="exact"/>
        <w:rPr>
          <w:rFonts w:ascii="Arial" w:cs="Arial" w:eastAsia="Arial" w:hAnsi="Arial"/>
          <w:sz w:val="10"/>
          <w:szCs w:val="10"/>
          <w:color w:val="auto"/>
        </w:rPr>
      </w:pPr>
    </w:p>
    <w:p>
      <w:pPr>
        <w:jc w:val="both"/>
        <w:ind w:left="-3" w:firstLine="3"/>
        <w:spacing w:after="0" w:line="255" w:lineRule="auto"/>
        <w:tabs>
          <w:tab w:leader="none" w:pos="171" w:val="left"/>
        </w:tabs>
        <w:numPr>
          <w:ilvl w:val="0"/>
          <w:numId w:val="71"/>
        </w:numPr>
        <w:rPr>
          <w:rFonts w:ascii="Arial" w:cs="Arial" w:eastAsia="Arial" w:hAnsi="Arial"/>
          <w:sz w:val="12"/>
          <w:szCs w:val="12"/>
          <w:color w:val="auto"/>
        </w:rPr>
      </w:pPr>
      <w:r>
        <w:rPr>
          <w:rFonts w:ascii="Arial" w:cs="Arial" w:eastAsia="Arial" w:hAnsi="Arial"/>
          <w:sz w:val="12"/>
          <w:szCs w:val="12"/>
          <w:color w:val="auto"/>
        </w:rPr>
        <w:t>it understands that the Securities are “restricted securities” as defined in Rule 144(a)(3) under the Securities Act and agrees that if it decides to offer, sell or otherwise transfer the Securities, such Securities may be offered, sold or otherwise transferred only (A) to the Corporation, (B) outside the U.S. in accordance with Rule 904 of Regulation S under the Securities Act, (C) within the U.S. or to or for the account or benefit of a U.S. Person in accordance with an exemption from the registration requirements of the Securities Act and all applicable state securities laws, (D) in a transaction that does not require registration under the Securities Act or any applicable U.S. state securities laws or (E) pursuant to an effective registration statement under the Securities Act, and in each case in accordance with any applicable state securities laws in the U.S. or securities laws of any other applicable jurisdiction; provided that with respect to sales or transfers under clauses (C) or (D), only if the holder has furnished to the Corporation a written opinion of counsel, reasonably satisfactory to the Corporation, prior to such sale or transfer;</w:t>
      </w:r>
    </w:p>
    <w:p>
      <w:pPr>
        <w:spacing w:after="0" w:line="147" w:lineRule="exact"/>
        <w:rPr>
          <w:rFonts w:ascii="Arial" w:cs="Arial" w:eastAsia="Arial" w:hAnsi="Arial"/>
          <w:sz w:val="12"/>
          <w:szCs w:val="12"/>
          <w:color w:val="auto"/>
        </w:rPr>
      </w:pPr>
    </w:p>
    <w:p>
      <w:pPr>
        <w:jc w:val="both"/>
        <w:ind w:left="-3" w:firstLine="3"/>
        <w:spacing w:after="0" w:line="263" w:lineRule="auto"/>
        <w:tabs>
          <w:tab w:leader="none" w:pos="144" w:val="left"/>
        </w:tabs>
        <w:numPr>
          <w:ilvl w:val="0"/>
          <w:numId w:val="71"/>
        </w:numPr>
        <w:rPr>
          <w:rFonts w:ascii="Arial" w:cs="Arial" w:eastAsia="Arial" w:hAnsi="Arial"/>
          <w:sz w:val="12"/>
          <w:szCs w:val="12"/>
          <w:color w:val="auto"/>
        </w:rPr>
      </w:pPr>
      <w:r>
        <w:rPr>
          <w:rFonts w:ascii="Arial" w:cs="Arial" w:eastAsia="Arial" w:hAnsi="Arial"/>
          <w:sz w:val="12"/>
          <w:szCs w:val="12"/>
          <w:color w:val="auto"/>
        </w:rPr>
        <w:t>it has been independently advised as to the applicable holding period and resale restrictions with respect to trading imposed in respect of the Securities, by securities legislation in the jurisdiction in which it resides or to which it is otherwise subject, and confirms that no representation has been made respecting the applicable holding periods for the Securities and is aware of the risks and other characteristics of the Securities and of the fact that the undersigned may not be able to resell the Securities except in accordance with applicable securities legislation and regulations;</w:t>
      </w:r>
    </w:p>
    <w:p>
      <w:pPr>
        <w:spacing w:after="0" w:line="140" w:lineRule="exact"/>
        <w:rPr>
          <w:rFonts w:ascii="Arial" w:cs="Arial" w:eastAsia="Arial" w:hAnsi="Arial"/>
          <w:sz w:val="12"/>
          <w:szCs w:val="12"/>
          <w:color w:val="auto"/>
        </w:rPr>
      </w:pPr>
    </w:p>
    <w:p>
      <w:pPr>
        <w:ind w:left="137" w:hanging="137"/>
        <w:spacing w:after="0"/>
        <w:tabs>
          <w:tab w:leader="none" w:pos="137" w:val="left"/>
        </w:tabs>
        <w:numPr>
          <w:ilvl w:val="0"/>
          <w:numId w:val="71"/>
        </w:numPr>
        <w:rPr>
          <w:rFonts w:ascii="Arial" w:cs="Arial" w:eastAsia="Arial" w:hAnsi="Arial"/>
          <w:sz w:val="12"/>
          <w:szCs w:val="12"/>
          <w:color w:val="auto"/>
        </w:rPr>
      </w:pPr>
      <w:r>
        <w:rPr>
          <w:rFonts w:ascii="Arial" w:cs="Arial" w:eastAsia="Arial" w:hAnsi="Arial"/>
          <w:sz w:val="12"/>
          <w:szCs w:val="12"/>
          <w:color w:val="auto"/>
        </w:rPr>
        <w:t>no person has made to the Subscriber any written or oral representations:</w:t>
      </w:r>
    </w:p>
    <w:p>
      <w:pPr>
        <w:spacing w:after="0" w:line="168" w:lineRule="exact"/>
        <w:rPr>
          <w:rFonts w:ascii="Arial" w:cs="Arial" w:eastAsia="Arial" w:hAnsi="Arial"/>
          <w:sz w:val="12"/>
          <w:szCs w:val="12"/>
          <w:color w:val="auto"/>
        </w:rPr>
      </w:pPr>
    </w:p>
    <w:p>
      <w:pPr>
        <w:ind w:left="637" w:hanging="439"/>
        <w:spacing w:after="0"/>
        <w:tabs>
          <w:tab w:leader="none" w:pos="637"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that any person will resell or repurchase any of the Securities;</w:t>
      </w:r>
    </w:p>
    <w:p>
      <w:pPr>
        <w:spacing w:after="0" w:line="168" w:lineRule="exact"/>
        <w:rPr>
          <w:rFonts w:ascii="Arial" w:cs="Arial" w:eastAsia="Arial" w:hAnsi="Arial"/>
          <w:sz w:val="12"/>
          <w:szCs w:val="12"/>
          <w:color w:val="auto"/>
        </w:rPr>
      </w:pPr>
    </w:p>
    <w:p>
      <w:pPr>
        <w:ind w:left="677" w:hanging="479"/>
        <w:spacing w:after="0"/>
        <w:tabs>
          <w:tab w:leader="none" w:pos="677"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that any person will refund the purchase price of the Securities; or</w:t>
      </w:r>
    </w:p>
    <w:p>
      <w:pPr>
        <w:spacing w:after="0" w:line="168" w:lineRule="exact"/>
        <w:rPr>
          <w:rFonts w:ascii="Arial" w:cs="Arial" w:eastAsia="Arial" w:hAnsi="Arial"/>
          <w:sz w:val="12"/>
          <w:szCs w:val="12"/>
          <w:color w:val="auto"/>
        </w:rPr>
      </w:pPr>
    </w:p>
    <w:p>
      <w:pPr>
        <w:ind w:left="717" w:hanging="519"/>
        <w:spacing w:after="0"/>
        <w:tabs>
          <w:tab w:leader="none" w:pos="717" w:val="left"/>
        </w:tabs>
        <w:numPr>
          <w:ilvl w:val="1"/>
          <w:numId w:val="71"/>
        </w:numPr>
        <w:rPr>
          <w:rFonts w:ascii="Arial" w:cs="Arial" w:eastAsia="Arial" w:hAnsi="Arial"/>
          <w:sz w:val="12"/>
          <w:szCs w:val="12"/>
          <w:color w:val="auto"/>
        </w:rPr>
      </w:pPr>
      <w:r>
        <w:rPr>
          <w:rFonts w:ascii="Arial" w:cs="Arial" w:eastAsia="Arial" w:hAnsi="Arial"/>
          <w:sz w:val="12"/>
          <w:szCs w:val="12"/>
          <w:color w:val="auto"/>
        </w:rPr>
        <w:t>as to the future price or value of any of the Securities;</w:t>
      </w:r>
    </w:p>
    <w:p>
      <w:pPr>
        <w:spacing w:after="0" w:line="168" w:lineRule="exact"/>
        <w:rPr>
          <w:rFonts w:ascii="Arial" w:cs="Arial" w:eastAsia="Arial" w:hAnsi="Arial"/>
          <w:sz w:val="12"/>
          <w:szCs w:val="12"/>
          <w:color w:val="auto"/>
        </w:rPr>
      </w:pPr>
    </w:p>
    <w:p>
      <w:pPr>
        <w:ind w:left="177" w:hanging="177"/>
        <w:spacing w:after="0"/>
        <w:tabs>
          <w:tab w:leader="none" w:pos="177" w:val="left"/>
        </w:tabs>
        <w:numPr>
          <w:ilvl w:val="0"/>
          <w:numId w:val="71"/>
        </w:numPr>
        <w:rPr>
          <w:rFonts w:ascii="Arial" w:cs="Arial" w:eastAsia="Arial" w:hAnsi="Arial"/>
          <w:sz w:val="12"/>
          <w:szCs w:val="12"/>
          <w:color w:val="auto"/>
        </w:rPr>
      </w:pPr>
      <w:r>
        <w:rPr>
          <w:rFonts w:ascii="Arial" w:cs="Arial" w:eastAsia="Arial" w:hAnsi="Arial"/>
          <w:sz w:val="12"/>
          <w:szCs w:val="12"/>
          <w:color w:val="auto"/>
        </w:rPr>
        <w:t>it understands and acknowledges that certificates representing the Note, the Shares and the Warrants shall bear the following legend:</w:t>
      </w:r>
    </w:p>
    <w:p>
      <w:pPr>
        <w:spacing w:after="0" w:line="164" w:lineRule="exact"/>
        <w:rPr>
          <w:sz w:val="20"/>
          <w:szCs w:val="20"/>
          <w:color w:val="auto"/>
        </w:rPr>
      </w:pPr>
    </w:p>
    <w:p>
      <w:pPr>
        <w:jc w:val="both"/>
        <w:ind w:left="797" w:right="40"/>
        <w:spacing w:after="0" w:line="267" w:lineRule="auto"/>
        <w:rPr>
          <w:sz w:val="20"/>
          <w:szCs w:val="20"/>
          <w:color w:val="auto"/>
        </w:rPr>
      </w:pPr>
      <w:r>
        <w:rPr>
          <w:rFonts w:ascii="Arial" w:cs="Arial" w:eastAsia="Arial" w:hAnsi="Arial"/>
          <w:sz w:val="12"/>
          <w:szCs w:val="12"/>
          <w:b w:val="1"/>
          <w:bCs w:val="1"/>
          <w:color w:val="auto"/>
        </w:rPr>
        <w:t>“THE SECURITIES REPRESENTED HEREBY HAVE NOT BEEN REGISTERED UNDER THE U.S. SECURITIES ACT OF 1933, AS AMENDED (THE “</w:t>
      </w:r>
      <w:r>
        <w:rPr>
          <w:rFonts w:ascii="Arial" w:cs="Arial" w:eastAsia="Arial" w:hAnsi="Arial"/>
          <w:sz w:val="12"/>
          <w:szCs w:val="12"/>
          <w:b w:val="1"/>
          <w:bCs w:val="1"/>
          <w:i w:val="1"/>
          <w:iCs w:val="1"/>
          <w:color w:val="auto"/>
        </w:rPr>
        <w:t>SECURITIES ACT</w:t>
      </w:r>
      <w:r>
        <w:rPr>
          <w:rFonts w:ascii="Arial" w:cs="Arial" w:eastAsia="Arial" w:hAnsi="Arial"/>
          <w:sz w:val="12"/>
          <w:szCs w:val="12"/>
          <w:b w:val="1"/>
          <w:bCs w:val="1"/>
          <w:color w:val="auto"/>
        </w:rPr>
        <w:t>”), OR UNDER ANY STATE SECURITIES LAWS. THE HOLDER HEREOF, BY PURCHASING THESE SECURITIES, AGREES FOR THE BENEFIT OF THE CORPORATION, THAT THESE SECURITIES MAY BE OFFERED, SOLD,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261620</wp:posOffset>
            </wp:positionV>
            <wp:extent cx="7299325" cy="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497"/>
          </w:cols>
          <w:pgMar w:left="1203" w:top="392" w:right="199" w:bottom="1440" w:gutter="0" w:footer="0" w:header="0"/>
        </w:sectPr>
      </w:pPr>
    </w:p>
    <w:bookmarkStart w:id="155" w:name="page156"/>
    <w:bookmarkEnd w:id="155"/>
    <w:p>
      <w:pPr>
        <w:jc w:val="both"/>
        <w:ind w:left="1680" w:right="40"/>
        <w:spacing w:after="0" w:line="257" w:lineRule="auto"/>
        <w:rPr>
          <w:sz w:val="20"/>
          <w:szCs w:val="20"/>
          <w:color w:val="auto"/>
        </w:rPr>
      </w:pPr>
      <w:r>
        <w:rPr>
          <w:rFonts w:ascii="Arial" w:cs="Arial" w:eastAsia="Arial" w:hAnsi="Arial"/>
          <w:sz w:val="12"/>
          <w:szCs w:val="12"/>
          <w:b w:val="1"/>
          <w:bCs w:val="1"/>
          <w:color w:val="auto"/>
        </w:rPr>
        <w:t>OR OTHERWISE TRANSFERRED ONLY (A) TO THE CORPORATION, (B) OUTSIDE THE U.S. IN ACCORDANCE WITH REGULATION S UNDER THE SECURITIES ACT, (C) IN COMPLIANCE WITH AN EXEMPTION FROM THE REGISTRATION REQUIREMENTS OF THE SECURITIES ACT AND IN ACCORDANCE WITH APPLICABLE STATE SECURITIES LAWS, (D) IN ANOTHER TRANSACTION THAT DOES NOT REQUIRE REGISTRATION UNDER THE U.S. SECURITIES ACT OR ANY APPLICABLE STATE SECURITIES LAWS, OR (E) PURSUANT TO AN EFFECTIVE REGISTRATION STATEMENT UNDER THE SECURITIES ACT, AND, IN THE CASE OF (C) AND (D), THE SELLER FURNISHES TO THE CORPORATION A WRITTEN OPINION OF COUNSEL OF RECOGNIZED STANDING IN FORM AND SUBSTANCE SATISFACTORY TO THE CORPORATION TO SUCH EFFECT.”</w:t>
      </w:r>
    </w:p>
    <w:p>
      <w:pPr>
        <w:spacing w:after="0" w:line="144" w:lineRule="exact"/>
        <w:rPr>
          <w:sz w:val="20"/>
          <w:szCs w:val="20"/>
          <w:color w:val="auto"/>
        </w:rPr>
      </w:pPr>
    </w:p>
    <w:p>
      <w:pPr>
        <w:ind w:left="860" w:hanging="148"/>
        <w:spacing w:after="0"/>
        <w:tabs>
          <w:tab w:leader="none" w:pos="860" w:val="left"/>
        </w:tabs>
        <w:numPr>
          <w:ilvl w:val="0"/>
          <w:numId w:val="72"/>
        </w:numPr>
        <w:rPr>
          <w:rFonts w:ascii="Arial" w:cs="Arial" w:eastAsia="Arial" w:hAnsi="Arial"/>
          <w:sz w:val="11"/>
          <w:szCs w:val="11"/>
          <w:color w:val="auto"/>
        </w:rPr>
      </w:pPr>
      <w:r>
        <w:rPr>
          <w:rFonts w:ascii="Arial" w:cs="Arial" w:eastAsia="Arial" w:hAnsi="Arial"/>
          <w:sz w:val="11"/>
          <w:szCs w:val="11"/>
          <w:color w:val="auto"/>
        </w:rPr>
        <w:t>it consents to the Corporation making a notation on its records or giving instructions to any transfer agent of the Shares in order to implement the restrictions on transfer set forth and described herein;</w:t>
      </w:r>
    </w:p>
    <w:p>
      <w:pPr>
        <w:spacing w:after="0" w:line="179" w:lineRule="exact"/>
        <w:rPr>
          <w:rFonts w:ascii="Arial" w:cs="Arial" w:eastAsia="Arial" w:hAnsi="Arial"/>
          <w:sz w:val="11"/>
          <w:szCs w:val="11"/>
          <w:color w:val="auto"/>
        </w:rPr>
      </w:pPr>
    </w:p>
    <w:p>
      <w:pPr>
        <w:ind w:left="920" w:hanging="208"/>
        <w:spacing w:after="0"/>
        <w:tabs>
          <w:tab w:leader="none" w:pos="920" w:val="left"/>
        </w:tabs>
        <w:numPr>
          <w:ilvl w:val="1"/>
          <w:numId w:val="72"/>
        </w:numPr>
        <w:rPr>
          <w:rFonts w:ascii="Arial" w:cs="Arial" w:eastAsia="Arial" w:hAnsi="Arial"/>
          <w:sz w:val="12"/>
          <w:szCs w:val="12"/>
          <w:color w:val="auto"/>
        </w:rPr>
      </w:pPr>
      <w:r>
        <w:rPr>
          <w:rFonts w:ascii="Arial" w:cs="Arial" w:eastAsia="Arial" w:hAnsi="Arial"/>
          <w:sz w:val="12"/>
          <w:szCs w:val="12"/>
          <w:color w:val="auto"/>
        </w:rPr>
        <w:t>the office or other address of the undersigned at which the undersigned received and accepted the offer to purchase the Units is the address listed in Box B of Section 6 below;</w:t>
      </w:r>
    </w:p>
    <w:p>
      <w:pPr>
        <w:spacing w:after="0" w:line="168" w:lineRule="exact"/>
        <w:rPr>
          <w:rFonts w:ascii="Arial" w:cs="Arial" w:eastAsia="Arial" w:hAnsi="Arial"/>
          <w:sz w:val="12"/>
          <w:szCs w:val="12"/>
          <w:color w:val="auto"/>
        </w:rPr>
      </w:pPr>
    </w:p>
    <w:p>
      <w:pPr>
        <w:ind w:left="720" w:hanging="8"/>
        <w:spacing w:after="0" w:line="323" w:lineRule="auto"/>
        <w:tabs>
          <w:tab w:leader="none" w:pos="897" w:val="left"/>
        </w:tabs>
        <w:numPr>
          <w:ilvl w:val="1"/>
          <w:numId w:val="72"/>
        </w:numPr>
        <w:rPr>
          <w:rFonts w:ascii="Arial" w:cs="Arial" w:eastAsia="Arial" w:hAnsi="Arial"/>
          <w:sz w:val="11"/>
          <w:szCs w:val="11"/>
          <w:color w:val="auto"/>
        </w:rPr>
      </w:pPr>
      <w:r>
        <w:rPr>
          <w:rFonts w:ascii="Arial" w:cs="Arial" w:eastAsia="Arial" w:hAnsi="Arial"/>
          <w:sz w:val="11"/>
          <w:szCs w:val="11"/>
          <w:color w:val="auto"/>
        </w:rPr>
        <w:t>if required by applicable securities laws, regulations, rule or order or by any securities commission, stock exchange or other regulatory authority, it will execute, deliver and file, within the approved time periods, all documentation as may be required thereunder, and otherwise assist the Corporation in filing reports, questionnaires, undertakings and other documents with respect to the issuance of the Units;</w:t>
      </w:r>
    </w:p>
    <w:p>
      <w:pPr>
        <w:spacing w:after="0" w:line="109" w:lineRule="exact"/>
        <w:rPr>
          <w:rFonts w:ascii="Arial" w:cs="Arial" w:eastAsia="Arial" w:hAnsi="Arial"/>
          <w:sz w:val="11"/>
          <w:szCs w:val="11"/>
          <w:color w:val="auto"/>
        </w:rPr>
      </w:pPr>
    </w:p>
    <w:p>
      <w:pPr>
        <w:ind w:left="860" w:hanging="166"/>
        <w:spacing w:after="0"/>
        <w:tabs>
          <w:tab w:leader="none" w:pos="8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subscription agreement has been duly and validly authorized, executed and delivered by and constitutes a legal, valid, binding and enforceable obligation of the Subscriber; and</w:t>
      </w:r>
    </w:p>
    <w:p>
      <w:pPr>
        <w:spacing w:after="0" w:line="168" w:lineRule="exact"/>
        <w:rPr>
          <w:rFonts w:ascii="Arial" w:cs="Arial" w:eastAsia="Arial" w:hAnsi="Arial"/>
          <w:sz w:val="12"/>
          <w:szCs w:val="12"/>
          <w:color w:val="auto"/>
        </w:rPr>
      </w:pPr>
    </w:p>
    <w:p>
      <w:pPr>
        <w:ind w:left="900" w:hanging="206"/>
        <w:spacing w:after="0"/>
        <w:tabs>
          <w:tab w:leader="none" w:pos="900" w:val="left"/>
        </w:tabs>
        <w:numPr>
          <w:ilvl w:val="0"/>
          <w:numId w:val="73"/>
        </w:numPr>
        <w:rPr>
          <w:rFonts w:ascii="Arial" w:cs="Arial" w:eastAsia="Arial" w:hAnsi="Arial"/>
          <w:sz w:val="12"/>
          <w:szCs w:val="12"/>
          <w:color w:val="auto"/>
        </w:rPr>
      </w:pPr>
      <w:r>
        <w:rPr>
          <w:rFonts w:ascii="Arial" w:cs="Arial" w:eastAsia="Arial" w:hAnsi="Arial"/>
          <w:sz w:val="12"/>
          <w:szCs w:val="12"/>
          <w:color w:val="auto"/>
        </w:rPr>
        <w:t>it is not an affiliate (as defined in Rule 144 under the Securities Act) of the Corporation and is not acting on behalf of an affiliate of the Corporation.</w:t>
      </w:r>
    </w:p>
    <w:p>
      <w:pPr>
        <w:spacing w:after="0" w:line="168" w:lineRule="exact"/>
        <w:rPr>
          <w:sz w:val="20"/>
          <w:szCs w:val="20"/>
          <w:color w:val="auto"/>
        </w:rPr>
      </w:pPr>
    </w:p>
    <w:p>
      <w:pPr>
        <w:ind w:left="240" w:hanging="240"/>
        <w:spacing w:after="0"/>
        <w:tabs>
          <w:tab w:leader="none" w:pos="24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Subscriber acknowledges that the representations and warranties and agreements contained herein are made by it with the intention that they may be relied upon by the Corporation and its legal counsel in determining its</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1"/>
          <w:szCs w:val="11"/>
          <w:color w:val="auto"/>
        </w:rPr>
        <w:t>eligibility or, if applicable, the eligibility of others on whose behalf it is contracting hereunder, to purchase the Units. The Subscriber further agrees that by accepting delivery of the Units or by having its agent accept delivery of</w:t>
      </w:r>
    </w:p>
    <w:p>
      <w:pPr>
        <w:spacing w:after="0" w:line="162" w:lineRule="exact"/>
        <w:rPr>
          <w:sz w:val="20"/>
          <w:szCs w:val="20"/>
          <w:color w:val="auto"/>
        </w:rPr>
      </w:pPr>
    </w:p>
    <w:p>
      <w:pPr>
        <w:jc w:val="both"/>
        <w:ind w:right="40"/>
        <w:spacing w:after="0" w:line="281" w:lineRule="auto"/>
        <w:rPr>
          <w:sz w:val="20"/>
          <w:szCs w:val="20"/>
          <w:color w:val="auto"/>
        </w:rPr>
      </w:pPr>
      <w:r>
        <w:rPr>
          <w:rFonts w:ascii="Arial" w:cs="Arial" w:eastAsia="Arial" w:hAnsi="Arial"/>
          <w:sz w:val="11"/>
          <w:szCs w:val="11"/>
          <w:color w:val="auto"/>
        </w:rPr>
        <w:t>the Units on its behalf, it shall be representing and warranting that the representations, warranties, acknowledgements and agreements contained herein are true and correct as at the time of accepting delivery of the Units with the same force and effect as if they had been made by the Subscriber at such time and that the representations and warranties shall survive the purchase by the Subscriber of the Units and shall continue in full</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2"/>
          <w:szCs w:val="12"/>
          <w:color w:val="auto"/>
        </w:rPr>
        <w:t>force and effect notwithstanding any subsequent disposition by the Subscriber of the Units. The Corporation and its directors, officers, employees, shareholders and its legal counsel shall be entitled to rely on the representations and warranties of the Subscriber contained in this subscription agreement, and the Subscriber shall indemnify and hold harmless the Corporation, its legal counsel for any loss, costs or damages any of them may suffer as a result of any misrepresentations or any breach or failure to comply with any agreement herein.</w:t>
      </w:r>
    </w:p>
    <w:p>
      <w:pPr>
        <w:spacing w:after="0" w:line="146" w:lineRule="exact"/>
        <w:rPr>
          <w:sz w:val="20"/>
          <w:szCs w:val="20"/>
          <w:color w:val="auto"/>
        </w:rPr>
      </w:pPr>
    </w:p>
    <w:p>
      <w:pPr>
        <w:ind w:right="60"/>
        <w:spacing w:after="0" w:line="276" w:lineRule="auto"/>
        <w:tabs>
          <w:tab w:leader="none" w:pos="212"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contract arising out of the acceptance of this subscription by the Corporation shall be governed by and construed in accordance with the laws of the State of California and represents the entire agreement of the parties hereto relating to the subject matter hereof.</w:t>
      </w:r>
    </w:p>
    <w:p>
      <w:pPr>
        <w:spacing w:after="0" w:line="132" w:lineRule="exact"/>
        <w:rPr>
          <w:rFonts w:ascii="Arial" w:cs="Arial" w:eastAsia="Arial" w:hAnsi="Arial"/>
          <w:sz w:val="12"/>
          <w:szCs w:val="12"/>
          <w:color w:val="auto"/>
        </w:rPr>
      </w:pPr>
    </w:p>
    <w:p>
      <w:pPr>
        <w:ind w:right="40"/>
        <w:spacing w:after="0" w:line="276" w:lineRule="auto"/>
        <w:tabs>
          <w:tab w:leader="none" w:pos="237"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Corporation shall be entitled to rely on delivery of a facsimile copy of this subscription agreement, and acceptance by the Corporation of a facsimile copy of this subscription agreement shall create a legal, valid and binding agreement among the undersigned and the Corporation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258445</wp:posOffset>
            </wp:positionV>
            <wp:extent cx="729932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320" w:top="532" w:right="199" w:bottom="1440" w:gutter="0" w:footer="0" w:header="0"/>
        </w:sectPr>
      </w:pPr>
    </w:p>
    <w:bookmarkStart w:id="156" w:name="page157"/>
    <w:bookmarkEnd w:id="156"/>
    <w:p>
      <w:pPr>
        <w:ind w:left="340" w:hanging="280"/>
        <w:spacing w:after="0"/>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SUBSCRIPTION PARTICULARS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114300</wp:posOffset>
            </wp:positionV>
            <wp:extent cx="7293610" cy="9391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3610" cy="939165"/>
                    </a:xfrm>
                    <a:prstGeom prst="rect">
                      <a:avLst/>
                    </a:prstGeom>
                    <a:noFill/>
                  </pic:spPr>
                </pic:pic>
              </a:graphicData>
            </a:graphic>
          </wp:anchor>
        </w:drawing>
      </w:r>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u w:val="single" w:color="auto"/>
          <w:color w:val="auto"/>
        </w:rPr>
        <w:t>BOX A</w:t>
      </w:r>
    </w:p>
    <w:p>
      <w:pPr>
        <w:spacing w:after="0" w:line="150" w:lineRule="exact"/>
        <w:rPr>
          <w:sz w:val="20"/>
          <w:szCs w:val="20"/>
          <w:color w:val="auto"/>
        </w:rPr>
      </w:pPr>
    </w:p>
    <w:p>
      <w:pPr>
        <w:jc w:val="right"/>
        <w:ind w:right="3679"/>
        <w:spacing w:after="0"/>
        <w:rPr>
          <w:sz w:val="20"/>
          <w:szCs w:val="20"/>
          <w:color w:val="auto"/>
        </w:rPr>
      </w:pPr>
      <w:r>
        <w:rPr>
          <w:rFonts w:ascii="Arial" w:cs="Arial" w:eastAsia="Arial" w:hAnsi="Arial"/>
          <w:sz w:val="12"/>
          <w:szCs w:val="12"/>
          <w:b w:val="1"/>
          <w:bCs w:val="1"/>
          <w:u w:val="single" w:color="auto"/>
          <w:color w:val="auto"/>
        </w:rPr>
        <w:t>Particulars of Purchase of Units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Number of Units subscribed for: ___________________________________________</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Subscription Price ($5,000 X number of Units) 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306705</wp:posOffset>
            </wp:positionV>
            <wp:extent cx="7292340" cy="24250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340" cy="242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00"/>
        <w:spacing w:after="0"/>
        <w:rPr>
          <w:sz w:val="20"/>
          <w:szCs w:val="20"/>
          <w:color w:val="auto"/>
        </w:rPr>
      </w:pPr>
      <w:r>
        <w:rPr>
          <w:rFonts w:ascii="Arial" w:cs="Arial" w:eastAsia="Arial" w:hAnsi="Arial"/>
          <w:sz w:val="12"/>
          <w:szCs w:val="12"/>
          <w:b w:val="1"/>
          <w:bCs w:val="1"/>
          <w:u w:val="single" w:color="auto"/>
          <w:color w:val="auto"/>
        </w:rPr>
        <w:t>BOX B</w:t>
      </w:r>
    </w:p>
    <w:p>
      <w:pPr>
        <w:spacing w:after="0" w:line="150" w:lineRule="exact"/>
        <w:rPr>
          <w:sz w:val="20"/>
          <w:szCs w:val="20"/>
          <w:color w:val="auto"/>
        </w:rPr>
      </w:pPr>
    </w:p>
    <w:p>
      <w:pPr>
        <w:ind w:left="5040"/>
        <w:spacing w:after="0"/>
        <w:rPr>
          <w:sz w:val="20"/>
          <w:szCs w:val="20"/>
          <w:color w:val="auto"/>
        </w:rPr>
      </w:pPr>
      <w:r>
        <w:rPr>
          <w:rFonts w:ascii="Arial" w:cs="Arial" w:eastAsia="Arial" w:hAnsi="Arial"/>
          <w:sz w:val="12"/>
          <w:szCs w:val="12"/>
          <w:b w:val="1"/>
          <w:bCs w:val="1"/>
          <w:u w:val="single" w:color="auto"/>
          <w:color w:val="auto"/>
        </w:rPr>
        <w:t>Subscriber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Street Address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Street Address (2)</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City and State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Zip Code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Contact Name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Alternate Contact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Phone No.</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497840</wp:posOffset>
            </wp:positionV>
            <wp:extent cx="5772150"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72150" cy="18415"/>
                    </a:xfrm>
                    <a:prstGeom prst="rect">
                      <a:avLst/>
                    </a:prstGeom>
                    <a:noFill/>
                  </pic:spPr>
                </pic:pic>
              </a:graphicData>
            </a:graphic>
          </wp:anchor>
        </w:drawing>
      </w:r>
    </w:p>
    <w:p>
      <w:pPr>
        <w:sectPr>
          <w:pgSz w:w="11900" w:h="16838" w:orient="portrait"/>
          <w:cols w:equalWidth="0" w:num="1">
            <w:col w:w="10199"/>
          </w:cols>
          <w:pgMar w:left="260" w:top="388" w:right="1440"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14"/>
          <w:szCs w:val="14"/>
          <w:b w:val="1"/>
          <w:bCs w:val="1"/>
          <w:u w:val="single" w:color="auto"/>
          <w:color w:val="auto"/>
        </w:rPr>
        <w:t>BOX 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Accredited Investor Status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20" w:type="dxa"/>
            <w:vAlign w:val="bottom"/>
            <w:gridSpan w:val="2"/>
          </w:tcPr>
          <w:p>
            <w:pPr>
              <w:ind w:left="100"/>
              <w:spacing w:after="0"/>
              <w:rPr>
                <w:sz w:val="20"/>
                <w:szCs w:val="20"/>
                <w:color w:val="auto"/>
              </w:rPr>
            </w:pPr>
            <w:r>
              <w:rPr>
                <w:rFonts w:ascii="Arial" w:cs="Arial" w:eastAsia="Arial" w:hAnsi="Arial"/>
                <w:sz w:val="12"/>
                <w:szCs w:val="12"/>
                <w:color w:val="auto"/>
                <w:w w:val="96"/>
              </w:rPr>
              <w:t>The Subscriber represents and warrants that</w:t>
            </w:r>
          </w:p>
        </w:tc>
        <w:tc>
          <w:tcPr>
            <w:tcW w:w="3220" w:type="dxa"/>
            <w:vAlign w:val="bottom"/>
            <w:gridSpan w:val="3"/>
          </w:tcPr>
          <w:p>
            <w:pPr>
              <w:jc w:val="center"/>
              <w:spacing w:after="0"/>
              <w:rPr>
                <w:sz w:val="20"/>
                <w:szCs w:val="20"/>
                <w:color w:val="auto"/>
              </w:rPr>
            </w:pPr>
            <w:r>
              <w:rPr>
                <w:rFonts w:ascii="Arial" w:cs="Arial" w:eastAsia="Arial" w:hAnsi="Arial"/>
                <w:sz w:val="12"/>
                <w:szCs w:val="12"/>
                <w:color w:val="auto"/>
                <w:w w:val="98"/>
              </w:rPr>
              <w:t>it is an “accredited investor”, as defined in Rule 501(a) under</w:t>
            </w:r>
          </w:p>
        </w:tc>
        <w:tc>
          <w:tcPr>
            <w:tcW w:w="5840" w:type="dxa"/>
            <w:vAlign w:val="bottom"/>
            <w:gridSpan w:val="2"/>
          </w:tcPr>
          <w:p>
            <w:pPr>
              <w:ind w:left="40"/>
              <w:spacing w:after="0"/>
              <w:rPr>
                <w:sz w:val="20"/>
                <w:szCs w:val="20"/>
                <w:color w:val="auto"/>
              </w:rPr>
            </w:pPr>
            <w:r>
              <w:rPr>
                <w:rFonts w:ascii="Arial" w:cs="Arial" w:eastAsia="Arial" w:hAnsi="Arial"/>
                <w:sz w:val="12"/>
                <w:szCs w:val="12"/>
                <w:color w:val="auto"/>
                <w:w w:val="92"/>
              </w:rPr>
              <w:t xml:space="preserve">the Securities Act, by virtue of satisfying one or more of the categories indicated below </w:t>
            </w:r>
            <w:r>
              <w:rPr>
                <w:rFonts w:ascii="Arial" w:cs="Arial" w:eastAsia="Arial" w:hAnsi="Arial"/>
                <w:sz w:val="12"/>
                <w:szCs w:val="12"/>
                <w:b w:val="1"/>
                <w:bCs w:val="1"/>
                <w:color w:val="auto"/>
                <w:w w:val="92"/>
              </w:rPr>
              <w:t>(please write your initials on</w:t>
            </w:r>
          </w:p>
        </w:tc>
      </w:tr>
      <w:tr>
        <w:trPr>
          <w:trHeight w:val="157"/>
        </w:trPr>
        <w:tc>
          <w:tcPr>
            <w:tcW w:w="2420" w:type="dxa"/>
            <w:vAlign w:val="bottom"/>
            <w:gridSpan w:val="2"/>
          </w:tcPr>
          <w:p>
            <w:pPr>
              <w:ind w:left="100"/>
              <w:spacing w:after="0"/>
              <w:rPr>
                <w:sz w:val="20"/>
                <w:szCs w:val="20"/>
                <w:color w:val="auto"/>
              </w:rPr>
            </w:pPr>
            <w:r>
              <w:rPr>
                <w:rFonts w:ascii="Arial" w:cs="Arial" w:eastAsia="Arial" w:hAnsi="Arial"/>
                <w:sz w:val="12"/>
                <w:szCs w:val="12"/>
                <w:b w:val="1"/>
                <w:bCs w:val="1"/>
                <w:color w:val="auto"/>
                <w:w w:val="96"/>
              </w:rPr>
              <w:t>the line next to each applicable category)</w:t>
            </w:r>
            <w:r>
              <w:rPr>
                <w:rFonts w:ascii="Arial" w:cs="Arial" w:eastAsia="Arial" w:hAnsi="Arial"/>
                <w:sz w:val="12"/>
                <w:szCs w:val="12"/>
                <w:color w:val="auto"/>
                <w:w w:val="96"/>
              </w:rPr>
              <w:t>:</w:t>
            </w: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40" w:type="dxa"/>
            <w:vAlign w:val="bottom"/>
          </w:tcPr>
          <w:p>
            <w:pPr>
              <w:spacing w:after="0"/>
              <w:rPr>
                <w:sz w:val="13"/>
                <w:szCs w:val="13"/>
                <w:color w:val="auto"/>
              </w:rPr>
            </w:pPr>
          </w:p>
        </w:tc>
      </w:tr>
      <w:tr>
        <w:trPr>
          <w:trHeight w:val="306"/>
        </w:trPr>
        <w:tc>
          <w:tcPr>
            <w:tcW w:w="500" w:type="dxa"/>
            <w:vAlign w:val="bottom"/>
          </w:tcPr>
          <w:p>
            <w:pPr>
              <w:ind w:left="100"/>
              <w:spacing w:after="0"/>
              <w:rPr>
                <w:sz w:val="20"/>
                <w:szCs w:val="20"/>
                <w:color w:val="auto"/>
              </w:rPr>
            </w:pPr>
            <w:r>
              <w:rPr>
                <w:rFonts w:ascii="Arial" w:cs="Arial" w:eastAsia="Arial" w:hAnsi="Arial"/>
                <w:sz w:val="12"/>
                <w:szCs w:val="12"/>
                <w:color w:val="auto"/>
              </w:rPr>
              <w:t>0</w:t>
            </w:r>
          </w:p>
        </w:tc>
        <w:tc>
          <w:tcPr>
            <w:tcW w:w="1920" w:type="dxa"/>
            <w:vAlign w:val="bottom"/>
          </w:tcPr>
          <w:p>
            <w:pPr>
              <w:ind w:left="320"/>
              <w:spacing w:after="0"/>
              <w:rPr>
                <w:sz w:val="20"/>
                <w:szCs w:val="20"/>
                <w:color w:val="auto"/>
              </w:rPr>
            </w:pPr>
            <w:r>
              <w:rPr>
                <w:rFonts w:ascii="Arial" w:cs="Arial" w:eastAsia="Arial" w:hAnsi="Arial"/>
                <w:sz w:val="12"/>
                <w:szCs w:val="12"/>
                <w:color w:val="auto"/>
              </w:rPr>
              <w:t>Category 1.</w:t>
            </w:r>
          </w:p>
        </w:tc>
        <w:tc>
          <w:tcPr>
            <w:tcW w:w="3220" w:type="dxa"/>
            <w:vAlign w:val="bottom"/>
            <w:gridSpan w:val="3"/>
          </w:tcPr>
          <w:p>
            <w:pPr>
              <w:ind w:left="300"/>
              <w:spacing w:after="0"/>
              <w:rPr>
                <w:sz w:val="20"/>
                <w:szCs w:val="20"/>
                <w:color w:val="auto"/>
              </w:rPr>
            </w:pPr>
            <w:r>
              <w:rPr>
                <w:rFonts w:ascii="Arial" w:cs="Arial" w:eastAsia="Arial" w:hAnsi="Arial"/>
                <w:sz w:val="12"/>
                <w:szCs w:val="12"/>
                <w:color w:val="auto"/>
                <w:w w:val="94"/>
              </w:rPr>
              <w:t>A bank, as defined in section 3(a)(2) of the Securities Act.</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88"/>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0" w:type="dxa"/>
            <w:vAlign w:val="bottom"/>
            <w:gridSpan w:val="2"/>
          </w:tcPr>
          <w:p>
            <w:pPr>
              <w:ind w:left="300"/>
              <w:spacing w:after="0"/>
              <w:rPr>
                <w:sz w:val="20"/>
                <w:szCs w:val="20"/>
                <w:color w:val="auto"/>
              </w:rPr>
            </w:pPr>
            <w:r>
              <w:rPr>
                <w:rFonts w:ascii="Arial" w:cs="Arial" w:eastAsia="Arial" w:hAnsi="Arial"/>
                <w:sz w:val="12"/>
                <w:szCs w:val="12"/>
                <w:color w:val="auto"/>
                <w:w w:val="99"/>
              </w:rPr>
              <w:t>A savings  and loan association</w:t>
            </w:r>
          </w:p>
        </w:tc>
        <w:tc>
          <w:tcPr>
            <w:tcW w:w="1220" w:type="dxa"/>
            <w:vAlign w:val="bottom"/>
          </w:tcPr>
          <w:p>
            <w:pPr>
              <w:spacing w:after="0"/>
              <w:rPr>
                <w:sz w:val="20"/>
                <w:szCs w:val="20"/>
                <w:color w:val="auto"/>
              </w:rPr>
            </w:pPr>
            <w:r>
              <w:rPr>
                <w:rFonts w:ascii="Arial" w:cs="Arial" w:eastAsia="Arial" w:hAnsi="Arial"/>
                <w:sz w:val="12"/>
                <w:szCs w:val="12"/>
                <w:color w:val="auto"/>
              </w:rPr>
              <w:t>or other institution,  as</w:t>
            </w:r>
          </w:p>
        </w:tc>
        <w:tc>
          <w:tcPr>
            <w:tcW w:w="400" w:type="dxa"/>
            <w:vAlign w:val="bottom"/>
          </w:tcPr>
          <w:p>
            <w:pPr>
              <w:ind w:left="20"/>
              <w:spacing w:after="0"/>
              <w:rPr>
                <w:sz w:val="20"/>
                <w:szCs w:val="20"/>
                <w:color w:val="auto"/>
              </w:rPr>
            </w:pPr>
            <w:r>
              <w:rPr>
                <w:rFonts w:ascii="Arial" w:cs="Arial" w:eastAsia="Arial" w:hAnsi="Arial"/>
                <w:sz w:val="12"/>
                <w:szCs w:val="12"/>
                <w:color w:val="auto"/>
                <w:w w:val="91"/>
              </w:rPr>
              <w:t>defined</w:t>
            </w:r>
          </w:p>
        </w:tc>
        <w:tc>
          <w:tcPr>
            <w:tcW w:w="5440" w:type="dxa"/>
            <w:vAlign w:val="bottom"/>
          </w:tcPr>
          <w:p>
            <w:pPr>
              <w:ind w:left="60"/>
              <w:spacing w:after="0"/>
              <w:rPr>
                <w:sz w:val="20"/>
                <w:szCs w:val="20"/>
                <w:color w:val="auto"/>
              </w:rPr>
            </w:pPr>
            <w:r>
              <w:rPr>
                <w:rFonts w:ascii="Arial" w:cs="Arial" w:eastAsia="Arial" w:hAnsi="Arial"/>
                <w:sz w:val="12"/>
                <w:szCs w:val="12"/>
                <w:color w:val="auto"/>
              </w:rPr>
              <w:t>in section 3(a)(5)(A) of the Securities Act, whether acting in its individual or fiduciary capacity.</w:t>
            </w:r>
          </w:p>
        </w:tc>
      </w:tr>
      <w:tr>
        <w:trPr>
          <w:trHeight w:val="288"/>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20" w:type="dxa"/>
            <w:vAlign w:val="bottom"/>
            <w:gridSpan w:val="4"/>
          </w:tcPr>
          <w:p>
            <w:pPr>
              <w:ind w:left="300"/>
              <w:spacing w:after="0"/>
              <w:rPr>
                <w:sz w:val="20"/>
                <w:szCs w:val="20"/>
                <w:color w:val="auto"/>
              </w:rPr>
            </w:pPr>
            <w:r>
              <w:rPr>
                <w:rFonts w:ascii="Arial" w:cs="Arial" w:eastAsia="Arial" w:hAnsi="Arial"/>
                <w:sz w:val="12"/>
                <w:szCs w:val="12"/>
                <w:color w:val="auto"/>
                <w:w w:val="90"/>
              </w:rPr>
              <w:t>A broker or dealer registered pursuant to section 15 of the Securities</w:t>
            </w:r>
          </w:p>
        </w:tc>
        <w:tc>
          <w:tcPr>
            <w:tcW w:w="5440" w:type="dxa"/>
            <w:vAlign w:val="bottom"/>
          </w:tcPr>
          <w:p>
            <w:pPr>
              <w:ind w:left="40"/>
              <w:spacing w:after="0"/>
              <w:rPr>
                <w:sz w:val="20"/>
                <w:szCs w:val="20"/>
                <w:color w:val="auto"/>
              </w:rPr>
            </w:pPr>
            <w:r>
              <w:rPr>
                <w:rFonts w:ascii="Arial" w:cs="Arial" w:eastAsia="Arial" w:hAnsi="Arial"/>
                <w:sz w:val="12"/>
                <w:szCs w:val="12"/>
                <w:color w:val="auto"/>
              </w:rPr>
              <w:t>Exchange Act of 1934.</w:t>
            </w:r>
          </w:p>
        </w:tc>
      </w:tr>
      <w:tr>
        <w:trPr>
          <w:trHeight w:val="288"/>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rPr>
              <w:t>An insurance company as defined in section 2(a)(13) of the Securities Act.</w:t>
            </w:r>
          </w:p>
        </w:tc>
      </w:tr>
      <w:tr>
        <w:trPr>
          <w:trHeight w:val="288"/>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rPr>
              <w:t>An investment company registered under the Investment Corporation Act of 1940 or a business development company as defined in section 2(a)(48) of that Act.</w:t>
            </w:r>
          </w:p>
        </w:tc>
      </w:tr>
      <w:tr>
        <w:trPr>
          <w:trHeight w:val="288"/>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2"/>
                <w:szCs w:val="12"/>
                <w:color w:val="auto"/>
                <w:w w:val="94"/>
              </w:rPr>
              <w:t>A Small Business</w:t>
            </w:r>
          </w:p>
        </w:tc>
        <w:tc>
          <w:tcPr>
            <w:tcW w:w="7860" w:type="dxa"/>
            <w:vAlign w:val="bottom"/>
            <w:gridSpan w:val="4"/>
          </w:tcPr>
          <w:p>
            <w:pPr>
              <w:spacing w:after="0"/>
              <w:rPr>
                <w:sz w:val="20"/>
                <w:szCs w:val="20"/>
                <w:color w:val="auto"/>
              </w:rPr>
            </w:pPr>
            <w:r>
              <w:rPr>
                <w:rFonts w:ascii="Arial" w:cs="Arial" w:eastAsia="Arial" w:hAnsi="Arial"/>
                <w:sz w:val="12"/>
                <w:szCs w:val="12"/>
                <w:color w:val="auto"/>
                <w:w w:val="98"/>
              </w:rPr>
              <w:t>Investment Corporation licensed by the U.S. Small Business Administration under section 301(c) or (d) of the Small Business Investment Act of 1958.</w:t>
            </w:r>
          </w:p>
        </w:tc>
      </w:tr>
      <w:tr>
        <w:trPr>
          <w:trHeight w:val="279"/>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2"/>
                <w:szCs w:val="12"/>
                <w:color w:val="auto"/>
                <w:w w:val="89"/>
              </w:rPr>
              <w:t>A plan established</w:t>
            </w:r>
          </w:p>
        </w:tc>
        <w:tc>
          <w:tcPr>
            <w:tcW w:w="800" w:type="dxa"/>
            <w:vAlign w:val="bottom"/>
          </w:tcPr>
          <w:p>
            <w:pPr>
              <w:jc w:val="center"/>
              <w:spacing w:after="0"/>
              <w:rPr>
                <w:sz w:val="20"/>
                <w:szCs w:val="20"/>
                <w:color w:val="auto"/>
              </w:rPr>
            </w:pPr>
            <w:r>
              <w:rPr>
                <w:rFonts w:ascii="Arial" w:cs="Arial" w:eastAsia="Arial" w:hAnsi="Arial"/>
                <w:sz w:val="12"/>
                <w:szCs w:val="12"/>
                <w:color w:val="auto"/>
                <w:w w:val="90"/>
              </w:rPr>
              <w:t>and maintained</w:t>
            </w:r>
          </w:p>
        </w:tc>
        <w:tc>
          <w:tcPr>
            <w:tcW w:w="7060" w:type="dxa"/>
            <w:vAlign w:val="bottom"/>
            <w:gridSpan w:val="3"/>
          </w:tcPr>
          <w:p>
            <w:pPr>
              <w:ind w:left="40"/>
              <w:spacing w:after="0"/>
              <w:rPr>
                <w:sz w:val="20"/>
                <w:szCs w:val="20"/>
                <w:color w:val="auto"/>
              </w:rPr>
            </w:pPr>
            <w:r>
              <w:rPr>
                <w:rFonts w:ascii="Arial" w:cs="Arial" w:eastAsia="Arial" w:hAnsi="Arial"/>
                <w:sz w:val="12"/>
                <w:szCs w:val="12"/>
                <w:color w:val="auto"/>
                <w:w w:val="95"/>
              </w:rPr>
              <w:t>by a state, its political subdivisions, or any agency or instrumentality of a state or its political subdivisions, for the benefit of its employees, if</w:t>
            </w:r>
          </w:p>
        </w:tc>
      </w:tr>
      <w:tr>
        <w:trPr>
          <w:trHeight w:val="153"/>
        </w:trPr>
        <w:tc>
          <w:tcPr>
            <w:tcW w:w="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20" w:type="dxa"/>
            <w:vAlign w:val="bottom"/>
            <w:gridSpan w:val="3"/>
          </w:tcPr>
          <w:p>
            <w:pPr>
              <w:ind w:left="300"/>
              <w:spacing w:after="0"/>
              <w:rPr>
                <w:sz w:val="20"/>
                <w:szCs w:val="20"/>
                <w:color w:val="auto"/>
              </w:rPr>
            </w:pPr>
            <w:r>
              <w:rPr>
                <w:rFonts w:ascii="Arial" w:cs="Arial" w:eastAsia="Arial" w:hAnsi="Arial"/>
                <w:sz w:val="12"/>
                <w:szCs w:val="12"/>
                <w:color w:val="auto"/>
              </w:rPr>
              <w:t>such plan has total assets in excess of $5,000,000.</w:t>
            </w:r>
          </w:p>
        </w:tc>
        <w:tc>
          <w:tcPr>
            <w:tcW w:w="400" w:type="dxa"/>
            <w:vAlign w:val="bottom"/>
          </w:tcPr>
          <w:p>
            <w:pPr>
              <w:spacing w:after="0"/>
              <w:rPr>
                <w:sz w:val="13"/>
                <w:szCs w:val="13"/>
                <w:color w:val="auto"/>
              </w:rPr>
            </w:pPr>
          </w:p>
        </w:tc>
        <w:tc>
          <w:tcPr>
            <w:tcW w:w="5440" w:type="dxa"/>
            <w:vAlign w:val="bottom"/>
          </w:tcPr>
          <w:p>
            <w:pPr>
              <w:spacing w:after="0"/>
              <w:rPr>
                <w:sz w:val="13"/>
                <w:szCs w:val="13"/>
                <w:color w:val="auto"/>
              </w:rPr>
            </w:pPr>
          </w:p>
        </w:tc>
      </w:tr>
      <w:tr>
        <w:trPr>
          <w:trHeight w:val="279"/>
        </w:trPr>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20" w:type="dxa"/>
            <w:vAlign w:val="bottom"/>
            <w:gridSpan w:val="4"/>
          </w:tcPr>
          <w:p>
            <w:pPr>
              <w:ind w:left="300"/>
              <w:spacing w:after="0"/>
              <w:rPr>
                <w:sz w:val="20"/>
                <w:szCs w:val="20"/>
                <w:color w:val="auto"/>
              </w:rPr>
            </w:pPr>
            <w:r>
              <w:rPr>
                <w:rFonts w:ascii="Arial" w:cs="Arial" w:eastAsia="Arial" w:hAnsi="Arial"/>
                <w:sz w:val="12"/>
                <w:szCs w:val="12"/>
                <w:color w:val="auto"/>
              </w:rPr>
              <w:t>An employee benefit plan within the meaning of the Employee</w:t>
            </w:r>
          </w:p>
        </w:tc>
        <w:tc>
          <w:tcPr>
            <w:tcW w:w="5440" w:type="dxa"/>
            <w:vAlign w:val="bottom"/>
          </w:tcPr>
          <w:p>
            <w:pPr>
              <w:ind w:left="20"/>
              <w:spacing w:after="0"/>
              <w:rPr>
                <w:sz w:val="20"/>
                <w:szCs w:val="20"/>
                <w:color w:val="auto"/>
              </w:rPr>
            </w:pPr>
            <w:r>
              <w:rPr>
                <w:rFonts w:ascii="Arial" w:cs="Arial" w:eastAsia="Arial" w:hAnsi="Arial"/>
                <w:sz w:val="12"/>
                <w:szCs w:val="12"/>
                <w:color w:val="auto"/>
                <w:w w:val="94"/>
              </w:rPr>
              <w:t>Retirement Income Security Act of 1974 if the investment decision is made by a plan fiduciary, as defined in</w:t>
            </w:r>
          </w:p>
        </w:tc>
      </w:tr>
      <w:tr>
        <w:trPr>
          <w:trHeight w:val="144"/>
        </w:trPr>
        <w:tc>
          <w:tcPr>
            <w:tcW w:w="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w w:val="90"/>
              </w:rPr>
              <w:t>section 3(21) of such Act, which is either a bank, savings and loan association, insurance company, or registered investment adviser, or if the employee benefit plan has total assets in</w:t>
            </w:r>
          </w:p>
        </w:tc>
      </w:tr>
      <w:tr>
        <w:trPr>
          <w:trHeight w:val="153"/>
        </w:trPr>
        <w:tc>
          <w:tcPr>
            <w:tcW w:w="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rPr>
              <w:t>excess of $5,000,000 or, if a self-directed plan, with investment decisions made solely by persons that are accredited investors.</w:t>
            </w:r>
          </w:p>
        </w:tc>
      </w:tr>
      <w:tr>
        <w:trPr>
          <w:trHeight w:val="288"/>
        </w:trPr>
        <w:tc>
          <w:tcPr>
            <w:tcW w:w="500" w:type="dxa"/>
            <w:vAlign w:val="bottom"/>
          </w:tcPr>
          <w:p>
            <w:pPr>
              <w:ind w:left="120"/>
              <w:spacing w:after="0"/>
              <w:rPr>
                <w:sz w:val="20"/>
                <w:szCs w:val="20"/>
                <w:color w:val="auto"/>
              </w:rPr>
            </w:pPr>
            <w:r>
              <w:rPr>
                <w:rFonts w:ascii="Arial" w:cs="Arial" w:eastAsia="Arial" w:hAnsi="Arial"/>
                <w:sz w:val="12"/>
                <w:szCs w:val="12"/>
                <w:color w:val="auto"/>
              </w:rPr>
              <w:t>0</w:t>
            </w:r>
          </w:p>
        </w:tc>
        <w:tc>
          <w:tcPr>
            <w:tcW w:w="1920" w:type="dxa"/>
            <w:vAlign w:val="bottom"/>
          </w:tcPr>
          <w:p>
            <w:pPr>
              <w:ind w:left="440"/>
              <w:spacing w:after="0"/>
              <w:rPr>
                <w:sz w:val="20"/>
                <w:szCs w:val="20"/>
                <w:color w:val="auto"/>
              </w:rPr>
            </w:pPr>
            <w:r>
              <w:rPr>
                <w:rFonts w:ascii="Arial" w:cs="Arial" w:eastAsia="Arial" w:hAnsi="Arial"/>
                <w:sz w:val="12"/>
                <w:szCs w:val="12"/>
                <w:color w:val="auto"/>
              </w:rPr>
              <w:t>Category 2.</w:t>
            </w: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rPr>
              <w:t>Any private business development company as defined in section 202(a)(22) of the Investment Advisers Act of 1940.</w:t>
            </w:r>
          </w:p>
        </w:tc>
      </w:tr>
      <w:tr>
        <w:trPr>
          <w:trHeight w:val="423"/>
        </w:trPr>
        <w:tc>
          <w:tcPr>
            <w:tcW w:w="500" w:type="dxa"/>
            <w:vAlign w:val="bottom"/>
          </w:tcPr>
          <w:p>
            <w:pPr>
              <w:ind w:left="100"/>
              <w:spacing w:after="0"/>
              <w:rPr>
                <w:sz w:val="20"/>
                <w:szCs w:val="20"/>
                <w:color w:val="auto"/>
              </w:rPr>
            </w:pPr>
            <w:r>
              <w:rPr>
                <w:rFonts w:ascii="Arial" w:cs="Arial" w:eastAsia="Arial" w:hAnsi="Arial"/>
                <w:sz w:val="12"/>
                <w:szCs w:val="12"/>
                <w:color w:val="auto"/>
              </w:rPr>
              <w:t>0</w:t>
            </w:r>
          </w:p>
        </w:tc>
        <w:tc>
          <w:tcPr>
            <w:tcW w:w="1920" w:type="dxa"/>
            <w:vAlign w:val="bottom"/>
          </w:tcPr>
          <w:p>
            <w:pPr>
              <w:ind w:left="320"/>
              <w:spacing w:after="0"/>
              <w:rPr>
                <w:sz w:val="20"/>
                <w:szCs w:val="20"/>
                <w:color w:val="auto"/>
              </w:rPr>
            </w:pPr>
            <w:r>
              <w:rPr>
                <w:rFonts w:ascii="Arial" w:cs="Arial" w:eastAsia="Arial" w:hAnsi="Arial"/>
                <w:sz w:val="12"/>
                <w:szCs w:val="12"/>
                <w:color w:val="auto"/>
              </w:rPr>
              <w:t>Category 3.</w:t>
            </w: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w w:val="92"/>
              </w:rPr>
              <w:t>An organization described in Section 501(c)(3) of the Internal Revenue Code, a corporation, a Massachusetts or similar business trust, or a partnership, not formed for the specific</w:t>
            </w:r>
          </w:p>
        </w:tc>
      </w:tr>
      <w:tr>
        <w:trPr>
          <w:trHeight w:val="153"/>
        </w:trPr>
        <w:tc>
          <w:tcPr>
            <w:tcW w:w="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rPr>
              <w:t>purpose of acquiring the Shares, with total assets in excess of $5,000,000.</w:t>
            </w:r>
          </w:p>
        </w:tc>
      </w:tr>
      <w:tr>
        <w:trPr>
          <w:trHeight w:val="288"/>
        </w:trPr>
        <w:tc>
          <w:tcPr>
            <w:tcW w:w="500" w:type="dxa"/>
            <w:vAlign w:val="bottom"/>
          </w:tcPr>
          <w:p>
            <w:pPr>
              <w:ind w:left="100"/>
              <w:spacing w:after="0"/>
              <w:rPr>
                <w:sz w:val="20"/>
                <w:szCs w:val="20"/>
                <w:color w:val="auto"/>
              </w:rPr>
            </w:pPr>
            <w:r>
              <w:rPr>
                <w:rFonts w:ascii="Arial" w:cs="Arial" w:eastAsia="Arial" w:hAnsi="Arial"/>
                <w:sz w:val="12"/>
                <w:szCs w:val="12"/>
                <w:color w:val="auto"/>
              </w:rPr>
              <w:t>0</w:t>
            </w:r>
          </w:p>
        </w:tc>
        <w:tc>
          <w:tcPr>
            <w:tcW w:w="1920" w:type="dxa"/>
            <w:vAlign w:val="bottom"/>
          </w:tcPr>
          <w:p>
            <w:pPr>
              <w:ind w:left="320"/>
              <w:spacing w:after="0"/>
              <w:rPr>
                <w:sz w:val="20"/>
                <w:szCs w:val="20"/>
                <w:color w:val="auto"/>
              </w:rPr>
            </w:pPr>
            <w:r>
              <w:rPr>
                <w:rFonts w:ascii="Arial" w:cs="Arial" w:eastAsia="Arial" w:hAnsi="Arial"/>
                <w:sz w:val="12"/>
                <w:szCs w:val="12"/>
                <w:color w:val="auto"/>
              </w:rPr>
              <w:t>Category 4.</w:t>
            </w:r>
          </w:p>
        </w:tc>
        <w:tc>
          <w:tcPr>
            <w:tcW w:w="3220" w:type="dxa"/>
            <w:vAlign w:val="bottom"/>
            <w:gridSpan w:val="3"/>
          </w:tcPr>
          <w:p>
            <w:pPr>
              <w:ind w:left="300"/>
              <w:spacing w:after="0"/>
              <w:rPr>
                <w:sz w:val="20"/>
                <w:szCs w:val="20"/>
                <w:color w:val="auto"/>
              </w:rPr>
            </w:pPr>
            <w:r>
              <w:rPr>
                <w:rFonts w:ascii="Arial" w:cs="Arial" w:eastAsia="Arial" w:hAnsi="Arial"/>
                <w:sz w:val="12"/>
                <w:szCs w:val="12"/>
                <w:color w:val="auto"/>
              </w:rPr>
              <w:t>A director or executive officer of the Corporation.</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279"/>
        </w:trPr>
        <w:tc>
          <w:tcPr>
            <w:tcW w:w="500" w:type="dxa"/>
            <w:vAlign w:val="bottom"/>
          </w:tcPr>
          <w:p>
            <w:pPr>
              <w:ind w:left="100"/>
              <w:spacing w:after="0"/>
              <w:rPr>
                <w:sz w:val="20"/>
                <w:szCs w:val="20"/>
                <w:color w:val="auto"/>
              </w:rPr>
            </w:pPr>
            <w:r>
              <w:rPr>
                <w:rFonts w:ascii="Arial" w:cs="Arial" w:eastAsia="Arial" w:hAnsi="Arial"/>
                <w:sz w:val="12"/>
                <w:szCs w:val="12"/>
                <w:color w:val="auto"/>
              </w:rPr>
              <w:t>0</w:t>
            </w:r>
          </w:p>
        </w:tc>
        <w:tc>
          <w:tcPr>
            <w:tcW w:w="1920" w:type="dxa"/>
            <w:vAlign w:val="bottom"/>
          </w:tcPr>
          <w:p>
            <w:pPr>
              <w:ind w:left="320"/>
              <w:spacing w:after="0"/>
              <w:rPr>
                <w:sz w:val="20"/>
                <w:szCs w:val="20"/>
                <w:color w:val="auto"/>
              </w:rPr>
            </w:pPr>
            <w:r>
              <w:rPr>
                <w:rFonts w:ascii="Arial" w:cs="Arial" w:eastAsia="Arial" w:hAnsi="Arial"/>
                <w:sz w:val="12"/>
                <w:szCs w:val="12"/>
                <w:color w:val="auto"/>
              </w:rPr>
              <w:t>Category 5.</w:t>
            </w: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w w:val="95"/>
              </w:rPr>
              <w:t>A natural person whose individual net worth, or joint net worth with that person’s spouse, at the time of this purchase exceeds $1,000,000, excluding the value of the person’s</w:t>
            </w:r>
          </w:p>
        </w:tc>
      </w:tr>
      <w:tr>
        <w:trPr>
          <w:trHeight w:val="153"/>
        </w:trPr>
        <w:tc>
          <w:tcPr>
            <w:tcW w:w="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0" w:type="dxa"/>
            <w:vAlign w:val="bottom"/>
            <w:gridSpan w:val="2"/>
          </w:tcPr>
          <w:p>
            <w:pPr>
              <w:ind w:left="300"/>
              <w:spacing w:after="0"/>
              <w:rPr>
                <w:sz w:val="20"/>
                <w:szCs w:val="20"/>
                <w:color w:val="auto"/>
              </w:rPr>
            </w:pPr>
            <w:r>
              <w:rPr>
                <w:rFonts w:ascii="Arial" w:cs="Arial" w:eastAsia="Arial" w:hAnsi="Arial"/>
                <w:sz w:val="12"/>
                <w:szCs w:val="12"/>
                <w:color w:val="auto"/>
              </w:rPr>
              <w:t>primary residence, if any.</w:t>
            </w: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40" w:type="dxa"/>
            <w:vAlign w:val="bottom"/>
          </w:tcPr>
          <w:p>
            <w:pPr>
              <w:spacing w:after="0"/>
              <w:rPr>
                <w:sz w:val="13"/>
                <w:szCs w:val="13"/>
                <w:color w:val="auto"/>
              </w:rPr>
            </w:pPr>
          </w:p>
        </w:tc>
      </w:tr>
      <w:tr>
        <w:trPr>
          <w:trHeight w:val="279"/>
        </w:trPr>
        <w:tc>
          <w:tcPr>
            <w:tcW w:w="500" w:type="dxa"/>
            <w:vAlign w:val="bottom"/>
          </w:tcPr>
          <w:p>
            <w:pPr>
              <w:ind w:left="100"/>
              <w:spacing w:after="0"/>
              <w:rPr>
                <w:sz w:val="20"/>
                <w:szCs w:val="20"/>
                <w:color w:val="auto"/>
              </w:rPr>
            </w:pPr>
            <w:r>
              <w:rPr>
                <w:rFonts w:ascii="Arial" w:cs="Arial" w:eastAsia="Arial" w:hAnsi="Arial"/>
                <w:sz w:val="12"/>
                <w:szCs w:val="12"/>
                <w:color w:val="auto"/>
              </w:rPr>
              <w:t>0</w:t>
            </w:r>
          </w:p>
        </w:tc>
        <w:tc>
          <w:tcPr>
            <w:tcW w:w="1920" w:type="dxa"/>
            <w:vAlign w:val="bottom"/>
          </w:tcPr>
          <w:p>
            <w:pPr>
              <w:ind w:left="320"/>
              <w:spacing w:after="0"/>
              <w:rPr>
                <w:sz w:val="20"/>
                <w:szCs w:val="20"/>
                <w:color w:val="auto"/>
              </w:rPr>
            </w:pPr>
            <w:r>
              <w:rPr>
                <w:rFonts w:ascii="Arial" w:cs="Arial" w:eastAsia="Arial" w:hAnsi="Arial"/>
                <w:sz w:val="12"/>
                <w:szCs w:val="12"/>
                <w:color w:val="auto"/>
              </w:rPr>
              <w:t>Category 6.</w:t>
            </w: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w w:val="92"/>
              </w:rPr>
              <w:t>A natural person who had an individual income in excess of $200,000 in each of the two most recent years or joint income with that person’s spouse in excess of $300,000 in each</w:t>
            </w:r>
          </w:p>
        </w:tc>
      </w:tr>
      <w:tr>
        <w:trPr>
          <w:trHeight w:val="153"/>
        </w:trPr>
        <w:tc>
          <w:tcPr>
            <w:tcW w:w="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060" w:type="dxa"/>
            <w:vAlign w:val="bottom"/>
            <w:gridSpan w:val="5"/>
          </w:tcPr>
          <w:p>
            <w:pPr>
              <w:ind w:left="300"/>
              <w:spacing w:after="0"/>
              <w:rPr>
                <w:sz w:val="20"/>
                <w:szCs w:val="20"/>
                <w:color w:val="auto"/>
              </w:rPr>
            </w:pPr>
            <w:r>
              <w:rPr>
                <w:rFonts w:ascii="Arial" w:cs="Arial" w:eastAsia="Arial" w:hAnsi="Arial"/>
                <w:sz w:val="12"/>
                <w:szCs w:val="12"/>
                <w:color w:val="auto"/>
              </w:rPr>
              <w:t>of those years and has a reasonable expectation of reaching the same income level in the current year.</w:t>
            </w:r>
          </w:p>
        </w:tc>
      </w:tr>
      <w:tr>
        <w:trPr>
          <w:trHeight w:val="436"/>
        </w:trPr>
        <w:tc>
          <w:tcPr>
            <w:tcW w:w="5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44" w:right="199" w:bottom="1440" w:gutter="0" w:footer="0" w:header="0"/>
        </w:sectPr>
      </w:pPr>
    </w:p>
    <w:bookmarkStart w:id="158" w:name="page159"/>
    <w:bookmarkEnd w:id="158"/>
    <w:tbl>
      <w:tblPr>
        <w:tblLayout w:type="fixed"/>
        <w:tblInd w:w="78" w:type="dxa"/>
        <w:tblCellMar>
          <w:top w:w="0" w:type="dxa"/>
          <w:left w:w="0" w:type="dxa"/>
          <w:bottom w:w="0" w:type="dxa"/>
          <w:right w:w="0" w:type="dxa"/>
        </w:tblCellMar>
      </w:tblPr>
      <w:tr>
        <w:trPr>
          <w:trHeight w:val="144"/>
        </w:trPr>
        <w:tc>
          <w:tcPr>
            <w:tcW w:w="420" w:type="dxa"/>
            <w:vAlign w:val="bottom"/>
          </w:tcPr>
          <w:p>
            <w:pPr>
              <w:spacing w:after="0"/>
              <w:rPr>
                <w:sz w:val="20"/>
                <w:szCs w:val="20"/>
                <w:color w:val="auto"/>
              </w:rPr>
            </w:pPr>
            <w:r>
              <w:rPr>
                <w:rFonts w:ascii="Arial" w:cs="Arial" w:eastAsia="Arial" w:hAnsi="Arial"/>
                <w:sz w:val="12"/>
                <w:szCs w:val="12"/>
                <w:color w:val="auto"/>
              </w:rPr>
              <w:t>0</w:t>
            </w:r>
          </w:p>
        </w:tc>
        <w:tc>
          <w:tcPr>
            <w:tcW w:w="1600" w:type="dxa"/>
            <w:vAlign w:val="bottom"/>
          </w:tcPr>
          <w:p>
            <w:pPr>
              <w:ind w:left="340"/>
              <w:spacing w:after="0"/>
              <w:rPr>
                <w:sz w:val="20"/>
                <w:szCs w:val="20"/>
                <w:color w:val="auto"/>
              </w:rPr>
            </w:pPr>
            <w:r>
              <w:rPr>
                <w:rFonts w:ascii="Arial" w:cs="Arial" w:eastAsia="Arial" w:hAnsi="Arial"/>
                <w:sz w:val="12"/>
                <w:szCs w:val="12"/>
                <w:color w:val="auto"/>
              </w:rPr>
              <w:t>Category 7.</w:t>
            </w:r>
          </w:p>
        </w:tc>
        <w:tc>
          <w:tcPr>
            <w:tcW w:w="9240" w:type="dxa"/>
            <w:vAlign w:val="bottom"/>
          </w:tcPr>
          <w:p>
            <w:pPr>
              <w:ind w:left="700"/>
              <w:spacing w:after="0"/>
              <w:rPr>
                <w:sz w:val="20"/>
                <w:szCs w:val="20"/>
                <w:color w:val="auto"/>
              </w:rPr>
            </w:pPr>
            <w:r>
              <w:rPr>
                <w:rFonts w:ascii="Arial" w:cs="Arial" w:eastAsia="Arial" w:hAnsi="Arial"/>
                <w:sz w:val="12"/>
                <w:szCs w:val="12"/>
                <w:color w:val="auto"/>
                <w:w w:val="89"/>
              </w:rPr>
              <w:t>A trust, with total assets in excess of $5,000,000, not formed for the specific purpose of acquiring the Shares, whose purchase is directed by a sophisticated person as described in</w:t>
            </w:r>
          </w:p>
        </w:tc>
      </w:tr>
      <w:tr>
        <w:trPr>
          <w:trHeight w:val="144"/>
        </w:trPr>
        <w:tc>
          <w:tcPr>
            <w:tcW w:w="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40" w:type="dxa"/>
            <w:vAlign w:val="bottom"/>
          </w:tcPr>
          <w:p>
            <w:pPr>
              <w:ind w:left="700"/>
              <w:spacing w:after="0"/>
              <w:rPr>
                <w:sz w:val="20"/>
                <w:szCs w:val="20"/>
                <w:color w:val="auto"/>
              </w:rPr>
            </w:pPr>
            <w:r>
              <w:rPr>
                <w:rFonts w:ascii="Arial" w:cs="Arial" w:eastAsia="Arial" w:hAnsi="Arial"/>
                <w:sz w:val="12"/>
                <w:szCs w:val="12"/>
                <w:color w:val="auto"/>
              </w:rPr>
              <w:t>Rule 506(b)(2)(ii) of Regulation D under the U.S. Securities Act</w:t>
            </w:r>
          </w:p>
        </w:tc>
      </w:tr>
      <w:tr>
        <w:trPr>
          <w:trHeight w:val="144"/>
        </w:trPr>
        <w:tc>
          <w:tcPr>
            <w:tcW w:w="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40" w:type="dxa"/>
            <w:vAlign w:val="bottom"/>
          </w:tcPr>
          <w:p>
            <w:pPr>
              <w:ind w:left="700"/>
              <w:spacing w:after="0"/>
              <w:rPr>
                <w:sz w:val="20"/>
                <w:szCs w:val="20"/>
                <w:color w:val="auto"/>
              </w:rPr>
            </w:pPr>
            <w:r>
              <w:rPr>
                <w:rFonts w:ascii="Arial" w:cs="Arial" w:eastAsia="Arial" w:hAnsi="Arial"/>
                <w:sz w:val="12"/>
                <w:szCs w:val="12"/>
                <w:color w:val="auto"/>
              </w:rPr>
              <w:t>.</w:t>
            </w:r>
          </w:p>
        </w:tc>
      </w:tr>
      <w:tr>
        <w:trPr>
          <w:trHeight w:val="153"/>
        </w:trPr>
        <w:tc>
          <w:tcPr>
            <w:tcW w:w="420" w:type="dxa"/>
            <w:vAlign w:val="bottom"/>
          </w:tcPr>
          <w:p>
            <w:pPr>
              <w:ind w:left="20"/>
              <w:spacing w:after="0"/>
              <w:rPr>
                <w:sz w:val="20"/>
                <w:szCs w:val="20"/>
                <w:color w:val="auto"/>
              </w:rPr>
            </w:pPr>
            <w:r>
              <w:rPr>
                <w:rFonts w:ascii="Arial" w:cs="Arial" w:eastAsia="Arial" w:hAnsi="Arial"/>
                <w:sz w:val="12"/>
                <w:szCs w:val="12"/>
                <w:color w:val="auto"/>
              </w:rPr>
              <w:t>0</w:t>
            </w:r>
          </w:p>
        </w:tc>
        <w:tc>
          <w:tcPr>
            <w:tcW w:w="1600" w:type="dxa"/>
            <w:vAlign w:val="bottom"/>
          </w:tcPr>
          <w:p>
            <w:pPr>
              <w:ind w:left="340"/>
              <w:spacing w:after="0"/>
              <w:rPr>
                <w:sz w:val="20"/>
                <w:szCs w:val="20"/>
                <w:color w:val="auto"/>
              </w:rPr>
            </w:pPr>
            <w:r>
              <w:rPr>
                <w:rFonts w:ascii="Arial" w:cs="Arial" w:eastAsia="Arial" w:hAnsi="Arial"/>
                <w:sz w:val="12"/>
                <w:szCs w:val="12"/>
                <w:color w:val="auto"/>
              </w:rPr>
              <w:t>Category 8.</w:t>
            </w:r>
          </w:p>
        </w:tc>
        <w:tc>
          <w:tcPr>
            <w:tcW w:w="9240" w:type="dxa"/>
            <w:vAlign w:val="bottom"/>
          </w:tcPr>
          <w:p>
            <w:pPr>
              <w:ind w:left="800"/>
              <w:spacing w:after="0"/>
              <w:rPr>
                <w:sz w:val="20"/>
                <w:szCs w:val="20"/>
                <w:color w:val="auto"/>
              </w:rPr>
            </w:pPr>
            <w:r>
              <w:rPr>
                <w:rFonts w:ascii="Arial" w:cs="Arial" w:eastAsia="Arial" w:hAnsi="Arial"/>
                <w:sz w:val="12"/>
                <w:szCs w:val="12"/>
                <w:color w:val="auto"/>
              </w:rPr>
              <w:t>An entity in which each of the equity owners is an accredited investor.</w:t>
            </w:r>
          </w:p>
        </w:tc>
      </w:tr>
    </w:tbl>
    <w:p>
      <w:pPr>
        <w:spacing w:after="0" w:line="153" w:lineRule="exact"/>
        <w:rPr>
          <w:sz w:val="20"/>
          <w:szCs w:val="20"/>
          <w:color w:val="auto"/>
        </w:rPr>
      </w:pPr>
    </w:p>
    <w:p>
      <w:pPr>
        <w:ind w:left="258" w:hanging="258"/>
        <w:spacing w:after="0"/>
        <w:tabs>
          <w:tab w:leader="none" w:pos="258"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certified check or bank draft in the amount of the Subscription Price as set forth in Box A of Section 6 above, accompanies this Subscription Agreement.</w:t>
      </w:r>
    </w:p>
    <w:p>
      <w:pPr>
        <w:spacing w:after="0" w:line="164" w:lineRule="exact"/>
        <w:rPr>
          <w:sz w:val="20"/>
          <w:szCs w:val="20"/>
          <w:color w:val="auto"/>
        </w:rPr>
      </w:pPr>
    </w:p>
    <w:p>
      <w:pPr>
        <w:ind w:left="78"/>
        <w:spacing w:after="0"/>
        <w:rPr>
          <w:sz w:val="20"/>
          <w:szCs w:val="20"/>
          <w:color w:val="auto"/>
        </w:rPr>
      </w:pPr>
      <w:r>
        <w:rPr>
          <w:rFonts w:ascii="Arial" w:cs="Arial" w:eastAsia="Arial" w:hAnsi="Arial"/>
          <w:sz w:val="12"/>
          <w:szCs w:val="12"/>
          <w:b w:val="1"/>
          <w:bCs w:val="1"/>
          <w:color w:val="auto"/>
        </w:rPr>
        <w:t>SIGNATURE OF SUBSCRIBER</w:t>
      </w:r>
    </w:p>
    <w:p>
      <w:pPr>
        <w:spacing w:after="0" w:line="172" w:lineRule="exact"/>
        <w:rPr>
          <w:sz w:val="20"/>
          <w:szCs w:val="20"/>
          <w:color w:val="auto"/>
        </w:rPr>
      </w:pPr>
    </w:p>
    <w:p>
      <w:pPr>
        <w:ind w:left="78"/>
        <w:spacing w:after="0"/>
        <w:rPr>
          <w:sz w:val="20"/>
          <w:szCs w:val="20"/>
          <w:color w:val="auto"/>
        </w:rPr>
      </w:pPr>
      <w:r>
        <w:rPr>
          <w:rFonts w:ascii="Arial" w:cs="Arial" w:eastAsia="Arial" w:hAnsi="Arial"/>
          <w:sz w:val="12"/>
          <w:szCs w:val="12"/>
          <w:color w:val="auto"/>
        </w:rPr>
        <w:t>Signature of Subscriber (on its own behalf and, if applicable, on behalf of each person for whom it is contracting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295275</wp:posOffset>
            </wp:positionV>
            <wp:extent cx="4449445"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449445" cy="1143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98"/>
        <w:spacing w:after="0"/>
        <w:rPr>
          <w:sz w:val="20"/>
          <w:szCs w:val="20"/>
          <w:color w:val="auto"/>
        </w:rPr>
      </w:pPr>
      <w:r>
        <w:rPr>
          <w:rFonts w:ascii="Arial" w:cs="Arial" w:eastAsia="Arial" w:hAnsi="Arial"/>
          <w:sz w:val="12"/>
          <w:szCs w:val="12"/>
          <w:color w:val="auto"/>
        </w:rPr>
        <w:t>(Full 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192405</wp:posOffset>
            </wp:positionV>
            <wp:extent cx="4449445"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449445" cy="11430"/>
                    </a:xfrm>
                    <a:prstGeom prst="rect">
                      <a:avLst/>
                    </a:prstGeom>
                    <a:noFill/>
                  </pic:spPr>
                </pic:pic>
              </a:graphicData>
            </a:graphic>
          </wp:anchor>
        </w:drawing>
      </w:r>
    </w:p>
    <w:p>
      <w:pPr>
        <w:spacing w:after="0" w:line="292" w:lineRule="exact"/>
        <w:rPr>
          <w:sz w:val="20"/>
          <w:szCs w:val="20"/>
          <w:color w:val="auto"/>
        </w:rPr>
      </w:pPr>
    </w:p>
    <w:p>
      <w:pPr>
        <w:ind w:left="698"/>
        <w:spacing w:after="0"/>
        <w:rPr>
          <w:sz w:val="20"/>
          <w:szCs w:val="20"/>
          <w:color w:val="auto"/>
        </w:rPr>
      </w:pPr>
      <w:r>
        <w:rPr>
          <w:rFonts w:ascii="Arial" w:cs="Arial" w:eastAsia="Arial" w:hAnsi="Arial"/>
          <w:sz w:val="12"/>
          <w:szCs w:val="1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192405</wp:posOffset>
            </wp:positionV>
            <wp:extent cx="4449445"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449445" cy="11430"/>
                    </a:xfrm>
                    <a:prstGeom prst="rect">
                      <a:avLst/>
                    </a:prstGeom>
                    <a:noFill/>
                  </pic:spPr>
                </pic:pic>
              </a:graphicData>
            </a:graphic>
          </wp:anchor>
        </w:drawing>
      </w:r>
    </w:p>
    <w:p>
      <w:pPr>
        <w:spacing w:after="0" w:line="292" w:lineRule="exact"/>
        <w:rPr>
          <w:sz w:val="20"/>
          <w:szCs w:val="20"/>
          <w:color w:val="auto"/>
        </w:rPr>
      </w:pPr>
    </w:p>
    <w:p>
      <w:pPr>
        <w:ind w:left="698"/>
        <w:spacing w:after="0"/>
        <w:rPr>
          <w:sz w:val="20"/>
          <w:szCs w:val="20"/>
          <w:color w:val="auto"/>
        </w:rPr>
      </w:pPr>
      <w:r>
        <w:rPr>
          <w:rFonts w:ascii="Arial" w:cs="Arial" w:eastAsia="Arial" w:hAnsi="Arial"/>
          <w:sz w:val="12"/>
          <w:szCs w:val="12"/>
          <w:color w:val="auto"/>
        </w:rPr>
        <w:t>(Name and Official Capacity – PLEASE PRINT)</w:t>
      </w:r>
    </w:p>
    <w:p>
      <w:pPr>
        <w:spacing w:after="0" w:line="164" w:lineRule="exact"/>
        <w:rPr>
          <w:sz w:val="20"/>
          <w:szCs w:val="20"/>
          <w:color w:val="auto"/>
        </w:rPr>
      </w:pPr>
    </w:p>
    <w:p>
      <w:pPr>
        <w:ind w:left="78"/>
        <w:spacing w:after="0"/>
        <w:rPr>
          <w:sz w:val="20"/>
          <w:szCs w:val="20"/>
          <w:color w:val="auto"/>
        </w:rPr>
      </w:pPr>
      <w:r>
        <w:rPr>
          <w:rFonts w:ascii="Arial" w:cs="Arial" w:eastAsia="Arial" w:hAnsi="Arial"/>
          <w:sz w:val="12"/>
          <w:szCs w:val="12"/>
          <w:b w:val="1"/>
          <w:bCs w:val="1"/>
          <w:color w:val="auto"/>
        </w:rPr>
        <w:t>ACCEPTANCE BY CORPORATION</w:t>
      </w:r>
    </w:p>
    <w:p>
      <w:pPr>
        <w:spacing w:after="0" w:line="172" w:lineRule="exact"/>
        <w:rPr>
          <w:sz w:val="20"/>
          <w:szCs w:val="20"/>
          <w:color w:val="auto"/>
        </w:rPr>
      </w:pPr>
    </w:p>
    <w:p>
      <w:pPr>
        <w:ind w:left="78"/>
        <w:spacing w:after="0"/>
        <w:rPr>
          <w:sz w:val="20"/>
          <w:szCs w:val="20"/>
          <w:color w:val="auto"/>
        </w:rPr>
      </w:pPr>
      <w:r>
        <w:rPr>
          <w:rFonts w:ascii="Arial" w:cs="Arial" w:eastAsia="Arial" w:hAnsi="Arial"/>
          <w:sz w:val="12"/>
          <w:szCs w:val="12"/>
          <w:color w:val="auto"/>
        </w:rPr>
        <w:t>The Corporation hereby accepts the above subscription as of this __ day of October 2013.</w:t>
      </w:r>
    </w:p>
    <w:p>
      <w:pPr>
        <w:spacing w:after="0" w:line="326" w:lineRule="exact"/>
        <w:rPr>
          <w:sz w:val="20"/>
          <w:szCs w:val="20"/>
          <w:color w:val="auto"/>
        </w:rPr>
      </w:pPr>
    </w:p>
    <w:p>
      <w:pPr>
        <w:ind w:left="78"/>
        <w:spacing w:after="0"/>
        <w:rPr>
          <w:sz w:val="20"/>
          <w:szCs w:val="20"/>
          <w:color w:val="auto"/>
        </w:rPr>
      </w:pPr>
      <w:r>
        <w:rPr>
          <w:rFonts w:ascii="Arial" w:cs="Arial" w:eastAsia="Arial" w:hAnsi="Arial"/>
          <w:sz w:val="12"/>
          <w:szCs w:val="12"/>
          <w:b w:val="1"/>
          <w:bCs w:val="1"/>
          <w:color w:val="auto"/>
        </w:rPr>
        <w:t>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206375</wp:posOffset>
            </wp:positionV>
            <wp:extent cx="4449445"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449445" cy="11430"/>
                    </a:xfrm>
                    <a:prstGeom prst="rect">
                      <a:avLst/>
                    </a:prstGeom>
                    <a:noFill/>
                  </pic:spPr>
                </pic:pic>
              </a:graphicData>
            </a:graphic>
          </wp:anchor>
        </w:drawing>
      </w:r>
    </w:p>
    <w:p>
      <w:pPr>
        <w:spacing w:after="0" w:line="314" w:lineRule="exact"/>
        <w:rPr>
          <w:sz w:val="20"/>
          <w:szCs w:val="20"/>
          <w:color w:val="auto"/>
        </w:rPr>
      </w:pPr>
    </w:p>
    <w:p>
      <w:pPr>
        <w:ind w:left="698"/>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283845</wp:posOffset>
            </wp:positionV>
            <wp:extent cx="4449445"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449445" cy="1143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698"/>
        <w:spacing w:after="0"/>
        <w:rPr>
          <w:sz w:val="20"/>
          <w:szCs w:val="20"/>
          <w:color w:val="auto"/>
        </w:rPr>
      </w:pPr>
      <w:r>
        <w:rPr>
          <w:rFonts w:ascii="Arial" w:cs="Arial" w:eastAsia="Arial" w:hAnsi="Arial"/>
          <w:sz w:val="12"/>
          <w:szCs w:val="12"/>
          <w:color w:val="auto"/>
        </w:rPr>
        <w:t>Shawn K. Singh, JD, Chief Executive Officer</w:t>
      </w:r>
    </w:p>
    <w:p>
      <w:pPr>
        <w:sectPr>
          <w:pgSz w:w="11900" w:h="16838" w:orient="portrait"/>
          <w:cols w:equalWidth="0" w:num="1">
            <w:col w:w="11338"/>
          </w:cols>
          <w:pgMar w:left="242" w:top="392" w:right="319" w:bottom="1440" w:gutter="0" w:footer="0" w:header="0"/>
        </w:sectPr>
      </w:pPr>
    </w:p>
    <w:bookmarkStart w:id="159" w:name="page160"/>
    <w:bookmarkEnd w:id="159"/>
    <w:p>
      <w:pPr>
        <w:ind w:left="10800"/>
        <w:spacing w:after="0"/>
        <w:rPr>
          <w:sz w:val="20"/>
          <w:szCs w:val="20"/>
          <w:color w:val="auto"/>
        </w:rPr>
      </w:pPr>
      <w:r>
        <w:rPr>
          <w:rFonts w:ascii="Arial" w:cs="Arial" w:eastAsia="Arial" w:hAnsi="Arial"/>
          <w:sz w:val="11"/>
          <w:szCs w:val="11"/>
          <w:b w:val="1"/>
          <w:bCs w:val="1"/>
          <w:color w:val="auto"/>
        </w:rPr>
        <w:t>Exhibit 10.94</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THIS CONVERTIBLE PROMISSORY NOTE HAS NOT BEEN REGISTERED UNDER THE SECURITIES ACT OF 1933. NO SALE OR DISPOSITION MAY BE EFFECTED EXCEPT IN COMPLIANCE WITH RULE 144 UNDER SAID ACT OR AN EFFECTIVE REGISTRATION STATEMENT RELATED THERETO OR AN OPINION OF COUNSEL FOR THE HOLDER, SATISFACTORY TO THE COMPANY, THAT SUCH REGISTRATION IS NOT REQUIRED UNDER THE ACT OR RECEIPT OF A NO ACTION LETTER FROM THE SECURITIES AND EXCHANGE COMMISSION.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CONVERTIBLE PROMISSORY NOTE</w:t>
      </w:r>
    </w:p>
    <w:p>
      <w:pPr>
        <w:sectPr>
          <w:pgSz w:w="11900" w:h="16838" w:orient="portrait"/>
          <w:cols w:equalWidth="0" w:num="1">
            <w:col w:w="11480"/>
          </w:cols>
          <w:pgMar w:left="220" w:top="127" w:right="19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$_____________________</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South San Francisco, California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August __, 2013</w:t>
      </w:r>
    </w:p>
    <w:p>
      <w:pPr>
        <w:spacing w:after="0" w:line="352" w:lineRule="exact"/>
        <w:rPr>
          <w:sz w:val="20"/>
          <w:szCs w:val="20"/>
          <w:color w:val="auto"/>
        </w:rPr>
      </w:pPr>
    </w:p>
    <w:p>
      <w:pPr>
        <w:sectPr>
          <w:pgSz w:w="11900" w:h="16838" w:orient="portrait"/>
          <w:cols w:equalWidth="0" w:num="2">
            <w:col w:w="9960" w:space="720"/>
            <w:col w:w="800"/>
          </w:cols>
          <w:pgMar w:left="220" w:top="127" w:right="199" w:bottom="1440" w:gutter="0" w:footer="0" w:header="0"/>
          <w:type w:val="continuous"/>
        </w:sectPr>
      </w:pP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FOR VALUE RECEIVED</w:t>
      </w:r>
      <w:r>
        <w:rPr>
          <w:rFonts w:ascii="Arial" w:cs="Arial" w:eastAsia="Arial" w:hAnsi="Arial"/>
          <w:sz w:val="11"/>
          <w:szCs w:val="11"/>
          <w:color w:val="auto"/>
        </w:rPr>
        <w:t>, VistaGen Therapeutics, Inc., a Nevada corporation (the “</w:t>
      </w:r>
      <w:r>
        <w:rPr>
          <w:rFonts w:ascii="Arial" w:cs="Arial" w:eastAsia="Arial" w:hAnsi="Arial"/>
          <w:sz w:val="11"/>
          <w:szCs w:val="11"/>
          <w:i w:val="1"/>
          <w:iCs w:val="1"/>
          <w:color w:val="auto"/>
        </w:rPr>
        <w:t>Company</w:t>
      </w:r>
      <w:r>
        <w:rPr>
          <w:rFonts w:ascii="Arial" w:cs="Arial" w:eastAsia="Arial" w:hAnsi="Arial"/>
          <w:sz w:val="11"/>
          <w:szCs w:val="11"/>
          <w:color w:val="auto"/>
        </w:rPr>
        <w:t>”), promises to pay to the order of</w:t>
      </w:r>
      <w:r>
        <w:rPr>
          <w:rFonts w:ascii="Arial" w:cs="Arial" w:eastAsia="Arial" w:hAnsi="Arial"/>
          <w:sz w:val="11"/>
          <w:szCs w:val="11"/>
          <w:b w:val="1"/>
          <w:bCs w:val="1"/>
          <w:color w:val="auto"/>
        </w:rPr>
        <w:t xml:space="preserve"> ______________________ </w:t>
      </w:r>
      <w:r>
        <w:rPr>
          <w:rFonts w:ascii="Arial" w:cs="Arial" w:eastAsia="Arial" w:hAnsi="Arial"/>
          <w:sz w:val="11"/>
          <w:szCs w:val="11"/>
          <w:color w:val="auto"/>
        </w:rPr>
        <w:t>or its permitted assigns (each a “</w:t>
      </w:r>
      <w:r>
        <w:rPr>
          <w:rFonts w:ascii="Arial" w:cs="Arial" w:eastAsia="Arial" w:hAnsi="Arial"/>
          <w:sz w:val="11"/>
          <w:szCs w:val="11"/>
          <w:i w:val="1"/>
          <w:iCs w:val="1"/>
          <w:color w:val="auto"/>
        </w:rPr>
        <w:t>Holder</w:t>
      </w:r>
      <w:r>
        <w:rPr>
          <w:rFonts w:ascii="Arial" w:cs="Arial" w:eastAsia="Arial" w:hAnsi="Arial"/>
          <w:sz w:val="11"/>
          <w:szCs w:val="11"/>
          <w:color w:val="auto"/>
        </w:rPr>
        <w:t>”), the principal sum of</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_____________________________________________ </w:t>
      </w:r>
      <w:r>
        <w:rPr>
          <w:rFonts w:ascii="Arial" w:cs="Arial" w:eastAsia="Arial" w:hAnsi="Arial"/>
          <w:sz w:val="10"/>
          <w:szCs w:val="10"/>
          <w:color w:val="auto"/>
        </w:rPr>
        <w:t>($</w:t>
      </w:r>
      <w:r>
        <w:rPr>
          <w:rFonts w:ascii="Arial" w:cs="Arial" w:eastAsia="Arial" w:hAnsi="Arial"/>
          <w:sz w:val="10"/>
          <w:szCs w:val="10"/>
          <w:b w:val="1"/>
          <w:bCs w:val="1"/>
          <w:color w:val="auto"/>
        </w:rPr>
        <w:t>________________</w:t>
      </w:r>
      <w:r>
        <w:rPr>
          <w:rFonts w:ascii="Arial" w:cs="Arial" w:eastAsia="Arial" w:hAnsi="Arial"/>
          <w:sz w:val="10"/>
          <w:szCs w:val="10"/>
          <w:color w:val="auto"/>
        </w:rPr>
        <w:t>) with interest on the outstanding principal amount at the simple rate of 10.0% per annum (computed on the basis of actual calendar days elapsed and a year of</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360 days). Interest shall commence with the date hereof and shall accrue on the outstanding principal until converted or paid in accordance with the provisions hereof.</w:t>
      </w:r>
    </w:p>
    <w:p>
      <w:pPr>
        <w:spacing w:after="0" w:line="177" w:lineRule="exact"/>
        <w:rPr>
          <w:sz w:val="20"/>
          <w:szCs w:val="20"/>
          <w:color w:val="auto"/>
        </w:rPr>
      </w:pPr>
    </w:p>
    <w:p>
      <w:pPr>
        <w:jc w:val="both"/>
        <w:ind w:firstLine="424"/>
        <w:spacing w:after="0" w:line="263" w:lineRule="auto"/>
        <w:tabs>
          <w:tab w:leader="none" w:pos="666"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This note (the “</w:t>
      </w:r>
      <w:r>
        <w:rPr>
          <w:rFonts w:ascii="Arial" w:cs="Arial" w:eastAsia="Arial" w:hAnsi="Arial"/>
          <w:sz w:val="12"/>
          <w:szCs w:val="12"/>
          <w:i w:val="1"/>
          <w:iCs w:val="1"/>
          <w:color w:val="auto"/>
        </w:rPr>
        <w:t>Note</w:t>
      </w:r>
      <w:r>
        <w:rPr>
          <w:rFonts w:ascii="Arial" w:cs="Arial" w:eastAsia="Arial" w:hAnsi="Arial"/>
          <w:sz w:val="12"/>
          <w:szCs w:val="12"/>
          <w:color w:val="auto"/>
        </w:rPr>
        <w:t>”) is issued pursuant to the terms of that certain Subscription Agreement dated as of August __, 2013, by and among the Company and the Subscriber (the “</w:t>
      </w:r>
      <w:r>
        <w:rPr>
          <w:rFonts w:ascii="Arial" w:cs="Arial" w:eastAsia="Arial" w:hAnsi="Arial"/>
          <w:sz w:val="12"/>
          <w:szCs w:val="12"/>
          <w:i w:val="1"/>
          <w:iCs w:val="1"/>
          <w:color w:val="auto"/>
        </w:rPr>
        <w:t>Agreement</w:t>
      </w:r>
      <w:r>
        <w:rPr>
          <w:rFonts w:ascii="Arial" w:cs="Arial" w:eastAsia="Arial" w:hAnsi="Arial"/>
          <w:sz w:val="12"/>
          <w:szCs w:val="12"/>
          <w:color w:val="auto"/>
        </w:rPr>
        <w:t>”). This Note is one of a series of notes (the “</w:t>
      </w:r>
      <w:r>
        <w:rPr>
          <w:rFonts w:ascii="Arial" w:cs="Arial" w:eastAsia="Arial" w:hAnsi="Arial"/>
          <w:sz w:val="12"/>
          <w:szCs w:val="12"/>
          <w:i w:val="1"/>
          <w:iCs w:val="1"/>
          <w:color w:val="auto"/>
        </w:rPr>
        <w:t>Notes</w:t>
      </w:r>
      <w:r>
        <w:rPr>
          <w:rFonts w:ascii="Arial" w:cs="Arial" w:eastAsia="Arial" w:hAnsi="Arial"/>
          <w:sz w:val="12"/>
          <w:szCs w:val="12"/>
          <w:color w:val="auto"/>
        </w:rPr>
        <w:t>”) having like tenor and effect (except for variations necessary to express the name of the holders, the principal amount of each of the Notes and the date on which each Note is issued) issued or to be issued by the Company in accordance with the terms of the Agreement.</w:t>
      </w:r>
    </w:p>
    <w:p>
      <w:pPr>
        <w:spacing w:after="0" w:line="158" w:lineRule="exact"/>
        <w:rPr>
          <w:rFonts w:ascii="Arial" w:cs="Arial" w:eastAsia="Arial" w:hAnsi="Arial"/>
          <w:sz w:val="12"/>
          <w:szCs w:val="12"/>
          <w:color w:val="auto"/>
        </w:rPr>
      </w:pPr>
    </w:p>
    <w:p>
      <w:pPr>
        <w:ind w:left="660" w:hanging="236"/>
        <w:spacing w:after="0"/>
        <w:tabs>
          <w:tab w:leader="none" w:pos="6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Unless sooner converted in accordance with Section 3, the entire unpaid balance of principal and all unpaid accrued interest shall become fully due and payable on July 30, 2014 (“</w:t>
      </w:r>
      <w:r>
        <w:rPr>
          <w:rFonts w:ascii="Arial" w:cs="Arial" w:eastAsia="Arial" w:hAnsi="Arial"/>
          <w:sz w:val="12"/>
          <w:szCs w:val="12"/>
          <w:i w:val="1"/>
          <w:iCs w:val="1"/>
          <w:color w:val="auto"/>
        </w:rPr>
        <w:t>Maturity</w:t>
      </w:r>
      <w:r>
        <w:rPr>
          <w:rFonts w:ascii="Arial" w:cs="Arial" w:eastAsia="Arial" w:hAnsi="Arial"/>
          <w:sz w:val="12"/>
          <w:szCs w:val="12"/>
          <w:color w:val="auto"/>
        </w:rPr>
        <w:t>”).</w:t>
      </w:r>
    </w:p>
    <w:p>
      <w:pPr>
        <w:spacing w:after="0" w:line="186" w:lineRule="exact"/>
        <w:rPr>
          <w:rFonts w:ascii="Arial" w:cs="Arial" w:eastAsia="Arial" w:hAnsi="Arial"/>
          <w:sz w:val="12"/>
          <w:szCs w:val="12"/>
          <w:color w:val="auto"/>
        </w:rPr>
      </w:pPr>
    </w:p>
    <w:p>
      <w:pPr>
        <w:jc w:val="both"/>
        <w:ind w:firstLine="424"/>
        <w:spacing w:after="0" w:line="259" w:lineRule="auto"/>
        <w:tabs>
          <w:tab w:leader="none" w:pos="1126" w:val="left"/>
        </w:tabs>
        <w:numPr>
          <w:ilvl w:val="0"/>
          <w:numId w:val="78"/>
        </w:numPr>
        <w:rPr>
          <w:rFonts w:ascii="Arial" w:cs="Arial" w:eastAsia="Arial" w:hAnsi="Arial"/>
          <w:sz w:val="12"/>
          <w:szCs w:val="12"/>
          <w:color w:val="auto"/>
        </w:rPr>
      </w:pPr>
      <w:r>
        <w:rPr>
          <w:rFonts w:ascii="Arial" w:cs="Arial" w:eastAsia="Arial" w:hAnsi="Arial"/>
          <w:sz w:val="12"/>
          <w:szCs w:val="12"/>
          <w:color w:val="auto"/>
        </w:rPr>
        <w:t>(a) Notwithstanding anything to the contrary contained in this Section 3, the Company shall have the right, at the Company’s option, upon receipt by the Holder of thirty (30) day’s written notice (the “</w:t>
      </w:r>
      <w:r>
        <w:rPr>
          <w:rFonts w:ascii="Arial" w:cs="Arial" w:eastAsia="Arial" w:hAnsi="Arial"/>
          <w:sz w:val="12"/>
          <w:szCs w:val="12"/>
          <w:i w:val="1"/>
          <w:iCs w:val="1"/>
          <w:color w:val="auto"/>
        </w:rPr>
        <w:t>Prepayment Notice</w:t>
      </w:r>
      <w:r>
        <w:rPr>
          <w:rFonts w:ascii="Arial" w:cs="Arial" w:eastAsia="Arial" w:hAnsi="Arial"/>
          <w:sz w:val="12"/>
          <w:szCs w:val="12"/>
          <w:color w:val="auto"/>
        </w:rPr>
        <w:t>”), to pay the outstanding principal amount of this Note together with all of the accrued and unpaid interest due and payable hereunder on the date of such payment (the “</w:t>
      </w:r>
      <w:r>
        <w:rPr>
          <w:rFonts w:ascii="Arial" w:cs="Arial" w:eastAsia="Arial" w:hAnsi="Arial"/>
          <w:sz w:val="12"/>
          <w:szCs w:val="12"/>
          <w:i w:val="1"/>
          <w:iCs w:val="1"/>
          <w:color w:val="auto"/>
        </w:rPr>
        <w:t>Outstanding Balance</w:t>
      </w:r>
      <w:r>
        <w:rPr>
          <w:rFonts w:ascii="Arial" w:cs="Arial" w:eastAsia="Arial" w:hAnsi="Arial"/>
          <w:sz w:val="12"/>
          <w:szCs w:val="12"/>
          <w:color w:val="auto"/>
        </w:rPr>
        <w:t>”) to Holder at any time prior to Maturity. Notwithstanding the receipt of the Prepayment Notice by Holder, the Holder shall have the right and option to exercise its Conversion Option, as defined in Section 3(b) below, during such thirty (30) day period following the receipt of such Prepayment Notice.</w:t>
      </w:r>
    </w:p>
    <w:p>
      <w:pPr>
        <w:spacing w:after="0" w:line="142" w:lineRule="exact"/>
        <w:rPr>
          <w:rFonts w:ascii="Arial" w:cs="Arial" w:eastAsia="Arial" w:hAnsi="Arial"/>
          <w:sz w:val="12"/>
          <w:szCs w:val="12"/>
          <w:color w:val="auto"/>
        </w:rPr>
      </w:pPr>
    </w:p>
    <w:p>
      <w:pPr>
        <w:jc w:val="both"/>
        <w:ind w:firstLine="857"/>
        <w:spacing w:after="0" w:line="254" w:lineRule="auto"/>
        <w:tabs>
          <w:tab w:leader="none" w:pos="1361" w:val="left"/>
        </w:tabs>
        <w:numPr>
          <w:ilvl w:val="1"/>
          <w:numId w:val="78"/>
        </w:numPr>
        <w:rPr>
          <w:rFonts w:ascii="Arial" w:cs="Arial" w:eastAsia="Arial" w:hAnsi="Arial"/>
          <w:sz w:val="12"/>
          <w:szCs w:val="12"/>
          <w:color w:val="auto"/>
        </w:rPr>
      </w:pPr>
      <w:r>
        <w:rPr>
          <w:rFonts w:ascii="Arial" w:cs="Arial" w:eastAsia="Arial" w:hAnsi="Arial"/>
          <w:sz w:val="12"/>
          <w:szCs w:val="12"/>
          <w:color w:val="auto"/>
        </w:rPr>
        <w:t>Subject to the terms and conditions of this Section 3, and provided this Note remains outstanding and has not otherwise been converted pursuant to this Section 3, the Holder shall have the right, at the Holder’s option, to convert the Outstanding Balance (the “</w:t>
      </w:r>
      <w:r>
        <w:rPr>
          <w:rFonts w:ascii="Arial" w:cs="Arial" w:eastAsia="Arial" w:hAnsi="Arial"/>
          <w:sz w:val="12"/>
          <w:szCs w:val="12"/>
          <w:i w:val="1"/>
          <w:iCs w:val="1"/>
          <w:color w:val="auto"/>
        </w:rPr>
        <w:t>Conversion Option</w:t>
      </w:r>
      <w:r>
        <w:rPr>
          <w:rFonts w:ascii="Arial" w:cs="Arial" w:eastAsia="Arial" w:hAnsi="Arial"/>
          <w:sz w:val="12"/>
          <w:szCs w:val="12"/>
          <w:color w:val="auto"/>
        </w:rPr>
        <w:t>”) into such number of fully paid and non-assessable shares of the Company’s unregistered Common Stock (the “</w:t>
      </w:r>
      <w:r>
        <w:rPr>
          <w:rFonts w:ascii="Arial" w:cs="Arial" w:eastAsia="Arial" w:hAnsi="Arial"/>
          <w:sz w:val="12"/>
          <w:szCs w:val="12"/>
          <w:i w:val="1"/>
          <w:iCs w:val="1"/>
          <w:color w:val="auto"/>
        </w:rPr>
        <w:t>Conversion Shares</w:t>
      </w:r>
      <w:r>
        <w:rPr>
          <w:rFonts w:ascii="Arial" w:cs="Arial" w:eastAsia="Arial" w:hAnsi="Arial"/>
          <w:sz w:val="12"/>
          <w:szCs w:val="12"/>
          <w:color w:val="auto"/>
        </w:rPr>
        <w:t>”) as is determined in accordance with the following formula: (the Outstanding Balance as of the date of the exercise of the Conversion Option) / $0.50). If the Holder desires to exercise the Conversion Option, the Holder shall, by personal delivery or nationally-recognized overnight carrier, surrender the original of this Note and give written notice to the Company (the “</w:t>
      </w:r>
      <w:r>
        <w:rPr>
          <w:rFonts w:ascii="Arial" w:cs="Arial" w:eastAsia="Arial" w:hAnsi="Arial"/>
          <w:sz w:val="12"/>
          <w:szCs w:val="12"/>
          <w:i w:val="1"/>
          <w:iCs w:val="1"/>
          <w:color w:val="auto"/>
        </w:rPr>
        <w:t>Conversion Notice</w:t>
      </w:r>
      <w:r>
        <w:rPr>
          <w:rFonts w:ascii="Arial" w:cs="Arial" w:eastAsia="Arial" w:hAnsi="Arial"/>
          <w:sz w:val="12"/>
          <w:szCs w:val="12"/>
          <w:color w:val="auto"/>
        </w:rPr>
        <w:t>”), which Conversion Notice shall (a) state the Holder’s election to exercise the Conversion Option, and (b) provide for a representation and warranty of the Holder to the Company that, as of the date of the Conversion Notice, the Holder has not assigned or otherwise transferred all or any portion of the Holder’s rights under this Note to any third parties. The Company shall, as soon as practicable thereafter, issue and deliver to the Holder the number of Conversion Shares to which the Holder shall be entitled upon exercise of the Conversion Option. Notwithstanding anything to the contrary contained in this Section 3(b), the Company shall have the right, at the Company’s option, to pay all or a portion of the accrued and unpaid interest due and payable to Holder upon Holder’s exercise of the Conversion Option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369570</wp:posOffset>
            </wp:positionV>
            <wp:extent cx="7299325"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type w:val="continuous"/>
        </w:sectPr>
      </w:pPr>
    </w:p>
    <w:bookmarkStart w:id="160" w:name="page161"/>
    <w:bookmarkEnd w:id="160"/>
    <w:p>
      <w:pPr>
        <w:jc w:val="both"/>
        <w:ind w:left="-420" w:right="20" w:firstLine="424"/>
        <w:spacing w:after="0" w:line="263" w:lineRule="auto"/>
        <w:tabs>
          <w:tab w:leader="none" w:pos="246" w:val="left"/>
        </w:tabs>
        <w:numPr>
          <w:ilvl w:val="0"/>
          <w:numId w:val="79"/>
        </w:numPr>
        <w:rPr>
          <w:rFonts w:ascii="Arial" w:cs="Arial" w:eastAsia="Arial" w:hAnsi="Arial"/>
          <w:sz w:val="12"/>
          <w:szCs w:val="12"/>
          <w:color w:val="auto"/>
        </w:rPr>
      </w:pPr>
      <w:r>
        <w:rPr>
          <w:rFonts w:ascii="Arial" w:cs="Arial" w:eastAsia="Arial" w:hAnsi="Arial"/>
          <w:sz w:val="12"/>
          <w:szCs w:val="12"/>
          <w:color w:val="auto"/>
        </w:rPr>
        <w:t>Upon conversion of this Note into the Conversion Shares, the Holder shall surrender this Note, duly endorsed, at the principal office of the Company. At its expense, the Company shall, as soon as practicable thereafter, issue and deliver to the Holder at such principal office a certificate or certificates for the Conversion Shares into which the Note is converted (bearing such legends as may be required or advisable in the opinion of counsel to the Company), together with a check payable to the Holder for any cash amounts payable as described in Section 5 below.</w:t>
      </w:r>
    </w:p>
    <w:p>
      <w:pPr>
        <w:spacing w:after="0" w:line="158" w:lineRule="exact"/>
        <w:rPr>
          <w:rFonts w:ascii="Arial" w:cs="Arial" w:eastAsia="Arial" w:hAnsi="Arial"/>
          <w:sz w:val="12"/>
          <w:szCs w:val="12"/>
          <w:color w:val="auto"/>
        </w:rPr>
      </w:pPr>
    </w:p>
    <w:p>
      <w:pPr>
        <w:jc w:val="both"/>
        <w:ind w:left="-420" w:firstLine="424"/>
        <w:spacing w:after="0" w:line="263" w:lineRule="auto"/>
        <w:tabs>
          <w:tab w:leader="none" w:pos="246" w:val="left"/>
        </w:tabs>
        <w:numPr>
          <w:ilvl w:val="0"/>
          <w:numId w:val="79"/>
        </w:numPr>
        <w:rPr>
          <w:rFonts w:ascii="Arial" w:cs="Arial" w:eastAsia="Arial" w:hAnsi="Arial"/>
          <w:sz w:val="12"/>
          <w:szCs w:val="12"/>
          <w:color w:val="auto"/>
        </w:rPr>
      </w:pPr>
      <w:r>
        <w:rPr>
          <w:rFonts w:ascii="Arial" w:cs="Arial" w:eastAsia="Arial" w:hAnsi="Arial"/>
          <w:sz w:val="12"/>
          <w:szCs w:val="12"/>
          <w:color w:val="auto"/>
        </w:rPr>
        <w:t>No fractional shares shall be issued upon conversion of this Note. In lieu of the Company issuing any fractional shares to the Holder upon the conversion of this Note, the Company shall pay to the Holder an amount in cash equal to the product obtained by multiplying the conversion price applied to effect such conversion by the fraction of a share not issued pursuant to the previous sentence. Upon conversion of this Note in full and the payment of the amounts specified in this Note, the Company shall be released from all its obligations and liabilities under this Note.</w:t>
      </w:r>
    </w:p>
    <w:p>
      <w:pPr>
        <w:spacing w:after="0" w:line="158" w:lineRule="exact"/>
        <w:rPr>
          <w:rFonts w:ascii="Arial" w:cs="Arial" w:eastAsia="Arial" w:hAnsi="Arial"/>
          <w:sz w:val="12"/>
          <w:szCs w:val="12"/>
          <w:color w:val="auto"/>
        </w:rPr>
      </w:pPr>
    </w:p>
    <w:p>
      <w:pPr>
        <w:ind w:left="-420" w:firstLine="424"/>
        <w:spacing w:after="0" w:line="276" w:lineRule="auto"/>
        <w:tabs>
          <w:tab w:leader="none" w:pos="246"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terms of this Note shall be construed in accordance with and governed by the laws of the State of California, as applied to contracts entered into by California residents within the State of California, which contracts are to be performed entirely within the State of California.</w:t>
      </w:r>
    </w:p>
    <w:p>
      <w:pPr>
        <w:spacing w:after="0" w:line="150" w:lineRule="exact"/>
        <w:rPr>
          <w:rFonts w:ascii="Arial" w:cs="Arial" w:eastAsia="Arial" w:hAnsi="Arial"/>
          <w:sz w:val="12"/>
          <w:szCs w:val="12"/>
          <w:color w:val="auto"/>
        </w:rPr>
      </w:pPr>
    </w:p>
    <w:p>
      <w:pPr>
        <w:jc w:val="both"/>
        <w:ind w:left="-420" w:firstLine="424"/>
        <w:spacing w:after="0" w:line="263" w:lineRule="auto"/>
        <w:tabs>
          <w:tab w:leader="none" w:pos="246" w:val="left"/>
        </w:tabs>
        <w:numPr>
          <w:ilvl w:val="0"/>
          <w:numId w:val="79"/>
        </w:numPr>
        <w:rPr>
          <w:rFonts w:ascii="Arial" w:cs="Arial" w:eastAsia="Arial" w:hAnsi="Arial"/>
          <w:sz w:val="12"/>
          <w:szCs w:val="12"/>
          <w:color w:val="auto"/>
        </w:rPr>
      </w:pPr>
      <w:r>
        <w:rPr>
          <w:rFonts w:ascii="Arial" w:cs="Arial" w:eastAsia="Arial" w:hAnsi="Arial"/>
          <w:sz w:val="12"/>
          <w:szCs w:val="12"/>
          <w:color w:val="auto"/>
        </w:rPr>
        <w:t>Any term of this Note and all Notes issued pursuant to the Agreement may be waived (either generally or in a particular instance and either retroactively or prospectively), only with the written consent of Company and the holders of Notes representing at least a majority of the aggregate amount of indebtedness incurred by the Company under all outstanding Notes issued pursuant to the Agreement. Any amendment or waiver affected in accordance with this Section 7 shall be binding upon the Company, the Holder and the holders of all Notes issued pursuant to the Agreement.</w:t>
      </w:r>
    </w:p>
    <w:p>
      <w:pPr>
        <w:spacing w:after="0" w:line="158" w:lineRule="exact"/>
        <w:rPr>
          <w:rFonts w:ascii="Arial" w:cs="Arial" w:eastAsia="Arial" w:hAnsi="Arial"/>
          <w:sz w:val="12"/>
          <w:szCs w:val="12"/>
          <w:color w:val="auto"/>
        </w:rPr>
      </w:pPr>
    </w:p>
    <w:p>
      <w:pPr>
        <w:ind w:left="-420" w:firstLine="424"/>
        <w:spacing w:after="0" w:line="276" w:lineRule="auto"/>
        <w:tabs>
          <w:tab w:leader="none" w:pos="246" w:val="left"/>
        </w:tabs>
        <w:numPr>
          <w:ilvl w:val="0"/>
          <w:numId w:val="79"/>
        </w:numPr>
        <w:rPr>
          <w:rFonts w:ascii="Arial" w:cs="Arial" w:eastAsia="Arial" w:hAnsi="Arial"/>
          <w:sz w:val="12"/>
          <w:szCs w:val="12"/>
          <w:color w:val="auto"/>
        </w:rPr>
      </w:pPr>
      <w:r>
        <w:rPr>
          <w:rFonts w:ascii="Arial" w:cs="Arial" w:eastAsia="Arial" w:hAnsi="Arial"/>
          <w:sz w:val="12"/>
          <w:szCs w:val="12"/>
          <w:color w:val="auto"/>
        </w:rPr>
        <w:t>If any provision of this Note, or the application of such provision to any person or circumstance, is held invalid or unenforceable, the remainder of this Note, or the application of such provisions to persons or circumstances other than those as to which it is held invalid or unenforceable, shall not be affected thereby.</w:t>
      </w:r>
    </w:p>
    <w:p>
      <w:pPr>
        <w:spacing w:after="0" w:line="150" w:lineRule="exact"/>
        <w:rPr>
          <w:rFonts w:ascii="Arial" w:cs="Arial" w:eastAsia="Arial" w:hAnsi="Arial"/>
          <w:sz w:val="12"/>
          <w:szCs w:val="12"/>
          <w:color w:val="auto"/>
        </w:rPr>
      </w:pPr>
    </w:p>
    <w:p>
      <w:pPr>
        <w:ind w:left="240" w:hanging="236"/>
        <w:spacing w:after="0"/>
        <w:tabs>
          <w:tab w:leader="none" w:pos="2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Except as may be otherwise provided herein, all notices, requests, waivers and other communications made pursuant to this Note shall be made in accordance with Section 6.6 of the Agreement.</w:t>
      </w:r>
    </w:p>
    <w:p>
      <w:pPr>
        <w:spacing w:after="0" w:line="186" w:lineRule="exact"/>
        <w:rPr>
          <w:rFonts w:ascii="Arial" w:cs="Arial" w:eastAsia="Arial" w:hAnsi="Arial"/>
          <w:sz w:val="12"/>
          <w:szCs w:val="12"/>
          <w:color w:val="auto"/>
        </w:rPr>
      </w:pPr>
    </w:p>
    <w:p>
      <w:pPr>
        <w:ind w:left="-420" w:firstLine="424"/>
        <w:spacing w:after="0" w:line="276" w:lineRule="auto"/>
        <w:tabs>
          <w:tab w:leader="none" w:pos="316"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 case any Note shall be mutilated, lost, stolen or destroyed, the Company shall issue a new Note of like date, tenor and denomination and deliver the same in exchange and substitution for and upon surrender and cancellation of any mutilated Note, or in lieu of any Note lost, stolen or destroyed, upon receipt of evidence satisfactory to the Payor of the loss, theft or destruction of such Note.</w:t>
      </w:r>
    </w:p>
    <w:p>
      <w:pPr>
        <w:spacing w:after="0" w:line="150" w:lineRule="exact"/>
        <w:rPr>
          <w:rFonts w:ascii="Arial" w:cs="Arial" w:eastAsia="Arial" w:hAnsi="Arial"/>
          <w:sz w:val="12"/>
          <w:szCs w:val="12"/>
          <w:color w:val="auto"/>
        </w:rPr>
      </w:pPr>
    </w:p>
    <w:p>
      <w:pPr>
        <w:ind w:left="300" w:hanging="296"/>
        <w:spacing w:after="0"/>
        <w:tabs>
          <w:tab w:leader="none" w:pos="3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Notwithstanding any other provision to the contrary herein, in no event shall the interest attributable to this Note exceed the maximum rate of interest then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383540</wp:posOffset>
            </wp:positionV>
            <wp:extent cx="7299325"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410" w:right="199" w:bottom="1440" w:gutter="0" w:footer="0" w:header="0"/>
        </w:sectPr>
      </w:pPr>
    </w:p>
    <w:bookmarkStart w:id="161" w:name="page162"/>
    <w:bookmarkEnd w:id="161"/>
    <w:p>
      <w:pPr>
        <w:spacing w:after="0"/>
        <w:rPr>
          <w:sz w:val="20"/>
          <w:szCs w:val="20"/>
          <w:color w:val="auto"/>
        </w:rPr>
      </w:pPr>
      <w:r>
        <w:rPr>
          <w:rFonts w:ascii="Arial" w:cs="Arial" w:eastAsia="Arial" w:hAnsi="Arial"/>
          <w:sz w:val="12"/>
          <w:szCs w:val="12"/>
          <w:color w:val="auto"/>
        </w:rPr>
        <w:t>This Note is executed as of the day first above written.</w:t>
      </w:r>
    </w:p>
    <w:p>
      <w:pPr>
        <w:spacing w:after="0" w:line="164"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160"/>
        <w:spacing w:after="0"/>
        <w:tabs>
          <w:tab w:leader="none" w:pos="2460" w:val="left"/>
        </w:tabs>
        <w:rPr>
          <w:sz w:val="20"/>
          <w:szCs w:val="20"/>
          <w:color w:val="auto"/>
        </w:rPr>
      </w:pPr>
      <w:r>
        <w:rPr>
          <w:rFonts w:ascii="Arial" w:cs="Arial" w:eastAsia="Arial" w:hAnsi="Arial"/>
          <w:sz w:val="12"/>
          <w:szCs w:val="12"/>
          <w:color w:val="auto"/>
        </w:rPr>
        <w:t>By:</w:t>
        <w:tab/>
        <w:t>__________________________________</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Shawn K. Singh</w:t>
      </w:r>
    </w:p>
    <w:p>
      <w:pPr>
        <w:spacing w:after="0" w:line="6" w:lineRule="exact"/>
        <w:rPr>
          <w:sz w:val="20"/>
          <w:szCs w:val="20"/>
          <w:color w:val="auto"/>
        </w:rPr>
      </w:pPr>
    </w:p>
    <w:p>
      <w:pPr>
        <w:ind w:left="2500"/>
        <w:spacing w:after="0"/>
        <w:rPr>
          <w:sz w:val="20"/>
          <w:szCs w:val="20"/>
          <w:color w:val="auto"/>
        </w:rPr>
      </w:pPr>
      <w:r>
        <w:rPr>
          <w:rFonts w:ascii="Arial" w:cs="Arial" w:eastAsia="Arial" w:hAnsi="Arial"/>
          <w:sz w:val="12"/>
          <w:szCs w:val="1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3319"/>
        <w:spacing w:after="0"/>
        <w:rPr>
          <w:sz w:val="20"/>
          <w:szCs w:val="20"/>
          <w:color w:val="auto"/>
        </w:rPr>
      </w:pPr>
      <w:r>
        <w:rPr>
          <w:rFonts w:ascii="Arial" w:cs="Arial" w:eastAsia="Arial" w:hAnsi="Arial"/>
          <w:sz w:val="12"/>
          <w:szCs w:val="12"/>
          <w:color w:val="auto"/>
        </w:rPr>
        <w:t>[Signature page to Convertible Promissory Note]</w:t>
      </w:r>
    </w:p>
    <w:p>
      <w:pPr>
        <w:sectPr>
          <w:pgSz w:w="11900" w:h="16838" w:orient="portrait"/>
          <w:cols w:equalWidth="0" w:num="1">
            <w:col w:w="9819"/>
          </w:cols>
          <w:pgMar w:left="640" w:top="392" w:right="1440" w:bottom="1440" w:gutter="0" w:footer="0" w:header="0"/>
        </w:sectPr>
      </w:pPr>
    </w:p>
    <w:bookmarkStart w:id="162" w:name="page163"/>
    <w:bookmarkEnd w:id="162"/>
    <w:p>
      <w:pPr>
        <w:ind w:left="10808"/>
        <w:spacing w:after="0"/>
        <w:rPr>
          <w:sz w:val="20"/>
          <w:szCs w:val="20"/>
          <w:color w:val="auto"/>
        </w:rPr>
      </w:pPr>
      <w:r>
        <w:rPr>
          <w:rFonts w:ascii="Arial" w:cs="Arial" w:eastAsia="Arial" w:hAnsi="Arial"/>
          <w:sz w:val="11"/>
          <w:szCs w:val="11"/>
          <w:b w:val="1"/>
          <w:bCs w:val="1"/>
          <w:color w:val="auto"/>
        </w:rPr>
        <w:t>Exhibit 10.95</w:t>
      </w:r>
    </w:p>
    <w:p>
      <w:pPr>
        <w:spacing w:after="0" w:line="166"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THE SECURITIES REPRESENTED BY THIS CERTIFICATE HAVE BEEN ACQUIRED FOR INVESTMENT AND HAVE NOT BEEN REGISTERED UNDER THE SECURITIES ACT OF 1933, AS AMENDED, OR ANY STATE SECURITIES LAWS. SUCH SECURITIES MAY NOT BE SOLD OR TRANSFERRED IN THE ABSENCE OF SUCH REGISTRATION OR AN EXEMPTION THEREFROM UNDER SAID ACT AND ANY APPLICABLE STATE SECURITIES LAWS.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THIS  WARRANT  AND  THE  SHARES  PURCHASABLE  HEREUNDER  ARE  SUBJECT  TO  RESTRICTIONS  ON  TRANSFER  CONTAINED  IN  THAT  CERTAIN  SUBSCRIPTION  AGREEMENT  DATED</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___________________, WHICH RESTRICTIONS ON TRANSFER ARE INCORPORATED HEREIN BY REFERENCE.</w:t>
      </w:r>
    </w:p>
    <w:p>
      <w:pPr>
        <w:sectPr>
          <w:pgSz w:w="11900" w:h="16838" w:orient="portrait"/>
          <w:cols w:equalWidth="0" w:num="1">
            <w:col w:w="11488"/>
          </w:cols>
          <w:pgMar w:left="212" w:top="127" w:right="199" w:bottom="1440" w:gutter="0" w:footer="0" w:header="0"/>
        </w:sectPr>
      </w:pPr>
    </w:p>
    <w:p>
      <w:pPr>
        <w:spacing w:after="0" w:line="159" w:lineRule="exact"/>
        <w:rPr>
          <w:sz w:val="20"/>
          <w:szCs w:val="20"/>
          <w:color w:val="auto"/>
        </w:rPr>
      </w:pPr>
    </w:p>
    <w:p>
      <w:pPr>
        <w:ind w:left="8"/>
        <w:spacing w:after="0"/>
        <w:rPr>
          <w:sz w:val="20"/>
          <w:szCs w:val="20"/>
          <w:color w:val="auto"/>
        </w:rPr>
      </w:pPr>
      <w:r>
        <w:rPr>
          <w:rFonts w:ascii="Arial" w:cs="Arial" w:eastAsia="Arial" w:hAnsi="Arial"/>
          <w:sz w:val="10"/>
          <w:szCs w:val="10"/>
          <w:color w:val="auto"/>
        </w:rPr>
        <w:t>Dated: August ___, 2013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Warrant Number: CSW-___</w:t>
      </w:r>
    </w:p>
    <w:p>
      <w:pPr>
        <w:spacing w:after="0" w:line="169" w:lineRule="exact"/>
        <w:rPr>
          <w:sz w:val="20"/>
          <w:szCs w:val="20"/>
          <w:color w:val="auto"/>
        </w:rPr>
      </w:pPr>
    </w:p>
    <w:p>
      <w:pPr>
        <w:sectPr>
          <w:pgSz w:w="11900" w:h="16838" w:orient="portrait"/>
          <w:cols w:equalWidth="0" w:num="2">
            <w:col w:w="9368" w:space="720"/>
            <w:col w:w="1400"/>
          </w:cols>
          <w:pgMar w:left="212" w:top="127" w:right="199" w:bottom="1440" w:gutter="0" w:footer="0" w:header="0"/>
          <w:type w:val="continuous"/>
        </w:sectPr>
      </w:pPr>
    </w:p>
    <w:p>
      <w:pPr>
        <w:jc w:val="center"/>
        <w:ind w:right="12"/>
        <w:spacing w:after="0"/>
        <w:rPr>
          <w:sz w:val="20"/>
          <w:szCs w:val="20"/>
          <w:color w:val="auto"/>
        </w:rPr>
      </w:pPr>
      <w:r>
        <w:rPr>
          <w:rFonts w:ascii="Arial" w:cs="Arial" w:eastAsia="Arial" w:hAnsi="Arial"/>
          <w:sz w:val="12"/>
          <w:szCs w:val="12"/>
          <w:b w:val="1"/>
          <w:bCs w:val="1"/>
          <w:color w:val="auto"/>
        </w:rPr>
        <w:t>WARRANT TO PURCHASE</w:t>
      </w:r>
    </w:p>
    <w:p>
      <w:pPr>
        <w:spacing w:after="0" w:line="19"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COMMON STOCK</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OF</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VISTAGEN THERAPEUTICS, INC.</w:t>
      </w:r>
    </w:p>
    <w:p>
      <w:pPr>
        <w:sectPr>
          <w:pgSz w:w="11900" w:h="16838" w:orient="portrait"/>
          <w:cols w:equalWidth="0" w:num="1">
            <w:col w:w="11488"/>
          </w:cols>
          <w:pgMar w:left="212" w:top="127" w:right="199" w:bottom="1440" w:gutter="0" w:footer="0" w:header="0"/>
          <w:type w:val="continuous"/>
        </w:sectPr>
      </w:pPr>
    </w:p>
    <w:p>
      <w:pPr>
        <w:spacing w:after="0" w:line="15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 xml:space="preserve">This certifies that that </w:t>
      </w:r>
      <w:r>
        <w:rPr>
          <w:rFonts w:ascii="Arial" w:cs="Arial" w:eastAsia="Arial" w:hAnsi="Arial"/>
          <w:sz w:val="11"/>
          <w:szCs w:val="11"/>
          <w:b w:val="1"/>
          <w:bCs w:val="1"/>
          <w:color w:val="auto"/>
        </w:rPr>
        <w:t>___________________________</w:t>
      </w:r>
      <w:r>
        <w:rPr>
          <w:rFonts w:ascii="Arial" w:cs="Arial" w:eastAsia="Arial" w:hAnsi="Arial"/>
          <w:sz w:val="11"/>
          <w:szCs w:val="11"/>
          <w:color w:val="auto"/>
        </w:rPr>
        <w:t>, or its permitted assigns (each a “Holder”), for value received, is entitled to purchase, at an exercise price equal to $1.00 per share (the “Exercise Price”) from VISTAGEN</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THERAPEUTICS, INC., a Nevada corporation (the “Company”), up to _______________________ (_____) shares of fully paid and nonassessable shares of the Company’s Common Stock, $.001 par value (“Common Stock”).</w:t>
      </w:r>
    </w:p>
    <w:p>
      <w:pPr>
        <w:spacing w:after="0" w:line="171"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This Warrant shall be exercisable at any time from time to time from and after the date hereof (such date being referred to herein as the “Initial Exercise Date”) up to and including 5:00 p.m. (Pacific Time) on the first to occur of (</w:t>
      </w:r>
      <w:r>
        <w:rPr>
          <w:rFonts w:ascii="Arial" w:cs="Arial" w:eastAsia="Arial" w:hAnsi="Arial"/>
          <w:sz w:val="11"/>
          <w:szCs w:val="11"/>
          <w:color w:val="auto"/>
        </w:rPr>
        <w:t>і</w:t>
      </w:r>
      <w:r>
        <w:rPr>
          <w:rFonts w:ascii="Arial" w:cs="Arial" w:eastAsia="Arial" w:hAnsi="Arial"/>
          <w:sz w:val="11"/>
          <w:szCs w:val="11"/>
          <w:color w:val="auto"/>
        </w:rPr>
        <w:t>) July 30, 2016, or (ii) ten (10) days preceding the closing date of any of the following transactions: (A) the acquisition of the Company by another entity by means of any transaction or series of related transactions (including, without limitation, any reorganization, merger or consolidation but, excluding any merger effected exclusively for the purpose of changing the domicile of the Company); or (B) a sale of all or substantially all of the assets of the Company by means of a transaction or series of related transactions; unless the Company’s shareholders of record as constituted immediately prior to such acquisition or sale will, immediately after such acquisition or sale (by virtue of securities issued as consideration for the Company’s acquisition or sale or otherwise) hold at least 50% of the voting power of the surviving or acquiring entity (any such transaction, a “Change of Control”) (such earlier date being referred to herein as the “Expiration Date”), provided, however, a Change in Control shall not be deemed to have occurred, and this Warrant shall continue to be exercisable in accordance with its terms, in the event the Company consummates a sale of securities, in one or more transactions, to Autilion AG (“Autilion), or its affiliates or nominees, resulting in Autilion holding at least 50% of the voting power of the Company.</w:t>
      </w:r>
    </w:p>
    <w:p>
      <w:pPr>
        <w:spacing w:after="0" w:line="134" w:lineRule="exact"/>
        <w:rPr>
          <w:sz w:val="20"/>
          <w:szCs w:val="20"/>
          <w:color w:val="auto"/>
        </w:rPr>
      </w:pPr>
    </w:p>
    <w:p>
      <w:pPr>
        <w:jc w:val="both"/>
        <w:ind w:left="8" w:firstLine="424"/>
        <w:spacing w:after="0" w:line="263" w:lineRule="auto"/>
        <w:tabs>
          <w:tab w:leader="none" w:pos="878" w:val="left"/>
        </w:tabs>
        <w:numPr>
          <w:ilvl w:val="1"/>
          <w:numId w:val="80"/>
        </w:numPr>
        <w:rPr>
          <w:rFonts w:ascii="Arial" w:cs="Arial" w:eastAsia="Arial" w:hAnsi="Arial"/>
          <w:sz w:val="12"/>
          <w:szCs w:val="12"/>
          <w:color w:val="auto"/>
        </w:rPr>
      </w:pPr>
      <w:r>
        <w:rPr>
          <w:rFonts w:ascii="Arial" w:cs="Arial" w:eastAsia="Arial" w:hAnsi="Arial"/>
          <w:sz w:val="12"/>
          <w:szCs w:val="12"/>
          <w:u w:val="single" w:color="auto"/>
          <w:color w:val="auto"/>
        </w:rPr>
        <w:t>Method of Exercise</w:t>
      </w:r>
      <w:r>
        <w:rPr>
          <w:rFonts w:ascii="Arial" w:cs="Arial" w:eastAsia="Arial" w:hAnsi="Arial"/>
          <w:sz w:val="12"/>
          <w:szCs w:val="12"/>
          <w:color w:val="auto"/>
        </w:rPr>
        <w:t>. The Holder hereof may exercise this Warrant, in whole or in part, by the surrender of this Warrant (with the Form of Subscription attached hereto duly completed and executed) at the principal office of the Company, and by the payment to the Company of an amount of consideration therefor equal to the Exercise Price in effect on the date of such exercise multiplied by the number of shares of Common Stock with respect to which this Warrant is then being exercised, payable at such Holder's election by certified or official bank check or by wire transfer to an account designated by the Company.</w:t>
      </w:r>
    </w:p>
    <w:p>
      <w:pPr>
        <w:spacing w:after="0" w:line="140" w:lineRule="exact"/>
        <w:rPr>
          <w:rFonts w:ascii="Arial" w:cs="Arial" w:eastAsia="Arial" w:hAnsi="Arial"/>
          <w:sz w:val="12"/>
          <w:szCs w:val="12"/>
          <w:color w:val="auto"/>
        </w:rPr>
      </w:pPr>
    </w:p>
    <w:p>
      <w:pPr>
        <w:jc w:val="both"/>
        <w:ind w:left="8" w:hanging="8"/>
        <w:spacing w:after="0" w:line="259" w:lineRule="auto"/>
        <w:tabs>
          <w:tab w:leader="none" w:pos="464"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Shares to be Fully Paid; Reservation of Shares</w:t>
      </w:r>
      <w:r>
        <w:rPr>
          <w:rFonts w:ascii="Arial" w:cs="Arial" w:eastAsia="Arial" w:hAnsi="Arial"/>
          <w:sz w:val="12"/>
          <w:szCs w:val="12"/>
          <w:color w:val="auto"/>
        </w:rPr>
        <w:t>. The Company covenants 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9325"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type w:val="continuous"/>
        </w:sectPr>
      </w:pPr>
    </w:p>
    <w:bookmarkStart w:id="163" w:name="page164"/>
    <w:bookmarkEnd w:id="163"/>
    <w:p>
      <w:pPr>
        <w:jc w:val="both"/>
        <w:ind w:left="8" w:hanging="8"/>
        <w:spacing w:after="0" w:line="259" w:lineRule="auto"/>
        <w:tabs>
          <w:tab w:leader="none" w:pos="491"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Adjustment of Exercise Price and Number of Shares</w:t>
      </w:r>
      <w:r>
        <w:rPr>
          <w:rFonts w:ascii="Arial" w:cs="Arial" w:eastAsia="Arial" w:hAnsi="Arial"/>
          <w:sz w:val="12"/>
          <w:szCs w:val="12"/>
          <w:color w:val="auto"/>
        </w:rPr>
        <w:t>. The Exercise Price and the number of shares purchasable upon the exercise of this Warrant shall be subject to adjustment from time to time upon the occurrence of certain events described in this Section 3. Upon each adjustment of the Exercise Price, the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14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Subdivision or Combination of Stock</w:t>
      </w:r>
      <w:r>
        <w:rPr>
          <w:rFonts w:ascii="Arial" w:cs="Arial" w:eastAsia="Arial" w:hAnsi="Arial"/>
          <w:sz w:val="12"/>
          <w:szCs w:val="12"/>
          <w:color w:val="auto"/>
        </w:rPr>
        <w:t>. In case the Company shall at any time subdivide its outstanding shares of Common Stock into a greater number of shares, the Exercise Price in effect immediately prior to such subdivision shall be proportionately reduced, and conversely, in case the outstanding shares of the Common Stock of the Company shall be combined into a smaller number of shares, the Exercise Price in effect immediately prior to such combination shall be proportionately increased.</w:t>
      </w:r>
    </w:p>
    <w:p>
      <w:pPr>
        <w:spacing w:after="0" w:line="141"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 xml:space="preserve">3.2 </w:t>
      </w:r>
      <w:r>
        <w:rPr>
          <w:rFonts w:ascii="Arial" w:cs="Arial" w:eastAsia="Arial" w:hAnsi="Arial"/>
          <w:sz w:val="11"/>
          <w:szCs w:val="11"/>
          <w:u w:val="single" w:color="auto"/>
          <w:color w:val="auto"/>
        </w:rPr>
        <w:t>Reclassification</w:t>
      </w:r>
      <w:r>
        <w:rPr>
          <w:rFonts w:ascii="Arial" w:cs="Arial" w:eastAsia="Arial" w:hAnsi="Arial"/>
          <w:sz w:val="11"/>
          <w:szCs w:val="11"/>
          <w:color w:val="auto"/>
        </w:rPr>
        <w:t>. If any reclassification of the capital stock of the Company shall be effected in such a way that holders of Common Stock shall be entitled to receive stock, securities, or other assets or property, then, as a condition of such reclassification, lawful and adequate provisions shall be made whereby the Holder hereof shall thereafter have the right to purchase and receive (in lieu of the shares of the Common Stock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any reclassification described above, appropriate provision shall be made with respect to the rights and interests of the Holder of this Warrant to the end that the provisions hereof (including, without limitation, provisions for adjustments of the Exercise Price and of the number of shares purchasable and receivable upon the exercise of this Warrant) shall thereafter be applicable, as nearly as may be, in relation to any shares of stock, securities or assets thereafter deliverable upon the exercise hereof.</w:t>
      </w:r>
    </w:p>
    <w:p>
      <w:pPr>
        <w:spacing w:after="0" w:line="13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Notice of Adjustment</w:t>
      </w:r>
      <w:r>
        <w:rPr>
          <w:rFonts w:ascii="Arial" w:cs="Arial" w:eastAsia="Arial" w:hAnsi="Arial"/>
          <w:sz w:val="12"/>
          <w:szCs w:val="12"/>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43"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2"/>
          <w:szCs w:val="12"/>
          <w:color w:val="auto"/>
        </w:rPr>
        <w:t>3.4</w:t>
      </w:r>
      <w:r>
        <w:rPr>
          <w:sz w:val="20"/>
          <w:szCs w:val="20"/>
          <w:color w:val="auto"/>
        </w:rPr>
        <w:tab/>
      </w:r>
      <w:r>
        <w:rPr>
          <w:rFonts w:ascii="Arial" w:cs="Arial" w:eastAsia="Arial" w:hAnsi="Arial"/>
          <w:sz w:val="11"/>
          <w:szCs w:val="11"/>
          <w:u w:val="single" w:color="auto"/>
          <w:color w:val="auto"/>
        </w:rPr>
        <w:t>Other Notices</w:t>
      </w:r>
      <w:r>
        <w:rPr>
          <w:rFonts w:ascii="Arial" w:cs="Arial" w:eastAsia="Arial" w:hAnsi="Arial"/>
          <w:sz w:val="11"/>
          <w:szCs w:val="11"/>
          <w:color w:val="auto"/>
        </w:rPr>
        <w:t>. If at any time:</w:t>
      </w:r>
    </w:p>
    <w:p>
      <w:pPr>
        <w:spacing w:after="0" w:line="168" w:lineRule="exact"/>
        <w:rPr>
          <w:sz w:val="20"/>
          <w:szCs w:val="20"/>
          <w:color w:val="auto"/>
        </w:rPr>
      </w:pPr>
    </w:p>
    <w:p>
      <w:pPr>
        <w:ind w:left="468" w:hanging="468"/>
        <w:spacing w:after="0"/>
        <w:tabs>
          <w:tab w:leader="none" w:pos="468"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Company shall declare any cash dividend upon its Common Stock;</w:t>
      </w:r>
    </w:p>
    <w:p>
      <w:pPr>
        <w:spacing w:after="0" w:line="168" w:lineRule="exact"/>
        <w:rPr>
          <w:rFonts w:ascii="Arial" w:cs="Arial" w:eastAsia="Arial" w:hAnsi="Arial"/>
          <w:sz w:val="12"/>
          <w:szCs w:val="12"/>
          <w:color w:val="auto"/>
        </w:rPr>
      </w:pPr>
    </w:p>
    <w:p>
      <w:pPr>
        <w:ind w:left="468" w:hanging="468"/>
        <w:spacing w:after="0"/>
        <w:tabs>
          <w:tab w:leader="none" w:pos="468"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there shall be a Change of Control;</w:t>
      </w:r>
    </w:p>
    <w:p>
      <w:pPr>
        <w:spacing w:after="0" w:line="168" w:lineRule="exact"/>
        <w:rPr>
          <w:rFonts w:ascii="Arial" w:cs="Arial" w:eastAsia="Arial" w:hAnsi="Arial"/>
          <w:sz w:val="12"/>
          <w:szCs w:val="12"/>
          <w:color w:val="auto"/>
        </w:rPr>
      </w:pPr>
    </w:p>
    <w:p>
      <w:pPr>
        <w:ind w:left="468" w:hanging="468"/>
        <w:spacing w:after="0"/>
        <w:tabs>
          <w:tab w:leader="none" w:pos="468"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there shall be a voluntary or involuntary dissolution, liquidation or winding-up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383540</wp:posOffset>
            </wp:positionV>
            <wp:extent cx="7299325"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64" w:name="page165"/>
    <w:bookmarkEnd w:id="164"/>
    <w:p>
      <w:pPr>
        <w:ind w:left="468" w:hanging="468"/>
        <w:spacing w:after="0"/>
        <w:tabs>
          <w:tab w:leader="none" w:pos="468"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there shall be an initial public offering of the Company’s equity securities;</w:t>
      </w:r>
    </w:p>
    <w:p>
      <w:pPr>
        <w:spacing w:after="0" w:line="168"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then, in any one or more of said cases, the Company shall give, by first class mail, postage prepaid, addressed to the Holder of this Warrant at the address of such Holder as shown on the books of the Company, (a) at least twenty (20) days prior written notice of the date on which the books of the Company shall close or a record shall be taken for such dividend or for determining rights to vote in respect of any such Change of Control or dissolution, liquidation or winding-up, and (b) in the case of any such Change of Control or dissolution, liquidation, winding-up or initial public offering, at least twenty (20)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Common Stock shall be entitled thereto. Any notice given in accordance with the foregoing clause (b) shall also specify the date on which the holders of Common Stock shall be entitled to exchange their Common Stock for securities or other property deliverable upon such Change of Control, dissolution, liquidation, winding-up, conversion or initial public offering, as the case may be.</w:t>
      </w:r>
    </w:p>
    <w:p>
      <w:pPr>
        <w:spacing w:after="0" w:line="294" w:lineRule="exact"/>
        <w:rPr>
          <w:sz w:val="20"/>
          <w:szCs w:val="20"/>
          <w:color w:val="auto"/>
        </w:rPr>
      </w:pPr>
    </w:p>
    <w:p>
      <w:pPr>
        <w:jc w:val="both"/>
        <w:ind w:left="8" w:hanging="8"/>
        <w:spacing w:after="0" w:line="263" w:lineRule="auto"/>
        <w:tabs>
          <w:tab w:leader="none" w:pos="464" w:val="left"/>
        </w:tabs>
        <w:numPr>
          <w:ilvl w:val="0"/>
          <w:numId w:val="85"/>
        </w:numPr>
        <w:rPr>
          <w:rFonts w:ascii="Arial" w:cs="Arial" w:eastAsia="Arial" w:hAnsi="Arial"/>
          <w:sz w:val="12"/>
          <w:szCs w:val="12"/>
          <w:color w:val="auto"/>
        </w:rPr>
      </w:pPr>
      <w:r>
        <w:rPr>
          <w:rFonts w:ascii="Arial" w:cs="Arial" w:eastAsia="Arial" w:hAnsi="Arial"/>
          <w:sz w:val="12"/>
          <w:szCs w:val="12"/>
          <w:u w:val="single" w:color="auto"/>
          <w:color w:val="auto"/>
        </w:rPr>
        <w:t>No Voting or Dividend Rights</w:t>
      </w:r>
      <w:r>
        <w:rPr>
          <w:rFonts w:ascii="Arial" w:cs="Arial" w:eastAsia="Arial" w:hAnsi="Arial"/>
          <w:sz w:val="12"/>
          <w:szCs w:val="12"/>
          <w:color w:val="auto"/>
        </w:rPr>
        <w:t>. Nothing contained in this Warrant shall be construed as conferring upon the Holder hereof the right to vote or to consent to receive notice as a shareholder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w:t>
      </w:r>
    </w:p>
    <w:p>
      <w:pPr>
        <w:spacing w:after="0" w:line="140" w:lineRule="exact"/>
        <w:rPr>
          <w:rFonts w:ascii="Arial" w:cs="Arial" w:eastAsia="Arial" w:hAnsi="Arial"/>
          <w:sz w:val="12"/>
          <w:szCs w:val="12"/>
          <w:color w:val="auto"/>
        </w:rPr>
      </w:pPr>
    </w:p>
    <w:p>
      <w:pPr>
        <w:jc w:val="both"/>
        <w:ind w:left="8" w:hanging="8"/>
        <w:spacing w:after="0" w:line="286" w:lineRule="auto"/>
        <w:tabs>
          <w:tab w:leader="none" w:pos="455" w:val="left"/>
        </w:tabs>
        <w:numPr>
          <w:ilvl w:val="0"/>
          <w:numId w:val="85"/>
        </w:numPr>
        <w:rPr>
          <w:rFonts w:ascii="Arial" w:cs="Arial" w:eastAsia="Arial" w:hAnsi="Arial"/>
          <w:sz w:val="11"/>
          <w:szCs w:val="11"/>
          <w:color w:val="auto"/>
        </w:rPr>
      </w:pPr>
      <w:r>
        <w:rPr>
          <w:rFonts w:ascii="Arial" w:cs="Arial" w:eastAsia="Arial" w:hAnsi="Arial"/>
          <w:sz w:val="11"/>
          <w:szCs w:val="11"/>
          <w:u w:val="single" w:color="auto"/>
          <w:color w:val="auto"/>
        </w:rPr>
        <w:t>Warrants Transferable</w:t>
      </w:r>
      <w:r>
        <w:rPr>
          <w:rFonts w:ascii="Arial" w:cs="Arial" w:eastAsia="Arial" w:hAnsi="Arial"/>
          <w:sz w:val="11"/>
          <w:szCs w:val="11"/>
          <w:color w:val="auto"/>
        </w:rPr>
        <w:t>. Subject to compliance with applicable federal and state securities laws, this Warrant and all rights hereunder may be transferred, in whole or in part, without charge to the holder hereof (except for transfer taxes), upon the prior written consent of the Company and, thereafter, upon surrender of this Warrant properly endorsed and compliance with the provisions of this Warrant. Each taker and holder of this Warrant, by taking or holding the same, consents and agrees that this Warrant, when endorsed in blank, shall be deemed negotiable, and that the holder hereof, when this Warrant shall have been so endorsed, may be treated by the Company, at the Company’s option, and all other persons dealing with this Warrant as the absolute owner hereof for any purpose and as the person entitled to exercise the rights represented by this Warrant, or to the transfer hereof on the books of the Company and notice to the contrary notwithstanding; but until such transfer on such books, the Company may treat the registered owner hereof as the owner for all purposes.</w:t>
      </w:r>
    </w:p>
    <w:p>
      <w:pPr>
        <w:spacing w:after="0" w:line="129" w:lineRule="exact"/>
        <w:rPr>
          <w:rFonts w:ascii="Arial" w:cs="Arial" w:eastAsia="Arial" w:hAnsi="Arial"/>
          <w:sz w:val="11"/>
          <w:szCs w:val="11"/>
          <w:color w:val="auto"/>
        </w:rPr>
      </w:pPr>
    </w:p>
    <w:p>
      <w:pPr>
        <w:jc w:val="both"/>
        <w:ind w:left="8" w:hanging="8"/>
        <w:spacing w:after="0" w:line="263" w:lineRule="auto"/>
        <w:tabs>
          <w:tab w:leader="none" w:pos="500" w:val="left"/>
        </w:tabs>
        <w:numPr>
          <w:ilvl w:val="0"/>
          <w:numId w:val="85"/>
        </w:numPr>
        <w:rPr>
          <w:rFonts w:ascii="Arial" w:cs="Arial" w:eastAsia="Arial" w:hAnsi="Arial"/>
          <w:sz w:val="12"/>
          <w:szCs w:val="12"/>
          <w:color w:val="auto"/>
        </w:rPr>
      </w:pPr>
      <w:r>
        <w:rPr>
          <w:rFonts w:ascii="Arial" w:cs="Arial" w:eastAsia="Arial" w:hAnsi="Arial"/>
          <w:sz w:val="12"/>
          <w:szCs w:val="12"/>
          <w:u w:val="single" w:color="auto"/>
          <w:color w:val="auto"/>
        </w:rPr>
        <w:t>Lost Warrants</w:t>
      </w:r>
      <w:r>
        <w:rPr>
          <w:rFonts w:ascii="Arial" w:cs="Arial" w:eastAsia="Arial" w:hAnsi="Arial"/>
          <w:sz w:val="12"/>
          <w:szCs w:val="12"/>
          <w:color w:val="auto"/>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its expense, will make and deliver a new Warrant, of like tenor, in lieu of the lost, stolen, destroyed or mutilated Warrant.</w:t>
      </w:r>
    </w:p>
    <w:p>
      <w:pPr>
        <w:spacing w:after="0" w:line="140" w:lineRule="exact"/>
        <w:rPr>
          <w:rFonts w:ascii="Arial" w:cs="Arial" w:eastAsia="Arial" w:hAnsi="Arial"/>
          <w:sz w:val="12"/>
          <w:szCs w:val="12"/>
          <w:color w:val="auto"/>
        </w:rPr>
      </w:pPr>
    </w:p>
    <w:p>
      <w:pPr>
        <w:ind w:left="8" w:hanging="8"/>
        <w:spacing w:after="0" w:line="276" w:lineRule="auto"/>
        <w:tabs>
          <w:tab w:leader="none" w:pos="455" w:val="left"/>
        </w:tabs>
        <w:numPr>
          <w:ilvl w:val="0"/>
          <w:numId w:val="85"/>
        </w:numPr>
        <w:rPr>
          <w:rFonts w:ascii="Arial" w:cs="Arial" w:eastAsia="Arial" w:hAnsi="Arial"/>
          <w:sz w:val="12"/>
          <w:szCs w:val="12"/>
          <w:color w:val="auto"/>
        </w:rPr>
      </w:pPr>
      <w:r>
        <w:rPr>
          <w:rFonts w:ascii="Arial" w:cs="Arial" w:eastAsia="Arial" w:hAnsi="Arial"/>
          <w:sz w:val="12"/>
          <w:szCs w:val="12"/>
          <w:u w:val="single" w:color="auto"/>
          <w:color w:val="auto"/>
        </w:rPr>
        <w:t>Modification and Waiver</w:t>
      </w:r>
      <w:r>
        <w:rPr>
          <w:rFonts w:ascii="Arial" w:cs="Arial" w:eastAsia="Arial" w:hAnsi="Arial"/>
          <w:sz w:val="12"/>
          <w:szCs w:val="12"/>
          <w:color w:val="auto"/>
        </w:rPr>
        <w:t>. Any term of this Warrant may be amended and the observance of any term of this Warrant may be waived (either generally or in a particular instance and either retroactively or prospectively) only with the written consent of the Company and the Holder hereof. Any amendment or waiver affected in accordance with this Section 7 shall be binding upon the Company and the Holder.</w:t>
      </w:r>
    </w:p>
    <w:p>
      <w:pPr>
        <w:spacing w:after="0" w:line="132" w:lineRule="exact"/>
        <w:rPr>
          <w:rFonts w:ascii="Arial" w:cs="Arial" w:eastAsia="Arial" w:hAnsi="Arial"/>
          <w:sz w:val="12"/>
          <w:szCs w:val="12"/>
          <w:color w:val="auto"/>
        </w:rPr>
      </w:pPr>
    </w:p>
    <w:p>
      <w:pPr>
        <w:ind w:left="8" w:hanging="8"/>
        <w:spacing w:after="0" w:line="276" w:lineRule="auto"/>
        <w:tabs>
          <w:tab w:leader="none" w:pos="428" w:val="left"/>
        </w:tabs>
        <w:numPr>
          <w:ilvl w:val="0"/>
          <w:numId w:val="85"/>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the Holder, as the case may be, in writing by the Company or such holder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361315</wp:posOffset>
            </wp:positionV>
            <wp:extent cx="7299325"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65" w:name="page166"/>
    <w:bookmarkEnd w:id="165"/>
    <w:p>
      <w:pPr>
        <w:jc w:val="both"/>
        <w:ind w:left="8" w:hanging="8"/>
        <w:spacing w:after="0" w:line="290" w:lineRule="auto"/>
        <w:tabs>
          <w:tab w:leader="none" w:pos="473" w:val="left"/>
        </w:tabs>
        <w:numPr>
          <w:ilvl w:val="0"/>
          <w:numId w:val="86"/>
        </w:numPr>
        <w:rPr>
          <w:rFonts w:ascii="Arial" w:cs="Arial" w:eastAsia="Arial" w:hAnsi="Arial"/>
          <w:sz w:val="11"/>
          <w:szCs w:val="11"/>
          <w:color w:val="auto"/>
        </w:rPr>
      </w:pPr>
      <w:r>
        <w:rPr>
          <w:rFonts w:ascii="Arial" w:cs="Arial" w:eastAsia="Arial" w:hAnsi="Arial"/>
          <w:sz w:val="11"/>
          <w:szCs w:val="11"/>
          <w:u w:val="single" w:color="auto"/>
          <w:color w:val="auto"/>
        </w:rPr>
        <w:t>Titles and Subtitles; Governing Law; Venue</w:t>
      </w:r>
      <w:r>
        <w:rPr>
          <w:rFonts w:ascii="Arial" w:cs="Arial" w:eastAsia="Arial" w:hAnsi="Arial"/>
          <w:sz w:val="11"/>
          <w:szCs w:val="11"/>
          <w:color w:val="auto"/>
        </w:rPr>
        <w:t>. The titles and subtitles used in this Warrant are used for convenience only and are not to be considered in construing or interpreting this Warrant. This Warrant is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Company and the Holder. All disputes and controversies arising out of or in connection with this Warrant shall be resolved exclusively by the state and federal courts located in San Mateo County in the State of California, and each of the Company and the Holder hereto agrees to submit to the jurisdiction of said courts and agrees that venue shall lie exclusively with such courts.</w:t>
      </w:r>
    </w:p>
    <w:p>
      <w:pPr>
        <w:spacing w:after="0" w:line="127" w:lineRule="exact"/>
        <w:rPr>
          <w:rFonts w:ascii="Arial" w:cs="Arial" w:eastAsia="Arial" w:hAnsi="Arial"/>
          <w:sz w:val="11"/>
          <w:szCs w:val="11"/>
          <w:color w:val="auto"/>
        </w:rPr>
      </w:pPr>
    </w:p>
    <w:p>
      <w:pPr>
        <w:ind w:left="488" w:hanging="488"/>
        <w:spacing w:after="0"/>
        <w:tabs>
          <w:tab w:leader="none" w:pos="488" w:val="left"/>
        </w:tabs>
        <w:numPr>
          <w:ilvl w:val="0"/>
          <w:numId w:val="86"/>
        </w:numPr>
        <w:rPr>
          <w:rFonts w:ascii="Arial" w:cs="Arial" w:eastAsia="Arial" w:hAnsi="Arial"/>
          <w:sz w:val="12"/>
          <w:szCs w:val="12"/>
          <w:color w:val="auto"/>
        </w:rPr>
      </w:pPr>
      <w:r>
        <w:rPr>
          <w:rFonts w:ascii="Arial" w:cs="Arial" w:eastAsia="Arial" w:hAnsi="Arial"/>
          <w:sz w:val="12"/>
          <w:szCs w:val="12"/>
          <w:u w:val="single" w:color="auto"/>
          <w:color w:val="auto"/>
        </w:rPr>
        <w:t>Definition of Warrant Shares</w:t>
      </w:r>
      <w:r>
        <w:rPr>
          <w:rFonts w:ascii="Arial" w:cs="Arial" w:eastAsia="Arial" w:hAnsi="Arial"/>
          <w:sz w:val="12"/>
          <w:szCs w:val="12"/>
          <w:color w:val="auto"/>
        </w:rPr>
        <w:t>. For purposes of this Warrant, “Warrant Shares” shall mean the number of shares of the Company’s Common Stock issuable upon exercise of this Warrant.</w:t>
      </w:r>
    </w:p>
    <w:p>
      <w:pPr>
        <w:spacing w:after="0" w:line="200" w:lineRule="exact"/>
        <w:rPr>
          <w:sz w:val="20"/>
          <w:szCs w:val="20"/>
          <w:color w:val="auto"/>
        </w:rPr>
      </w:pPr>
    </w:p>
    <w:p>
      <w:pPr>
        <w:spacing w:after="0" w:line="292"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383540</wp:posOffset>
            </wp:positionV>
            <wp:extent cx="7299325"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66" w:name="page167"/>
    <w:bookmarkEnd w:id="166"/>
    <w:p>
      <w:pPr>
        <w:spacing w:after="0"/>
        <w:rPr>
          <w:sz w:val="20"/>
          <w:szCs w:val="20"/>
          <w:color w:val="auto"/>
        </w:rPr>
      </w:pPr>
      <w:r>
        <w:rPr>
          <w:rFonts w:ascii="Arial" w:cs="Arial" w:eastAsia="Arial" w:hAnsi="Arial"/>
          <w:sz w:val="10"/>
          <w:szCs w:val="10"/>
          <w:color w:val="auto"/>
        </w:rPr>
        <w:t>IN WITNESS WHEREOF, the Company has caused this Warrant to be duly executed by its officers, thereunto duly authorized as of the date first above written.</w:t>
      </w:r>
    </w:p>
    <w:p>
      <w:pPr>
        <w:sectPr>
          <w:pgSz w:w="11900" w:h="16838" w:orient="portrait"/>
          <w:cols w:equalWidth="0" w:num="1">
            <w:col w:w="9819"/>
          </w:cols>
          <w:pgMar w:left="640" w:top="392" w:right="1440" w:bottom="1440" w:gutter="0" w:footer="0" w:header="0"/>
        </w:sectPr>
      </w:pPr>
    </w:p>
    <w:p>
      <w:pPr>
        <w:spacing w:after="0" w:line="191"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VistaGen Therapeutics, Inc.</w:t>
      </w:r>
    </w:p>
    <w:p>
      <w:pPr>
        <w:spacing w:after="0" w:line="330"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By:  _________________________</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2"/>
          <w:szCs w:val="12"/>
          <w:color w:val="auto"/>
        </w:rPr>
        <w:t>Shawn K. Singh</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2"/>
          <w:szCs w:val="1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3819"/>
        <w:spacing w:after="0"/>
        <w:rPr>
          <w:sz w:val="20"/>
          <w:szCs w:val="20"/>
          <w:color w:val="auto"/>
        </w:rPr>
      </w:pPr>
      <w:r>
        <w:rPr>
          <w:rFonts w:ascii="Arial" w:cs="Arial" w:eastAsia="Arial" w:hAnsi="Arial"/>
          <w:sz w:val="12"/>
          <w:szCs w:val="12"/>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280670</wp:posOffset>
            </wp:positionV>
            <wp:extent cx="7299325"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819"/>
          </w:cols>
          <w:pgMar w:left="640" w:top="392" w:right="1440"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2"/>
          <w:szCs w:val="12"/>
          <w:b w:val="1"/>
          <w:bCs w:val="1"/>
          <w:u w:val="single" w:color="auto"/>
          <w:color w:val="auto"/>
        </w:rPr>
        <w:t>FORM OF SUBSCRIPTION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signed only upon exercise of Warrant)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To: VISTAGEN THERAPEUTICS, INC.</w:t>
      </w:r>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The undersigned, the holder of a right to purchase shares of Common Stock of VistaGen Therapeutics, Inc. (the “Company”) pursuant to that certain Warrant to Purchase Common Stock of VistaGen Therapeutics, Inc. Number CSW-_____</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(the “Warrant”), dated as of ____________ hereby irrevocably elects to exercise the purchase right represented by such Warrant for, and to purchase thereunder, __________________________ (_________) shares of Common Stock of the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Company and herewith makes payment of ________________________ Dollars ($__________) therefor in cash.</w:t>
      </w:r>
    </w:p>
    <w:p>
      <w:pPr>
        <w:spacing w:after="0" w:line="159"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The undersigned represents that it is acquiring such securities for its own account for investment and not with a view to or for sale in connection with any distribution thereof and in order to induce the issuance of such securities makes to the Company, as of the date hereof, the representations and warranties set forth in the Unit Subscription Agreement, dated as of __________________, by and among the Company and the Holder.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w:t>
      </w:r>
    </w:p>
    <w:p>
      <w:pPr>
        <w:spacing w:after="0" w:line="164"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____________________________</w:t>
      </w:r>
    </w:p>
    <w:p>
      <w:pPr>
        <w:spacing w:after="0" w:line="334"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By: ____________________________</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Name: __________________________</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Its: 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2"/>
          <w:szCs w:val="12"/>
          <w:b w:val="1"/>
          <w:bCs w:val="1"/>
          <w:u w:val="single" w:color="auto"/>
          <w:color w:val="auto"/>
        </w:rPr>
        <w:t>ACKNOWLEDGMENT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To: </w:t>
      </w:r>
      <w:r>
        <w:rPr>
          <w:rFonts w:ascii="Arial" w:cs="Arial" w:eastAsia="Arial" w:hAnsi="Arial"/>
          <w:sz w:val="12"/>
          <w:szCs w:val="12"/>
          <w:b w:val="1"/>
          <w:bCs w:val="1"/>
          <w:color w:val="auto"/>
        </w:rPr>
        <w:t>HOLDER</w:t>
      </w: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The undersigned hereby acknowledges that as of the date hereof, __________________ (___________) shares of Common Stock remain subject to the right of purchase in favor of _____________ pursuant to that certain Warrant to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Purchase Common Stock of VistaGen Therapeutics, Inc., number CSW-___ dated as of ____________.</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w:t>
      </w:r>
    </w:p>
    <w:p>
      <w:pPr>
        <w:spacing w:after="0" w:line="16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VistaGen Therapeutics, Inc.</w:t>
      </w:r>
    </w:p>
    <w:p>
      <w:pPr>
        <w:spacing w:after="0" w:line="172"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By: _________________________</w:t>
      </w:r>
    </w:p>
    <w:p>
      <w:pPr>
        <w:spacing w:after="0" w:line="168"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Name: _______________________</w:t>
      </w:r>
    </w:p>
    <w:p>
      <w:pPr>
        <w:spacing w:after="0" w:line="168"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Its: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729932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712" w:right="199" w:bottom="1440" w:gutter="0" w:footer="0" w:header="0"/>
        </w:sectPr>
      </w:pPr>
    </w:p>
    <w:bookmarkStart w:id="169" w:name="page170"/>
    <w:bookmarkEnd w:id="169"/>
    <w:p>
      <w:pPr>
        <w:jc w:val="center"/>
        <w:ind w:right="-459"/>
        <w:spacing w:after="0"/>
        <w:rPr>
          <w:sz w:val="20"/>
          <w:szCs w:val="20"/>
          <w:color w:val="auto"/>
        </w:rPr>
      </w:pPr>
      <w:r>
        <w:rPr>
          <w:rFonts w:ascii="Arial" w:cs="Arial" w:eastAsia="Arial" w:hAnsi="Arial"/>
          <w:sz w:val="12"/>
          <w:szCs w:val="12"/>
          <w:b w:val="1"/>
          <w:bCs w:val="1"/>
          <w:color w:val="auto"/>
        </w:rPr>
        <w:t>Warrant Receipt</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The undersigned, ___________________, does hereby acknowledge receipt of Warrant Number CSW-___ dated, ________________, representing _____________ (________) shares of the Common Stock Warrants of VistaGen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Therapeutics, Inc.</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undersigned has executed this Receipt as of the date set forth below.</w:t>
      </w:r>
    </w:p>
    <w:p>
      <w:pPr>
        <w:sectPr>
          <w:pgSz w:w="11900" w:h="16838" w:orient="portrait"/>
          <w:cols w:equalWidth="0" w:num="1">
            <w:col w:w="11000"/>
          </w:cols>
          <w:pgMar w:left="220" w:top="388" w:right="67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Type: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Warrant Number:</w:t>
      </w:r>
    </w:p>
    <w:p>
      <w:pPr>
        <w:spacing w:after="0" w:line="180" w:lineRule="exact"/>
        <w:rPr>
          <w:sz w:val="20"/>
          <w:szCs w:val="20"/>
          <w:color w:val="auto"/>
        </w:rPr>
      </w:pPr>
    </w:p>
    <w:p>
      <w:pPr>
        <w:spacing w:after="0"/>
        <w:rPr>
          <w:sz w:val="20"/>
          <w:szCs w:val="20"/>
          <w:color w:val="auto"/>
        </w:rPr>
      </w:pPr>
      <w:r>
        <w:rPr>
          <w:rFonts w:ascii="Arial" w:cs="Arial" w:eastAsia="Arial" w:hAnsi="Arial"/>
          <w:sz w:val="10"/>
          <w:szCs w:val="10"/>
          <w:color w:val="auto"/>
        </w:rPr>
        <w:t>Number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0"/>
          <w:szCs w:val="10"/>
          <w:color w:val="auto"/>
        </w:rPr>
        <w:t>Common Stock Warrants</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auto"/>
        </w:rPr>
        <w:t>CSW-___</w:t>
      </w:r>
    </w:p>
    <w:p>
      <w:pPr>
        <w:spacing w:after="0" w:line="474" w:lineRule="exact"/>
        <w:rPr>
          <w:sz w:val="20"/>
          <w:szCs w:val="20"/>
          <w:color w:val="auto"/>
        </w:rPr>
      </w:pPr>
    </w:p>
    <w:p>
      <w:pPr>
        <w:sectPr>
          <w:pgSz w:w="11900" w:h="16838" w:orient="portrait"/>
          <w:cols w:equalWidth="0" w:num="2">
            <w:col w:w="900" w:space="300"/>
            <w:col w:w="9800"/>
          </w:cols>
          <w:pgMar w:left="220" w:top="388" w:right="679" w:bottom="1440" w:gutter="0" w:footer="0" w:header="0"/>
          <w:type w:val="continuous"/>
        </w:sectPr>
      </w:pPr>
    </w:p>
    <w:p>
      <w:pPr>
        <w:ind w:left="4680"/>
        <w:spacing w:after="0"/>
        <w:rPr>
          <w:sz w:val="20"/>
          <w:szCs w:val="20"/>
          <w:color w:val="auto"/>
        </w:rPr>
      </w:pPr>
      <w:r>
        <w:rPr>
          <w:rFonts w:ascii="Arial" w:cs="Arial" w:eastAsia="Arial" w:hAnsi="Arial"/>
          <w:sz w:val="10"/>
          <w:szCs w:val="10"/>
          <w:color w:val="auto"/>
        </w:rPr>
        <w:t>Name: _________________________</w:t>
      </w:r>
    </w:p>
    <w:p>
      <w:pPr>
        <w:spacing w:after="0" w:line="191" w:lineRule="exact"/>
        <w:rPr>
          <w:sz w:val="20"/>
          <w:szCs w:val="20"/>
          <w:color w:val="auto"/>
        </w:rPr>
      </w:pPr>
    </w:p>
    <w:p>
      <w:pPr>
        <w:ind w:left="4600"/>
        <w:spacing w:after="0"/>
        <w:rPr>
          <w:sz w:val="20"/>
          <w:szCs w:val="20"/>
          <w:color w:val="auto"/>
        </w:rPr>
      </w:pPr>
      <w:r>
        <w:rPr>
          <w:rFonts w:ascii="Arial" w:cs="Arial" w:eastAsia="Arial" w:hAnsi="Arial"/>
          <w:sz w:val="11"/>
          <w:szCs w:val="11"/>
          <w:color w:val="auto"/>
        </w:rPr>
        <w:t>Date: __________________________</w:t>
      </w:r>
    </w:p>
    <w:p>
      <w:pPr>
        <w:sectPr>
          <w:pgSz w:w="11900" w:h="16838" w:orient="portrait"/>
          <w:cols w:equalWidth="0" w:num="1">
            <w:col w:w="11000"/>
          </w:cols>
          <w:pgMar w:left="220" w:top="388" w:right="679" w:bottom="1440" w:gutter="0" w:footer="0" w:header="0"/>
          <w:type w:val="continuous"/>
        </w:sectPr>
      </w:pPr>
    </w:p>
    <w:bookmarkStart w:id="170" w:name="page171"/>
    <w:bookmarkEnd w:id="170"/>
    <w:p>
      <w:pPr>
        <w:jc w:val="right"/>
        <w:spacing w:after="0"/>
        <w:rPr>
          <w:sz w:val="20"/>
          <w:szCs w:val="20"/>
          <w:color w:val="auto"/>
        </w:rPr>
      </w:pPr>
      <w:r>
        <w:rPr>
          <w:rFonts w:ascii="Arial" w:cs="Arial" w:eastAsia="Arial" w:hAnsi="Arial"/>
          <w:sz w:val="14"/>
          <w:szCs w:val="14"/>
          <w:b w:val="1"/>
          <w:bCs w:val="1"/>
          <w:color w:val="auto"/>
        </w:rPr>
        <w:t>Exhibit 10.96</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AMENDMENT TO CONVERTIBLE PROMISSORY NOTE AND WARRANT</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This Amendment to Convertible Promissory Note and Warrant (this “</w:t>
      </w:r>
      <w:r>
        <w:rPr>
          <w:rFonts w:ascii="Arial" w:cs="Arial" w:eastAsia="Arial" w:hAnsi="Arial"/>
          <w:sz w:val="12"/>
          <w:szCs w:val="12"/>
          <w:i w:val="1"/>
          <w:iCs w:val="1"/>
          <w:color w:val="auto"/>
        </w:rPr>
        <w:t>Amendment</w:t>
      </w:r>
      <w:r>
        <w:rPr>
          <w:rFonts w:ascii="Arial" w:cs="Arial" w:eastAsia="Arial" w:hAnsi="Arial"/>
          <w:sz w:val="12"/>
          <w:szCs w:val="12"/>
          <w:color w:val="auto"/>
        </w:rPr>
        <w:t>”) is entered into and effective as of May 31, 2014 by and between VistaGen Therapeutics, Inc., a Nevada corporation (the “</w:t>
      </w:r>
      <w:r>
        <w:rPr>
          <w:rFonts w:ascii="Arial" w:cs="Arial" w:eastAsia="Arial" w:hAnsi="Arial"/>
          <w:sz w:val="12"/>
          <w:szCs w:val="12"/>
          <w:i w:val="1"/>
          <w:iCs w:val="1"/>
          <w:color w:val="auto"/>
        </w:rPr>
        <w:t>Company</w:t>
      </w:r>
      <w:r>
        <w:rPr>
          <w:rFonts w:ascii="Arial" w:cs="Arial" w:eastAsia="Arial" w:hAnsi="Arial"/>
          <w:sz w:val="12"/>
          <w:szCs w:val="12"/>
          <w:color w:val="auto"/>
        </w:rPr>
        <w:t>”), and the person whose signature appears on the signature page attached hereto (the “</w:t>
      </w:r>
      <w:r>
        <w:rPr>
          <w:rFonts w:ascii="Arial" w:cs="Arial" w:eastAsia="Arial" w:hAnsi="Arial"/>
          <w:sz w:val="12"/>
          <w:szCs w:val="12"/>
          <w:i w:val="1"/>
          <w:iCs w:val="1"/>
          <w:color w:val="auto"/>
        </w:rPr>
        <w:t>Investor</w:t>
      </w:r>
      <w:r>
        <w:rPr>
          <w:rFonts w:ascii="Arial" w:cs="Arial" w:eastAsia="Arial" w:hAnsi="Arial"/>
          <w:sz w:val="12"/>
          <w:szCs w:val="12"/>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under the terms of a Subscription Agreement entered into between the Company and the Investor between August 2013 and February 2014, the Company issued units to the Investor, consisting of the following Company securities: (i) a convertible promissory note having a maturity date of July 30, 2014 (the “</w:t>
      </w:r>
      <w:r>
        <w:rPr>
          <w:rFonts w:ascii="Arial" w:cs="Arial" w:eastAsia="Arial" w:hAnsi="Arial"/>
          <w:sz w:val="12"/>
          <w:szCs w:val="12"/>
          <w:i w:val="1"/>
          <w:iCs w:val="1"/>
          <w:color w:val="auto"/>
        </w:rPr>
        <w:t>Note</w:t>
      </w:r>
      <w:r>
        <w:rPr>
          <w:rFonts w:ascii="Arial" w:cs="Arial" w:eastAsia="Arial" w:hAnsi="Arial"/>
          <w:sz w:val="12"/>
          <w:szCs w:val="12"/>
          <w:color w:val="auto"/>
        </w:rPr>
        <w:t>”), (ii) a warrant to purchase shares of Company common stock, par value $0.001 per share (“</w:t>
      </w:r>
      <w:r>
        <w:rPr>
          <w:rFonts w:ascii="Arial" w:cs="Arial" w:eastAsia="Arial" w:hAnsi="Arial"/>
          <w:sz w:val="12"/>
          <w:szCs w:val="12"/>
          <w:i w:val="1"/>
          <w:iCs w:val="1"/>
          <w:color w:val="auto"/>
        </w:rPr>
        <w:t>Common Stock</w:t>
      </w:r>
      <w:r>
        <w:rPr>
          <w:rFonts w:ascii="Arial" w:cs="Arial" w:eastAsia="Arial" w:hAnsi="Arial"/>
          <w:sz w:val="12"/>
          <w:szCs w:val="12"/>
          <w:color w:val="auto"/>
        </w:rPr>
        <w:t>”), at an exercise price of $1.00 per share at any time on or before July 30, 2016 (the “</w:t>
      </w:r>
      <w:r>
        <w:rPr>
          <w:rFonts w:ascii="Arial" w:cs="Arial" w:eastAsia="Arial" w:hAnsi="Arial"/>
          <w:sz w:val="12"/>
          <w:szCs w:val="12"/>
          <w:i w:val="1"/>
          <w:iCs w:val="1"/>
          <w:color w:val="auto"/>
        </w:rPr>
        <w:t>Warrant</w:t>
      </w:r>
      <w:r>
        <w:rPr>
          <w:rFonts w:ascii="Arial" w:cs="Arial" w:eastAsia="Arial" w:hAnsi="Arial"/>
          <w:sz w:val="12"/>
          <w:szCs w:val="12"/>
          <w:color w:val="auto"/>
        </w:rPr>
        <w:t>”), and (iii) unregistered shares of Common Stock;</w:t>
      </w:r>
    </w:p>
    <w:p>
      <w:pPr>
        <w:spacing w:after="0" w:line="141"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WHEREAS, the Investor and the Company desire to amend the Note to, among other amendments set forth herein, extend the maturity date to the earlier of: (i) March 31, 2015, or (ii) the consummation of either an equity-based public offering registered with the U.S. Securities and Exchange Commission or an equity-based private financing, in either case resulting in gross proceeds to the Company of at least $10.0 million (a “</w:t>
      </w:r>
      <w:r>
        <w:rPr>
          <w:rFonts w:ascii="Arial" w:cs="Arial" w:eastAsia="Arial" w:hAnsi="Arial"/>
          <w:sz w:val="11"/>
          <w:szCs w:val="11"/>
          <w:i w:val="1"/>
          <w:iCs w:val="1"/>
          <w:color w:val="auto"/>
        </w:rPr>
        <w:t>Qualified Financing</w:t>
      </w:r>
      <w:r>
        <w:rPr>
          <w:rFonts w:ascii="Arial" w:cs="Arial" w:eastAsia="Arial" w:hAnsi="Arial"/>
          <w:sz w:val="11"/>
          <w:szCs w:val="11"/>
          <w:color w:val="auto"/>
        </w:rPr>
        <w:t>”); and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WHEREAS, as additional consideration for entering into this Amendment, the Company desires to amend the Warrant to, among other amendments set forth herein, reduce the exercise price to $0.50 per share.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for good and valuable consideration, the receipt and sufficiency of which are hereby agreed and acknowledged, the parties hereby agree as follows:</w:t>
      </w:r>
    </w:p>
    <w:p>
      <w:pPr>
        <w:spacing w:after="0" w:line="186" w:lineRule="exact"/>
        <w:rPr>
          <w:sz w:val="20"/>
          <w:szCs w:val="20"/>
          <w:color w:val="auto"/>
        </w:rPr>
      </w:pPr>
    </w:p>
    <w:p>
      <w:pPr>
        <w:ind w:left="660" w:hanging="236"/>
        <w:spacing w:after="0"/>
        <w:tabs>
          <w:tab w:leader="none" w:pos="6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Section 2 of the Note is hereby amended and replaced in its entirety with the following:</w:t>
      </w:r>
    </w:p>
    <w:p>
      <w:pPr>
        <w:spacing w:after="0" w:line="168"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1"/>
          <w:szCs w:val="11"/>
          <w:color w:val="auto"/>
        </w:rPr>
        <w:t>“2.</w:t>
      </w:r>
      <w:r>
        <w:rPr>
          <w:sz w:val="20"/>
          <w:szCs w:val="20"/>
          <w:color w:val="auto"/>
        </w:rPr>
        <w:tab/>
      </w:r>
      <w:r>
        <w:rPr>
          <w:rFonts w:ascii="Arial" w:cs="Arial" w:eastAsia="Arial" w:hAnsi="Arial"/>
          <w:sz w:val="11"/>
          <w:szCs w:val="11"/>
          <w:color w:val="auto"/>
        </w:rPr>
        <w:t>Unless sooner converted in accordance with Section 3, the entire unpaid balance of principal and all unpaid accrued interest shall become fully due and payable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w:t>
      </w:r>
    </w:p>
    <w:p>
      <w:pPr>
        <w:spacing w:after="0" w:line="198" w:lineRule="exact"/>
        <w:rPr>
          <w:sz w:val="20"/>
          <w:szCs w:val="20"/>
          <w:color w:val="auto"/>
        </w:rPr>
      </w:pPr>
    </w:p>
    <w:p>
      <w:pPr>
        <w:ind w:left="660" w:hanging="236"/>
        <w:spacing w:after="0"/>
        <w:tabs>
          <w:tab w:leader="none" w:pos="660" w:val="left"/>
        </w:tabs>
        <w:numPr>
          <w:ilvl w:val="0"/>
          <w:numId w:val="88"/>
        </w:numPr>
        <w:rPr>
          <w:rFonts w:ascii="Arial" w:cs="Arial" w:eastAsia="Arial" w:hAnsi="Arial"/>
          <w:sz w:val="12"/>
          <w:szCs w:val="12"/>
          <w:color w:val="auto"/>
        </w:rPr>
      </w:pPr>
      <w:r>
        <w:rPr>
          <w:rFonts w:ascii="Arial" w:cs="Arial" w:eastAsia="Arial" w:hAnsi="Arial"/>
          <w:sz w:val="12"/>
          <w:szCs w:val="12"/>
          <w:color w:val="auto"/>
        </w:rPr>
        <w:t>Section 3 of the Note is hereby amended and replaced in its entirety with the following:</w:t>
      </w:r>
    </w:p>
    <w:p>
      <w:pPr>
        <w:spacing w:after="0" w:line="168" w:lineRule="exact"/>
        <w:rPr>
          <w:rFonts w:ascii="Arial" w:cs="Arial" w:eastAsia="Arial" w:hAnsi="Arial"/>
          <w:sz w:val="12"/>
          <w:szCs w:val="12"/>
          <w:color w:val="auto"/>
        </w:rPr>
      </w:pPr>
    </w:p>
    <w:p>
      <w:pPr>
        <w:jc w:val="both"/>
        <w:ind w:firstLine="424"/>
        <w:spacing w:after="0" w:line="254" w:lineRule="auto"/>
        <w:tabs>
          <w:tab w:leader="none" w:pos="935" w:val="left"/>
        </w:tabs>
        <w:numPr>
          <w:ilvl w:val="0"/>
          <w:numId w:val="88"/>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u w:val="single" w:color="auto"/>
          <w:color w:val="auto"/>
        </w:rPr>
        <w:t>Automatic Conversion</w:t>
      </w:r>
      <w:r>
        <w:rPr>
          <w:rFonts w:ascii="Arial" w:cs="Arial" w:eastAsia="Arial" w:hAnsi="Arial"/>
          <w:sz w:val="12"/>
          <w:szCs w:val="12"/>
          <w:color w:val="auto"/>
        </w:rPr>
        <w:t>. Subject to the Holder’s Cash Payment Option (as defined in Section 3(b) below), upon the closing by the Company of (i) an equity or equity-based public offering registered with the U.S. Securities Exchange Commission (the “</w:t>
      </w:r>
      <w:r>
        <w:rPr>
          <w:rFonts w:ascii="Arial" w:cs="Arial" w:eastAsia="Arial" w:hAnsi="Arial"/>
          <w:sz w:val="12"/>
          <w:szCs w:val="12"/>
          <w:i w:val="1"/>
          <w:iCs w:val="1"/>
          <w:color w:val="auto"/>
        </w:rPr>
        <w:t>SEC</w:t>
      </w:r>
      <w:r>
        <w:rPr>
          <w:rFonts w:ascii="Arial" w:cs="Arial" w:eastAsia="Arial" w:hAnsi="Arial"/>
          <w:sz w:val="12"/>
          <w:szCs w:val="12"/>
          <w:color w:val="auto"/>
        </w:rPr>
        <w:t>”), or (ii) an equity or equity based private financing, or series of such financing transactions not registered with the SEC, in each case resulting in gross proceeds to the Company of at least $10,000,000 (a “</w:t>
      </w:r>
      <w:r>
        <w:rPr>
          <w:rFonts w:ascii="Arial" w:cs="Arial" w:eastAsia="Arial" w:hAnsi="Arial"/>
          <w:sz w:val="12"/>
          <w:szCs w:val="12"/>
          <w:i w:val="1"/>
          <w:iCs w:val="1"/>
          <w:color w:val="auto"/>
        </w:rPr>
        <w:t>Qualified Financing</w:t>
      </w:r>
      <w:r>
        <w:rPr>
          <w:rFonts w:ascii="Arial" w:cs="Arial" w:eastAsia="Arial" w:hAnsi="Arial"/>
          <w:sz w:val="12"/>
          <w:szCs w:val="12"/>
          <w:color w:val="auto"/>
        </w:rPr>
        <w:t>”), the outstanding principal amount of this Note together with all accrued and unpaid interest hereunder (the “</w:t>
      </w:r>
      <w:r>
        <w:rPr>
          <w:rFonts w:ascii="Arial" w:cs="Arial" w:eastAsia="Arial" w:hAnsi="Arial"/>
          <w:sz w:val="12"/>
          <w:szCs w:val="12"/>
          <w:i w:val="1"/>
          <w:iCs w:val="1"/>
          <w:color w:val="auto"/>
        </w:rPr>
        <w:t>Outstanding Balance</w:t>
      </w:r>
      <w:r>
        <w:rPr>
          <w:rFonts w:ascii="Arial" w:cs="Arial" w:eastAsia="Arial" w:hAnsi="Arial"/>
          <w:sz w:val="12"/>
          <w:szCs w:val="12"/>
          <w:color w:val="auto"/>
        </w:rPr>
        <w:t>”) shall automatically be converted, at the closing of the Qualified Financing and on the same terms and conditions thereunder, into such securities issued in connection with the Qualified Financing, including warrants of the Company issued in the Qualified Financing (the “</w:t>
      </w:r>
      <w:r>
        <w:rPr>
          <w:rFonts w:ascii="Arial" w:cs="Arial" w:eastAsia="Arial" w:hAnsi="Arial"/>
          <w:sz w:val="12"/>
          <w:szCs w:val="12"/>
          <w:i w:val="1"/>
          <w:iCs w:val="1"/>
          <w:color w:val="auto"/>
        </w:rPr>
        <w:t>Conversion Warrants</w:t>
      </w:r>
      <w:r>
        <w:rPr>
          <w:rFonts w:ascii="Arial" w:cs="Arial" w:eastAsia="Arial" w:hAnsi="Arial"/>
          <w:sz w:val="12"/>
          <w:szCs w:val="12"/>
          <w:color w:val="auto"/>
        </w:rPr>
        <w:t>”) (collectively, the “</w:t>
      </w:r>
      <w:r>
        <w:rPr>
          <w:rFonts w:ascii="Arial" w:cs="Arial" w:eastAsia="Arial" w:hAnsi="Arial"/>
          <w:sz w:val="12"/>
          <w:szCs w:val="12"/>
          <w:i w:val="1"/>
          <w:iCs w:val="1"/>
          <w:color w:val="auto"/>
        </w:rPr>
        <w:t>Qualified Financing Securities</w:t>
      </w:r>
      <w:r>
        <w:rPr>
          <w:rFonts w:ascii="Arial" w:cs="Arial" w:eastAsia="Arial" w:hAnsi="Arial"/>
          <w:sz w:val="12"/>
          <w:szCs w:val="12"/>
          <w:color w:val="auto"/>
        </w:rPr>
        <w:t>”). The number of Conversion Warrants to be issued upon conversion of the Note hereunder shall be determined as follows: the Outstanding Balance as of the date of consummation of the Qualified Financing x 1.25 / the price per share of common stock of the Company (“</w:t>
      </w:r>
      <w:r>
        <w:rPr>
          <w:rFonts w:ascii="Arial" w:cs="Arial" w:eastAsia="Arial" w:hAnsi="Arial"/>
          <w:sz w:val="12"/>
          <w:szCs w:val="12"/>
          <w:i w:val="1"/>
          <w:iCs w:val="1"/>
          <w:color w:val="auto"/>
        </w:rPr>
        <w:t>Common Stock</w:t>
      </w:r>
      <w:r>
        <w:rPr>
          <w:rFonts w:ascii="Arial" w:cs="Arial" w:eastAsia="Arial" w:hAnsi="Arial"/>
          <w:sz w:val="12"/>
          <w:szCs w:val="12"/>
          <w:color w:val="auto"/>
        </w:rPr>
        <w:t>”) sold in the Qualified Financing (valued at the lowest per share price if more than one transaction constitutes the Qualified Financing) (the “</w:t>
      </w:r>
      <w:r>
        <w:rPr>
          <w:rFonts w:ascii="Arial" w:cs="Arial" w:eastAsia="Arial" w:hAnsi="Arial"/>
          <w:sz w:val="12"/>
          <w:szCs w:val="12"/>
          <w:i w:val="1"/>
          <w:iCs w:val="1"/>
          <w:color w:val="auto"/>
        </w:rPr>
        <w:t>Automatic Conversion Formula</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729932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71" w:name="page172"/>
    <w:bookmarkEnd w:id="171"/>
    <w:p>
      <w:pPr>
        <w:ind w:left="600" w:hanging="163"/>
        <w:spacing w:after="0"/>
        <w:tabs>
          <w:tab w:leader="none" w:pos="600"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Cash Payment in Lieu of Automatic Conversion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420" w:firstLine="1289"/>
        <w:spacing w:after="0" w:line="263" w:lineRule="auto"/>
        <w:tabs>
          <w:tab w:leader="none" w:pos="1383" w:val="left"/>
        </w:tabs>
        <w:numPr>
          <w:ilvl w:val="1"/>
          <w:numId w:val="89"/>
        </w:numPr>
        <w:rPr>
          <w:rFonts w:ascii="Arial" w:cs="Arial" w:eastAsia="Arial" w:hAnsi="Arial"/>
          <w:sz w:val="12"/>
          <w:szCs w:val="12"/>
          <w:color w:val="auto"/>
        </w:rPr>
      </w:pPr>
      <w:r>
        <w:rPr>
          <w:rFonts w:ascii="Arial" w:cs="Arial" w:eastAsia="Arial" w:hAnsi="Arial"/>
          <w:sz w:val="12"/>
          <w:szCs w:val="12"/>
          <w:u w:val="single" w:color="auto"/>
          <w:color w:val="auto"/>
        </w:rPr>
        <w:t>Qualified Financing Notice</w:t>
      </w:r>
      <w:r>
        <w:rPr>
          <w:rFonts w:ascii="Arial" w:cs="Arial" w:eastAsia="Arial" w:hAnsi="Arial"/>
          <w:sz w:val="12"/>
          <w:szCs w:val="12"/>
          <w:color w:val="auto"/>
        </w:rPr>
        <w:t>. In anticipation of, and prior to, the consummation of the Qualified Financing, and no later than five (5) business days prior to the date on which the Company intends to consummate the Qualified Financing, the Company shall deliver a notice to the Holder in accordance with Section 9 of this Note (the “</w:t>
      </w:r>
      <w:r>
        <w:rPr>
          <w:rFonts w:ascii="Arial" w:cs="Arial" w:eastAsia="Arial" w:hAnsi="Arial"/>
          <w:sz w:val="12"/>
          <w:szCs w:val="12"/>
          <w:i w:val="1"/>
          <w:iCs w:val="1"/>
          <w:color w:val="auto"/>
        </w:rPr>
        <w:t>Qualified Financing Notice</w:t>
      </w:r>
      <w:r>
        <w:rPr>
          <w:rFonts w:ascii="Arial" w:cs="Arial" w:eastAsia="Arial" w:hAnsi="Arial"/>
          <w:sz w:val="12"/>
          <w:szCs w:val="12"/>
          <w:color w:val="auto"/>
        </w:rPr>
        <w:t>”) stating (i) its bona fide intention to consummate the Qualified Financing, and (ii) the principal terms upon which it proposes to consummate the Qualified Financing;</w:t>
      </w:r>
    </w:p>
    <w:p>
      <w:pPr>
        <w:spacing w:after="0" w:line="122" w:lineRule="exact"/>
        <w:rPr>
          <w:rFonts w:ascii="Arial" w:cs="Arial" w:eastAsia="Arial" w:hAnsi="Arial"/>
          <w:sz w:val="12"/>
          <w:szCs w:val="12"/>
          <w:color w:val="auto"/>
        </w:rPr>
      </w:pPr>
    </w:p>
    <w:p>
      <w:pPr>
        <w:jc w:val="both"/>
        <w:ind w:left="-420" w:firstLine="1289"/>
        <w:spacing w:after="0" w:line="259" w:lineRule="auto"/>
        <w:tabs>
          <w:tab w:leader="none" w:pos="1417" w:val="left"/>
        </w:tabs>
        <w:numPr>
          <w:ilvl w:val="1"/>
          <w:numId w:val="89"/>
        </w:numPr>
        <w:rPr>
          <w:rFonts w:ascii="Arial" w:cs="Arial" w:eastAsia="Arial" w:hAnsi="Arial"/>
          <w:sz w:val="12"/>
          <w:szCs w:val="12"/>
          <w:color w:val="auto"/>
        </w:rPr>
      </w:pPr>
      <w:r>
        <w:rPr>
          <w:rFonts w:ascii="Arial" w:cs="Arial" w:eastAsia="Arial" w:hAnsi="Arial"/>
          <w:sz w:val="12"/>
          <w:szCs w:val="12"/>
          <w:u w:val="single" w:color="auto"/>
          <w:color w:val="auto"/>
        </w:rPr>
        <w:t>Cash Payment</w:t>
      </w:r>
      <w:r>
        <w:rPr>
          <w:rFonts w:ascii="Arial" w:cs="Arial" w:eastAsia="Arial" w:hAnsi="Arial"/>
          <w:sz w:val="12"/>
          <w:szCs w:val="12"/>
          <w:color w:val="auto"/>
        </w:rPr>
        <w:t>. In lieu of automatic conversion of the Outstanding Balance upon the closing of the Qualified Financing in accordance with Section 3(a) above, the Holder may, at its option, elect to receive a cash payment from the Company (the “</w:t>
      </w:r>
      <w:r>
        <w:rPr>
          <w:rFonts w:ascii="Arial" w:cs="Arial" w:eastAsia="Arial" w:hAnsi="Arial"/>
          <w:sz w:val="12"/>
          <w:szCs w:val="12"/>
          <w:i w:val="1"/>
          <w:iCs w:val="1"/>
          <w:color w:val="auto"/>
        </w:rPr>
        <w:t>Cash Payment Option</w:t>
      </w:r>
      <w:r>
        <w:rPr>
          <w:rFonts w:ascii="Arial" w:cs="Arial" w:eastAsia="Arial" w:hAnsi="Arial"/>
          <w:sz w:val="12"/>
          <w:szCs w:val="12"/>
          <w:color w:val="auto"/>
        </w:rPr>
        <w:t>”) equal to the Outstanding Balance as of the date of payment as satisfaction of the obligations of the Company under the Note (the “</w:t>
      </w:r>
      <w:r>
        <w:rPr>
          <w:rFonts w:ascii="Arial" w:cs="Arial" w:eastAsia="Arial" w:hAnsi="Arial"/>
          <w:sz w:val="12"/>
          <w:szCs w:val="12"/>
          <w:i w:val="1"/>
          <w:iCs w:val="1"/>
          <w:color w:val="auto"/>
        </w:rPr>
        <w:t>Cash Payment</w:t>
      </w:r>
      <w:r>
        <w:rPr>
          <w:rFonts w:ascii="Arial" w:cs="Arial" w:eastAsia="Arial" w:hAnsi="Arial"/>
          <w:sz w:val="12"/>
          <w:szCs w:val="12"/>
          <w:color w:val="auto"/>
        </w:rPr>
        <w:t>”) by delivering written notice to the Company no later than two (2) business days after receipt of the Qualified Financing Notice by the Holder (the “</w:t>
      </w:r>
      <w:r>
        <w:rPr>
          <w:rFonts w:ascii="Arial" w:cs="Arial" w:eastAsia="Arial" w:hAnsi="Arial"/>
          <w:sz w:val="12"/>
          <w:szCs w:val="12"/>
          <w:i w:val="1"/>
          <w:iCs w:val="1"/>
          <w:color w:val="auto"/>
        </w:rPr>
        <w:t>Cash Payment Notice</w:t>
      </w:r>
      <w:r>
        <w:rPr>
          <w:rFonts w:ascii="Arial" w:cs="Arial" w:eastAsia="Arial" w:hAnsi="Arial"/>
          <w:sz w:val="12"/>
          <w:szCs w:val="12"/>
          <w:color w:val="auto"/>
        </w:rPr>
        <w:t>”). If the Holder elects to exercise the Cash Payment Option, the Company shall deliver the Cash Payment to the Holder upon, and as a condition to, the consummation of the Qualified Financing;</w:t>
      </w:r>
    </w:p>
    <w:p>
      <w:pPr>
        <w:spacing w:after="0" w:line="143" w:lineRule="exact"/>
        <w:rPr>
          <w:sz w:val="20"/>
          <w:szCs w:val="20"/>
          <w:color w:val="auto"/>
        </w:rPr>
      </w:pPr>
    </w:p>
    <w:p>
      <w:pPr>
        <w:jc w:val="both"/>
        <w:ind w:firstLine="869"/>
        <w:spacing w:after="0" w:line="281" w:lineRule="auto"/>
        <w:tabs>
          <w:tab w:leader="none" w:pos="1328" w:val="left"/>
        </w:tabs>
        <w:numPr>
          <w:ilvl w:val="2"/>
          <w:numId w:val="90"/>
        </w:numPr>
        <w:rPr>
          <w:rFonts w:ascii="Arial" w:cs="Arial" w:eastAsia="Arial" w:hAnsi="Arial"/>
          <w:sz w:val="11"/>
          <w:szCs w:val="11"/>
          <w:color w:val="auto"/>
        </w:rPr>
      </w:pPr>
      <w:r>
        <w:rPr>
          <w:rFonts w:ascii="Arial" w:cs="Arial" w:eastAsia="Arial" w:hAnsi="Arial"/>
          <w:sz w:val="11"/>
          <w:szCs w:val="11"/>
          <w:u w:val="single" w:color="auto"/>
          <w:color w:val="auto"/>
        </w:rPr>
        <w:t>Voluntary Conversion of Principal and Interest</w:t>
      </w:r>
      <w:r>
        <w:rPr>
          <w:rFonts w:ascii="Arial" w:cs="Arial" w:eastAsia="Arial" w:hAnsi="Arial"/>
          <w:sz w:val="11"/>
          <w:szCs w:val="11"/>
          <w:color w:val="auto"/>
          <w:highlight w:val="white"/>
        </w:rPr>
        <w:t>. Subject to the terms and conditions of this Section 3, and provided this Note remains outstanding, at any time and from time to time, the Holder shall have</w:t>
      </w:r>
      <w:r>
        <w:rPr>
          <w:rFonts w:ascii="Arial" w:cs="Arial" w:eastAsia="Arial" w:hAnsi="Arial"/>
          <w:sz w:val="11"/>
          <w:szCs w:val="11"/>
          <w:color w:val="auto"/>
        </w:rPr>
        <w:t xml:space="preserve"> the right, at the Holder’s option, to convert all or a portion of the Outstanding Balance (the “</w:t>
      </w:r>
      <w:r>
        <w:rPr>
          <w:rFonts w:ascii="Arial" w:cs="Arial" w:eastAsia="Arial" w:hAnsi="Arial"/>
          <w:sz w:val="11"/>
          <w:szCs w:val="11"/>
          <w:i w:val="1"/>
          <w:iCs w:val="1"/>
          <w:color w:val="auto"/>
        </w:rPr>
        <w:t>Conversion Option</w:t>
      </w:r>
      <w:r>
        <w:rPr>
          <w:rFonts w:ascii="Arial" w:cs="Arial" w:eastAsia="Arial" w:hAnsi="Arial"/>
          <w:sz w:val="11"/>
          <w:szCs w:val="11"/>
          <w:color w:val="auto"/>
        </w:rPr>
        <w:t>”) into such number of fully paid and non-assessable shares of Common Stock as is determined in accordance with the following formula: the portion of the Outstanding Balance as of the date of the exercise of the Conversion Option being converted / $0.50 (as equitably adjusted for stock splits, stock dividends, combinations, recapitalizations and the like). If the Holder elects to exercise the Conversion Option, the Holder shall, by personal delivery or nationally-recognized overnight carrier, surrender the original of this Note and give written notice to the Company (the “</w:t>
      </w:r>
      <w:r>
        <w:rPr>
          <w:rFonts w:ascii="Arial" w:cs="Arial" w:eastAsia="Arial" w:hAnsi="Arial"/>
          <w:sz w:val="11"/>
          <w:szCs w:val="11"/>
          <w:i w:val="1"/>
          <w:iCs w:val="1"/>
          <w:color w:val="auto"/>
        </w:rPr>
        <w:t>Conversion Notice</w:t>
      </w:r>
      <w:r>
        <w:rPr>
          <w:rFonts w:ascii="Arial" w:cs="Arial" w:eastAsia="Arial" w:hAnsi="Arial"/>
          <w:sz w:val="11"/>
          <w:szCs w:val="11"/>
          <w:color w:val="auto"/>
        </w:rPr>
        <w:t>”), which Conversion Notice shall (a) state the Holder’s election to exercise the Conversion Option, and (b) provide for a representation and warranty of the Holder to the Company that, as of the date of the Conversion Notice, the Holder has not assigned or otherwise transferred all or any portion of the Holder’s rights under this Note to any third parties. The Company shall, within three (3) business days thereafter, issue and deliver to the Holder the number of shares of Common Stock to which the Holder shall be entitled upon exercise of the Conversion Option.</w:t>
      </w:r>
    </w:p>
    <w:p>
      <w:pPr>
        <w:spacing w:after="0" w:line="152" w:lineRule="exact"/>
        <w:rPr>
          <w:rFonts w:ascii="Arial" w:cs="Arial" w:eastAsia="Arial" w:hAnsi="Arial"/>
          <w:sz w:val="11"/>
          <w:szCs w:val="11"/>
          <w:color w:val="auto"/>
        </w:rPr>
      </w:pPr>
    </w:p>
    <w:p>
      <w:pPr>
        <w:ind w:left="240" w:hanging="236"/>
        <w:spacing w:after="0"/>
        <w:tabs>
          <w:tab w:leader="none" w:pos="2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As additional consideration for entering into this Amendment, the Company hereby agrees to amend the Warrant as follows:</w:t>
      </w:r>
    </w:p>
    <w:p>
      <w:pPr>
        <w:spacing w:after="0" w:line="186" w:lineRule="exact"/>
        <w:rPr>
          <w:rFonts w:ascii="Arial" w:cs="Arial" w:eastAsia="Arial" w:hAnsi="Arial"/>
          <w:sz w:val="12"/>
          <w:szCs w:val="12"/>
          <w:color w:val="auto"/>
        </w:rPr>
      </w:pPr>
    </w:p>
    <w:p>
      <w:pPr>
        <w:ind w:left="660"/>
        <w:spacing w:after="0"/>
        <w:rPr>
          <w:rFonts w:ascii="Arial" w:cs="Arial" w:eastAsia="Arial" w:hAnsi="Arial"/>
          <w:sz w:val="12"/>
          <w:szCs w:val="12"/>
          <w:color w:val="auto"/>
        </w:rPr>
      </w:pPr>
      <w:r>
        <w:rPr>
          <w:rFonts w:ascii="Arial" w:cs="Arial" w:eastAsia="Arial" w:hAnsi="Arial"/>
          <w:sz w:val="12"/>
          <w:szCs w:val="12"/>
          <w:color w:val="auto"/>
        </w:rPr>
        <w:t>a.   The term “Expiration Date”, as such term is defined in the Warrant, is hereby amended and replaced in its entirety with the following:</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“This Warrant shall be exercisable at any time from time to time from and after the date hereof (such date being referred to herein as the “Initial Exercise Date”) up to and including 5:00 p.m. (Pacific Time) on the first to occur of (</w:t>
      </w:r>
      <w:r>
        <w:rPr>
          <w:rFonts w:ascii="Arial" w:cs="Arial" w:eastAsia="Arial" w:hAnsi="Arial"/>
          <w:sz w:val="12"/>
          <w:szCs w:val="12"/>
          <w:color w:val="auto"/>
        </w:rPr>
        <w:t>і</w:t>
      </w:r>
      <w:r>
        <w:rPr>
          <w:rFonts w:ascii="Arial" w:cs="Arial" w:eastAsia="Arial" w:hAnsi="Arial"/>
          <w:sz w:val="12"/>
          <w:szCs w:val="12"/>
          <w:color w:val="auto"/>
        </w:rPr>
        <w:t>) December 31, 2016, or (ii) ten (10) days preceding the closing date of any of the following transactions: (A) the acquisition of the Company by another entity by means of any transaction or series of related transactions (including, without limitation, any reorganization, merger or consolidation but, excluding any merger effected exclusively for the purpose of changing the domicile of the Company); or (B) a sale of all or substantially all of the assets of the Company by means of a transaction or series of related transactions; unless the Company’s shareholders of record as constituted immediately prior to such acquisition or sale will, immediately after such acquisition or sale (by virtue of securities issued as consideration for the Company’s acquisition or sale or otherwise) hold at least 50% of the voting power of the surviving or acquiring entity (any such transaction, a “Change of Control”) (such earlier date being referred to herein as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267335</wp:posOffset>
            </wp:positionV>
            <wp:extent cx="729932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554" w:right="199" w:bottom="1440" w:gutter="0" w:footer="0" w:header="0"/>
        </w:sectPr>
      </w:pPr>
    </w:p>
    <w:bookmarkStart w:id="172" w:name="page173"/>
    <w:bookmarkEnd w:id="172"/>
    <w:p>
      <w:pPr>
        <w:ind w:left="1300" w:hanging="227"/>
        <w:spacing w:after="0"/>
        <w:tabs>
          <w:tab w:leader="none" w:pos="1300" w:val="left"/>
        </w:tabs>
        <w:numPr>
          <w:ilvl w:val="0"/>
          <w:numId w:val="92"/>
        </w:numPr>
        <w:rPr>
          <w:rFonts w:ascii="Arial" w:cs="Arial" w:eastAsia="Arial" w:hAnsi="Arial"/>
          <w:sz w:val="10"/>
          <w:szCs w:val="10"/>
          <w:color w:val="auto"/>
        </w:rPr>
      </w:pPr>
      <w:r>
        <w:rPr>
          <w:rFonts w:ascii="Arial" w:cs="Arial" w:eastAsia="Arial" w:hAnsi="Arial"/>
          <w:sz w:val="10"/>
          <w:szCs w:val="10"/>
          <w:color w:val="auto"/>
        </w:rPr>
        <w:t>The term “Exercise Price”, as such term is defined in the Warrant is hereby reduced from $1.00 per share to $0.50 per share. Any reference to an Exercise Price of $1.00 per share is hereby replaced with $0.50</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per share.</w:t>
      </w:r>
    </w:p>
    <w:p>
      <w:pPr>
        <w:spacing w:after="0" w:line="177" w:lineRule="exact"/>
        <w:rPr>
          <w:sz w:val="20"/>
          <w:szCs w:val="20"/>
          <w:color w:val="auto"/>
        </w:rPr>
      </w:pPr>
    </w:p>
    <w:p>
      <w:pPr>
        <w:ind w:left="1300" w:hanging="227"/>
        <w:spacing w:after="0"/>
        <w:tabs>
          <w:tab w:leader="none" w:pos="130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following shall be added to the Warrant as Section 3. All sections in the Warrant subsequent to Section 3 of the Warrant shall be renumbered accordingly:</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u w:val="single" w:color="auto"/>
          <w:color w:val="auto"/>
        </w:rPr>
        <w:t>Cashless Exercise</w:t>
      </w:r>
      <w:r>
        <w:rPr>
          <w:rFonts w:ascii="Arial" w:cs="Arial" w:eastAsia="Arial" w:hAnsi="Arial"/>
          <w:sz w:val="12"/>
          <w:szCs w:val="12"/>
          <w:color w:val="auto"/>
        </w:rPr>
        <w:t xml:space="preserve">. Notwithstanding any provisions herein to the contrary at any time following the Initial Exercise Date, if the Per Share Market Value of one share of Common Stock is greater than the Warrant Price (at the date of calculation as set forth below), the Holder may exercise this Warrant by a cashless exercise; </w:t>
      </w:r>
      <w:r>
        <w:rPr>
          <w:rFonts w:ascii="Arial" w:cs="Arial" w:eastAsia="Arial" w:hAnsi="Arial"/>
          <w:sz w:val="12"/>
          <w:szCs w:val="12"/>
          <w:u w:val="single" w:color="auto"/>
          <w:color w:val="auto"/>
        </w:rPr>
        <w:t>but</w:t>
      </w:r>
      <w:r>
        <w:rPr>
          <w:rFonts w:ascii="Arial" w:cs="Arial" w:eastAsia="Arial" w:hAnsi="Arial"/>
          <w:sz w:val="12"/>
          <w:szCs w:val="12"/>
          <w:color w:val="auto"/>
        </w:rPr>
        <w:t xml:space="preserve">, </w:t>
      </w:r>
      <w:r>
        <w:rPr>
          <w:rFonts w:ascii="Arial" w:cs="Arial" w:eastAsia="Arial" w:hAnsi="Arial"/>
          <w:sz w:val="12"/>
          <w:szCs w:val="12"/>
          <w:u w:val="single" w:color="auto"/>
          <w:color w:val="auto"/>
        </w:rPr>
        <w:t>only if</w:t>
      </w:r>
      <w:r>
        <w:rPr>
          <w:rFonts w:ascii="Arial" w:cs="Arial" w:eastAsia="Arial" w:hAnsi="Arial"/>
          <w:sz w:val="12"/>
          <w:szCs w:val="12"/>
          <w:color w:val="auto"/>
        </w:rPr>
        <w:t xml:space="preserve"> the sale by the Holder of the shares of Common Stock to be received upon exercise are not registered under an effective registration statement filed by the Issuer with the Securities and Exchange Commission. In the event of a cashless exercise, the Holder shall receive the number of shares of Common Stock equal to an amount (as determined below) by surrender of this Warrant at the principal office of the Issuer together with the properly endorsed Notice of Exercise in which event the Issuer shall issue to the Holder a number of shares of Common Stock computed using the following formula:</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X = Y - (A)(Y)</w:t>
      </w: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13"/>
                <w:szCs w:val="13"/>
                <w:color w:val="auto"/>
              </w:rPr>
            </w:pPr>
          </w:p>
        </w:tc>
        <w:tc>
          <w:tcPr>
            <w:tcW w:w="34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B</w:t>
            </w:r>
          </w:p>
        </w:tc>
        <w:tc>
          <w:tcPr>
            <w:tcW w:w="1320" w:type="dxa"/>
            <w:vAlign w:val="bottom"/>
          </w:tcPr>
          <w:p>
            <w:pPr>
              <w:spacing w:after="0"/>
              <w:rPr>
                <w:sz w:val="13"/>
                <w:szCs w:val="13"/>
                <w:color w:val="auto"/>
              </w:rPr>
            </w:pPr>
          </w:p>
        </w:tc>
        <w:tc>
          <w:tcPr>
            <w:tcW w:w="8800" w:type="dxa"/>
            <w:vAlign w:val="bottom"/>
          </w:tcPr>
          <w:p>
            <w:pPr>
              <w:spacing w:after="0"/>
              <w:rPr>
                <w:sz w:val="13"/>
                <w:szCs w:val="13"/>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2"/>
                <w:szCs w:val="12"/>
                <w:color w:val="auto"/>
              </w:rPr>
              <w:t>Where</w:t>
            </w:r>
          </w:p>
        </w:tc>
        <w:tc>
          <w:tcPr>
            <w:tcW w:w="340" w:type="dxa"/>
            <w:vAlign w:val="bottom"/>
          </w:tcPr>
          <w:p>
            <w:pPr>
              <w:spacing w:after="0"/>
              <w:rPr>
                <w:sz w:val="24"/>
                <w:szCs w:val="24"/>
                <w:color w:val="auto"/>
              </w:rPr>
            </w:pPr>
          </w:p>
        </w:tc>
        <w:tc>
          <w:tcPr>
            <w:tcW w:w="1320" w:type="dxa"/>
            <w:vAlign w:val="bottom"/>
          </w:tcPr>
          <w:p>
            <w:pPr>
              <w:ind w:left="720"/>
              <w:spacing w:after="0"/>
              <w:rPr>
                <w:sz w:val="20"/>
                <w:szCs w:val="20"/>
                <w:color w:val="auto"/>
              </w:rPr>
            </w:pPr>
            <w:r>
              <w:rPr>
                <w:rFonts w:ascii="Arial" w:cs="Arial" w:eastAsia="Arial" w:hAnsi="Arial"/>
                <w:sz w:val="12"/>
                <w:szCs w:val="12"/>
                <w:color w:val="auto"/>
              </w:rPr>
              <w:t>X =</w:t>
            </w:r>
          </w:p>
        </w:tc>
        <w:tc>
          <w:tcPr>
            <w:tcW w:w="8800" w:type="dxa"/>
            <w:vAlign w:val="bottom"/>
          </w:tcPr>
          <w:p>
            <w:pPr>
              <w:ind w:left="420"/>
              <w:spacing w:after="0"/>
              <w:rPr>
                <w:sz w:val="20"/>
                <w:szCs w:val="20"/>
                <w:color w:val="auto"/>
              </w:rPr>
            </w:pPr>
            <w:r>
              <w:rPr>
                <w:rFonts w:ascii="Arial" w:cs="Arial" w:eastAsia="Arial" w:hAnsi="Arial"/>
                <w:sz w:val="12"/>
                <w:szCs w:val="12"/>
                <w:color w:val="auto"/>
              </w:rPr>
              <w:t>the number of shares of Common Stock to be issued to the Holder.</w:t>
            </w:r>
          </w:p>
        </w:tc>
      </w:tr>
      <w:tr>
        <w:trPr>
          <w:trHeight w:val="297"/>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ind w:left="720"/>
              <w:spacing w:after="0"/>
              <w:rPr>
                <w:sz w:val="20"/>
                <w:szCs w:val="20"/>
                <w:color w:val="auto"/>
              </w:rPr>
            </w:pPr>
            <w:r>
              <w:rPr>
                <w:rFonts w:ascii="Arial" w:cs="Arial" w:eastAsia="Arial" w:hAnsi="Arial"/>
                <w:sz w:val="12"/>
                <w:szCs w:val="12"/>
                <w:color w:val="auto"/>
              </w:rPr>
              <w:t>Y =</w:t>
            </w:r>
          </w:p>
        </w:tc>
        <w:tc>
          <w:tcPr>
            <w:tcW w:w="8800" w:type="dxa"/>
            <w:vAlign w:val="bottom"/>
          </w:tcPr>
          <w:p>
            <w:pPr>
              <w:ind w:left="420"/>
              <w:spacing w:after="0"/>
              <w:rPr>
                <w:sz w:val="20"/>
                <w:szCs w:val="20"/>
                <w:color w:val="auto"/>
              </w:rPr>
            </w:pPr>
            <w:r>
              <w:rPr>
                <w:rFonts w:ascii="Arial" w:cs="Arial" w:eastAsia="Arial" w:hAnsi="Arial"/>
                <w:sz w:val="12"/>
                <w:szCs w:val="12"/>
                <w:color w:val="auto"/>
                <w:w w:val="90"/>
              </w:rPr>
              <w:t>the number of shares of Common Stock purchasable upon exercise of all of the Warrant or, if only a portion of the Warrant is being exercised, the portion of the Warrant being</w:t>
            </w:r>
          </w:p>
        </w:tc>
      </w:tr>
      <w:tr>
        <w:trPr>
          <w:trHeight w:val="153"/>
        </w:trPr>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0" w:type="dxa"/>
            <w:vAlign w:val="bottom"/>
          </w:tcPr>
          <w:p>
            <w:pPr>
              <w:ind w:left="420"/>
              <w:spacing w:after="0"/>
              <w:rPr>
                <w:sz w:val="20"/>
                <w:szCs w:val="20"/>
                <w:color w:val="auto"/>
              </w:rPr>
            </w:pPr>
            <w:r>
              <w:rPr>
                <w:rFonts w:ascii="Arial" w:cs="Arial" w:eastAsia="Arial" w:hAnsi="Arial"/>
                <w:sz w:val="12"/>
                <w:szCs w:val="12"/>
                <w:color w:val="auto"/>
              </w:rPr>
              <w:t>exercised.</w:t>
            </w:r>
          </w:p>
        </w:tc>
      </w:tr>
      <w:tr>
        <w:trPr>
          <w:trHeight w:val="30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ind w:left="720"/>
              <w:spacing w:after="0"/>
              <w:rPr>
                <w:sz w:val="20"/>
                <w:szCs w:val="20"/>
                <w:color w:val="auto"/>
              </w:rPr>
            </w:pPr>
            <w:r>
              <w:rPr>
                <w:rFonts w:ascii="Arial" w:cs="Arial" w:eastAsia="Arial" w:hAnsi="Arial"/>
                <w:sz w:val="12"/>
                <w:szCs w:val="12"/>
                <w:color w:val="auto"/>
              </w:rPr>
              <w:t>A =</w:t>
            </w:r>
          </w:p>
        </w:tc>
        <w:tc>
          <w:tcPr>
            <w:tcW w:w="8800" w:type="dxa"/>
            <w:vAlign w:val="bottom"/>
          </w:tcPr>
          <w:p>
            <w:pPr>
              <w:ind w:left="420"/>
              <w:spacing w:after="0"/>
              <w:rPr>
                <w:sz w:val="20"/>
                <w:szCs w:val="20"/>
                <w:color w:val="auto"/>
              </w:rPr>
            </w:pPr>
            <w:r>
              <w:rPr>
                <w:rFonts w:ascii="Arial" w:cs="Arial" w:eastAsia="Arial" w:hAnsi="Arial"/>
                <w:sz w:val="12"/>
                <w:szCs w:val="12"/>
                <w:color w:val="auto"/>
              </w:rPr>
              <w:t>the Warrant Price.</w:t>
            </w:r>
          </w:p>
        </w:tc>
      </w:tr>
      <w:tr>
        <w:trPr>
          <w:trHeight w:val="288"/>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ind w:left="720"/>
              <w:spacing w:after="0"/>
              <w:rPr>
                <w:sz w:val="20"/>
                <w:szCs w:val="20"/>
                <w:color w:val="auto"/>
              </w:rPr>
            </w:pPr>
            <w:r>
              <w:rPr>
                <w:rFonts w:ascii="Arial" w:cs="Arial" w:eastAsia="Arial" w:hAnsi="Arial"/>
                <w:sz w:val="12"/>
                <w:szCs w:val="12"/>
                <w:color w:val="auto"/>
              </w:rPr>
              <w:t>B =</w:t>
            </w:r>
          </w:p>
        </w:tc>
        <w:tc>
          <w:tcPr>
            <w:tcW w:w="8800" w:type="dxa"/>
            <w:vAlign w:val="bottom"/>
          </w:tcPr>
          <w:p>
            <w:pPr>
              <w:ind w:left="420"/>
              <w:spacing w:after="0"/>
              <w:rPr>
                <w:sz w:val="20"/>
                <w:szCs w:val="20"/>
                <w:color w:val="auto"/>
              </w:rPr>
            </w:pPr>
            <w:r>
              <w:rPr>
                <w:rFonts w:ascii="Arial" w:cs="Arial" w:eastAsia="Arial" w:hAnsi="Arial"/>
                <w:sz w:val="12"/>
                <w:szCs w:val="12"/>
                <w:color w:val="auto"/>
              </w:rPr>
              <w:t>the Per Share Market Value of one share of Common Stock.”</w:t>
            </w:r>
          </w:p>
        </w:tc>
      </w:tr>
    </w:tbl>
    <w:p>
      <w:pPr>
        <w:spacing w:after="0" w:line="171" w:lineRule="exact"/>
        <w:rPr>
          <w:sz w:val="20"/>
          <w:szCs w:val="20"/>
          <w:color w:val="auto"/>
        </w:rPr>
      </w:pPr>
    </w:p>
    <w:p>
      <w:pPr>
        <w:ind w:right="260" w:firstLine="424"/>
        <w:spacing w:after="0" w:line="263" w:lineRule="auto"/>
        <w:tabs>
          <w:tab w:leader="none" w:pos="666"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provisions of the Note and Warrant, as modified in this Amendment, shall remain in full force and effect in accordance with their terms and are hereby ratified and confirmed. In the event of any conflict between the terms and conditions of this Amendment and the terms and conditions set forth in the Note and/ or the Warrant, the terms and conditions set forth herein shall control. This Amendment shall be governed by the laws of the State of California without regard to the conflict of laws provisions thereof.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73" w:name="page174"/>
    <w:bookmarkEnd w:id="173"/>
    <w:p>
      <w:pPr>
        <w:spacing w:after="0"/>
        <w:rPr>
          <w:sz w:val="20"/>
          <w:szCs w:val="20"/>
          <w:color w:val="auto"/>
        </w:rPr>
      </w:pPr>
      <w:r>
        <w:rPr>
          <w:rFonts w:ascii="Arial" w:cs="Arial" w:eastAsia="Arial" w:hAnsi="Arial"/>
          <w:sz w:val="12"/>
          <w:szCs w:val="12"/>
          <w:color w:val="auto"/>
        </w:rPr>
        <w:t>IN WITNESS WHEREOF, this Agreement was duly executed on the date first written above.</w:t>
      </w:r>
    </w:p>
    <w:p>
      <w:pPr>
        <w:spacing w:after="0" w:line="168" w:lineRule="exact"/>
        <w:rPr>
          <w:sz w:val="20"/>
          <w:szCs w:val="20"/>
          <w:color w:val="auto"/>
        </w:rPr>
      </w:pPr>
    </w:p>
    <w:p>
      <w:pPr>
        <w:ind w:left="3680"/>
        <w:spacing w:after="0"/>
        <w:rPr>
          <w:sz w:val="20"/>
          <w:szCs w:val="20"/>
          <w:color w:val="auto"/>
        </w:rPr>
      </w:pPr>
      <w:r>
        <w:rPr>
          <w:rFonts w:ascii="Arial" w:cs="Arial" w:eastAsia="Arial" w:hAnsi="Arial"/>
          <w:sz w:val="12"/>
          <w:szCs w:val="12"/>
          <w:color w:val="auto"/>
        </w:rPr>
        <w:t>VISTAGEN THERAPEUTICS, INC.</w:t>
      </w:r>
    </w:p>
    <w:p>
      <w:pPr>
        <w:spacing w:after="0" w:line="150" w:lineRule="exact"/>
        <w:rPr>
          <w:sz w:val="20"/>
          <w:szCs w:val="20"/>
          <w:color w:val="auto"/>
        </w:rPr>
      </w:pPr>
    </w:p>
    <w:p>
      <w:pPr>
        <w:ind w:left="3680"/>
        <w:spacing w:after="0"/>
        <w:rPr>
          <w:sz w:val="20"/>
          <w:szCs w:val="20"/>
          <w:color w:val="auto"/>
        </w:rPr>
      </w:pPr>
      <w:r>
        <w:rPr>
          <w:rFonts w:ascii="Arial" w:cs="Arial" w:eastAsia="Arial" w:hAnsi="Arial"/>
          <w:sz w:val="11"/>
          <w:szCs w:val="11"/>
          <w:color w:val="auto"/>
        </w:rPr>
        <w:t>By:____________________________________</w:t>
      </w:r>
    </w:p>
    <w:p>
      <w:pPr>
        <w:spacing w:after="0" w:line="26"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Shawn K. Singh</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Chief Executive Officer</w:t>
      </w:r>
    </w:p>
    <w:p>
      <w:pPr>
        <w:spacing w:after="0" w:line="285" w:lineRule="exact"/>
        <w:rPr>
          <w:sz w:val="20"/>
          <w:szCs w:val="20"/>
          <w:color w:val="auto"/>
        </w:rPr>
      </w:pPr>
    </w:p>
    <w:p>
      <w:pPr>
        <w:ind w:left="3680"/>
        <w:spacing w:after="0"/>
        <w:rPr>
          <w:sz w:val="20"/>
          <w:szCs w:val="20"/>
          <w:color w:val="auto"/>
        </w:rPr>
      </w:pPr>
      <w:r>
        <w:rPr>
          <w:rFonts w:ascii="Arial" w:cs="Arial" w:eastAsia="Arial" w:hAnsi="Arial"/>
          <w:sz w:val="12"/>
          <w:szCs w:val="12"/>
          <w:color w:val="auto"/>
        </w:rPr>
        <w:t>INVESTOR:</w:t>
      </w:r>
    </w:p>
    <w:p>
      <w:pPr>
        <w:spacing w:after="0" w:line="150" w:lineRule="exact"/>
        <w:rPr>
          <w:sz w:val="20"/>
          <w:szCs w:val="20"/>
          <w:color w:val="auto"/>
        </w:rPr>
      </w:pPr>
    </w:p>
    <w:p>
      <w:pPr>
        <w:ind w:left="3680"/>
        <w:spacing w:after="0"/>
        <w:rPr>
          <w:sz w:val="20"/>
          <w:szCs w:val="20"/>
          <w:color w:val="auto"/>
        </w:rPr>
      </w:pPr>
      <w:r>
        <w:rPr>
          <w:rFonts w:ascii="Arial" w:cs="Arial" w:eastAsia="Arial" w:hAnsi="Arial"/>
          <w:sz w:val="10"/>
          <w:szCs w:val="10"/>
          <w:color w:val="auto"/>
        </w:rPr>
        <w:t>By:_____________________________________</w:t>
      </w:r>
    </w:p>
    <w:p>
      <w:pPr>
        <w:spacing w:after="0" w:line="173" w:lineRule="exact"/>
        <w:rPr>
          <w:sz w:val="20"/>
          <w:szCs w:val="20"/>
          <w:color w:val="auto"/>
        </w:rPr>
      </w:pPr>
    </w:p>
    <w:p>
      <w:pPr>
        <w:ind w:left="3680"/>
        <w:spacing w:after="0"/>
        <w:rPr>
          <w:sz w:val="20"/>
          <w:szCs w:val="20"/>
          <w:color w:val="auto"/>
        </w:rPr>
      </w:pPr>
      <w:r>
        <w:rPr>
          <w:rFonts w:ascii="Arial" w:cs="Arial" w:eastAsia="Arial" w:hAnsi="Arial"/>
          <w:sz w:val="12"/>
          <w:szCs w:val="12"/>
          <w:color w:val="auto"/>
        </w:rPr>
        <w:t>Original Note Number:</w:t>
      </w:r>
    </w:p>
    <w:p>
      <w:pPr>
        <w:spacing w:after="0" w:line="150" w:lineRule="exact"/>
        <w:rPr>
          <w:sz w:val="20"/>
          <w:szCs w:val="20"/>
          <w:color w:val="auto"/>
        </w:rPr>
      </w:pPr>
    </w:p>
    <w:p>
      <w:pPr>
        <w:ind w:left="3680"/>
        <w:spacing w:after="0"/>
        <w:rPr>
          <w:sz w:val="20"/>
          <w:szCs w:val="20"/>
          <w:color w:val="auto"/>
        </w:rPr>
      </w:pPr>
      <w:r>
        <w:rPr>
          <w:rFonts w:ascii="Arial" w:cs="Arial" w:eastAsia="Arial" w:hAnsi="Arial"/>
          <w:sz w:val="12"/>
          <w:szCs w:val="12"/>
          <w:color w:val="auto"/>
        </w:rPr>
        <w:t>Original Note Issue Date:</w:t>
      </w:r>
    </w:p>
    <w:p>
      <w:pPr>
        <w:spacing w:after="0" w:line="150" w:lineRule="exact"/>
        <w:rPr>
          <w:sz w:val="20"/>
          <w:szCs w:val="20"/>
          <w:color w:val="auto"/>
        </w:rPr>
      </w:pPr>
    </w:p>
    <w:p>
      <w:pPr>
        <w:ind w:left="3680"/>
        <w:spacing w:after="0"/>
        <w:rPr>
          <w:sz w:val="20"/>
          <w:szCs w:val="20"/>
          <w:color w:val="auto"/>
        </w:rPr>
      </w:pPr>
      <w:r>
        <w:rPr>
          <w:rFonts w:ascii="Arial" w:cs="Arial" w:eastAsia="Arial" w:hAnsi="Arial"/>
          <w:sz w:val="12"/>
          <w:szCs w:val="12"/>
          <w:color w:val="auto"/>
        </w:rPr>
        <w:t>Initial Principal Amount of Original Note:</w:t>
      </w:r>
    </w:p>
    <w:p>
      <w:pPr>
        <w:spacing w:after="0" w:line="150" w:lineRule="exact"/>
        <w:rPr>
          <w:sz w:val="20"/>
          <w:szCs w:val="20"/>
          <w:color w:val="auto"/>
        </w:rPr>
      </w:pPr>
    </w:p>
    <w:p>
      <w:pPr>
        <w:ind w:left="3680"/>
        <w:spacing w:after="0"/>
        <w:rPr>
          <w:sz w:val="20"/>
          <w:szCs w:val="20"/>
          <w:color w:val="auto"/>
        </w:rPr>
      </w:pPr>
      <w:r>
        <w:rPr>
          <w:rFonts w:ascii="Arial" w:cs="Arial" w:eastAsia="Arial" w:hAnsi="Arial"/>
          <w:sz w:val="12"/>
          <w:szCs w:val="12"/>
          <w:color w:val="auto"/>
        </w:rPr>
        <w:t>Original Warrant Number:</w:t>
      </w:r>
    </w:p>
    <w:p>
      <w:pPr>
        <w:sectPr>
          <w:pgSz w:w="11900" w:h="16838" w:orient="portrait"/>
          <w:cols w:equalWidth="0" w:num="1">
            <w:col w:w="9819"/>
          </w:cols>
          <w:pgMar w:left="640" w:top="392" w:right="1440" w:bottom="1440" w:gutter="0" w:footer="0" w:header="0"/>
        </w:sectPr>
      </w:pPr>
    </w:p>
    <w:bookmarkStart w:id="174" w:name="page175"/>
    <w:bookmarkEnd w:id="174"/>
    <w:p>
      <w:pPr>
        <w:ind w:left="10640"/>
        <w:spacing w:after="0"/>
        <w:rPr>
          <w:sz w:val="20"/>
          <w:szCs w:val="20"/>
          <w:color w:val="auto"/>
        </w:rPr>
      </w:pPr>
      <w:r>
        <w:rPr>
          <w:rFonts w:ascii="Arial" w:cs="Arial" w:eastAsia="Arial" w:hAnsi="Arial"/>
          <w:sz w:val="11"/>
          <w:szCs w:val="11"/>
          <w:b w:val="1"/>
          <w:bCs w:val="1"/>
          <w:color w:val="auto"/>
        </w:rPr>
        <w:t>Exhibit 10.102A</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THIS PROMISSORY NOTE HAS NOT BEEN REGISTERED UNDER THE SECURITIES ACT OF 1933. NO SALE OR DISPOSITION MAY BE EFFECTED EXCEPT IN COMPLIANCE WITH RULE 144 UNDER SAID ACT OR AN EFFECTIVE REGISTRATION STATEMENT RELATED THERETO OR AN OPINION OF COUNSEL FOR THE HOLDER, SATISFACTORY TO THE COMPANY, THAT SUCH REGISTRATION IS NOT REQUIRED UNDER THE ACT OR RECEIPT OF A NO ACTION LETTER FROM THE SECURITIES AND EXCHANGE COMMISSION.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60" w:type="dxa"/>
            <w:vAlign w:val="bottom"/>
          </w:tcPr>
          <w:p>
            <w:pPr>
              <w:spacing w:after="0"/>
              <w:rPr>
                <w:sz w:val="13"/>
                <w:szCs w:val="13"/>
                <w:color w:val="auto"/>
              </w:rPr>
            </w:pPr>
          </w:p>
        </w:tc>
        <w:tc>
          <w:tcPr>
            <w:tcW w:w="8620" w:type="dxa"/>
            <w:vAlign w:val="bottom"/>
          </w:tcPr>
          <w:p>
            <w:pPr>
              <w:jc w:val="right"/>
              <w:ind w:right="5100"/>
              <w:spacing w:after="0"/>
              <w:rPr>
                <w:sz w:val="20"/>
                <w:szCs w:val="20"/>
                <w:color w:val="auto"/>
              </w:rPr>
            </w:pPr>
            <w:r>
              <w:rPr>
                <w:rFonts w:ascii="Arial" w:cs="Arial" w:eastAsia="Arial" w:hAnsi="Arial"/>
                <w:sz w:val="12"/>
                <w:szCs w:val="12"/>
                <w:b w:val="1"/>
                <w:bCs w:val="1"/>
                <w:color w:val="auto"/>
              </w:rPr>
              <w:t>PROMISSORY NOTE</w:t>
            </w:r>
          </w:p>
        </w:tc>
      </w:tr>
      <w:tr>
        <w:trPr>
          <w:trHeight w:val="297"/>
        </w:trPr>
        <w:tc>
          <w:tcPr>
            <w:tcW w:w="2860" w:type="dxa"/>
            <w:vAlign w:val="bottom"/>
          </w:tcPr>
          <w:p>
            <w:pPr>
              <w:jc w:val="right"/>
              <w:ind w:right="2200"/>
              <w:spacing w:after="0"/>
              <w:rPr>
                <w:sz w:val="20"/>
                <w:szCs w:val="20"/>
                <w:color w:val="auto"/>
              </w:rPr>
            </w:pPr>
            <w:r>
              <w:rPr>
                <w:rFonts w:ascii="Arial" w:cs="Arial" w:eastAsia="Arial" w:hAnsi="Arial"/>
                <w:sz w:val="12"/>
                <w:szCs w:val="12"/>
                <w:b w:val="1"/>
                <w:bCs w:val="1"/>
                <w:color w:val="auto"/>
                <w:w w:val="86"/>
              </w:rPr>
              <w:t>$300,000.00</w:t>
            </w:r>
          </w:p>
        </w:tc>
        <w:tc>
          <w:tcPr>
            <w:tcW w:w="8620" w:type="dxa"/>
            <w:vAlign w:val="bottom"/>
          </w:tcPr>
          <w:p>
            <w:pPr>
              <w:jc w:val="right"/>
              <w:spacing w:after="0"/>
              <w:rPr>
                <w:sz w:val="20"/>
                <w:szCs w:val="20"/>
                <w:color w:val="auto"/>
              </w:rPr>
            </w:pPr>
            <w:r>
              <w:rPr>
                <w:rFonts w:ascii="Arial" w:cs="Arial" w:eastAsia="Arial" w:hAnsi="Arial"/>
                <w:sz w:val="12"/>
                <w:szCs w:val="12"/>
                <w:color w:val="auto"/>
              </w:rPr>
              <w:t>April 10, 2014</w:t>
            </w:r>
          </w:p>
        </w:tc>
      </w:tr>
      <w:tr>
        <w:trPr>
          <w:trHeight w:val="153"/>
        </w:trPr>
        <w:tc>
          <w:tcPr>
            <w:tcW w:w="2860" w:type="dxa"/>
            <w:vAlign w:val="bottom"/>
          </w:tcPr>
          <w:p>
            <w:pPr>
              <w:spacing w:after="0"/>
              <w:rPr>
                <w:sz w:val="13"/>
                <w:szCs w:val="13"/>
                <w:color w:val="auto"/>
              </w:rPr>
            </w:pPr>
          </w:p>
        </w:tc>
        <w:tc>
          <w:tcPr>
            <w:tcW w:w="8620" w:type="dxa"/>
            <w:vAlign w:val="bottom"/>
          </w:tcPr>
          <w:p>
            <w:pPr>
              <w:jc w:val="right"/>
              <w:spacing w:after="0"/>
              <w:rPr>
                <w:sz w:val="20"/>
                <w:szCs w:val="20"/>
                <w:color w:val="auto"/>
              </w:rPr>
            </w:pPr>
            <w:r>
              <w:rPr>
                <w:rFonts w:ascii="Arial" w:cs="Arial" w:eastAsia="Arial" w:hAnsi="Arial"/>
                <w:sz w:val="12"/>
                <w:szCs w:val="12"/>
                <w:color w:val="auto"/>
              </w:rPr>
              <w:t>South San Francisco, California</w:t>
            </w:r>
          </w:p>
        </w:tc>
      </w:tr>
    </w:tbl>
    <w:p>
      <w:pPr>
        <w:spacing w:after="0" w:line="31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b w:val="1"/>
          <w:bCs w:val="1"/>
          <w:color w:val="auto"/>
        </w:rPr>
        <w:t>FOR VALUE RECEIVED</w:t>
      </w:r>
      <w:r>
        <w:rPr>
          <w:rFonts w:ascii="Arial" w:cs="Arial" w:eastAsia="Arial" w:hAnsi="Arial"/>
          <w:sz w:val="11"/>
          <w:szCs w:val="11"/>
          <w:color w:val="auto"/>
        </w:rPr>
        <w:t>, the undersigned,</w:t>
      </w:r>
      <w:r>
        <w:rPr>
          <w:rFonts w:ascii="Arial" w:cs="Arial" w:eastAsia="Arial" w:hAnsi="Arial"/>
          <w:sz w:val="11"/>
          <w:szCs w:val="11"/>
          <w:b w:val="1"/>
          <w:bCs w:val="1"/>
          <w:color w:val="auto"/>
        </w:rPr>
        <w:t xml:space="preserve"> VISTAGEN THERAPEUTICS, INC., </w:t>
      </w:r>
      <w:r>
        <w:rPr>
          <w:rFonts w:ascii="Arial" w:cs="Arial" w:eastAsia="Arial" w:hAnsi="Arial"/>
          <w:sz w:val="11"/>
          <w:szCs w:val="11"/>
          <w:color w:val="auto"/>
        </w:rPr>
        <w:t>a Nevada corporation (“the “</w:t>
      </w:r>
      <w:r>
        <w:rPr>
          <w:rFonts w:ascii="Arial" w:cs="Arial" w:eastAsia="Arial" w:hAnsi="Arial"/>
          <w:sz w:val="11"/>
          <w:szCs w:val="11"/>
          <w:i w:val="1"/>
          <w:iCs w:val="1"/>
          <w:color w:val="auto"/>
        </w:rPr>
        <w:t>Company</w:t>
      </w:r>
      <w:r>
        <w:rPr>
          <w:rFonts w:ascii="Arial" w:cs="Arial" w:eastAsia="Arial" w:hAnsi="Arial"/>
          <w:sz w:val="11"/>
          <w:szCs w:val="11"/>
          <w:color w:val="auto"/>
        </w:rPr>
        <w:t>”), hereby promises to pay to</w:t>
      </w:r>
      <w:r>
        <w:rPr>
          <w:rFonts w:ascii="Arial" w:cs="Arial" w:eastAsia="Arial" w:hAnsi="Arial"/>
          <w:sz w:val="11"/>
          <w:szCs w:val="11"/>
          <w:b w:val="1"/>
          <w:bCs w:val="1"/>
          <w:color w:val="auto"/>
        </w:rPr>
        <w:t xml:space="preserve"> ICAHN SCHOOL OF MEDICINE AT MOUNT SINAI </w:t>
      </w:r>
      <w:r>
        <w:rPr>
          <w:rFonts w:ascii="Arial" w:cs="Arial" w:eastAsia="Arial" w:hAnsi="Arial"/>
          <w:sz w:val="11"/>
          <w:szCs w:val="11"/>
          <w:color w:val="auto"/>
        </w:rPr>
        <w:t>(the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Holder</w:t>
      </w:r>
      <w:r>
        <w:rPr>
          <w:rFonts w:ascii="Arial" w:cs="Arial" w:eastAsia="Arial" w:hAnsi="Arial"/>
          <w:sz w:val="11"/>
          <w:szCs w:val="11"/>
          <w:color w:val="auto"/>
        </w:rPr>
        <w:t xml:space="preserve">”), at One Gustave L. Levy Place, New York, New York 10029, or at such other place or to such other party as Holder may from time to time designate, the principal sum of </w:t>
      </w:r>
      <w:r>
        <w:rPr>
          <w:rFonts w:ascii="Arial" w:cs="Arial" w:eastAsia="Arial" w:hAnsi="Arial"/>
          <w:sz w:val="11"/>
          <w:szCs w:val="11"/>
          <w:b w:val="1"/>
          <w:bCs w:val="1"/>
          <w:color w:val="auto"/>
        </w:rPr>
        <w:t>THREE HUNDRED THOUSAND DOLLARS</w:t>
      </w:r>
      <w:r>
        <w:rPr>
          <w:rFonts w:ascii="Arial" w:cs="Arial" w:eastAsia="Arial" w:hAnsi="Arial"/>
          <w:sz w:val="11"/>
          <w:szCs w:val="11"/>
          <w:color w:val="auto"/>
        </w:rPr>
        <w:t xml:space="preserve"> ($300,000), plus interest from the date hereof and any amounts added to this Note in accordance with Section 3 hereof, in lawful money of the United States of America and in immediately available funds, with interest on the outstanding principal amount at the simple rate of 10.0% per annum (computed on the basis of actual calendar days elapsed and a year of 360 days). Interest shall commence with the date hereof and shall accrue on the outstanding principal until paid in accordance with the provisions hereof. All of following Company securities are being issued by the Company to Holder in full satisfaction of certain invoices for license maintenance fees and reimbursable patent prosecution costs (“</w:t>
      </w:r>
      <w:r>
        <w:rPr>
          <w:rFonts w:ascii="Arial" w:cs="Arial" w:eastAsia="Arial" w:hAnsi="Arial"/>
          <w:sz w:val="11"/>
          <w:szCs w:val="11"/>
          <w:i w:val="1"/>
          <w:iCs w:val="1"/>
          <w:color w:val="auto"/>
        </w:rPr>
        <w:t>License Expenses</w:t>
      </w:r>
      <w:r>
        <w:rPr>
          <w:rFonts w:ascii="Arial" w:cs="Arial" w:eastAsia="Arial" w:hAnsi="Arial"/>
          <w:sz w:val="11"/>
          <w:szCs w:val="11"/>
          <w:color w:val="auto"/>
        </w:rPr>
        <w:t>”), as identified in Schedule 1 to this Note, pursuant to that certain Agreement between the Company and Holder, effective October 1, 2004 (the “</w:t>
      </w:r>
      <w:r>
        <w:rPr>
          <w:rFonts w:ascii="Arial" w:cs="Arial" w:eastAsia="Arial" w:hAnsi="Arial"/>
          <w:sz w:val="11"/>
          <w:szCs w:val="11"/>
          <w:i w:val="1"/>
          <w:iCs w:val="1"/>
          <w:color w:val="auto"/>
        </w:rPr>
        <w:t>License Agreement</w:t>
      </w:r>
      <w:r>
        <w:rPr>
          <w:rFonts w:ascii="Arial" w:cs="Arial" w:eastAsia="Arial" w:hAnsi="Arial"/>
          <w:sz w:val="11"/>
          <w:szCs w:val="11"/>
          <w:color w:val="auto"/>
        </w:rPr>
        <w:t>”) incurred by the Company and its subsidiaries through March 17, 2014, as well as any additional amounts payable for License Expenses through December 31, 2014, as contemplated by Section 3 hereof:</w:t>
      </w:r>
    </w:p>
    <w:p>
      <w:pPr>
        <w:spacing w:after="0" w:line="131" w:lineRule="exact"/>
        <w:rPr>
          <w:sz w:val="20"/>
          <w:szCs w:val="20"/>
          <w:color w:val="auto"/>
        </w:rPr>
      </w:pPr>
    </w:p>
    <w:p>
      <w:pPr>
        <w:ind w:left="420" w:hanging="86"/>
        <w:spacing w:after="0"/>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This Promissory Note (the “</w:t>
      </w:r>
      <w:r>
        <w:rPr>
          <w:rFonts w:ascii="Arial" w:cs="Arial" w:eastAsia="Arial" w:hAnsi="Arial"/>
          <w:sz w:val="12"/>
          <w:szCs w:val="12"/>
          <w:i w:val="1"/>
          <w:iCs w:val="1"/>
          <w:color w:val="auto"/>
        </w:rPr>
        <w:t>Note</w:t>
      </w: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420" w:right="20" w:hanging="86"/>
        <w:spacing w:after="0" w:line="250" w:lineRule="auto"/>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Three hundred thousand (300,000) shares of unregistered Company common stock (the “Shares”), which Shares the Company shall, concurrently with the issuance of this Note, instruct its stock transfer agent to cause to be issued to Holder as soon as practicable following the date of this Note, , but in no event later April 30, 2014; and</w:t>
      </w:r>
    </w:p>
    <w:p>
      <w:pPr>
        <w:ind w:left="420" w:hanging="86"/>
        <w:spacing w:after="0" w:line="261" w:lineRule="auto"/>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Warrants to purchase three hundred thousand (300,000) shares of unregistered Company common stock at a purchase price of $0.50 per share (the “</w:t>
      </w:r>
      <w:r>
        <w:rPr>
          <w:rFonts w:ascii="Arial" w:cs="Arial" w:eastAsia="Arial" w:hAnsi="Arial"/>
          <w:sz w:val="12"/>
          <w:szCs w:val="12"/>
          <w:i w:val="1"/>
          <w:iCs w:val="1"/>
          <w:color w:val="auto"/>
        </w:rPr>
        <w:t>Warrants</w:t>
      </w:r>
      <w:r>
        <w:rPr>
          <w:rFonts w:ascii="Arial" w:cs="Arial" w:eastAsia="Arial" w:hAnsi="Arial"/>
          <w:sz w:val="12"/>
          <w:szCs w:val="12"/>
          <w:color w:val="auto"/>
        </w:rPr>
        <w:t>”), which Warrants shall be issued to Holder concurrently with the issuance of this Note.</w:t>
      </w:r>
    </w:p>
    <w:p>
      <w:pPr>
        <w:spacing w:after="0" w:line="159" w:lineRule="exact"/>
        <w:rPr>
          <w:rFonts w:ascii="Arial" w:cs="Arial" w:eastAsia="Arial" w:hAnsi="Arial"/>
          <w:sz w:val="12"/>
          <w:szCs w:val="12"/>
          <w:color w:val="auto"/>
        </w:rPr>
      </w:pPr>
    </w:p>
    <w:p>
      <w:pPr>
        <w:jc w:val="both"/>
        <w:ind w:firstLine="424"/>
        <w:spacing w:after="0" w:line="259" w:lineRule="auto"/>
        <w:tabs>
          <w:tab w:leader="none" w:pos="666" w:val="left"/>
        </w:tabs>
        <w:numPr>
          <w:ilvl w:val="1"/>
          <w:numId w:val="95"/>
        </w:numPr>
        <w:rPr>
          <w:rFonts w:ascii="Arial" w:cs="Arial" w:eastAsia="Arial" w:hAnsi="Arial"/>
          <w:sz w:val="12"/>
          <w:szCs w:val="12"/>
          <w:color w:val="auto"/>
        </w:rPr>
      </w:pPr>
      <w:r>
        <w:rPr>
          <w:rFonts w:ascii="Arial" w:cs="Arial" w:eastAsia="Arial" w:hAnsi="Arial"/>
          <w:sz w:val="12"/>
          <w:szCs w:val="12"/>
          <w:color w:val="auto"/>
        </w:rPr>
        <w:t>Commencing on April 30, 2014 and continuing until December 31, 2014, the Company shall make monthly installment payments on the Note, each in the amount of $10,000. Each payment shall be applied first to accrued interest, and thereafter to principal. The remaining unpaid balance of principal and all unpaid accrued interest shall become fully due and payable on December 31, 2014, provided, however, that the Company shall have the right to pay the outstanding principal amount of this Note together with all of the accrued and unpaid interest due and payable hereunder on the date of such payment (the “</w:t>
      </w:r>
      <w:r>
        <w:rPr>
          <w:rFonts w:ascii="Arial" w:cs="Arial" w:eastAsia="Arial" w:hAnsi="Arial"/>
          <w:sz w:val="12"/>
          <w:szCs w:val="12"/>
          <w:i w:val="1"/>
          <w:iCs w:val="1"/>
          <w:color w:val="auto"/>
        </w:rPr>
        <w:t>Outstanding Balance</w:t>
      </w:r>
      <w:r>
        <w:rPr>
          <w:rFonts w:ascii="Arial" w:cs="Arial" w:eastAsia="Arial" w:hAnsi="Arial"/>
          <w:sz w:val="12"/>
          <w:szCs w:val="12"/>
          <w:color w:val="auto"/>
        </w:rPr>
        <w:t>”) to Holder at any time prior to Maturity (as defined in Section 2 below).</w:t>
      </w:r>
    </w:p>
    <w:p>
      <w:pPr>
        <w:spacing w:after="0" w:line="156" w:lineRule="exact"/>
        <w:rPr>
          <w:rFonts w:ascii="Arial" w:cs="Arial" w:eastAsia="Arial" w:hAnsi="Arial"/>
          <w:sz w:val="12"/>
          <w:szCs w:val="12"/>
          <w:color w:val="auto"/>
        </w:rPr>
      </w:pPr>
    </w:p>
    <w:p>
      <w:pPr>
        <w:jc w:val="both"/>
        <w:ind w:firstLine="424"/>
        <w:spacing w:after="0" w:line="261" w:lineRule="auto"/>
        <w:tabs>
          <w:tab w:leader="none" w:pos="675" w:val="left"/>
        </w:tabs>
        <w:numPr>
          <w:ilvl w:val="1"/>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This Note shall mature on the earlier to occur of (i) the Company’s consummation of a Qualified Financing, as defined below and (ii) December 31, 2014 (“</w:t>
      </w:r>
      <w:r>
        <w:rPr>
          <w:rFonts w:ascii="Arial" w:cs="Arial" w:eastAsia="Arial" w:hAnsi="Arial"/>
          <w:sz w:val="12"/>
          <w:szCs w:val="12"/>
          <w:b w:val="1"/>
          <w:bCs w:val="1"/>
          <w:i w:val="1"/>
          <w:iCs w:val="1"/>
          <w:color w:val="auto"/>
        </w:rPr>
        <w:t>Maturity</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this Note, “Qualified</w:t>
      </w:r>
      <w:r>
        <w:rPr>
          <w:rFonts w:ascii="Arial" w:cs="Arial" w:eastAsia="Arial" w:hAnsi="Arial"/>
          <w:sz w:val="12"/>
          <w:szCs w:val="12"/>
          <w:b w:val="1"/>
          <w:bCs w:val="1"/>
          <w:color w:val="auto"/>
        </w:rPr>
        <w:t xml:space="preserve"> </w:t>
      </w:r>
      <w:r>
        <w:rPr>
          <w:rFonts w:ascii="Arial" w:cs="Arial" w:eastAsia="Arial" w:hAnsi="Arial"/>
          <w:sz w:val="12"/>
          <w:szCs w:val="12"/>
          <w:color w:val="auto"/>
        </w:rPr>
        <w:t>Financing” shall mean any (i) equity-based public financing registered with the United States Securities and Exchange Commission (“</w:t>
      </w:r>
      <w:r>
        <w:rPr>
          <w:rFonts w:ascii="Arial" w:cs="Arial" w:eastAsia="Arial" w:hAnsi="Arial"/>
          <w:sz w:val="12"/>
          <w:szCs w:val="12"/>
          <w:i w:val="1"/>
          <w:iCs w:val="1"/>
          <w:color w:val="auto"/>
        </w:rPr>
        <w:t>SEC</w:t>
      </w:r>
      <w:r>
        <w:rPr>
          <w:rFonts w:ascii="Arial" w:cs="Arial" w:eastAsia="Arial" w:hAnsi="Arial"/>
          <w:sz w:val="12"/>
          <w:szCs w:val="12"/>
          <w:color w:val="auto"/>
        </w:rPr>
        <w:t>”) or (ii) equity-based private financing not registered with the SEC, in either case resulting in gross proceeds to the Company of at least $5.0 million prior to Maturity. Upon Maturity as the result of a Qualified Financing, the entire Outstanding Balance shall be due and payable to Holder within two (2) business days of the consummation of the Qualified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264160</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75" w:name="page176"/>
    <w:bookmarkEnd w:id="175"/>
    <w:p>
      <w:pPr>
        <w:jc w:val="both"/>
        <w:ind w:firstLine="424"/>
        <w:spacing w:after="0" w:line="259" w:lineRule="auto"/>
        <w:tabs>
          <w:tab w:leader="none" w:pos="709" w:val="left"/>
        </w:tabs>
        <w:numPr>
          <w:ilvl w:val="0"/>
          <w:numId w:val="96"/>
        </w:numPr>
        <w:rPr>
          <w:rFonts w:ascii="Arial" w:cs="Arial" w:eastAsia="Arial" w:hAnsi="Arial"/>
          <w:sz w:val="12"/>
          <w:szCs w:val="12"/>
          <w:color w:val="auto"/>
        </w:rPr>
      </w:pPr>
      <w:r>
        <w:rPr>
          <w:rFonts w:ascii="Arial" w:cs="Arial" w:eastAsia="Arial" w:hAnsi="Arial"/>
          <w:sz w:val="12"/>
          <w:szCs w:val="12"/>
          <w:color w:val="auto"/>
        </w:rPr>
        <w:t>Unless this Note shall have been paid pursuant to Section 2 hereof prior to December 31, 2014, all amounts otherwise payable by the Company to Holder for License Expenses incurred pursuant to the License Agreement from March 18, 2014 through December 31, 2014 shall automatically be added to the outstanding principal balance of this Note upon delivery of an invoice for such License Expenses by Holder to the Company. The Company shall, within twenty (20) business days of its receipt of such invoices (i) update Schedule 1 to this Note to reflect such additional invoices for License Expenses incurred after March 18, 2014 and on or before December 31, 2014 and (ii) provide such updated schedule to Holder.</w:t>
      </w:r>
    </w:p>
    <w:p>
      <w:pPr>
        <w:spacing w:after="0" w:line="161" w:lineRule="exact"/>
        <w:rPr>
          <w:sz w:val="20"/>
          <w:szCs w:val="20"/>
          <w:color w:val="auto"/>
        </w:rPr>
      </w:pPr>
    </w:p>
    <w:p>
      <w:pPr>
        <w:ind w:left="660" w:hanging="236"/>
        <w:spacing w:after="0"/>
        <w:tabs>
          <w:tab w:leader="none" w:pos="6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terms of this Note shall be construed in accordance with and governed by the laws of the State of New York, as applied to contracts to be performed entirely within the State of New York.</w:t>
      </w:r>
    </w:p>
    <w:p>
      <w:pPr>
        <w:spacing w:after="0" w:line="186" w:lineRule="exact"/>
        <w:rPr>
          <w:rFonts w:ascii="Arial" w:cs="Arial" w:eastAsia="Arial" w:hAnsi="Arial"/>
          <w:sz w:val="12"/>
          <w:szCs w:val="12"/>
          <w:color w:val="auto"/>
        </w:rPr>
      </w:pPr>
    </w:p>
    <w:p>
      <w:pPr>
        <w:ind w:right="20" w:firstLine="424"/>
        <w:spacing w:after="0" w:line="276" w:lineRule="auto"/>
        <w:tabs>
          <w:tab w:leader="none" w:pos="666"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Any term of this Note may be waived (either generally or in a particular instance and either retroactively or prospectively), only with the prior written consent of Company and the Holder. Any amendment or waiver effected in accordance with this Section 5 shall be binding upon the Company and the Holder.</w:t>
      </w:r>
    </w:p>
    <w:p>
      <w:pPr>
        <w:spacing w:after="0" w:line="150" w:lineRule="exact"/>
        <w:rPr>
          <w:rFonts w:ascii="Arial" w:cs="Arial" w:eastAsia="Arial" w:hAnsi="Arial"/>
          <w:sz w:val="12"/>
          <w:szCs w:val="12"/>
          <w:color w:val="auto"/>
        </w:rPr>
      </w:pPr>
    </w:p>
    <w:p>
      <w:pPr>
        <w:ind w:firstLine="424"/>
        <w:spacing w:after="0" w:line="276" w:lineRule="auto"/>
        <w:tabs>
          <w:tab w:leader="none" w:pos="666" w:val="left"/>
        </w:tabs>
        <w:numPr>
          <w:ilvl w:val="0"/>
          <w:numId w:val="97"/>
        </w:numPr>
        <w:rPr>
          <w:rFonts w:ascii="Arial" w:cs="Arial" w:eastAsia="Arial" w:hAnsi="Arial"/>
          <w:sz w:val="12"/>
          <w:szCs w:val="12"/>
          <w:color w:val="auto"/>
        </w:rPr>
      </w:pPr>
      <w:r>
        <w:rPr>
          <w:rFonts w:ascii="Arial" w:cs="Arial" w:eastAsia="Arial" w:hAnsi="Arial"/>
          <w:sz w:val="12"/>
          <w:szCs w:val="12"/>
          <w:color w:val="auto"/>
        </w:rPr>
        <w:t>If any provision of this Note, or the application of such provision to any person or circumstance, is held invalid or unenforceable by a legally binding ruling of a court or other legal authority with jurisdiction to make such ruling, the remainder of this Note, or the application of such provisions to persons or circumstances other than those as to which it is held invalid or unenforceable, shall not be affected thereby.</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Except as may be otherwise provided herein, all notices, requests, waivers and other communications made pursuant to this Note shall be made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900" w:type="dxa"/>
            <w:vAlign w:val="bottom"/>
          </w:tcPr>
          <w:p>
            <w:pPr>
              <w:ind w:left="420"/>
              <w:spacing w:after="0"/>
              <w:rPr>
                <w:sz w:val="20"/>
                <w:szCs w:val="20"/>
                <w:color w:val="auto"/>
              </w:rPr>
            </w:pPr>
            <w:r>
              <w:rPr>
                <w:rFonts w:ascii="Arial" w:cs="Arial" w:eastAsia="Arial" w:hAnsi="Arial"/>
                <w:sz w:val="12"/>
                <w:szCs w:val="12"/>
                <w:color w:val="auto"/>
              </w:rPr>
              <w:t>If to the Holder:</w:t>
            </w:r>
          </w:p>
        </w:tc>
        <w:tc>
          <w:tcPr>
            <w:tcW w:w="9580" w:type="dxa"/>
            <w:vAlign w:val="bottom"/>
          </w:tcPr>
          <w:p>
            <w:pPr>
              <w:ind w:left="860"/>
              <w:spacing w:after="0"/>
              <w:rPr>
                <w:sz w:val="20"/>
                <w:szCs w:val="20"/>
                <w:color w:val="auto"/>
              </w:rPr>
            </w:pPr>
            <w:r>
              <w:rPr>
                <w:rFonts w:ascii="Arial" w:cs="Arial" w:eastAsia="Arial" w:hAnsi="Arial"/>
                <w:sz w:val="12"/>
                <w:szCs w:val="12"/>
                <w:color w:val="auto"/>
              </w:rPr>
              <w:t>Robert M. Hellauer</w:t>
            </w:r>
          </w:p>
        </w:tc>
      </w:tr>
      <w:tr>
        <w:trPr>
          <w:trHeight w:val="144"/>
        </w:trPr>
        <w:tc>
          <w:tcPr>
            <w:tcW w:w="1900" w:type="dxa"/>
            <w:vAlign w:val="bottom"/>
          </w:tcPr>
          <w:p>
            <w:pPr>
              <w:spacing w:after="0"/>
              <w:rPr>
                <w:sz w:val="12"/>
                <w:szCs w:val="12"/>
                <w:color w:val="auto"/>
              </w:rPr>
            </w:pPr>
          </w:p>
        </w:tc>
        <w:tc>
          <w:tcPr>
            <w:tcW w:w="9580" w:type="dxa"/>
            <w:vAlign w:val="bottom"/>
          </w:tcPr>
          <w:p>
            <w:pPr>
              <w:ind w:left="680"/>
              <w:spacing w:after="0"/>
              <w:rPr>
                <w:sz w:val="20"/>
                <w:szCs w:val="20"/>
                <w:color w:val="auto"/>
              </w:rPr>
            </w:pPr>
            <w:r>
              <w:rPr>
                <w:rFonts w:ascii="Arial" w:cs="Arial" w:eastAsia="Arial" w:hAnsi="Arial"/>
                <w:sz w:val="12"/>
                <w:szCs w:val="12"/>
                <w:color w:val="auto"/>
              </w:rPr>
              <w:t>Director, Finance and Operations</w:t>
            </w:r>
          </w:p>
        </w:tc>
      </w:tr>
      <w:tr>
        <w:trPr>
          <w:trHeight w:val="144"/>
        </w:trPr>
        <w:tc>
          <w:tcPr>
            <w:tcW w:w="1900" w:type="dxa"/>
            <w:vAlign w:val="bottom"/>
          </w:tcPr>
          <w:p>
            <w:pPr>
              <w:spacing w:after="0"/>
              <w:rPr>
                <w:sz w:val="12"/>
                <w:szCs w:val="12"/>
                <w:color w:val="auto"/>
              </w:rPr>
            </w:pPr>
          </w:p>
        </w:tc>
        <w:tc>
          <w:tcPr>
            <w:tcW w:w="9580" w:type="dxa"/>
            <w:vAlign w:val="bottom"/>
          </w:tcPr>
          <w:p>
            <w:pPr>
              <w:ind w:left="680"/>
              <w:spacing w:after="0"/>
              <w:rPr>
                <w:sz w:val="20"/>
                <w:szCs w:val="20"/>
                <w:color w:val="auto"/>
              </w:rPr>
            </w:pPr>
            <w:r>
              <w:rPr>
                <w:rFonts w:ascii="Arial" w:cs="Arial" w:eastAsia="Arial" w:hAnsi="Arial"/>
                <w:sz w:val="12"/>
                <w:szCs w:val="12"/>
                <w:color w:val="auto"/>
              </w:rPr>
              <w:t>Mount Sinai Innovation Partners</w:t>
            </w:r>
          </w:p>
        </w:tc>
      </w:tr>
      <w:tr>
        <w:trPr>
          <w:trHeight w:val="144"/>
        </w:trPr>
        <w:tc>
          <w:tcPr>
            <w:tcW w:w="1900" w:type="dxa"/>
            <w:vAlign w:val="bottom"/>
          </w:tcPr>
          <w:p>
            <w:pPr>
              <w:spacing w:after="0"/>
              <w:rPr>
                <w:sz w:val="12"/>
                <w:szCs w:val="12"/>
                <w:color w:val="auto"/>
              </w:rPr>
            </w:pPr>
          </w:p>
        </w:tc>
        <w:tc>
          <w:tcPr>
            <w:tcW w:w="9580" w:type="dxa"/>
            <w:vAlign w:val="bottom"/>
          </w:tcPr>
          <w:p>
            <w:pPr>
              <w:ind w:left="680"/>
              <w:spacing w:after="0"/>
              <w:rPr>
                <w:sz w:val="20"/>
                <w:szCs w:val="20"/>
                <w:color w:val="auto"/>
              </w:rPr>
            </w:pPr>
            <w:r>
              <w:rPr>
                <w:rFonts w:ascii="Arial" w:cs="Arial" w:eastAsia="Arial" w:hAnsi="Arial"/>
                <w:sz w:val="12"/>
                <w:szCs w:val="12"/>
                <w:color w:val="auto"/>
              </w:rPr>
              <w:t>Icahn School of Medicine at Mount Sinai</w:t>
            </w:r>
          </w:p>
        </w:tc>
      </w:tr>
      <w:tr>
        <w:trPr>
          <w:trHeight w:val="144"/>
        </w:trPr>
        <w:tc>
          <w:tcPr>
            <w:tcW w:w="1900" w:type="dxa"/>
            <w:vAlign w:val="bottom"/>
          </w:tcPr>
          <w:p>
            <w:pPr>
              <w:spacing w:after="0"/>
              <w:rPr>
                <w:sz w:val="12"/>
                <w:szCs w:val="12"/>
                <w:color w:val="auto"/>
              </w:rPr>
            </w:pPr>
          </w:p>
        </w:tc>
        <w:tc>
          <w:tcPr>
            <w:tcW w:w="9580" w:type="dxa"/>
            <w:vAlign w:val="bottom"/>
          </w:tcPr>
          <w:p>
            <w:pPr>
              <w:ind w:left="680"/>
              <w:spacing w:after="0"/>
              <w:rPr>
                <w:sz w:val="20"/>
                <w:szCs w:val="20"/>
                <w:color w:val="auto"/>
              </w:rPr>
            </w:pPr>
            <w:r>
              <w:rPr>
                <w:rFonts w:ascii="Arial" w:cs="Arial" w:eastAsia="Arial" w:hAnsi="Arial"/>
                <w:sz w:val="12"/>
                <w:szCs w:val="12"/>
                <w:color w:val="auto"/>
              </w:rPr>
              <w:t>770 Lexington Avenue, 14th Floor</w:t>
            </w:r>
          </w:p>
        </w:tc>
      </w:tr>
      <w:tr>
        <w:trPr>
          <w:trHeight w:val="144"/>
        </w:trPr>
        <w:tc>
          <w:tcPr>
            <w:tcW w:w="1900" w:type="dxa"/>
            <w:vAlign w:val="bottom"/>
          </w:tcPr>
          <w:p>
            <w:pPr>
              <w:spacing w:after="0"/>
              <w:rPr>
                <w:sz w:val="12"/>
                <w:szCs w:val="12"/>
                <w:color w:val="auto"/>
              </w:rPr>
            </w:pPr>
          </w:p>
        </w:tc>
        <w:tc>
          <w:tcPr>
            <w:tcW w:w="9580" w:type="dxa"/>
            <w:vAlign w:val="bottom"/>
          </w:tcPr>
          <w:p>
            <w:pPr>
              <w:ind w:left="680"/>
              <w:spacing w:after="0"/>
              <w:rPr>
                <w:sz w:val="20"/>
                <w:szCs w:val="20"/>
                <w:color w:val="auto"/>
              </w:rPr>
            </w:pPr>
            <w:r>
              <w:rPr>
                <w:rFonts w:ascii="Arial" w:cs="Arial" w:eastAsia="Arial" w:hAnsi="Arial"/>
                <w:sz w:val="12"/>
                <w:szCs w:val="12"/>
                <w:color w:val="auto"/>
              </w:rPr>
              <w:t>New York, NY 10065</w:t>
            </w:r>
          </w:p>
        </w:tc>
      </w:tr>
      <w:tr>
        <w:trPr>
          <w:trHeight w:val="144"/>
        </w:trPr>
        <w:tc>
          <w:tcPr>
            <w:tcW w:w="1900" w:type="dxa"/>
            <w:vAlign w:val="bottom"/>
          </w:tcPr>
          <w:p>
            <w:pPr>
              <w:spacing w:after="0"/>
              <w:rPr>
                <w:sz w:val="12"/>
                <w:szCs w:val="12"/>
                <w:color w:val="auto"/>
              </w:rPr>
            </w:pPr>
          </w:p>
        </w:tc>
        <w:tc>
          <w:tcPr>
            <w:tcW w:w="9580" w:type="dxa"/>
            <w:vAlign w:val="bottom"/>
          </w:tcPr>
          <w:p>
            <w:pPr>
              <w:ind w:left="680"/>
              <w:spacing w:after="0"/>
              <w:rPr>
                <w:sz w:val="20"/>
                <w:szCs w:val="20"/>
                <w:color w:val="auto"/>
              </w:rPr>
            </w:pPr>
            <w:r>
              <w:rPr>
                <w:rFonts w:ascii="Arial" w:cs="Arial" w:eastAsia="Arial" w:hAnsi="Arial"/>
                <w:sz w:val="12"/>
                <w:szCs w:val="12"/>
                <w:color w:val="auto"/>
              </w:rPr>
              <w:t>Tel. No.: (212) 659-9680</w:t>
            </w:r>
          </w:p>
        </w:tc>
      </w:tr>
      <w:tr>
        <w:trPr>
          <w:trHeight w:val="153"/>
        </w:trPr>
        <w:tc>
          <w:tcPr>
            <w:tcW w:w="1900" w:type="dxa"/>
            <w:vAlign w:val="bottom"/>
          </w:tcPr>
          <w:p>
            <w:pPr>
              <w:spacing w:after="0"/>
              <w:rPr>
                <w:sz w:val="13"/>
                <w:szCs w:val="13"/>
                <w:color w:val="auto"/>
              </w:rPr>
            </w:pPr>
          </w:p>
        </w:tc>
        <w:tc>
          <w:tcPr>
            <w:tcW w:w="9580" w:type="dxa"/>
            <w:vAlign w:val="bottom"/>
          </w:tcPr>
          <w:p>
            <w:pPr>
              <w:ind w:left="680"/>
              <w:spacing w:after="0"/>
              <w:rPr>
                <w:sz w:val="20"/>
                <w:szCs w:val="20"/>
                <w:color w:val="auto"/>
              </w:rPr>
            </w:pPr>
            <w:r>
              <w:rPr>
                <w:rFonts w:ascii="Arial" w:cs="Arial" w:eastAsia="Arial" w:hAnsi="Arial"/>
                <w:sz w:val="12"/>
                <w:szCs w:val="12"/>
                <w:color w:val="auto"/>
              </w:rPr>
              <w:t>Fax No.: (212) 348-3116</w:t>
            </w:r>
          </w:p>
        </w:tc>
      </w:tr>
      <w:tr>
        <w:trPr>
          <w:trHeight w:val="742"/>
        </w:trPr>
        <w:tc>
          <w:tcPr>
            <w:tcW w:w="190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76" w:name="page177"/>
    <w:bookmarkEnd w:id="176"/>
    <w:p>
      <w:pPr>
        <w:spacing w:after="0"/>
        <w:rPr>
          <w:sz w:val="20"/>
          <w:szCs w:val="20"/>
          <w:color w:val="auto"/>
        </w:rPr>
      </w:pPr>
      <w:r>
        <w:rPr>
          <w:rFonts w:ascii="Arial" w:cs="Arial" w:eastAsia="Arial" w:hAnsi="Arial"/>
          <w:sz w:val="12"/>
          <w:szCs w:val="12"/>
          <w:color w:val="auto"/>
        </w:rPr>
        <w:t>with a copy (for legal notices only) to:</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Icahn School of Medicine at Mount Sinai</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One Gustave L. Levy Place, Box 1099</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10029</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Office of General Counsel</w:t>
      </w:r>
    </w:p>
    <w:p>
      <w:pPr>
        <w:sectPr>
          <w:pgSz w:w="11900" w:h="16838" w:orient="portrait"/>
          <w:cols w:equalWidth="0" w:num="1">
            <w:col w:w="11480"/>
          </w:cols>
          <w:pgMar w:left="220" w:top="392" w:right="199" w:bottom="1440" w:gutter="0" w:footer="0" w:header="0"/>
        </w:sectPr>
      </w:pPr>
    </w:p>
    <w:p>
      <w:pPr>
        <w:spacing w:after="0" w:line="15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If to the Company: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South San Francisco, CA 94080</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Attention: Chief Executive Officer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Tel. No.: (650) 577-3600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Fax No.: (888) 482-2602</w:t>
      </w:r>
    </w:p>
    <w:p>
      <w:pPr>
        <w:spacing w:after="0" w:line="177" w:lineRule="exact"/>
        <w:rPr>
          <w:sz w:val="20"/>
          <w:szCs w:val="20"/>
          <w:color w:val="auto"/>
        </w:rPr>
      </w:pPr>
    </w:p>
    <w:p>
      <w:pPr>
        <w:sectPr>
          <w:pgSz w:w="11900" w:h="16838" w:orient="portrait"/>
          <w:cols w:equalWidth="0" w:num="2">
            <w:col w:w="1860" w:space="720"/>
            <w:col w:w="8900"/>
          </w:cols>
          <w:pgMar w:left="220" w:top="392" w:right="199" w:bottom="1440" w:gutter="0" w:footer="0" w:header="0"/>
          <w:type w:val="continuous"/>
        </w:sectPr>
      </w:pPr>
    </w:p>
    <w:p>
      <w:pPr>
        <w:ind w:firstLine="424"/>
        <w:spacing w:after="0" w:line="276" w:lineRule="auto"/>
        <w:tabs>
          <w:tab w:leader="none" w:pos="675" w:val="left"/>
        </w:tabs>
        <w:numPr>
          <w:ilvl w:val="0"/>
          <w:numId w:val="98"/>
        </w:numPr>
        <w:rPr>
          <w:rFonts w:ascii="Arial" w:cs="Arial" w:eastAsia="Arial" w:hAnsi="Arial"/>
          <w:sz w:val="12"/>
          <w:szCs w:val="12"/>
          <w:color w:val="auto"/>
        </w:rPr>
      </w:pPr>
      <w:r>
        <w:rPr>
          <w:rFonts w:ascii="Arial" w:cs="Arial" w:eastAsia="Arial" w:hAnsi="Arial"/>
          <w:sz w:val="12"/>
          <w:szCs w:val="12"/>
          <w:color w:val="auto"/>
        </w:rPr>
        <w:t>In case any Note shall be mutilated, lost, stolen or destroyed, the Company shall issue a new Note of like date, tenor and denomination and deliver the same in exchange and substitution for and upon surrender and cancellation of any mutilated Note, or in lieu of any Note lost, stolen or destroyed, upon receipt of evidence satisfactory to the Company of the loss, theft or destruction of such Note.</w:t>
      </w:r>
    </w:p>
    <w:p>
      <w:pPr>
        <w:spacing w:after="0" w:line="150" w:lineRule="exact"/>
        <w:rPr>
          <w:rFonts w:ascii="Arial" w:cs="Arial" w:eastAsia="Arial" w:hAnsi="Arial"/>
          <w:sz w:val="12"/>
          <w:szCs w:val="12"/>
          <w:color w:val="auto"/>
        </w:rPr>
      </w:pPr>
    </w:p>
    <w:p>
      <w:pPr>
        <w:ind w:left="660" w:hanging="236"/>
        <w:spacing w:after="0"/>
        <w:tabs>
          <w:tab w:leader="none" w:pos="6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Notwithstanding any other provision to the contrary herein, in no event shall the interest attributable to this Note exceed the maximum rate of interest then permitted under applicable law.</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Note is executed as of the day first above written.</w:t>
      </w:r>
    </w:p>
    <w:p>
      <w:pPr>
        <w:spacing w:after="0" w:line="164"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VISTAGEN THERAPEUTICS, INC.</w:t>
      </w:r>
    </w:p>
    <w:p>
      <w:pPr>
        <w:spacing w:after="0" w:line="200" w:lineRule="exact"/>
        <w:rPr>
          <w:sz w:val="20"/>
          <w:szCs w:val="20"/>
          <w:color w:val="auto"/>
        </w:rPr>
      </w:pPr>
    </w:p>
    <w:p>
      <w:pPr>
        <w:spacing w:after="0" w:line="296" w:lineRule="exact"/>
        <w:rPr>
          <w:sz w:val="20"/>
          <w:szCs w:val="20"/>
          <w:color w:val="auto"/>
        </w:rPr>
      </w:pPr>
    </w:p>
    <w:p>
      <w:pPr>
        <w:ind w:left="2580"/>
        <w:spacing w:after="0"/>
        <w:tabs>
          <w:tab w:leader="none" w:pos="2920" w:val="left"/>
        </w:tabs>
        <w:rPr>
          <w:sz w:val="20"/>
          <w:szCs w:val="20"/>
          <w:color w:val="auto"/>
        </w:rPr>
      </w:pPr>
      <w:r>
        <w:rPr>
          <w:rFonts w:ascii="Arial" w:cs="Arial" w:eastAsia="Arial" w:hAnsi="Arial"/>
          <w:sz w:val="12"/>
          <w:szCs w:val="12"/>
          <w:color w:val="auto"/>
        </w:rPr>
        <w:t>By:</w:t>
        <w:tab/>
        <w:t>__________________________</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2"/>
          <w:szCs w:val="12"/>
          <w:color w:val="auto"/>
        </w:rPr>
        <w:t>Shawn K. Singh</w:t>
      </w:r>
    </w:p>
    <w:p>
      <w:pPr>
        <w:spacing w:after="0" w:line="6" w:lineRule="exact"/>
        <w:rPr>
          <w:sz w:val="20"/>
          <w:szCs w:val="20"/>
          <w:color w:val="auto"/>
        </w:rPr>
      </w:pPr>
    </w:p>
    <w:p>
      <w:pPr>
        <w:ind w:left="2920"/>
        <w:spacing w:after="0"/>
        <w:rPr>
          <w:sz w:val="20"/>
          <w:szCs w:val="20"/>
          <w:color w:val="auto"/>
        </w:rPr>
      </w:pPr>
      <w:r>
        <w:rPr>
          <w:rFonts w:ascii="Arial" w:cs="Arial" w:eastAsia="Arial" w:hAnsi="Arial"/>
          <w:sz w:val="12"/>
          <w:szCs w:val="12"/>
          <w:color w:val="auto"/>
        </w:rPr>
        <w:t>Chief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Acknowledged and agreed this ___th day of April 2014:</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ICAHN SCHOOL OF MEDICINE AT MOUNT SINAI</w:t>
      </w: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By: ______________________________</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Printed Name: _____________________</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Title: ____________________________</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474980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720" w:type="dxa"/>
            <w:vAlign w:val="bottom"/>
            <w:gridSpan w:val="4"/>
          </w:tcPr>
          <w:p>
            <w:pPr>
              <w:jc w:val="right"/>
              <w:ind w:right="3360"/>
              <w:spacing w:after="0"/>
              <w:rPr>
                <w:sz w:val="20"/>
                <w:szCs w:val="20"/>
                <w:color w:val="auto"/>
              </w:rPr>
            </w:pPr>
            <w:r>
              <w:rPr>
                <w:rFonts w:ascii="Arial" w:cs="Arial" w:eastAsia="Arial" w:hAnsi="Arial"/>
                <w:sz w:val="12"/>
                <w:szCs w:val="12"/>
                <w:color w:val="auto"/>
              </w:rPr>
              <w:t>Schedule 1 to Promissory Note</w:t>
            </w: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720" w:type="dxa"/>
            <w:vAlign w:val="bottom"/>
            <w:gridSpan w:val="4"/>
          </w:tcPr>
          <w:p>
            <w:pPr>
              <w:jc w:val="right"/>
              <w:ind w:right="3120"/>
              <w:spacing w:after="0"/>
              <w:rPr>
                <w:sz w:val="20"/>
                <w:szCs w:val="20"/>
                <w:color w:val="auto"/>
              </w:rPr>
            </w:pPr>
            <w:r>
              <w:rPr>
                <w:rFonts w:ascii="Arial" w:cs="Arial" w:eastAsia="Arial" w:hAnsi="Arial"/>
                <w:sz w:val="12"/>
                <w:szCs w:val="12"/>
                <w:color w:val="auto"/>
              </w:rPr>
              <w:t>Unpaid invoices through March 17, 2014</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Invoice date</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rPr>
              <w:t>Invoice amount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Maintenance Fee 2012</w:t>
            </w:r>
          </w:p>
        </w:tc>
        <w:tc>
          <w:tcPr>
            <w:tcW w:w="67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9/1/2012  $</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Maintenance Fee 2013</w:t>
            </w:r>
          </w:p>
        </w:tc>
        <w:tc>
          <w:tcPr>
            <w:tcW w:w="6420" w:type="dxa"/>
            <w:vAlign w:val="bottom"/>
            <w:gridSpan w:val="3"/>
          </w:tcPr>
          <w:p>
            <w:pPr>
              <w:jc w:val="right"/>
              <w:ind w:right="120"/>
              <w:spacing w:after="0"/>
              <w:rPr>
                <w:sz w:val="20"/>
                <w:szCs w:val="20"/>
                <w:color w:val="auto"/>
              </w:rPr>
            </w:pPr>
            <w:r>
              <w:rPr>
                <w:rFonts w:ascii="Arial" w:cs="Arial" w:eastAsia="Arial" w:hAnsi="Arial"/>
                <w:sz w:val="12"/>
                <w:szCs w:val="12"/>
                <w:color w:val="auto"/>
              </w:rPr>
              <w:t>9/1/2012</w:t>
            </w:r>
          </w:p>
        </w:tc>
        <w:tc>
          <w:tcPr>
            <w:tcW w:w="3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Legal Fee reimbursement</w:t>
            </w:r>
          </w:p>
        </w:tc>
        <w:tc>
          <w:tcPr>
            <w:tcW w:w="64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6/20/2013</w:t>
            </w: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129,224.88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Legal Fee reimbursement</w:t>
            </w:r>
          </w:p>
        </w:tc>
        <w:tc>
          <w:tcPr>
            <w:tcW w:w="6420" w:type="dxa"/>
            <w:vAlign w:val="bottom"/>
            <w:gridSpan w:val="3"/>
          </w:tcPr>
          <w:p>
            <w:pPr>
              <w:jc w:val="right"/>
              <w:ind w:right="120"/>
              <w:spacing w:after="0"/>
              <w:rPr>
                <w:sz w:val="20"/>
                <w:szCs w:val="20"/>
                <w:color w:val="auto"/>
              </w:rPr>
            </w:pPr>
            <w:r>
              <w:rPr>
                <w:rFonts w:ascii="Arial" w:cs="Arial" w:eastAsia="Arial" w:hAnsi="Arial"/>
                <w:sz w:val="12"/>
                <w:szCs w:val="12"/>
                <w:color w:val="auto"/>
              </w:rPr>
              <w:t>8/29/2013</w:t>
            </w:r>
          </w:p>
        </w:tc>
        <w:tc>
          <w:tcPr>
            <w:tcW w:w="3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58,497.33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Legal Fee reimbursement</w:t>
            </w:r>
          </w:p>
        </w:tc>
        <w:tc>
          <w:tcPr>
            <w:tcW w:w="64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10/16/2013</w:t>
            </w: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12,455.26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Legal Fee reimbursement</w:t>
            </w:r>
          </w:p>
        </w:tc>
        <w:tc>
          <w:tcPr>
            <w:tcW w:w="6420" w:type="dxa"/>
            <w:vAlign w:val="bottom"/>
            <w:gridSpan w:val="3"/>
          </w:tcPr>
          <w:p>
            <w:pPr>
              <w:jc w:val="right"/>
              <w:ind w:right="120"/>
              <w:spacing w:after="0"/>
              <w:rPr>
                <w:sz w:val="20"/>
                <w:szCs w:val="20"/>
                <w:color w:val="auto"/>
              </w:rPr>
            </w:pPr>
            <w:r>
              <w:rPr>
                <w:rFonts w:ascii="Arial" w:cs="Arial" w:eastAsia="Arial" w:hAnsi="Arial"/>
                <w:sz w:val="12"/>
                <w:szCs w:val="12"/>
                <w:color w:val="auto"/>
              </w:rPr>
              <w:t>12/11/2013</w:t>
            </w:r>
          </w:p>
        </w:tc>
        <w:tc>
          <w:tcPr>
            <w:tcW w:w="3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6,562.06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Legal Fee reimbursement</w:t>
            </w:r>
          </w:p>
        </w:tc>
        <w:tc>
          <w:tcPr>
            <w:tcW w:w="64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19,712.76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Legal Fee reimbursement</w:t>
            </w:r>
          </w:p>
        </w:tc>
        <w:tc>
          <w:tcPr>
            <w:tcW w:w="6420" w:type="dxa"/>
            <w:vAlign w:val="bottom"/>
            <w:gridSpan w:val="3"/>
          </w:tcPr>
          <w:p>
            <w:pPr>
              <w:jc w:val="right"/>
              <w:ind w:right="120"/>
              <w:spacing w:after="0"/>
              <w:rPr>
                <w:sz w:val="20"/>
                <w:szCs w:val="20"/>
                <w:color w:val="auto"/>
              </w:rPr>
            </w:pPr>
            <w:r>
              <w:rPr>
                <w:rFonts w:ascii="Arial" w:cs="Arial" w:eastAsia="Arial" w:hAnsi="Arial"/>
                <w:sz w:val="12"/>
                <w:szCs w:val="12"/>
                <w:color w:val="auto"/>
              </w:rPr>
              <w:t>3/14/2014</w:t>
            </w:r>
          </w:p>
        </w:tc>
        <w:tc>
          <w:tcPr>
            <w:tcW w:w="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21,978.12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67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288,430.41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Strategic premium</w:t>
            </w:r>
          </w:p>
        </w:tc>
        <w:tc>
          <w:tcPr>
            <w:tcW w:w="458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11,569.59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Initial Promissory Note balance</w:t>
            </w:r>
          </w:p>
        </w:tc>
        <w:tc>
          <w:tcPr>
            <w:tcW w:w="672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300,000.00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Subsequent additions to note:</w:t>
            </w:r>
          </w:p>
        </w:tc>
        <w:tc>
          <w:tcPr>
            <w:tcW w:w="4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Legal Fee reimbursement</w:t>
            </w:r>
          </w:p>
        </w:tc>
        <w:tc>
          <w:tcPr>
            <w:tcW w:w="6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6/2/2014</w:t>
            </w:r>
          </w:p>
        </w:tc>
        <w:tc>
          <w:tcPr>
            <w:tcW w:w="300" w:type="dxa"/>
            <w:vAlign w:val="bottom"/>
            <w:tcBorders>
              <w:bottom w:val="single" w:sz="8" w:color="auto"/>
            </w:tcBorders>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7,528.87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20"/>
                <w:szCs w:val="20"/>
                <w:color w:val="auto"/>
              </w:rPr>
            </w:pPr>
            <w:r>
              <w:rPr>
                <w:rFonts w:ascii="Arial" w:cs="Arial" w:eastAsia="Arial" w:hAnsi="Arial"/>
                <w:sz w:val="12"/>
                <w:szCs w:val="12"/>
                <w:color w:val="auto"/>
              </w:rPr>
              <w:t>Amount subject to Note</w:t>
            </w:r>
          </w:p>
        </w:tc>
        <w:tc>
          <w:tcPr>
            <w:tcW w:w="672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307,528.87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20" w:top="554" w:right="199" w:bottom="1440" w:gutter="0" w:footer="0" w:header="0"/>
        </w:sectPr>
      </w:pPr>
    </w:p>
    <w:bookmarkStart w:id="178" w:name="page179"/>
    <w:bookmarkEnd w:id="178"/>
    <w:p>
      <w:pPr>
        <w:ind w:left="10668"/>
        <w:spacing w:after="0"/>
        <w:rPr>
          <w:sz w:val="20"/>
          <w:szCs w:val="20"/>
          <w:color w:val="auto"/>
        </w:rPr>
      </w:pPr>
      <w:r>
        <w:rPr>
          <w:rFonts w:ascii="Arial" w:cs="Arial" w:eastAsia="Arial" w:hAnsi="Arial"/>
          <w:sz w:val="11"/>
          <w:szCs w:val="11"/>
          <w:b w:val="1"/>
          <w:bCs w:val="1"/>
          <w:color w:val="auto"/>
        </w:rPr>
        <w:t>Exhibit 10.102B</w:t>
      </w:r>
    </w:p>
    <w:p>
      <w:pPr>
        <w:spacing w:after="0" w:line="166"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THE SECURITIES REPRESENTED BY THIS CERTIFICATE HAVE BEEN ACQUIRED FOR INVESTMENT AND HAVE NOT BEEN REGISTERED UNDER THE SECURITIES ACT OF 1933, AS AMENDED, OR ANY STATE SECURITIES LAWS. SUCH SECURITIES MAY NOT BE SOLD OR TRANSFERRED IN THE ABSENCE OF SUCH REGISTRATION OR AN EXEMPTION THEREFROM UNDER SAID ACT AND ANY APPLICABLE STATE SECURITIES LAWS.</w:t>
      </w:r>
    </w:p>
    <w:p>
      <w:pPr>
        <w:spacing w:after="0" w:line="303" w:lineRule="exact"/>
        <w:rPr>
          <w:sz w:val="20"/>
          <w:szCs w:val="20"/>
          <w:color w:val="auto"/>
        </w:rPr>
      </w:pPr>
    </w:p>
    <w:p>
      <w:pPr>
        <w:ind w:left="8"/>
        <w:spacing w:after="0"/>
        <w:tabs>
          <w:tab w:leader="none" w:pos="10068" w:val="left"/>
        </w:tabs>
        <w:rPr>
          <w:sz w:val="20"/>
          <w:szCs w:val="20"/>
          <w:color w:val="auto"/>
        </w:rPr>
      </w:pPr>
      <w:r>
        <w:rPr>
          <w:rFonts w:ascii="Arial" w:cs="Arial" w:eastAsia="Arial" w:hAnsi="Arial"/>
          <w:sz w:val="12"/>
          <w:szCs w:val="12"/>
          <w:color w:val="auto"/>
        </w:rPr>
        <w:t>Dated: April 10, 2014</w:t>
      </w:r>
      <w:r>
        <w:rPr>
          <w:sz w:val="20"/>
          <w:szCs w:val="20"/>
          <w:color w:val="auto"/>
        </w:rPr>
        <w:tab/>
      </w:r>
      <w:r>
        <w:rPr>
          <w:rFonts w:ascii="Arial" w:cs="Arial" w:eastAsia="Arial" w:hAnsi="Arial"/>
          <w:sz w:val="10"/>
          <w:szCs w:val="10"/>
          <w:b w:val="1"/>
          <w:bCs w:val="1"/>
          <w:i w:val="1"/>
          <w:iCs w:val="1"/>
          <w:color w:val="auto"/>
        </w:rPr>
        <w:t>Warrant Number: CSW-___</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WARRANT TO PURCHASE</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COMMON STOCK</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OF</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VISTAGEN THERAPEUTICS, INC.</w:t>
      </w:r>
    </w:p>
    <w:p>
      <w:pPr>
        <w:spacing w:after="0" w:line="155"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 xml:space="preserve">This certifies that that </w:t>
      </w:r>
      <w:r>
        <w:rPr>
          <w:rFonts w:ascii="Arial" w:cs="Arial" w:eastAsia="Arial" w:hAnsi="Arial"/>
          <w:sz w:val="12"/>
          <w:szCs w:val="12"/>
          <w:b w:val="1"/>
          <w:bCs w:val="1"/>
          <w:color w:val="auto"/>
        </w:rPr>
        <w:t>ICAHN SCHOOL OF MEDICINE AT MOUNT SINAI</w:t>
      </w:r>
      <w:r>
        <w:rPr>
          <w:rFonts w:ascii="Arial" w:cs="Arial" w:eastAsia="Arial" w:hAnsi="Arial"/>
          <w:sz w:val="12"/>
          <w:szCs w:val="12"/>
          <w:color w:val="auto"/>
        </w:rPr>
        <w:t xml:space="preserve">, or its permitted assigns (each a “Holder”), for value received, is entitled to purchase, at an exercise price equal to $0.50 per share (the “Exercise Price”) from VISTAGEN THERAPEUTICS, INC., a Nevada corporation (the “Company”), up to </w:t>
      </w:r>
      <w:r>
        <w:rPr>
          <w:rFonts w:ascii="Arial" w:cs="Arial" w:eastAsia="Arial" w:hAnsi="Arial"/>
          <w:sz w:val="12"/>
          <w:szCs w:val="12"/>
          <w:b w:val="1"/>
          <w:bCs w:val="1"/>
          <w:color w:val="auto"/>
        </w:rPr>
        <w:t>THREE HUNDRED THOUSAND</w:t>
      </w:r>
      <w:r>
        <w:rPr>
          <w:rFonts w:ascii="Arial" w:cs="Arial" w:eastAsia="Arial" w:hAnsi="Arial"/>
          <w:sz w:val="12"/>
          <w:szCs w:val="12"/>
          <w:color w:val="auto"/>
        </w:rPr>
        <w:t xml:space="preserve"> (300,000) shares of fully paid and nonassessable shares of the Company’s Common Stock, $.001 par value (“Common Stock”).</w:t>
      </w:r>
    </w:p>
    <w:p>
      <w:pPr>
        <w:spacing w:after="0" w:line="138"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This Warrant shall be exercisable at any time from time to time from and after the date hereof (such date being referred to herein as the “Initial Exercise Date”) up to and including 5:00 p.m. (Pacific Time) on the first to occur of (</w:t>
      </w:r>
      <w:r>
        <w:rPr>
          <w:rFonts w:ascii="Arial" w:cs="Arial" w:eastAsia="Arial" w:hAnsi="Arial"/>
          <w:sz w:val="12"/>
          <w:szCs w:val="12"/>
          <w:color w:val="auto"/>
        </w:rPr>
        <w:t>і</w:t>
      </w:r>
      <w:r>
        <w:rPr>
          <w:rFonts w:ascii="Arial" w:cs="Arial" w:eastAsia="Arial" w:hAnsi="Arial"/>
          <w:sz w:val="12"/>
          <w:szCs w:val="12"/>
          <w:color w:val="auto"/>
        </w:rPr>
        <w:t>) March 31, 2019, or (ii) ten (10) days preceding the closing date of any of the following transactions: (A) the acquisition of the Company by another entity by means of any transaction or series of related transactions (including, without limitation, any reorganization, merger or consolidation but, excluding any merger effected exclusively for the purpose of changing the domicile of the Company); or (B) a sale of all or substantially all of the assets of the Company by means of a transaction or series of related transactions; unless the Company’s shareholders of record as constituted immediately prior to such acquisition or sale will, immediately after such acquisition or sale (by virtue of securities issued as consideration for the Company’s acquisition or sale or otherwise) hold at least 50% of the voting power of the surviving or acquiring entity (any such transaction, a “Change of Control”) (such earlier date being referred to herein as the “Expiration Date”).</w:t>
      </w:r>
    </w:p>
    <w:p>
      <w:pPr>
        <w:spacing w:after="0" w:line="147" w:lineRule="exact"/>
        <w:rPr>
          <w:sz w:val="20"/>
          <w:szCs w:val="20"/>
          <w:color w:val="auto"/>
        </w:rPr>
      </w:pPr>
    </w:p>
    <w:p>
      <w:pPr>
        <w:jc w:val="both"/>
        <w:ind w:left="8" w:firstLine="424"/>
        <w:spacing w:after="0" w:line="259" w:lineRule="auto"/>
        <w:tabs>
          <w:tab w:leader="none" w:pos="878" w:val="left"/>
        </w:tabs>
        <w:numPr>
          <w:ilvl w:val="1"/>
          <w:numId w:val="99"/>
        </w:numPr>
        <w:rPr>
          <w:rFonts w:ascii="Arial" w:cs="Arial" w:eastAsia="Arial" w:hAnsi="Arial"/>
          <w:sz w:val="12"/>
          <w:szCs w:val="12"/>
          <w:color w:val="auto"/>
        </w:rPr>
      </w:pPr>
      <w:r>
        <w:rPr>
          <w:rFonts w:ascii="Arial" w:cs="Arial" w:eastAsia="Arial" w:hAnsi="Arial"/>
          <w:sz w:val="12"/>
          <w:szCs w:val="12"/>
          <w:u w:val="single" w:color="auto"/>
          <w:color w:val="auto"/>
        </w:rPr>
        <w:t>Method of Exercise</w:t>
      </w:r>
      <w:r>
        <w:rPr>
          <w:rFonts w:ascii="Arial" w:cs="Arial" w:eastAsia="Arial" w:hAnsi="Arial"/>
          <w:sz w:val="12"/>
          <w:szCs w:val="12"/>
          <w:color w:val="auto"/>
        </w:rPr>
        <w:t>. The Holder hereof may exercise this Warrant, in whole or in part, by the surrender of this Warrant (with the Form of Subscription attached hereto duly completed and executed) at the principal office of the Company, and by the payment to the Company, or, at Holder’s option, cancellation of indebtedness by the Company to Holder, of an amount of consideration therefor equal to the Exercise Price in effect on the date of such exercise multiplied by the number of shares of Common Stock with respect to which this Warrant is then being exercised, payable at such Holder's election by certified or official bank check or by wire transfer to an account designated by the Company, or by notice of cancellation of Company indebtedness to Holder, as the case may be.</w:t>
      </w:r>
    </w:p>
    <w:p>
      <w:pPr>
        <w:spacing w:after="0" w:line="142" w:lineRule="exact"/>
        <w:rPr>
          <w:rFonts w:ascii="Arial" w:cs="Arial" w:eastAsia="Arial" w:hAnsi="Arial"/>
          <w:sz w:val="12"/>
          <w:szCs w:val="12"/>
          <w:color w:val="auto"/>
        </w:rPr>
      </w:pPr>
    </w:p>
    <w:p>
      <w:pPr>
        <w:jc w:val="both"/>
        <w:ind w:left="8" w:hanging="8"/>
        <w:spacing w:after="0" w:line="259" w:lineRule="auto"/>
        <w:tabs>
          <w:tab w:leader="none" w:pos="464" w:val="left"/>
        </w:tabs>
        <w:numPr>
          <w:ilvl w:val="0"/>
          <w:numId w:val="100"/>
        </w:numPr>
        <w:rPr>
          <w:rFonts w:ascii="Arial" w:cs="Arial" w:eastAsia="Arial" w:hAnsi="Arial"/>
          <w:sz w:val="12"/>
          <w:szCs w:val="12"/>
          <w:color w:val="auto"/>
        </w:rPr>
      </w:pPr>
      <w:r>
        <w:rPr>
          <w:rFonts w:ascii="Arial" w:cs="Arial" w:eastAsia="Arial" w:hAnsi="Arial"/>
          <w:sz w:val="12"/>
          <w:szCs w:val="12"/>
          <w:u w:val="single" w:color="auto"/>
          <w:color w:val="auto"/>
        </w:rPr>
        <w:t>Shares to be Fully Paid; Reservation of Shares</w:t>
      </w:r>
      <w:r>
        <w:rPr>
          <w:rFonts w:ascii="Arial" w:cs="Arial" w:eastAsia="Arial" w:hAnsi="Arial"/>
          <w:sz w:val="12"/>
          <w:szCs w:val="12"/>
          <w:color w:val="auto"/>
        </w:rPr>
        <w:t>. The Company covenants 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shares of Common Stock.</w:t>
      </w:r>
    </w:p>
    <w:p>
      <w:pPr>
        <w:spacing w:after="0" w:line="142" w:lineRule="exact"/>
        <w:rPr>
          <w:rFonts w:ascii="Arial" w:cs="Arial" w:eastAsia="Arial" w:hAnsi="Arial"/>
          <w:sz w:val="12"/>
          <w:szCs w:val="12"/>
          <w:color w:val="auto"/>
        </w:rPr>
      </w:pPr>
    </w:p>
    <w:p>
      <w:pPr>
        <w:jc w:val="both"/>
        <w:ind w:left="8" w:hanging="8"/>
        <w:spacing w:after="0" w:line="259" w:lineRule="auto"/>
        <w:tabs>
          <w:tab w:leader="none" w:pos="491" w:val="left"/>
        </w:tabs>
        <w:numPr>
          <w:ilvl w:val="0"/>
          <w:numId w:val="100"/>
        </w:numPr>
        <w:rPr>
          <w:rFonts w:ascii="Arial" w:cs="Arial" w:eastAsia="Arial" w:hAnsi="Arial"/>
          <w:sz w:val="12"/>
          <w:szCs w:val="12"/>
          <w:color w:val="auto"/>
        </w:rPr>
      </w:pPr>
      <w:r>
        <w:rPr>
          <w:rFonts w:ascii="Arial" w:cs="Arial" w:eastAsia="Arial" w:hAnsi="Arial"/>
          <w:sz w:val="12"/>
          <w:szCs w:val="12"/>
          <w:u w:val="single" w:color="auto"/>
          <w:color w:val="auto"/>
        </w:rPr>
        <w:t>Adjustment of Exercise Price and Number of Shares</w:t>
      </w:r>
      <w:r>
        <w:rPr>
          <w:rFonts w:ascii="Arial" w:cs="Arial" w:eastAsia="Arial" w:hAnsi="Arial"/>
          <w:sz w:val="12"/>
          <w:szCs w:val="12"/>
          <w:color w:val="auto"/>
        </w:rPr>
        <w:t>. The Exercise Price and the number of shares purchasable upon the exercise of this Warrant shall be subject to adjustment from time to time upon the occurrence of certain events described in this Section 3. Upon each adjustment of the Exercise Price, the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7299325"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79" w:name="page180"/>
    <w:bookmarkEnd w:id="179"/>
    <w:p>
      <w:pPr>
        <w:jc w:val="both"/>
        <w:ind w:left="8" w:right="20"/>
        <w:spacing w:after="0" w:line="263"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Subdivision or Combination of Stock</w:t>
      </w:r>
      <w:r>
        <w:rPr>
          <w:rFonts w:ascii="Arial" w:cs="Arial" w:eastAsia="Arial" w:hAnsi="Arial"/>
          <w:sz w:val="12"/>
          <w:szCs w:val="12"/>
          <w:color w:val="auto"/>
        </w:rPr>
        <w:t>. In case the Company shall at any time subdivide its outstanding shares of Common Stock into a greater number of shares, the Exercise Price in effect immediately prior to such subdivision shall be proportionately reduced, and conversely, in case the outstanding shares of the Common Stock of the Company shall be combined into a smaller number of shares, the Exercise Price in effect immediately prior to such combination shall be proportionately increased.</w:t>
      </w:r>
    </w:p>
    <w:p>
      <w:pPr>
        <w:spacing w:after="0" w:line="141"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 xml:space="preserve">3.2 </w:t>
      </w:r>
      <w:r>
        <w:rPr>
          <w:rFonts w:ascii="Arial" w:cs="Arial" w:eastAsia="Arial" w:hAnsi="Arial"/>
          <w:sz w:val="11"/>
          <w:szCs w:val="11"/>
          <w:u w:val="single" w:color="auto"/>
          <w:color w:val="auto"/>
        </w:rPr>
        <w:t>Reclassification</w:t>
      </w:r>
      <w:r>
        <w:rPr>
          <w:rFonts w:ascii="Arial" w:cs="Arial" w:eastAsia="Arial" w:hAnsi="Arial"/>
          <w:sz w:val="11"/>
          <w:szCs w:val="11"/>
          <w:color w:val="auto"/>
        </w:rPr>
        <w:t>. If any reclassification of the capital stock of the Company shall be effected in such a way that holders of Common Stock shall be entitled to receive stock, securities, or other assets or property, then, as a condition of such reclassification, lawful and adequate provisions shall be made whereby the Holder hereof shall thereafter have the right to purchase and receive (in lieu of the shares of the Common Stock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any reclassification described above, appropriate provision shall be made with respect to the rights and interests of the Holder of this Warrant to the end that the provisions hereof (including, without limitation, provisions for adjustments of the Exercise Price and of the number of shares purchasable and receivable upon the exercise of this Warrant) shall thereafter be applicable, as nearly as may be, in relation to any shares of stock, securities or assets thereafter deliverable upon the exercise hereof.</w:t>
      </w:r>
    </w:p>
    <w:p>
      <w:pPr>
        <w:spacing w:after="0" w:line="13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Notice of Adjustment</w:t>
      </w:r>
      <w:r>
        <w:rPr>
          <w:rFonts w:ascii="Arial" w:cs="Arial" w:eastAsia="Arial" w:hAnsi="Arial"/>
          <w:sz w:val="12"/>
          <w:szCs w:val="12"/>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43"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2"/>
          <w:szCs w:val="12"/>
          <w:color w:val="auto"/>
        </w:rPr>
        <w:t>3.4</w:t>
      </w:r>
      <w:r>
        <w:rPr>
          <w:sz w:val="20"/>
          <w:szCs w:val="20"/>
          <w:color w:val="auto"/>
        </w:rPr>
        <w:tab/>
      </w:r>
      <w:r>
        <w:rPr>
          <w:rFonts w:ascii="Arial" w:cs="Arial" w:eastAsia="Arial" w:hAnsi="Arial"/>
          <w:sz w:val="11"/>
          <w:szCs w:val="11"/>
          <w:u w:val="single" w:color="auto"/>
          <w:color w:val="auto"/>
        </w:rPr>
        <w:t>Other Notices</w:t>
      </w:r>
      <w:r>
        <w:rPr>
          <w:rFonts w:ascii="Arial" w:cs="Arial" w:eastAsia="Arial" w:hAnsi="Arial"/>
          <w:sz w:val="11"/>
          <w:szCs w:val="11"/>
          <w:color w:val="auto"/>
        </w:rPr>
        <w:t>. If at any time:</w:t>
      </w:r>
    </w:p>
    <w:p>
      <w:pPr>
        <w:spacing w:after="0" w:line="168" w:lineRule="exact"/>
        <w:rPr>
          <w:sz w:val="20"/>
          <w:szCs w:val="20"/>
          <w:color w:val="auto"/>
        </w:rPr>
      </w:pPr>
    </w:p>
    <w:p>
      <w:pPr>
        <w:ind w:left="468" w:hanging="468"/>
        <w:spacing w:after="0"/>
        <w:tabs>
          <w:tab w:leader="none" w:pos="46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Company shall declare any cash dividend upon its Common Stock;</w:t>
      </w:r>
    </w:p>
    <w:p>
      <w:pPr>
        <w:spacing w:after="0" w:line="168" w:lineRule="exact"/>
        <w:rPr>
          <w:rFonts w:ascii="Arial" w:cs="Arial" w:eastAsia="Arial" w:hAnsi="Arial"/>
          <w:sz w:val="12"/>
          <w:szCs w:val="12"/>
          <w:color w:val="auto"/>
        </w:rPr>
      </w:pPr>
    </w:p>
    <w:p>
      <w:pPr>
        <w:ind w:left="468" w:hanging="468"/>
        <w:spacing w:after="0"/>
        <w:tabs>
          <w:tab w:leader="none" w:pos="46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there shall be a Change of Control;</w:t>
      </w:r>
    </w:p>
    <w:p>
      <w:pPr>
        <w:spacing w:after="0" w:line="168" w:lineRule="exact"/>
        <w:rPr>
          <w:rFonts w:ascii="Arial" w:cs="Arial" w:eastAsia="Arial" w:hAnsi="Arial"/>
          <w:sz w:val="12"/>
          <w:szCs w:val="12"/>
          <w:color w:val="auto"/>
        </w:rPr>
      </w:pPr>
    </w:p>
    <w:p>
      <w:pPr>
        <w:ind w:left="468" w:hanging="468"/>
        <w:spacing w:after="0"/>
        <w:tabs>
          <w:tab w:leader="none" w:pos="46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there shall be a voluntary or involuntary dissolution, liquidation or winding-up of the Company; or</w:t>
      </w:r>
    </w:p>
    <w:p>
      <w:pPr>
        <w:spacing w:after="0" w:line="168" w:lineRule="exact"/>
        <w:rPr>
          <w:rFonts w:ascii="Arial" w:cs="Arial" w:eastAsia="Arial" w:hAnsi="Arial"/>
          <w:sz w:val="12"/>
          <w:szCs w:val="12"/>
          <w:color w:val="auto"/>
        </w:rPr>
      </w:pPr>
    </w:p>
    <w:p>
      <w:pPr>
        <w:ind w:left="468" w:hanging="468"/>
        <w:spacing w:after="0"/>
        <w:tabs>
          <w:tab w:leader="none" w:pos="46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there shall be an initial public offering of the Company’s equity securities;</w:t>
      </w:r>
    </w:p>
    <w:p>
      <w:pPr>
        <w:spacing w:after="0" w:line="168"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then, in any one or more of said cases, the Company shall give, by first class mail, postage prepaid, addressed to the Holder of this Warrant at the address of such Holder as shown on the books of the Company, (a) at least twenty (20) days prior written notice of the date on which the books of the Company shall close or a record shall be taken for such dividend or for determining rights to vote in respect of any such Change of Control or dissolution, liquidation or winding-up, and (b) in the case of any such Change of Control or dissolution, liquidation, winding-up or initial public offering, at least twenty (20)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Common Stock shall be entitled thereto. Any notice given in accordance with the foregoing clause (b) shall also specify the date on which the holders of Common Stock shall be entitled to exchange their Common Stock for securities or other property deliverable upon such Change of Control, dissolution, liquidation, winding-up, conversion or initial public offering,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7299325"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54" w:right="199" w:bottom="1440" w:gutter="0" w:footer="0" w:header="0"/>
        </w:sectPr>
      </w:pPr>
    </w:p>
    <w:bookmarkStart w:id="180" w:name="page181"/>
    <w:bookmarkEnd w:id="180"/>
    <w:p>
      <w:pPr>
        <w:jc w:val="both"/>
        <w:ind w:left="8" w:hanging="8"/>
        <w:spacing w:after="0" w:line="263" w:lineRule="auto"/>
        <w:tabs>
          <w:tab w:leader="none" w:pos="464"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No Voting or Dividend Rights</w:t>
      </w:r>
      <w:r>
        <w:rPr>
          <w:rFonts w:ascii="Arial" w:cs="Arial" w:eastAsia="Arial" w:hAnsi="Arial"/>
          <w:sz w:val="12"/>
          <w:szCs w:val="12"/>
          <w:color w:val="auto"/>
        </w:rPr>
        <w:t>. Nothing contained in this Warrant shall be construed as conferring upon the Holder hereof the right to vote or to consent to receive notice as a shareholder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w:t>
      </w:r>
    </w:p>
    <w:p>
      <w:pPr>
        <w:spacing w:after="0" w:line="140" w:lineRule="exact"/>
        <w:rPr>
          <w:rFonts w:ascii="Arial" w:cs="Arial" w:eastAsia="Arial" w:hAnsi="Arial"/>
          <w:sz w:val="12"/>
          <w:szCs w:val="12"/>
          <w:color w:val="auto"/>
        </w:rPr>
      </w:pPr>
    </w:p>
    <w:p>
      <w:pPr>
        <w:jc w:val="both"/>
        <w:ind w:left="8" w:hanging="8"/>
        <w:spacing w:after="0" w:line="286" w:lineRule="auto"/>
        <w:tabs>
          <w:tab w:leader="none" w:pos="455" w:val="left"/>
        </w:tabs>
        <w:numPr>
          <w:ilvl w:val="0"/>
          <w:numId w:val="102"/>
        </w:numPr>
        <w:rPr>
          <w:rFonts w:ascii="Arial" w:cs="Arial" w:eastAsia="Arial" w:hAnsi="Arial"/>
          <w:sz w:val="11"/>
          <w:szCs w:val="11"/>
          <w:color w:val="auto"/>
        </w:rPr>
      </w:pPr>
      <w:r>
        <w:rPr>
          <w:rFonts w:ascii="Arial" w:cs="Arial" w:eastAsia="Arial" w:hAnsi="Arial"/>
          <w:sz w:val="11"/>
          <w:szCs w:val="11"/>
          <w:u w:val="single" w:color="auto"/>
          <w:color w:val="auto"/>
        </w:rPr>
        <w:t>Warrants Transferable</w:t>
      </w:r>
      <w:r>
        <w:rPr>
          <w:rFonts w:ascii="Arial" w:cs="Arial" w:eastAsia="Arial" w:hAnsi="Arial"/>
          <w:sz w:val="11"/>
          <w:szCs w:val="11"/>
          <w:color w:val="auto"/>
        </w:rPr>
        <w:t>. Subject to compliance with applicable federal and state securities laws, this Warrant and all rights hereunder may be transferred, in whole or in part, without charge to the holder hereof (except for transfer taxes), upon the prior written consent of the Company and, thereafter, upon surrender of this Warrant properly endorsed and compliance with the provisions of this Warrant. Each taker and holder of this Warrant, by taking or holding the same, consents and agrees that this Warrant, when endorsed in blank, shall be deemed negotiable, and that the holder hereof, when this Warrant shall have been so endorsed, may be treated by the Company, at the Company’s option, and all other persons dealing with this Warrant as the absolute owner hereof for any purpose and as the person entitled to exercise the rights represented by this Warrant, or to the transfer hereof on the books of the Company and notice to the contrary notwithstanding; but until such transfer on such books, the Company may treat the registered owner hereof as the owner for all purposes.</w:t>
      </w:r>
    </w:p>
    <w:p>
      <w:pPr>
        <w:spacing w:after="0" w:line="129" w:lineRule="exact"/>
        <w:rPr>
          <w:rFonts w:ascii="Arial" w:cs="Arial" w:eastAsia="Arial" w:hAnsi="Arial"/>
          <w:sz w:val="11"/>
          <w:szCs w:val="11"/>
          <w:color w:val="auto"/>
        </w:rPr>
      </w:pPr>
    </w:p>
    <w:p>
      <w:pPr>
        <w:jc w:val="both"/>
        <w:ind w:left="8" w:hanging="8"/>
        <w:spacing w:after="0" w:line="263" w:lineRule="auto"/>
        <w:tabs>
          <w:tab w:leader="none" w:pos="500"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Lost Warrants</w:t>
      </w:r>
      <w:r>
        <w:rPr>
          <w:rFonts w:ascii="Arial" w:cs="Arial" w:eastAsia="Arial" w:hAnsi="Arial"/>
          <w:sz w:val="12"/>
          <w:szCs w:val="12"/>
          <w:color w:val="auto"/>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Holder’s expense, will make and deliver a new Warrant, of like tenor, in lieu of the lost, stolen, destroyed or mutilated Warrant.</w:t>
      </w:r>
    </w:p>
    <w:p>
      <w:pPr>
        <w:spacing w:after="0" w:line="140" w:lineRule="exact"/>
        <w:rPr>
          <w:rFonts w:ascii="Arial" w:cs="Arial" w:eastAsia="Arial" w:hAnsi="Arial"/>
          <w:sz w:val="12"/>
          <w:szCs w:val="12"/>
          <w:color w:val="auto"/>
        </w:rPr>
      </w:pPr>
    </w:p>
    <w:p>
      <w:pPr>
        <w:ind w:left="8" w:hanging="8"/>
        <w:spacing w:after="0" w:line="276" w:lineRule="auto"/>
        <w:tabs>
          <w:tab w:leader="none" w:pos="455"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Modification and Waiver</w:t>
      </w:r>
      <w:r>
        <w:rPr>
          <w:rFonts w:ascii="Arial" w:cs="Arial" w:eastAsia="Arial" w:hAnsi="Arial"/>
          <w:sz w:val="12"/>
          <w:szCs w:val="12"/>
          <w:color w:val="auto"/>
        </w:rPr>
        <w:t>. Any term of this Warrant may be amended and the observance of any term of this Warrant may be waived (either generally or in a particular instance and either retroactively or prospectively) only with the prior written consent of the Company and the Holder hereof. Any amendment or waiver affected in accordance with this Section 7 shall be binding upon the Company and the Holder.</w:t>
      </w:r>
    </w:p>
    <w:p>
      <w:pPr>
        <w:spacing w:after="0" w:line="132" w:lineRule="exact"/>
        <w:rPr>
          <w:rFonts w:ascii="Arial" w:cs="Arial" w:eastAsia="Arial" w:hAnsi="Arial"/>
          <w:sz w:val="12"/>
          <w:szCs w:val="12"/>
          <w:color w:val="auto"/>
        </w:rPr>
      </w:pPr>
    </w:p>
    <w:p>
      <w:pPr>
        <w:ind w:left="8" w:hanging="8"/>
        <w:spacing w:after="0" w:line="276" w:lineRule="auto"/>
        <w:tabs>
          <w:tab w:leader="none" w:pos="428"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the Holder, as the case may be, in writing by the Company or such holder from time to time.</w:t>
      </w:r>
    </w:p>
    <w:p>
      <w:pPr>
        <w:spacing w:after="0" w:line="132" w:lineRule="exact"/>
        <w:rPr>
          <w:rFonts w:ascii="Arial" w:cs="Arial" w:eastAsia="Arial" w:hAnsi="Arial"/>
          <w:sz w:val="12"/>
          <w:szCs w:val="12"/>
          <w:color w:val="auto"/>
        </w:rPr>
      </w:pPr>
    </w:p>
    <w:p>
      <w:pPr>
        <w:jc w:val="both"/>
        <w:ind w:left="8" w:hanging="8"/>
        <w:spacing w:after="0" w:line="290" w:lineRule="auto"/>
        <w:tabs>
          <w:tab w:leader="none" w:pos="473" w:val="left"/>
        </w:tabs>
        <w:numPr>
          <w:ilvl w:val="0"/>
          <w:numId w:val="102"/>
        </w:numPr>
        <w:rPr>
          <w:rFonts w:ascii="Arial" w:cs="Arial" w:eastAsia="Arial" w:hAnsi="Arial"/>
          <w:sz w:val="11"/>
          <w:szCs w:val="11"/>
          <w:color w:val="auto"/>
        </w:rPr>
      </w:pPr>
      <w:r>
        <w:rPr>
          <w:rFonts w:ascii="Arial" w:cs="Arial" w:eastAsia="Arial" w:hAnsi="Arial"/>
          <w:sz w:val="11"/>
          <w:szCs w:val="11"/>
          <w:u w:val="single" w:color="auto"/>
          <w:color w:val="auto"/>
        </w:rPr>
        <w:t>Titles and Subtitles; Governing Law; Venue</w:t>
      </w:r>
      <w:r>
        <w:rPr>
          <w:rFonts w:ascii="Arial" w:cs="Arial" w:eastAsia="Arial" w:hAnsi="Arial"/>
          <w:sz w:val="11"/>
          <w:szCs w:val="11"/>
          <w:color w:val="auto"/>
        </w:rPr>
        <w:t>. The titles and subtitles used in this Warrant are used for convenience only and are not to be considered in construing or interpreting this Warrant. This Warrant is to be construed in accordance with and governed by the internal laws of the State of New York without giving effect to any choice of law rule that would cause the application of the laws of any jurisdiction other than the internal laws of the State of New York to the rights and duties of the Company and the Holder. All disputes and controversies arising out of or in connection with this Warrant shall be resolved exclusively by the state and federal courts located in New York County in the State of New York, and each of the Company and the Holder hereto agrees to submit to the jurisdiction of said courts and agrees that venue shall lie exclusively with such courts.</w:t>
      </w:r>
    </w:p>
    <w:p>
      <w:pPr>
        <w:spacing w:after="0" w:line="127" w:lineRule="exact"/>
        <w:rPr>
          <w:rFonts w:ascii="Arial" w:cs="Arial" w:eastAsia="Arial" w:hAnsi="Arial"/>
          <w:sz w:val="11"/>
          <w:szCs w:val="11"/>
          <w:color w:val="auto"/>
        </w:rPr>
      </w:pPr>
    </w:p>
    <w:p>
      <w:pPr>
        <w:ind w:left="488" w:hanging="488"/>
        <w:spacing w:after="0"/>
        <w:tabs>
          <w:tab w:leader="none" w:pos="488"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Definition of Warrant Shares</w:t>
      </w:r>
      <w:r>
        <w:rPr>
          <w:rFonts w:ascii="Arial" w:cs="Arial" w:eastAsia="Arial" w:hAnsi="Arial"/>
          <w:sz w:val="12"/>
          <w:szCs w:val="12"/>
          <w:color w:val="auto"/>
        </w:rPr>
        <w:t>. For purposes of this Warrant, “Warrant Shares” shall mean the number of shares of the Company’s Common Stock issuable upon exercise of this Warrant.</w:t>
      </w:r>
    </w:p>
    <w:p>
      <w:pPr>
        <w:spacing w:after="0" w:line="200" w:lineRule="exact"/>
        <w:rPr>
          <w:sz w:val="20"/>
          <w:szCs w:val="20"/>
          <w:color w:val="auto"/>
        </w:rPr>
      </w:pPr>
    </w:p>
    <w:p>
      <w:pPr>
        <w:spacing w:after="0" w:line="292"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383540</wp:posOffset>
            </wp:positionV>
            <wp:extent cx="729932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54" w:right="199" w:bottom="1440" w:gutter="0" w:footer="0" w:header="0"/>
        </w:sectPr>
      </w:pPr>
    </w:p>
    <w:bookmarkStart w:id="181" w:name="page182"/>
    <w:bookmarkEnd w:id="181"/>
    <w:p>
      <w:pPr>
        <w:spacing w:after="0"/>
        <w:rPr>
          <w:sz w:val="20"/>
          <w:szCs w:val="20"/>
          <w:color w:val="auto"/>
        </w:rPr>
      </w:pPr>
      <w:r>
        <w:rPr>
          <w:rFonts w:ascii="Arial" w:cs="Arial" w:eastAsia="Arial" w:hAnsi="Arial"/>
          <w:sz w:val="10"/>
          <w:szCs w:val="10"/>
          <w:color w:val="auto"/>
        </w:rPr>
        <w:t>IN WITNESS WHEREOF, the Company has caused this Warrant to be duly executed by its officers, thereunto duly authorized as of the date first above written.</w:t>
      </w:r>
    </w:p>
    <w:p>
      <w:pPr>
        <w:sectPr>
          <w:pgSz w:w="11900" w:h="16838" w:orient="portrait"/>
          <w:cols w:equalWidth="0" w:num="1">
            <w:col w:w="9819"/>
          </w:cols>
          <w:pgMar w:left="640" w:top="392" w:right="1440" w:bottom="1440" w:gutter="0" w:footer="0" w:header="0"/>
        </w:sectPr>
      </w:pPr>
    </w:p>
    <w:p>
      <w:pPr>
        <w:spacing w:after="0" w:line="191"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VistaGen Therapeutics, Inc.</w:t>
      </w:r>
    </w:p>
    <w:p>
      <w:pPr>
        <w:spacing w:after="0" w:line="330"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By: ______________________</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2"/>
          <w:szCs w:val="12"/>
          <w:color w:val="auto"/>
        </w:rPr>
        <w:t>Shawn K. Singh</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12"/>
          <w:szCs w:val="1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3819"/>
        <w:spacing w:after="0"/>
        <w:rPr>
          <w:sz w:val="20"/>
          <w:szCs w:val="20"/>
          <w:color w:val="auto"/>
        </w:rPr>
      </w:pPr>
      <w:r>
        <w:rPr>
          <w:rFonts w:ascii="Arial" w:cs="Arial" w:eastAsia="Arial" w:hAnsi="Arial"/>
          <w:sz w:val="12"/>
          <w:szCs w:val="12"/>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280670</wp:posOffset>
            </wp:positionV>
            <wp:extent cx="729932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819"/>
          </w:cols>
          <w:pgMar w:left="640" w:top="392" w:right="1440" w:bottom="1440"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12"/>
          <w:szCs w:val="12"/>
          <w:b w:val="1"/>
          <w:bCs w:val="1"/>
          <w:u w:val="single" w:color="auto"/>
          <w:color w:val="auto"/>
        </w:rPr>
        <w:t>FORM OF SUBSCRIPTION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signed only upon exercise of Warrant)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To: VISTAGEN THERAPEUTICS, INC.</w:t>
      </w:r>
    </w:p>
    <w:p>
      <w:pPr>
        <w:spacing w:after="0" w:line="168" w:lineRule="exact"/>
        <w:rPr>
          <w:sz w:val="20"/>
          <w:szCs w:val="20"/>
          <w:color w:val="auto"/>
        </w:rPr>
      </w:pPr>
    </w:p>
    <w:p>
      <w:pPr>
        <w:spacing w:after="0" w:line="310" w:lineRule="auto"/>
        <w:rPr>
          <w:sz w:val="20"/>
          <w:szCs w:val="20"/>
          <w:color w:val="auto"/>
        </w:rPr>
      </w:pPr>
      <w:r>
        <w:rPr>
          <w:rFonts w:ascii="Arial" w:cs="Arial" w:eastAsia="Arial" w:hAnsi="Arial"/>
          <w:sz w:val="10"/>
          <w:szCs w:val="10"/>
          <w:color w:val="auto"/>
        </w:rPr>
        <w:t>The undersigned, the holder of a right to purchase shares of Common Stock of VistaGen Therapeutics, Inc. (the “Company”) pursuant to that certain Warrant to Purchase Common Stock of VistaGen Therapeutics, Inc. Number CSW-612 (the “Warrant”), dated as of April 10, 2014 hereby irrevocably elects to exercise the purchase right represented by such Warrant for, and to purchase thereunder, __________________________ (_________) shares of Common Stock of the</w:t>
      </w:r>
    </w:p>
    <w:p>
      <w:pPr>
        <w:spacing w:after="0"/>
        <w:rPr>
          <w:sz w:val="20"/>
          <w:szCs w:val="20"/>
          <w:color w:val="auto"/>
        </w:rPr>
      </w:pPr>
      <w:r>
        <w:rPr>
          <w:rFonts w:ascii="Arial" w:cs="Arial" w:eastAsia="Arial" w:hAnsi="Arial"/>
          <w:sz w:val="12"/>
          <w:szCs w:val="12"/>
          <w:color w:val="auto"/>
        </w:rPr>
        <w:t>Company and herewith makes payment of ________________________ Dollars ($__________) therefor in cash.</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represents that it is acquiring such securities for its own account for investment and not with a view to or for sale in connection with any distribution thereof.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w:t>
      </w:r>
    </w:p>
    <w:p>
      <w:pPr>
        <w:spacing w:after="0" w:line="155"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____________________________</w:t>
      </w:r>
    </w:p>
    <w:p>
      <w:pPr>
        <w:spacing w:after="0" w:line="334"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By: _________________________</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Name: _______________________</w:t>
      </w:r>
    </w:p>
    <w:p>
      <w:pPr>
        <w:spacing w:after="0" w:line="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Its: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172085</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0" w:right="19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2"/>
          <w:szCs w:val="12"/>
          <w:b w:val="1"/>
          <w:bCs w:val="1"/>
          <w:u w:val="single" w:color="auto"/>
          <w:color w:val="auto"/>
        </w:rPr>
        <w:t>ACKNOWLEDGMENT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To: </w:t>
      </w:r>
      <w:r>
        <w:rPr>
          <w:rFonts w:ascii="Arial" w:cs="Arial" w:eastAsia="Arial" w:hAnsi="Arial"/>
          <w:sz w:val="12"/>
          <w:szCs w:val="12"/>
          <w:b w:val="1"/>
          <w:bCs w:val="1"/>
          <w:color w:val="auto"/>
        </w:rPr>
        <w:t>HOLDER</w:t>
      </w: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The undersigned hereby acknowledges that as of the date hereof, __________________ (___________) shares of Common Stock remain subject to the right of purchase in favor of _____________ pursuant to that certain Warrant to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Purchase Common Stock of VistaGen Therapeutics, Inc., number CSW-612 dated as of April 10, 2014.</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w:t>
      </w:r>
    </w:p>
    <w:p>
      <w:pPr>
        <w:spacing w:after="0" w:line="164" w:lineRule="exact"/>
        <w:rPr>
          <w:sz w:val="20"/>
          <w:szCs w:val="20"/>
          <w:color w:val="auto"/>
        </w:rPr>
      </w:pPr>
    </w:p>
    <w:p>
      <w:pPr>
        <w:ind w:left="3460"/>
        <w:spacing w:after="0"/>
        <w:rPr>
          <w:sz w:val="20"/>
          <w:szCs w:val="20"/>
          <w:color w:val="auto"/>
        </w:rPr>
      </w:pPr>
      <w:r>
        <w:rPr>
          <w:rFonts w:ascii="Arial" w:cs="Arial" w:eastAsia="Arial" w:hAnsi="Arial"/>
          <w:sz w:val="12"/>
          <w:szCs w:val="12"/>
          <w:b w:val="1"/>
          <w:bCs w:val="1"/>
          <w:color w:val="auto"/>
        </w:rPr>
        <w:t>VistaGen Therapeutics, Inc.</w:t>
      </w:r>
    </w:p>
    <w:p>
      <w:pPr>
        <w:spacing w:after="0" w:line="172"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By: ______________________</w:t>
      </w:r>
    </w:p>
    <w:p>
      <w:pPr>
        <w:spacing w:after="0" w:line="168"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Name: ___________________</w:t>
      </w:r>
    </w:p>
    <w:p>
      <w:pPr>
        <w:spacing w:after="0" w:line="168" w:lineRule="exact"/>
        <w:rPr>
          <w:sz w:val="20"/>
          <w:szCs w:val="20"/>
          <w:color w:val="auto"/>
        </w:rPr>
      </w:pPr>
    </w:p>
    <w:p>
      <w:pPr>
        <w:ind w:left="3460"/>
        <w:spacing w:after="0"/>
        <w:rPr>
          <w:sz w:val="20"/>
          <w:szCs w:val="20"/>
          <w:color w:val="auto"/>
        </w:rPr>
      </w:pPr>
      <w:r>
        <w:rPr>
          <w:rFonts w:ascii="Arial" w:cs="Arial" w:eastAsia="Arial" w:hAnsi="Arial"/>
          <w:sz w:val="12"/>
          <w:szCs w:val="12"/>
          <w:color w:val="auto"/>
        </w:rPr>
        <w:t>Its: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729932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712" w:right="199" w:bottom="1440" w:gutter="0" w:footer="0" w:header="0"/>
        </w:sectPr>
      </w:pPr>
    </w:p>
    <w:bookmarkStart w:id="184" w:name="page185"/>
    <w:bookmarkEnd w:id="184"/>
    <w:p>
      <w:pPr>
        <w:jc w:val="center"/>
        <w:ind w:right="-119"/>
        <w:spacing w:after="0"/>
        <w:rPr>
          <w:sz w:val="20"/>
          <w:szCs w:val="20"/>
          <w:color w:val="auto"/>
        </w:rPr>
      </w:pPr>
      <w:r>
        <w:rPr>
          <w:rFonts w:ascii="Arial" w:cs="Arial" w:eastAsia="Arial" w:hAnsi="Arial"/>
          <w:sz w:val="12"/>
          <w:szCs w:val="12"/>
          <w:b w:val="1"/>
          <w:bCs w:val="1"/>
          <w:color w:val="auto"/>
        </w:rPr>
        <w:t>Warrant Receipt</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undersigned, Icahn School of Medicine at Mount Sinai, does hereby acknowledge receipt of Warrant Number CSW-612 dated, April 10, 2014, representing three hundred thousand (300,000) shares of the Common Stock Warrants of VistaGen Therapeutics, Inc.</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undersigned has executed this Receipt as of the date set forth below.</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40" w:type="dxa"/>
            <w:vAlign w:val="bottom"/>
          </w:tcPr>
          <w:p>
            <w:pPr>
              <w:spacing w:after="0"/>
              <w:rPr>
                <w:sz w:val="20"/>
                <w:szCs w:val="20"/>
                <w:color w:val="auto"/>
              </w:rPr>
            </w:pPr>
            <w:r>
              <w:rPr>
                <w:rFonts w:ascii="Arial" w:cs="Arial" w:eastAsia="Arial" w:hAnsi="Arial"/>
                <w:sz w:val="12"/>
                <w:szCs w:val="12"/>
                <w:color w:val="auto"/>
              </w:rPr>
              <w:t>Type:</w:t>
            </w:r>
          </w:p>
        </w:tc>
        <w:tc>
          <w:tcPr>
            <w:tcW w:w="1400" w:type="dxa"/>
            <w:vAlign w:val="bottom"/>
          </w:tcPr>
          <w:p>
            <w:pPr>
              <w:ind w:left="180"/>
              <w:spacing w:after="0"/>
              <w:rPr>
                <w:sz w:val="20"/>
                <w:szCs w:val="20"/>
                <w:color w:val="auto"/>
              </w:rPr>
            </w:pPr>
            <w:r>
              <w:rPr>
                <w:rFonts w:ascii="Arial" w:cs="Arial" w:eastAsia="Arial" w:hAnsi="Arial"/>
                <w:sz w:val="12"/>
                <w:szCs w:val="12"/>
                <w:color w:val="auto"/>
                <w:w w:val="89"/>
              </w:rPr>
              <w:t>Common Stock Warrants</w:t>
            </w:r>
          </w:p>
        </w:tc>
      </w:tr>
      <w:tr>
        <w:trPr>
          <w:trHeight w:val="306"/>
        </w:trPr>
        <w:tc>
          <w:tcPr>
            <w:tcW w:w="1040" w:type="dxa"/>
            <w:vAlign w:val="bottom"/>
          </w:tcPr>
          <w:p>
            <w:pPr>
              <w:spacing w:after="0"/>
              <w:rPr>
                <w:sz w:val="20"/>
                <w:szCs w:val="20"/>
                <w:color w:val="auto"/>
              </w:rPr>
            </w:pPr>
            <w:r>
              <w:rPr>
                <w:rFonts w:ascii="Arial" w:cs="Arial" w:eastAsia="Arial" w:hAnsi="Arial"/>
                <w:sz w:val="12"/>
                <w:szCs w:val="12"/>
                <w:color w:val="auto"/>
              </w:rPr>
              <w:t>Warrant Number:</w:t>
            </w:r>
          </w:p>
        </w:tc>
        <w:tc>
          <w:tcPr>
            <w:tcW w:w="1400" w:type="dxa"/>
            <w:vAlign w:val="bottom"/>
          </w:tcPr>
          <w:p>
            <w:pPr>
              <w:ind w:left="160"/>
              <w:spacing w:after="0"/>
              <w:rPr>
                <w:sz w:val="20"/>
                <w:szCs w:val="20"/>
                <w:color w:val="auto"/>
              </w:rPr>
            </w:pPr>
            <w:r>
              <w:rPr>
                <w:rFonts w:ascii="Arial" w:cs="Arial" w:eastAsia="Arial" w:hAnsi="Arial"/>
                <w:sz w:val="12"/>
                <w:szCs w:val="12"/>
                <w:color w:val="auto"/>
              </w:rPr>
              <w:t>CSW-612</w:t>
            </w:r>
          </w:p>
        </w:tc>
      </w:tr>
      <w:tr>
        <w:trPr>
          <w:trHeight w:val="306"/>
        </w:trPr>
        <w:tc>
          <w:tcPr>
            <w:tcW w:w="1040" w:type="dxa"/>
            <w:vAlign w:val="bottom"/>
          </w:tcPr>
          <w:p>
            <w:pPr>
              <w:spacing w:after="0"/>
              <w:rPr>
                <w:sz w:val="20"/>
                <w:szCs w:val="20"/>
                <w:color w:val="auto"/>
              </w:rPr>
            </w:pPr>
            <w:r>
              <w:rPr>
                <w:rFonts w:ascii="Arial" w:cs="Arial" w:eastAsia="Arial" w:hAnsi="Arial"/>
                <w:sz w:val="12"/>
                <w:szCs w:val="12"/>
                <w:color w:val="auto"/>
              </w:rPr>
              <w:t>Number of Shares:</w:t>
            </w:r>
          </w:p>
        </w:tc>
        <w:tc>
          <w:tcPr>
            <w:tcW w:w="1400" w:type="dxa"/>
            <w:vAlign w:val="bottom"/>
          </w:tcPr>
          <w:p>
            <w:pPr>
              <w:ind w:left="160"/>
              <w:spacing w:after="0"/>
              <w:rPr>
                <w:sz w:val="20"/>
                <w:szCs w:val="20"/>
                <w:color w:val="auto"/>
              </w:rPr>
            </w:pPr>
            <w:r>
              <w:rPr>
                <w:rFonts w:ascii="Arial" w:cs="Arial" w:eastAsia="Arial" w:hAnsi="Arial"/>
                <w:sz w:val="12"/>
                <w:szCs w:val="12"/>
                <w:color w:val="auto"/>
              </w:rPr>
              <w:t>300,000</w:t>
            </w:r>
          </w:p>
        </w:tc>
      </w:tr>
    </w:tbl>
    <w:p>
      <w:pPr>
        <w:spacing w:after="0" w:line="153" w:lineRule="exact"/>
        <w:rPr>
          <w:sz w:val="20"/>
          <w:szCs w:val="20"/>
          <w:color w:val="auto"/>
        </w:rPr>
      </w:pPr>
    </w:p>
    <w:p>
      <w:pPr>
        <w:ind w:left="4160"/>
        <w:spacing w:after="0"/>
        <w:rPr>
          <w:sz w:val="20"/>
          <w:szCs w:val="20"/>
          <w:color w:val="auto"/>
        </w:rPr>
      </w:pPr>
      <w:r>
        <w:rPr>
          <w:rFonts w:ascii="Arial" w:cs="Arial" w:eastAsia="Arial" w:hAnsi="Arial"/>
          <w:sz w:val="12"/>
          <w:szCs w:val="12"/>
          <w:color w:val="auto"/>
        </w:rPr>
        <w:t>Name: ______________________</w:t>
      </w:r>
    </w:p>
    <w:p>
      <w:pPr>
        <w:spacing w:after="0" w:line="150" w:lineRule="exact"/>
        <w:rPr>
          <w:sz w:val="20"/>
          <w:szCs w:val="20"/>
          <w:color w:val="auto"/>
        </w:rPr>
      </w:pPr>
    </w:p>
    <w:p>
      <w:pPr>
        <w:ind w:left="4160"/>
        <w:spacing w:after="0"/>
        <w:rPr>
          <w:sz w:val="20"/>
          <w:szCs w:val="20"/>
          <w:color w:val="auto"/>
        </w:rPr>
      </w:pPr>
      <w:r>
        <w:rPr>
          <w:rFonts w:ascii="Arial" w:cs="Arial" w:eastAsia="Arial" w:hAnsi="Arial"/>
          <w:sz w:val="12"/>
          <w:szCs w:val="12"/>
          <w:color w:val="auto"/>
        </w:rPr>
        <w:t>Date: _______________________</w:t>
      </w:r>
    </w:p>
    <w:p>
      <w:pPr>
        <w:sectPr>
          <w:pgSz w:w="11900" w:h="16838" w:orient="portrait"/>
          <w:cols w:equalWidth="0" w:num="1">
            <w:col w:w="11340"/>
          </w:cols>
          <w:pgMar w:left="220" w:top="388" w:right="339" w:bottom="1440" w:gutter="0" w:footer="0" w:header="0"/>
        </w:sectPr>
      </w:pPr>
    </w:p>
    <w:bookmarkStart w:id="185" w:name="page186"/>
    <w:bookmarkEnd w:id="185"/>
    <w:p>
      <w:pPr>
        <w:ind w:left="9360"/>
        <w:spacing w:after="0"/>
        <w:rPr>
          <w:sz w:val="20"/>
          <w:szCs w:val="20"/>
          <w:color w:val="auto"/>
        </w:rPr>
      </w:pPr>
      <w:r>
        <w:rPr>
          <w:rFonts w:ascii="Arial" w:cs="Arial" w:eastAsia="Arial" w:hAnsi="Arial"/>
          <w:sz w:val="13"/>
          <w:szCs w:val="13"/>
          <w:b w:val="1"/>
          <w:bCs w:val="1"/>
          <w:color w:val="auto"/>
        </w:rPr>
        <w:t>Exhibit 10.103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122555</wp:posOffset>
            </wp:positionV>
            <wp:extent cx="7299325" cy="62661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9325" cy="6266180"/>
                    </a:xfrm>
                    <a:prstGeom prst="rect">
                      <a:avLst/>
                    </a:prstGeom>
                    <a:noFill/>
                  </pic:spPr>
                </pic:pic>
              </a:graphicData>
            </a:graphic>
          </wp:anchor>
        </w:drawing>
      </w:r>
    </w:p>
    <w:p>
      <w:pPr>
        <w:sectPr>
          <w:pgSz w:w="11900" w:h="16838" w:orient="portrait"/>
          <w:cols w:equalWidth="0" w:num="1">
            <w:col w:w="10260"/>
          </w:cols>
          <w:pgMar w:left="1440" w:top="122" w:right="199" w:bottom="1440"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358140</wp:posOffset>
            </wp:positionV>
            <wp:extent cx="7299325" cy="6266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9325" cy="626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39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325" cy="639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2890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628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266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9325" cy="6266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4575810" cy="105156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7581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299325" cy="763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9325" cy="763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39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9325" cy="639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151765</wp:posOffset>
            </wp:positionV>
            <wp:extent cx="7299325" cy="61633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9325" cy="6163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6296660</wp:posOffset>
            </wp:positionV>
            <wp:extent cx="729932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254635</wp:posOffset>
            </wp:positionV>
            <wp:extent cx="4575810" cy="5976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4575810" cy="5976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ind w:left="9360"/>
        <w:spacing w:after="0"/>
        <w:rPr>
          <w:sz w:val="20"/>
          <w:szCs w:val="20"/>
          <w:color w:val="auto"/>
        </w:rPr>
      </w:pPr>
      <w:r>
        <w:rPr>
          <w:rFonts w:ascii="Arial" w:cs="Arial" w:eastAsia="Arial" w:hAnsi="Arial"/>
          <w:sz w:val="13"/>
          <w:szCs w:val="13"/>
          <w:b w:val="1"/>
          <w:bCs w:val="1"/>
          <w:color w:val="auto"/>
        </w:rPr>
        <w:t>Exhibit 10.104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19685</wp:posOffset>
            </wp:positionV>
            <wp:extent cx="7299325" cy="6209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9325" cy="6209030"/>
                    </a:xfrm>
                    <a:prstGeom prst="rect">
                      <a:avLst/>
                    </a:prstGeom>
                    <a:noFill/>
                  </pic:spPr>
                </pic:pic>
              </a:graphicData>
            </a:graphic>
          </wp:anchor>
        </w:drawing>
      </w:r>
    </w:p>
    <w:p>
      <w:pPr>
        <w:sectPr>
          <w:pgSz w:w="11900" w:h="16838" w:orient="portrait"/>
          <w:cols w:equalWidth="0" w:num="1">
            <w:col w:w="10260"/>
          </w:cols>
          <w:pgMar w:left="1440" w:top="283" w:right="199" w:bottom="1440"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3119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9325" cy="631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3119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9325" cy="631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2090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9325" cy="6209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209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9325" cy="6209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254635</wp:posOffset>
            </wp:positionV>
            <wp:extent cx="7299325" cy="6209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9325" cy="6209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254635</wp:posOffset>
            </wp:positionV>
            <wp:extent cx="4575810" cy="59194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4575810" cy="5919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right"/>
        <w:spacing w:after="0"/>
        <w:rPr>
          <w:sz w:val="20"/>
          <w:szCs w:val="20"/>
          <w:color w:val="auto"/>
        </w:rPr>
      </w:pPr>
      <w:r>
        <w:rPr>
          <w:rFonts w:ascii="Arial" w:cs="Arial" w:eastAsia="Arial" w:hAnsi="Arial"/>
          <w:sz w:val="12"/>
          <w:szCs w:val="12"/>
          <w:b w:val="1"/>
          <w:bCs w:val="1"/>
          <w:color w:val="auto"/>
        </w:rPr>
        <w:t>EXHIBIT 31.1</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Shawn K. Singh, certify that;</w:t>
      </w:r>
    </w:p>
    <w:p>
      <w:pPr>
        <w:spacing w:after="0" w:line="168" w:lineRule="exact"/>
        <w:rPr>
          <w:sz w:val="20"/>
          <w:szCs w:val="20"/>
          <w:color w:val="auto"/>
        </w:rPr>
      </w:pPr>
    </w:p>
    <w:p>
      <w:pPr>
        <w:ind w:left="428" w:hanging="428"/>
        <w:spacing w:after="0"/>
        <w:tabs>
          <w:tab w:leader="none" w:pos="428"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VistaGen Therapeutics, Inc., a Nevada corporation;</w:t>
      </w:r>
    </w:p>
    <w:p>
      <w:pPr>
        <w:spacing w:after="0" w:line="168" w:lineRule="exact"/>
        <w:rPr>
          <w:rFonts w:ascii="Arial" w:cs="Arial" w:eastAsia="Arial" w:hAnsi="Arial"/>
          <w:sz w:val="12"/>
          <w:szCs w:val="12"/>
          <w:color w:val="auto"/>
        </w:rPr>
      </w:pPr>
    </w:p>
    <w:p>
      <w:pPr>
        <w:ind w:left="8" w:hanging="8"/>
        <w:spacing w:after="0" w:line="276" w:lineRule="auto"/>
        <w:tabs>
          <w:tab w:leader="none" w:pos="457" w:val="left"/>
        </w:tabs>
        <w:numPr>
          <w:ilvl w:val="0"/>
          <w:numId w:val="10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2" w:lineRule="exact"/>
        <w:rPr>
          <w:rFonts w:ascii="Arial" w:cs="Arial" w:eastAsia="Arial" w:hAnsi="Arial"/>
          <w:sz w:val="12"/>
          <w:szCs w:val="12"/>
          <w:color w:val="auto"/>
        </w:rPr>
      </w:pPr>
    </w:p>
    <w:p>
      <w:pPr>
        <w:ind w:left="8" w:right="20" w:hanging="8"/>
        <w:spacing w:after="0" w:line="276" w:lineRule="auto"/>
        <w:tabs>
          <w:tab w:leader="none" w:pos="441" w:val="left"/>
        </w:tabs>
        <w:numPr>
          <w:ilvl w:val="0"/>
          <w:numId w:val="10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489"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8" w:firstLine="208"/>
        <w:spacing w:after="0" w:line="276" w:lineRule="auto"/>
        <w:tabs>
          <w:tab w:leader="none" w:pos="819" w:val="left"/>
        </w:tabs>
        <w:numPr>
          <w:ilvl w:val="1"/>
          <w:numId w:val="10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firstLine="208"/>
        <w:spacing w:after="0" w:line="276" w:lineRule="auto"/>
        <w:tabs>
          <w:tab w:leader="none" w:pos="756" w:val="left"/>
        </w:tabs>
        <w:numPr>
          <w:ilvl w:val="1"/>
          <w:numId w:val="10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 w:right="20" w:firstLine="208"/>
        <w:spacing w:after="0" w:line="276" w:lineRule="auto"/>
        <w:tabs>
          <w:tab w:leader="none" w:pos="749" w:val="left"/>
        </w:tabs>
        <w:numPr>
          <w:ilvl w:val="1"/>
          <w:numId w:val="10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 w:firstLine="208"/>
        <w:spacing w:after="0" w:line="276" w:lineRule="auto"/>
        <w:tabs>
          <w:tab w:leader="none" w:pos="674" w:val="left"/>
        </w:tabs>
        <w:numPr>
          <w:ilvl w:val="1"/>
          <w:numId w:val="10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 w:hanging="8"/>
        <w:spacing w:after="0" w:line="276" w:lineRule="auto"/>
        <w:tabs>
          <w:tab w:leader="none" w:pos="527"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8" w:firstLine="208"/>
        <w:spacing w:after="0" w:line="276" w:lineRule="auto"/>
        <w:tabs>
          <w:tab w:leader="none" w:pos="643" w:val="left"/>
        </w:tabs>
        <w:numPr>
          <w:ilvl w:val="1"/>
          <w:numId w:val="10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8" w:hanging="432"/>
        <w:spacing w:after="0"/>
        <w:tabs>
          <w:tab w:leader="none" w:pos="648" w:val="left"/>
        </w:tabs>
        <w:numPr>
          <w:ilvl w:val="1"/>
          <w:numId w:val="10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June 24, 2014</w:t>
      </w:r>
    </w:p>
    <w:p>
      <w:pPr>
        <w:spacing w:after="0" w:line="15" w:lineRule="exact"/>
        <w:rPr>
          <w:sz w:val="20"/>
          <w:szCs w:val="20"/>
          <w:color w:val="auto"/>
        </w:rPr>
      </w:pPr>
    </w:p>
    <w:p>
      <w:pPr>
        <w:ind w:left="5748"/>
        <w:spacing w:after="0"/>
        <w:rPr>
          <w:sz w:val="20"/>
          <w:szCs w:val="20"/>
          <w:color w:val="auto"/>
        </w:rPr>
      </w:pPr>
      <w:r>
        <w:rPr>
          <w:rFonts w:ascii="Arial" w:cs="Arial" w:eastAsia="Arial" w:hAnsi="Arial"/>
          <w:sz w:val="12"/>
          <w:szCs w:val="12"/>
          <w:u w:val="single" w:color="auto"/>
          <w:color w:val="auto"/>
        </w:rPr>
        <w:t>/s/ Shawn K. Singh</w:t>
      </w:r>
    </w:p>
    <w:p>
      <w:pPr>
        <w:spacing w:after="0" w:line="6"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488"/>
          </w:cols>
          <w:pgMar w:left="212" w:top="127" w:right="199" w:bottom="1440" w:gutter="0" w:footer="0" w:header="0"/>
        </w:sectPr>
      </w:pPr>
    </w:p>
    <w:bookmarkStart w:id="205" w:name="page206"/>
    <w:bookmarkEnd w:id="205"/>
    <w:p>
      <w:pPr>
        <w:jc w:val="right"/>
        <w:spacing w:after="0"/>
        <w:rPr>
          <w:sz w:val="20"/>
          <w:szCs w:val="20"/>
          <w:color w:val="auto"/>
        </w:rPr>
      </w:pPr>
      <w:r>
        <w:rPr>
          <w:rFonts w:ascii="Arial" w:cs="Arial" w:eastAsia="Arial" w:hAnsi="Arial"/>
          <w:sz w:val="12"/>
          <w:szCs w:val="12"/>
          <w:b w:val="1"/>
          <w:bCs w:val="1"/>
          <w:color w:val="auto"/>
        </w:rPr>
        <w:t>EXHIBIT 31.2</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Jerrold D. Dotson, certify that:</w:t>
      </w:r>
    </w:p>
    <w:p>
      <w:pPr>
        <w:spacing w:after="0" w:line="168" w:lineRule="exact"/>
        <w:rPr>
          <w:sz w:val="20"/>
          <w:szCs w:val="20"/>
          <w:color w:val="auto"/>
        </w:rPr>
      </w:pPr>
    </w:p>
    <w:p>
      <w:pPr>
        <w:ind w:left="428" w:hanging="428"/>
        <w:spacing w:after="0"/>
        <w:tabs>
          <w:tab w:leader="none" w:pos="428" w:val="left"/>
        </w:tabs>
        <w:numPr>
          <w:ilvl w:val="0"/>
          <w:numId w:val="10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VistaGen Therapeutics, Inc., a Nevada corporation;</w:t>
      </w:r>
    </w:p>
    <w:p>
      <w:pPr>
        <w:spacing w:after="0" w:line="168" w:lineRule="exact"/>
        <w:rPr>
          <w:rFonts w:ascii="Arial" w:cs="Arial" w:eastAsia="Arial" w:hAnsi="Arial"/>
          <w:sz w:val="12"/>
          <w:szCs w:val="12"/>
          <w:color w:val="auto"/>
        </w:rPr>
      </w:pPr>
    </w:p>
    <w:p>
      <w:pPr>
        <w:ind w:left="8" w:hanging="8"/>
        <w:spacing w:after="0" w:line="276" w:lineRule="auto"/>
        <w:tabs>
          <w:tab w:leader="none" w:pos="45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2" w:lineRule="exact"/>
        <w:rPr>
          <w:rFonts w:ascii="Arial" w:cs="Arial" w:eastAsia="Arial" w:hAnsi="Arial"/>
          <w:sz w:val="12"/>
          <w:szCs w:val="12"/>
          <w:color w:val="auto"/>
        </w:rPr>
      </w:pPr>
    </w:p>
    <w:p>
      <w:pPr>
        <w:ind w:left="8" w:right="20" w:hanging="8"/>
        <w:spacing w:after="0" w:line="276" w:lineRule="auto"/>
        <w:tabs>
          <w:tab w:leader="none" w:pos="441" w:val="left"/>
        </w:tabs>
        <w:numPr>
          <w:ilvl w:val="0"/>
          <w:numId w:val="10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489"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8" w:firstLine="208"/>
        <w:spacing w:after="0" w:line="276" w:lineRule="auto"/>
        <w:tabs>
          <w:tab w:leader="none" w:pos="819"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firstLine="208"/>
        <w:spacing w:after="0" w:line="276" w:lineRule="auto"/>
        <w:tabs>
          <w:tab w:leader="none" w:pos="756"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 w:right="20" w:firstLine="208"/>
        <w:spacing w:after="0" w:line="276" w:lineRule="auto"/>
        <w:tabs>
          <w:tab w:leader="none" w:pos="749" w:val="left"/>
        </w:tabs>
        <w:numPr>
          <w:ilvl w:val="1"/>
          <w:numId w:val="10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 w:firstLine="208"/>
        <w:spacing w:after="0" w:line="276" w:lineRule="auto"/>
        <w:tabs>
          <w:tab w:leader="none" w:pos="674"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 w:hanging="8"/>
        <w:spacing w:after="0" w:line="276" w:lineRule="auto"/>
        <w:tabs>
          <w:tab w:leader="none" w:pos="527"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8" w:firstLine="208"/>
        <w:spacing w:after="0" w:line="276" w:lineRule="auto"/>
        <w:tabs>
          <w:tab w:leader="none" w:pos="643"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8" w:hanging="432"/>
        <w:spacing w:after="0"/>
        <w:tabs>
          <w:tab w:leader="none" w:pos="64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8"/>
        <w:spacing w:after="0"/>
        <w:rPr>
          <w:sz w:val="20"/>
          <w:szCs w:val="20"/>
          <w:color w:val="auto"/>
        </w:rPr>
      </w:pPr>
      <w:r>
        <w:rPr>
          <w:rFonts w:ascii="Arial" w:cs="Arial" w:eastAsia="Arial" w:hAnsi="Arial"/>
          <w:sz w:val="12"/>
          <w:szCs w:val="12"/>
          <w:color w:val="auto"/>
        </w:rPr>
        <w:t>June 24, 2014</w:t>
      </w:r>
    </w:p>
    <w:p>
      <w:pPr>
        <w:spacing w:after="0" w:line="15" w:lineRule="exact"/>
        <w:rPr>
          <w:sz w:val="20"/>
          <w:szCs w:val="20"/>
          <w:color w:val="auto"/>
        </w:rPr>
      </w:pPr>
    </w:p>
    <w:p>
      <w:pPr>
        <w:ind w:left="5748"/>
        <w:spacing w:after="0"/>
        <w:rPr>
          <w:sz w:val="20"/>
          <w:szCs w:val="20"/>
          <w:color w:val="auto"/>
        </w:rPr>
      </w:pPr>
      <w:r>
        <w:rPr>
          <w:rFonts w:ascii="Arial" w:cs="Arial" w:eastAsia="Arial" w:hAnsi="Arial"/>
          <w:sz w:val="12"/>
          <w:szCs w:val="12"/>
          <w:u w:val="single" w:color="auto"/>
          <w:color w:val="auto"/>
        </w:rPr>
        <w:t>/s/ Jerrold D. Dotson</w:t>
      </w:r>
    </w:p>
    <w:p>
      <w:pPr>
        <w:spacing w:after="0" w:line="6"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488"/>
          </w:cols>
          <w:pgMar w:left="212" w:top="127" w:right="199" w:bottom="1440" w:gutter="0" w:footer="0" w:header="0"/>
        </w:sectPr>
      </w:pPr>
    </w:p>
    <w:bookmarkStart w:id="206" w:name="page207"/>
    <w:bookmarkEnd w:id="206"/>
    <w:p>
      <w:pPr>
        <w:jc w:val="right"/>
        <w:spacing w:after="0"/>
        <w:rPr>
          <w:sz w:val="20"/>
          <w:szCs w:val="20"/>
          <w:color w:val="auto"/>
        </w:rPr>
      </w:pPr>
      <w:r>
        <w:rPr>
          <w:rFonts w:ascii="Arial" w:cs="Arial" w:eastAsia="Arial" w:hAnsi="Arial"/>
          <w:sz w:val="12"/>
          <w:szCs w:val="12"/>
          <w:b w:val="1"/>
          <w:bCs w:val="1"/>
          <w:color w:val="auto"/>
        </w:rPr>
        <w:t>EXHIBIT 32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xml:space="preserve">Pursuant to 18 U.S.C. § 1350, as created by Section 906 of the Sarbanes-Oxley Act of 2002, the undersigned officer of VistaGen Therapeutics, Inc. (the “ </w:t>
      </w:r>
      <w:r>
        <w:rPr>
          <w:rFonts w:ascii="Arial" w:cs="Arial" w:eastAsia="Arial" w:hAnsi="Arial"/>
          <w:sz w:val="11"/>
          <w:szCs w:val="11"/>
          <w:u w:val="single" w:color="auto"/>
          <w:color w:val="auto"/>
        </w:rPr>
        <w:t>Company</w:t>
      </w:r>
      <w:r>
        <w:rPr>
          <w:rFonts w:ascii="Arial" w:cs="Arial" w:eastAsia="Arial" w:hAnsi="Arial"/>
          <w:sz w:val="11"/>
          <w:szCs w:val="11"/>
          <w:color w:val="auto"/>
        </w:rPr>
        <w:t xml:space="preserve"> ”) hereby certifies, to such officer’s knowledge, that:</w:t>
      </w:r>
    </w:p>
    <w:p>
      <w:pPr>
        <w:spacing w:after="0" w:line="180" w:lineRule="exact"/>
        <w:rPr>
          <w:sz w:val="20"/>
          <w:szCs w:val="20"/>
          <w:color w:val="auto"/>
        </w:rPr>
      </w:pPr>
    </w:p>
    <w:p>
      <w:pPr>
        <w:ind w:left="320" w:firstLine="321"/>
        <w:spacing w:after="0" w:line="276" w:lineRule="auto"/>
        <w:tabs>
          <w:tab w:leader="none" w:pos="793" w:val="left"/>
        </w:tabs>
        <w:numPr>
          <w:ilvl w:val="0"/>
          <w:numId w:val="105"/>
        </w:numPr>
        <w:rPr>
          <w:rFonts w:ascii="Arial" w:cs="Arial" w:eastAsia="Arial" w:hAnsi="Arial"/>
          <w:sz w:val="12"/>
          <w:szCs w:val="12"/>
          <w:color w:val="auto"/>
        </w:rPr>
      </w:pPr>
      <w:r>
        <w:rPr>
          <w:rFonts w:ascii="Arial" w:cs="Arial" w:eastAsia="Arial" w:hAnsi="Arial"/>
          <w:sz w:val="12"/>
          <w:szCs w:val="12"/>
          <w:color w:val="auto"/>
        </w:rPr>
        <w:t xml:space="preserve">the accompanying Annual Report on Form 10-K of the Company for the annual period ended March 31, 2014 (the “ </w:t>
      </w:r>
      <w:r>
        <w:rPr>
          <w:rFonts w:ascii="Arial" w:cs="Arial" w:eastAsia="Arial" w:hAnsi="Arial"/>
          <w:sz w:val="12"/>
          <w:szCs w:val="12"/>
          <w:u w:val="single" w:color="auto"/>
          <w:color w:val="auto"/>
        </w:rPr>
        <w:t>Report</w:t>
      </w:r>
      <w:r>
        <w:rPr>
          <w:rFonts w:ascii="Arial" w:cs="Arial" w:eastAsia="Arial" w:hAnsi="Arial"/>
          <w:sz w:val="12"/>
          <w:szCs w:val="12"/>
          <w:color w:val="auto"/>
        </w:rPr>
        <w:t xml:space="preserve"> ”) fully complies with the requirements of Section 13(a) or Section 15(d), as applicable, of the Securities Exchange Act of 1934, as amended; and</w:t>
      </w:r>
    </w:p>
    <w:p>
      <w:pPr>
        <w:spacing w:after="0" w:line="132" w:lineRule="exact"/>
        <w:rPr>
          <w:rFonts w:ascii="Arial" w:cs="Arial" w:eastAsia="Arial" w:hAnsi="Arial"/>
          <w:sz w:val="12"/>
          <w:szCs w:val="12"/>
          <w:color w:val="auto"/>
        </w:rPr>
      </w:pPr>
    </w:p>
    <w:p>
      <w:pPr>
        <w:ind w:left="820" w:hanging="179"/>
        <w:spacing w:after="0"/>
        <w:tabs>
          <w:tab w:leader="none" w:pos="82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June 24, 2014</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Executive Officer</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Financial Officer</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x"/>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1"/>
      <w:numFmt w:val="decimal"/>
      <w:start w:val="1"/>
    </w:lvl>
    <w:lvl w:ilvl="1">
      <w:lvlJc w:val="left"/>
      <w:lvlText w:val="%2."/>
      <w:numFmt w:val="decimal"/>
      <w:start w:val="1"/>
    </w:lvl>
  </w:abstractNum>
  <w:abstractNum w:abstractNumId="8">
    <w:nsid w:val="1CF10FD8"/>
    <w:multiLevelType w:val="hybridMultilevel"/>
    <w:lvl w:ilvl="0">
      <w:lvlJc w:val="left"/>
      <w:lvlText w:val="%1."/>
      <w:numFmt w:val="decimal"/>
      <w:start w:val="3"/>
    </w:lvl>
    <w:lvl w:ilvl="1">
      <w:lvlJc w:val="left"/>
      <w:lvlText w:val="%2"/>
      <w:numFmt w:val="decimal"/>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lowerRoman"/>
      <w:start w:val="3"/>
    </w:lvl>
  </w:abstractNum>
  <w:abstractNum w:abstractNumId="31">
    <w:nsid w:val="100F8FCA"/>
    <w:multiLevelType w:val="hybridMultilevel"/>
    <w:lvl w:ilvl="0">
      <w:lvlJc w:val="left"/>
      <w:lvlText w:val="·"/>
      <w:numFmt w:val="bullet"/>
      <w:start w:val="1"/>
    </w:lvl>
    <w:lvl w:ilvl="1">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1."/>
      <w:numFmt w:val="decimal"/>
      <w:start w:val="101"/>
    </w:lvl>
  </w:abstractNum>
  <w:abstractNum w:abstractNumId="34">
    <w:nsid w:val="5F5E7FD0"/>
    <w:multiLevelType w:val="hybridMultilevel"/>
    <w:lvl w:ilvl="0">
      <w:lvlJc w:val="left"/>
      <w:lvlText w:val="(%1)"/>
      <w:numFmt w:val="lowerRoman"/>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1)"/>
      <w:numFmt w:val="decimal"/>
      <w:start w:val="1"/>
    </w:lvl>
  </w:abstractNum>
  <w:abstractNum w:abstractNumId="38">
    <w:nsid w:val="42C296BD"/>
    <w:multiLevelType w:val="hybridMultilevel"/>
    <w:lvl w:ilvl="0">
      <w:lvlJc w:val="left"/>
      <w:lvlText w:val="(%1)"/>
      <w:numFmt w:val="lowerRoman"/>
      <w:start w:val="3"/>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1."/>
      <w:numFmt w:val="decimal"/>
      <w:start w:val="18"/>
    </w:lvl>
  </w:abstractNum>
  <w:abstractNum w:abstractNumId="42">
    <w:nsid w:val="5DC79EA8"/>
    <w:multiLevelType w:val="hybridMultilevel"/>
    <w:lvl w:ilvl="0">
      <w:lvlJc w:val="left"/>
      <w:lvlText w:val="(%1)"/>
      <w:numFmt w:val="decimal"/>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1)"/>
      <w:numFmt w:val="lowerLetter"/>
      <w:start w:val="1"/>
    </w:lvl>
  </w:abstractNum>
  <w:abstractNum w:abstractNumId="49">
    <w:nsid w:val="42963E5A"/>
    <w:multiLevelType w:val="hybridMultilevel"/>
    <w:lvl w:ilvl="0">
      <w:lvlJc w:val="left"/>
      <w:lvlText w:val="·"/>
      <w:numFmt w:val="bullet"/>
      <w:start w:val="1"/>
    </w:lvl>
    <w:lvl w:ilvl="1">
      <w:lvlJc w:val="left"/>
      <w:lvlText w:val="(%2)"/>
      <w:numFmt w:val="lowerLetter"/>
      <w:start w:val="4"/>
    </w:lvl>
  </w:abstractNum>
  <w:abstractNum w:abstractNumId="50">
    <w:nsid w:val="A0382C5"/>
    <w:multiLevelType w:val="hybridMultilevel"/>
    <w:lvl w:ilvl="0">
      <w:lvlJc w:val="left"/>
      <w:lvlText w:val="·"/>
      <w:numFmt w:val="bullet"/>
      <w:start w:val="1"/>
    </w:lvl>
    <w:lvl w:ilvl="1">
      <w:lvlJc w:val="left"/>
      <w:lvlText w:val="(%2)"/>
      <w:numFmt w:val="lowerLetter"/>
      <w:start w:val="6"/>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1)"/>
      <w:numFmt w:val="decimal"/>
      <w:start w:val="3"/>
    </w:lvl>
  </w:abstractNum>
  <w:abstractNum w:abstractNumId="53">
    <w:nsid w:val="3B0FD379"/>
    <w:multiLevelType w:val="hybridMultilevel"/>
    <w:lvl w:ilvl="0">
      <w:lvlJc w:val="left"/>
      <w:lvlText w:val="(%1)"/>
      <w:numFmt w:val="lowerLetter"/>
      <w:start w:val="1"/>
    </w:lvl>
  </w:abstractNum>
  <w:abstractNum w:abstractNumId="54">
    <w:nsid w:val="68EB2F63"/>
    <w:multiLevelType w:val="hybridMultilevel"/>
    <w:lvl w:ilvl="0">
      <w:lvlJc w:val="left"/>
      <w:lvlText w:val="(%1)"/>
      <w:numFmt w:val="decimal"/>
      <w:start w:val="9"/>
    </w:lvl>
  </w:abstractNum>
  <w:abstractNum w:abstractNumId="55">
    <w:nsid w:val="4962813B"/>
    <w:multiLevelType w:val="hybridMultilevel"/>
    <w:lvl w:ilvl="0">
      <w:lvlJc w:val="left"/>
      <w:lvlText w:val="(%1)"/>
      <w:numFmt w:val="decimal"/>
      <w:start w:val="11"/>
    </w:lvl>
  </w:abstractNum>
  <w:abstractNum w:abstractNumId="56">
    <w:nsid w:val="60B6DF70"/>
    <w:multiLevelType w:val="hybridMultilevel"/>
    <w:lvl w:ilvl="0">
      <w:lvlJc w:val="left"/>
      <w:lvlText w:val="(%1)"/>
      <w:numFmt w:val="decimal"/>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1)"/>
      <w:numFmt w:val="decimal"/>
      <w:start w:val="5"/>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lvl w:ilvl="1">
      <w:lvlJc w:val="left"/>
      <w:lvlText w:val="•"/>
      <w:numFmt w:val="bullet"/>
      <w:start w:val="1"/>
    </w:lvl>
  </w:abstractNum>
  <w:abstractNum w:abstractNumId="66">
    <w:nsid w:val="94211F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1)"/>
      <w:numFmt w:val="decimal"/>
      <w:start w:val="650"/>
    </w:lvl>
  </w:abstractNum>
  <w:abstractNum w:abstractNumId="69">
    <w:nsid w:val="4C04A8AF"/>
    <w:multiLevelType w:val="hybridMultilevel"/>
    <w:lvl w:ilvl="0">
      <w:lvlJc w:val="left"/>
      <w:lvlText w:val="%1."/>
      <w:numFmt w:val="decimal"/>
      <w:start w:val="2"/>
    </w:lvl>
    <w:lvl w:ilvl="1">
      <w:lvlJc w:val="left"/>
      <w:lvlText w:val="(%2)"/>
      <w:numFmt w:val="lowerLetter"/>
      <w:start w:val="1"/>
    </w:lvl>
  </w:abstractNum>
  <w:abstractNum w:abstractNumId="70">
    <w:nsid w:val="1716703B"/>
    <w:multiLevelType w:val="hybridMultilevel"/>
    <w:lvl w:ilvl="0">
      <w:lvlJc w:val="left"/>
      <w:lvlText w:val="(%1)"/>
      <w:numFmt w:val="lowerLetter"/>
      <w:start w:val="5"/>
    </w:lvl>
    <w:lvl w:ilvl="1">
      <w:lvlJc w:val="left"/>
      <w:lvlText w:val="(%2)"/>
      <w:numFmt w:val="lowerRoman"/>
      <w:start w:val="1"/>
    </w:lvl>
  </w:abstractNum>
  <w:abstractNum w:abstractNumId="71">
    <w:nsid w:val="14E17E33"/>
    <w:multiLevelType w:val="hybridMultilevel"/>
    <w:lvl w:ilvl="0">
      <w:lvlJc w:val="left"/>
      <w:lvlText w:val="(%1)"/>
      <w:numFmt w:val="lowerLetter"/>
      <w:start w:val="12"/>
    </w:lvl>
    <w:lvl w:ilvl="1">
      <w:lvlJc w:val="left"/>
      <w:lvlText w:val="(%2)"/>
      <w:numFmt w:val="lowerLetter"/>
      <w:start w:val="13"/>
    </w:lvl>
  </w:abstractNum>
  <w:abstractNum w:abstractNumId="72">
    <w:nsid w:val="3222E7CD"/>
    <w:multiLevelType w:val="hybridMultilevel"/>
    <w:lvl w:ilvl="0">
      <w:lvlJc w:val="left"/>
      <w:lvlText w:val="(%1)"/>
      <w:numFmt w:val="lowerLetter"/>
      <w:start w:val="15"/>
    </w:lvl>
    <w:lvl w:ilvl="1">
      <w:lvlJc w:val="left"/>
      <w:lvlText w:val="%2"/>
      <w:numFmt w:val="lowerLetter"/>
      <w:start w:val="1"/>
    </w:lvl>
  </w:abstractNum>
  <w:abstractNum w:abstractNumId="73">
    <w:nsid w:val="74DE0EE3"/>
    <w:multiLevelType w:val="hybridMultilevel"/>
    <w:lvl w:ilvl="0">
      <w:lvlJc w:val="left"/>
      <w:lvlText w:val="%1."/>
      <w:numFmt w:val="decimal"/>
      <w:start w:val="3"/>
    </w:lvl>
  </w:abstractNum>
  <w:abstractNum w:abstractNumId="74">
    <w:nsid w:val="68EBC550"/>
    <w:multiLevelType w:val="hybridMultilevel"/>
    <w:lvl w:ilvl="0">
      <w:lvlJc w:val="left"/>
      <w:lvlText w:val="%1."/>
      <w:numFmt w:val="decimal"/>
      <w:start w:val="4"/>
    </w:lvl>
  </w:abstractNum>
  <w:abstractNum w:abstractNumId="75">
    <w:nsid w:val="2DF6D648"/>
    <w:multiLevelType w:val="hybridMultilevel"/>
    <w:lvl w:ilvl="0">
      <w:lvlJc w:val="left"/>
      <w:lvlText w:val="%1."/>
      <w:numFmt w:val="decimal"/>
      <w:start w:val="6"/>
    </w:lvl>
  </w:abstractNum>
  <w:abstractNum w:abstractNumId="76">
    <w:nsid w:val="46B7D447"/>
    <w:multiLevelType w:val="hybridMultilevel"/>
    <w:lvl w:ilvl="0">
      <w:lvlJc w:val="left"/>
      <w:lvlText w:val="%1."/>
      <w:numFmt w:val="decimal"/>
      <w:start w:val="7"/>
    </w:lvl>
  </w:abstractNum>
  <w:abstractNum w:abstractNumId="77">
    <w:nsid w:val="4A2AC315"/>
    <w:multiLevelType w:val="hybridMultilevel"/>
    <w:lvl w:ilvl="0">
      <w:lvlJc w:val="left"/>
      <w:lvlText w:val="%1."/>
      <w:numFmt w:val="decimal"/>
      <w:start w:val="1"/>
    </w:lvl>
    <w:lvl w:ilvl="1">
      <w:lvlJc w:val="left"/>
      <w:lvlText w:val="(%2)"/>
      <w:numFmt w:val="lowerLetter"/>
      <w:start w:val="2"/>
    </w:lvl>
  </w:abstractNum>
  <w:abstractNum w:abstractNumId="78">
    <w:nsid w:val="39EE015C"/>
    <w:multiLevelType w:val="hybridMultilevel"/>
    <w:lvl w:ilvl="0">
      <w:lvlJc w:val="left"/>
      <w:lvlText w:val="%1."/>
      <w:numFmt w:val="decimal"/>
      <w:start w:val="4"/>
    </w:lvl>
  </w:abstractNum>
  <w:abstractNum w:abstractNumId="79">
    <w:nsid w:val="57FC4FBB"/>
    <w:multiLevelType w:val="hybridMultilevel"/>
    <w:lvl w:ilvl="0">
      <w:lvlJc w:val="left"/>
      <w:lvlText w:val="%1"/>
      <w:numFmt w:val="decimal"/>
      <w:start w:val="1"/>
    </w:lvl>
    <w:lvl w:ilvl="1">
      <w:lvlJc w:val="left"/>
      <w:lvlText w:val="%2."/>
      <w:numFmt w:val="decimal"/>
      <w:start w:val="1"/>
    </w:lvl>
  </w:abstractNum>
  <w:abstractNum w:abstractNumId="80">
    <w:nsid w:val="CC1016F"/>
    <w:multiLevelType w:val="hybridMultilevel"/>
    <w:lvl w:ilvl="0">
      <w:lvlJc w:val="left"/>
      <w:lvlText w:val="%1."/>
      <w:numFmt w:val="decimal"/>
      <w:start w:val="2"/>
    </w:lvl>
    <w:lvl w:ilvl="1">
      <w:lvlJc w:val="left"/>
      <w:lvlText w:val="%2"/>
      <w:numFmt w:val="decimal"/>
      <w:start w:val="1"/>
    </w:lvl>
  </w:abstractNum>
  <w:abstractNum w:abstractNumId="81">
    <w:nsid w:val="43F18422"/>
    <w:multiLevelType w:val="hybridMultilevel"/>
    <w:lvl w:ilvl="0">
      <w:lvlJc w:val="left"/>
      <w:lvlText w:val="%1."/>
      <w:numFmt w:val="decimal"/>
      <w:start w:val="3"/>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4"/>
    </w:lvl>
  </w:abstractNum>
  <w:abstractNum w:abstractNumId="84">
    <w:nsid w:val="7F01579B"/>
    <w:multiLevelType w:val="hybridMultilevel"/>
    <w:lvl w:ilvl="0">
      <w:lvlJc w:val="left"/>
      <w:lvlText w:val="%1."/>
      <w:numFmt w:val="decimal"/>
      <w:start w:val="4"/>
    </w:lvl>
  </w:abstractNum>
  <w:abstractNum w:abstractNumId="85">
    <w:nsid w:val="49DA307D"/>
    <w:multiLevelType w:val="hybridMultilevel"/>
    <w:lvl w:ilvl="0">
      <w:lvlJc w:val="left"/>
      <w:lvlText w:val="%1."/>
      <w:numFmt w:val="decimal"/>
      <w:start w:val="9"/>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2"/>
    </w:lvl>
  </w:abstractNum>
  <w:abstractNum w:abstractNumId="88">
    <w:nsid w:val="50801EE1"/>
    <w:multiLevelType w:val="hybridMultilevel"/>
    <w:lvl w:ilvl="0">
      <w:lvlJc w:val="left"/>
      <w:lvlText w:val="(%1)"/>
      <w:numFmt w:val="lowerLetter"/>
      <w:start w:val="2"/>
    </w:lvl>
    <w:lvl w:ilvl="1">
      <w:lvlJc w:val="left"/>
      <w:lvlText w:val="(%2)"/>
      <w:numFmt w:val="lowerRoman"/>
      <w:start w:val="1"/>
    </w:lvl>
  </w:abstractNum>
  <w:abstractNum w:abstractNumId="89">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0">
    <w:nsid w:val="5FB8011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91">
    <w:nsid w:val="6AA78F7F"/>
    <w:multiLevelType w:val="hybridMultilevel"/>
    <w:lvl w:ilvl="0">
      <w:lvlJc w:val="left"/>
      <w:lvlText w:val="%1."/>
      <w:numFmt w:val="lowerLetter"/>
      <w:start w:val="2"/>
    </w:lvl>
  </w:abstractNum>
  <w:abstractNum w:abstractNumId="92">
    <w:nsid w:val="7672BD23"/>
    <w:multiLevelType w:val="hybridMultilevel"/>
    <w:lvl w:ilvl="0">
      <w:lvlJc w:val="left"/>
      <w:lvlText w:val="%1."/>
      <w:numFmt w:val="lowerLetter"/>
      <w:start w:val="3"/>
    </w:lvl>
  </w:abstractNum>
  <w:abstractNum w:abstractNumId="93">
    <w:nsid w:val="6FC75AF8"/>
    <w:multiLevelType w:val="hybridMultilevel"/>
    <w:lvl w:ilvl="0">
      <w:lvlJc w:val="left"/>
      <w:lvlText w:val="%1."/>
      <w:numFmt w:val="decimal"/>
      <w:start w:val="4"/>
    </w:lvl>
  </w:abstractNum>
  <w:abstractNum w:abstractNumId="94">
    <w:nsid w:val="6A5F7029"/>
    <w:multiLevelType w:val="hybridMultilevel"/>
    <w:lvl w:ilvl="0">
      <w:lvlJc w:val="left"/>
      <w:lvlText w:val="·"/>
      <w:numFmt w:val="bullet"/>
      <w:start w:val="1"/>
    </w:lvl>
    <w:lvl w:ilvl="1">
      <w:lvlJc w:val="left"/>
      <w:lvlText w:val="%2."/>
      <w:numFmt w:val="decimal"/>
      <w:start w:val="1"/>
    </w:lvl>
  </w:abstractNum>
  <w:abstractNum w:abstractNumId="95">
    <w:nsid w:val="7D5E18F8"/>
    <w:multiLevelType w:val="hybridMultilevel"/>
    <w:lvl w:ilvl="0">
      <w:lvlJc w:val="left"/>
      <w:lvlText w:val="3"/>
      <w:numFmt w:val="bullet"/>
      <w:start w:val="1"/>
    </w:lvl>
  </w:abstractNum>
  <w:abstractNum w:abstractNumId="96">
    <w:nsid w:val="5F3534A4"/>
    <w:multiLevelType w:val="hybridMultilevel"/>
    <w:lvl w:ilvl="0">
      <w:lvlJc w:val="left"/>
      <w:lvlText w:val="%1."/>
      <w:numFmt w:val="decimal"/>
      <w:start w:val="4"/>
    </w:lvl>
  </w:abstractNum>
  <w:abstractNum w:abstractNumId="97">
    <w:nsid w:val="73A1821B"/>
    <w:multiLevelType w:val="hybridMultilevel"/>
    <w:lvl w:ilvl="0">
      <w:lvlJc w:val="left"/>
      <w:lvlText w:val="%1."/>
      <w:numFmt w:val="decimal"/>
      <w:start w:val="8"/>
    </w:lvl>
  </w:abstractNum>
  <w:abstractNum w:abstractNumId="98">
    <w:nsid w:val="7DE67713"/>
    <w:multiLevelType w:val="hybridMultilevel"/>
    <w:lvl w:ilvl="0">
      <w:lvlJc w:val="left"/>
      <w:lvlText w:val="%1"/>
      <w:numFmt w:val="decimal"/>
      <w:start w:val="1"/>
    </w:lvl>
    <w:lvl w:ilvl="1">
      <w:lvlJc w:val="left"/>
      <w:lvlText w:val="%2."/>
      <w:numFmt w:val="decimal"/>
      <w:start w:val="1"/>
    </w:lvl>
  </w:abstractNum>
  <w:abstractNum w:abstractNumId="99">
    <w:nsid w:val="555C55B5"/>
    <w:multiLevelType w:val="hybridMultilevel"/>
    <w:lvl w:ilvl="0">
      <w:lvlJc w:val="left"/>
      <w:lvlText w:val="%1."/>
      <w:numFmt w:val="decimal"/>
      <w:start w:val="2"/>
    </w:lvl>
    <w:lvl w:ilvl="1">
      <w:lvlJc w:val="left"/>
      <w:lvlText w:val="%2"/>
      <w:numFmt w:val="decimal"/>
      <w:start w:val="1"/>
    </w:lvl>
  </w:abstractNum>
  <w:abstractNum w:abstractNumId="100">
    <w:nsid w:val="3FA62ACA"/>
    <w:multiLevelType w:val="hybridMultilevel"/>
    <w:lvl w:ilvl="0">
      <w:lvlJc w:val="left"/>
      <w:lvlText w:val="(%1)"/>
      <w:numFmt w:val="decimal"/>
      <w:start w:val="1"/>
    </w:lvl>
  </w:abstractNum>
  <w:abstractNum w:abstractNumId="101">
    <w:nsid w:val="14FCE74E"/>
    <w:multiLevelType w:val="hybridMultilevel"/>
    <w:lvl w:ilvl="0">
      <w:lvlJc w:val="left"/>
      <w:lvlText w:val="%1."/>
      <w:numFmt w:val="decimal"/>
      <w:start w:val="4"/>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2020-01-27T19:34:48Z</dcterms:created>
  <dcterms:modified xsi:type="dcterms:W3CDTF">2020-01-27T19:34:48Z</dcterms:modified>
</cp:coreProperties>
</file>