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1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333-277041</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467360</wp:posOffset>
            </wp:positionV>
            <wp:extent cx="2383155" cy="642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642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$175,000,000</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36" w:lineRule="exact"/>
        <w:rPr>
          <w:sz w:val="24"/>
          <w:szCs w:val="24"/>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 May 14, 2021,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“Sales Agreement”) with Jefferies LLC (“Jefferies”) relating to shares of our common stock, par value $0.001 per share, offered by this prospectus supplement. We have increased the maximum aggregate offering amount of the shares of our common stock that we may offer and sell from time to time through Jefferies, acting as our sales agent, from $100,000,000 to $175,000,000, as reflected on the cover of this prospectus supplement. As of the date of this prospectus supplement, we have remaining capacity to sell up to approximately $171,556,387 of our common stock under the Sales Agreement.</w:t>
      </w:r>
    </w:p>
    <w:p>
      <w:pPr>
        <w:spacing w:after="0" w:line="213"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may be made by any method permitted that is deemed to be an “at the market offering” as defined in Rule 415(a)(4) promulgated under the Securities Act of 1933, as amended (the “Securities Act”). Jefferies is not required to sell any specific amount of securities, but will act as our sales agent and use commercially reasonable efforts to sell on our behalf all of the shares of common stock requested to be sold by us, consistent with its normal trading and sales practices, on mutually agreed terms between Jefferies and us. There is no arrangement for funds to be received in any escrow, trust or similar arrangement.</w:t>
      </w:r>
    </w:p>
    <w:p>
      <w:pPr>
        <w:spacing w:after="0" w:line="201"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Jefferies will be entitled to compensation at a commission of up to 3.0% of the gross proceeds of the shares of common stock sold under the Sales Agreement. In connection with the sale of our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(the “Exchange Act”). See “Plan of Distribution” beginning on page S-10 for additional information regarding the compensation to be paid to Jefferies.</w:t>
      </w:r>
    </w:p>
    <w:p>
      <w:pPr>
        <w:spacing w:after="0" w:line="211" w:lineRule="exact"/>
        <w:rPr>
          <w:sz w:val="24"/>
          <w:szCs w:val="24"/>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“VTGN.” On June 16, 2025, the last reported sale price of our common stock on The Nasdaq Capital Market was $2.36 per share.</w:t>
      </w:r>
    </w:p>
    <w:p>
      <w:pPr>
        <w:spacing w:after="0" w:line="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1" w:lineRule="exact"/>
        <w:rPr>
          <w:sz w:val="24"/>
          <w:szCs w:val="24"/>
          <w:color w:val="auto"/>
        </w:rPr>
      </w:pPr>
    </w:p>
    <w:p>
      <w:pPr>
        <w:ind w:right="140" w:firstLine="648"/>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Investing in our common stock involves a high degree of risk. You should review carefully the risks and uncertainties described under the heading “Risk Factors” beginning on page S-5 of this prospectus supplement and under similar headings in the documents incorporated by reference into this prospectus supplement.</w:t>
      </w:r>
    </w:p>
    <w:p>
      <w:pPr>
        <w:spacing w:after="0" w:line="21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21" w:lineRule="exact"/>
        <w:rPr>
          <w:sz w:val="24"/>
          <w:szCs w:val="24"/>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and the accompanying base prospectus is truthful or complete. Any representation to the contrary is a criminal offense.</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June 17, 2025.</w:t>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4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PROSPECTUS SUPPLEMENT SUMMARY</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S-3</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OFFERING</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w:t>
            </w:r>
          </w:p>
        </w:tc>
      </w:tr>
      <w:tr>
        <w:trPr>
          <w:trHeight w:val="24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S-5</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S-8</w:t>
            </w:r>
          </w:p>
        </w:tc>
      </w:tr>
      <w:tr>
        <w:trPr>
          <w:trHeight w:val="24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S-9</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OF DISTRIBUTION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S-10</w:t>
            </w:r>
          </w:p>
        </w:tc>
      </w:tr>
      <w:tr>
        <w:trPr>
          <w:trHeight w:val="24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MATTERS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S-11</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EXPERTS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S-11</w:t>
            </w:r>
          </w:p>
        </w:tc>
      </w:tr>
      <w:tr>
        <w:trPr>
          <w:trHeight w:val="24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S-11</w:t>
            </w:r>
          </w:p>
        </w:tc>
      </w:tr>
      <w:tr>
        <w:trPr>
          <w:trHeight w:val="234"/>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INCORPORATION BY REFERENCE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S-12</w:t>
            </w:r>
          </w:p>
        </w:tc>
      </w:tr>
      <w:tr>
        <w:trPr>
          <w:trHeight w:val="535"/>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880" w:type="dxa"/>
            <w:vAlign w:val="bottom"/>
          </w:tcPr>
          <w:p>
            <w:pPr>
              <w:spacing w:after="0"/>
              <w:rPr>
                <w:sz w:val="24"/>
                <w:szCs w:val="24"/>
                <w:color w:val="auto"/>
              </w:rPr>
            </w:pPr>
          </w:p>
        </w:tc>
      </w:tr>
      <w:tr>
        <w:trPr>
          <w:trHeight w:val="526"/>
        </w:trPr>
        <w:tc>
          <w:tcPr>
            <w:tcW w:w="9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3"/>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ABOUT THIS PROSPECTUS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INCORPORATION BY REFERENCE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OVERVIEW</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THAT MAY BE OFFERED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DESCRIPTION OF PREFERRED STOCK</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WARRANTS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DESCRIPTION OF UNITS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CERTAIN PROVISIONS OF NEVADA LAW AND OUR CHARTER AND BYLAWS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OF DISTRIBUTION</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MATTERS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EXPERTS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prospectus supplement is part of a shelf registration statement on Form S-3 that we filed with the Securities and Exchange Commission (the “SEC”). Under the shelf registration process, we may offer shares of our common stock and certain other of our securities having an aggregate offering price of up to $350,000,000. Under this prospectus supplement, we may from time to time sell shares of our common stock having an aggregate offering price of up to $175,000,000 at prices and on terms to be determined by market conditions at the time of the offering. The $175,000,000 of shares of our common stock that may be sold under this prospectus supplement are included in the $350,000,000 of our securities that may be sold under the shelf registration statement.</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offering of our common stock. Before buying any of the common stock that we are offering, we urge you to carefully read this prospectus supplement and the accompanying prospectus, together with the information incorporated by reference as described under the heading “Incorporation of Certain Information by Reference” in this prospectus supplement. These documents contain important information that you should consider when making your investment decision.</w:t>
      </w:r>
    </w:p>
    <w:p>
      <w:pPr>
        <w:spacing w:after="0" w:line="1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the common stock we are offering and also adds to and updates information contained in the accompanying prospectus and the documents incorporated by reference herein or therein. The second part, the accompanying prospectus, provides more general information. Generally, when we refer to this prospectus, we are referring to both this prospectus supplement and the accompanying prospectus.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Any statement so modified or superseded will not be deemed, except as so modified or superseded, to constitute a part of this prospectus.</w:t>
      </w:r>
    </w:p>
    <w:p>
      <w:pPr>
        <w:spacing w:after="0" w:line="2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or in the accompanying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supplement, the accompanying prospectus and in any free writing prospectus that we may authorize for use in connection with this offering. We have not, and Jefferies has not, authorized anyone to provide any information other than that contained or incorporated by reference in this prospectus supplement, in the accompanying prospectus or in any free writing prospectus prepared by or on behalf of us or to which we have referred you. We and Jefferies take no responsibility for, and can provide no assurance as to the reliability of, any other information that others may give you. We are not, and Jefferies is not, making an offer to sell, or soliciting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the accompanying prospectus, the documents incorporated by reference herein or therein, and in any free writing prospectus prepared by or on behalf of us that we may authorize for use in connection with this filing is accurate only as of the date of those respective documents. Our business, financial condition, results of operations and prospectus may have changed since those dates. It is important for you to read and consider all information contained in this prospectus supplement, the accompanying prospectus, the documents incorporated by reference herein and therein, and any free writing prospectus prepared by or on behalf of us that we may authorize for use in connection with this offering, in their entirety, before making an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240"/>
          </w:cols>
          <w:pgMar w:left="320" w:top="1400" w:right="339" w:bottom="1440" w:gutter="0" w:footer="0" w:header="0"/>
        </w:sectPr>
      </w:pPr>
    </w:p>
    <w:bookmarkStart w:id="3" w:name="page4"/>
    <w:bookmarkEnd w:id="3"/>
    <w:p>
      <w:pPr>
        <w:jc w:val="both"/>
        <w:spacing w:after="0"/>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stated, all references in this prospectus supplement and the accompanying prospectus to “we,” “us,” “our,” “Vistagen,” “the Company” and similar designations refer, collectively, to Vistagen Therapeutics, Inc., a Nevada corporation, and its consolidated subsidiaries.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use our trademarks and our logo in this prospectus supplement and the documents incorporated by reference. Solely for the convenience, trademarks and tradenames referred to in this prospectus supplement appear without the “®” and “™” symbols, but those references are not intended to indicate, in any way, that we will not assert, to the fullest extent under applicable law, our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240"/>
          </w:cols>
          <w:pgMar w:left="320" w:top="14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prospectus supplement, the accompanying base prospectus and the documents incorporated by reference herein and therein contain forward-looking statements that involve substantial risks and uncertainties. All statements, other than statements of historical facts, contained in this prospectus, any prospectus supplement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204"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anticipate our available financial resources will enable us to fund our operating expense;</w:t>
      </w:r>
    </w:p>
    <w:p>
      <w:pPr>
        <w:spacing w:after="0" w:line="238" w:lineRule="exact"/>
        <w:rPr>
          <w:rFonts w:ascii="Times New Roman" w:cs="Times New Roman" w:eastAsia="Times New Roman" w:hAnsi="Times New Roman"/>
          <w:sz w:val="18"/>
          <w:szCs w:val="18"/>
          <w:color w:val="auto"/>
        </w:rPr>
      </w:pPr>
    </w:p>
    <w:p>
      <w:pPr>
        <w:ind w:left="660" w:right="72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including funding necessary to complete further development, approval and, if approved, commercialization of our product candidates;</w:t>
      </w:r>
    </w:p>
    <w:p>
      <w:pPr>
        <w:spacing w:after="0" w:line="189" w:lineRule="exact"/>
        <w:rPr>
          <w:rFonts w:ascii="Times New Roman" w:cs="Times New Roman" w:eastAsia="Times New Roman" w:hAnsi="Times New Roman"/>
          <w:sz w:val="18"/>
          <w:szCs w:val="18"/>
          <w:color w:val="auto"/>
        </w:rPr>
      </w:pPr>
    </w:p>
    <w:p>
      <w:pPr>
        <w:ind w:left="660" w:right="70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 objectives, strategy, likelihood of success, and cost of our preclinical studies and clinical trials and other product development activities, including the design of our preclinical studies and clinical trials;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initiation of our preclinical studies and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enroll and randomize suitable patients in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completion of our preclinical studies and clinical trials and related preparatory work;</w:t>
      </w:r>
    </w:p>
    <w:p>
      <w:pPr>
        <w:spacing w:after="0" w:line="238"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and interpret preclinical and clinical data;</w:t>
      </w:r>
    </w:p>
    <w:p>
      <w:pPr>
        <w:spacing w:after="0" w:line="238"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interactions, including whether preclinical studies and clinical trials meet the criteria to enable early-stage clinical development or support registration of our product candidates;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benefits of our product candidates;</w:t>
      </w:r>
    </w:p>
    <w:p>
      <w:pPr>
        <w:spacing w:after="0" w:line="23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obtained, maintain regulatory approval for our product candidates, and any related restrictions, limitations or warnings on the label of an approved product candidate;</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business development efforts to optimize the potential value of our neuroscience pipeline;</w:t>
      </w:r>
    </w:p>
    <w:p>
      <w:pPr>
        <w:spacing w:after="0" w:line="23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development of treatments for the indications that we pursue or are pursuing for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and the duration of such protection;</w:t>
      </w:r>
    </w:p>
    <w:p>
      <w:pPr>
        <w:spacing w:after="0" w:line="23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and rely on third-parties to assist in conducting our preclinical studies and clinical trials and manufacturing our product candidates;</w:t>
      </w:r>
    </w:p>
    <w:p>
      <w:pPr>
        <w:spacing w:after="0" w:line="18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 either on our own or in partnership with others;</w:t>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ectPr>
          <w:pgSz w:w="11900" w:h="16838" w:orient="portrait"/>
          <w:cols w:equalWidth="0" w:num="1">
            <w:col w:w="11240"/>
          </w:cols>
          <w:pgMar w:left="320" w:top="1400" w:right="339" w:bottom="1440" w:gutter="0" w:footer="0" w:header="0"/>
          <w:type w:val="continuous"/>
        </w:sectPr>
      </w:pPr>
    </w:p>
    <w:bookmarkStart w:id="5" w:name="page6"/>
    <w:bookmarkEnd w:id="5"/>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including regulatory personnel, and developments in the U.S. and foreign countries;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regulations, accounting standards, regulatory requirements, judicial decisions and guidance issued by authoritative bodies;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medical, commercial and management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and needs for additional financing;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225"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our License and Collaboration Agreement with AffaMed Therapeutics, Inc. (including our ability to receive future payments thereunder) and any other future financing or business development transactions;</w:t>
      </w:r>
    </w:p>
    <w:p>
      <w:pPr>
        <w:spacing w:after="0" w:line="189" w:lineRule="exact"/>
        <w:rPr>
          <w:rFonts w:ascii="Times New Roman" w:cs="Times New Roman" w:eastAsia="Times New Roman" w:hAnsi="Times New Roman"/>
          <w:sz w:val="18"/>
          <w:szCs w:val="18"/>
          <w:color w:val="auto"/>
        </w:rPr>
      </w:pPr>
    </w:p>
    <w:p>
      <w:pPr>
        <w:ind w:left="660" w:right="20" w:hanging="328"/>
        <w:spacing w:after="0" w:line="24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adverse market or macroeconomic conditions, including, among others, inflation, interest rates and economic uncertainty, market volatility resulting from global political or economic developments, war, international hostilities and terrorism, any future public health epidemics or outbreaks of infectious disease, the residual post-COVID environment and other factors on any of the foregoing or other aspects of our business operations, including but not limited to our preclinical studies, clinical trials and other product development activities, healthcare systems and the global economy as a whole; and</w:t>
      </w:r>
    </w:p>
    <w:p>
      <w:pPr>
        <w:spacing w:after="0" w:line="21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under Item 1A, “Risk Factors,” in our Annual Report on Form 10-K for the fiscal year ended March 31, 2025, which risk factors are incorporated herein by reference.</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Moreover, our forward-looking statements do not reflect the potential impact of any future acquisitions, mergers, dispositions, joint ventures or investments we may make.</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base prospectus and the documents incorporated by reference herein and therein completely and with the understanding that our actual future results may be materially different from what we expect. We qualify all of the forward-looking statements in this prospectus supplement, the accompanying base prospectus and the documents incorporated by reference herein and therein by these cautionary statements. Except as required by law,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40"/>
          </w:cols>
          <w:pgMar w:left="320" w:top="1404"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93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0" w:lineRule="exact"/>
        <w:rPr>
          <w:sz w:val="20"/>
          <w:szCs w:val="20"/>
          <w:color w:val="auto"/>
        </w:rPr>
      </w:pPr>
    </w:p>
    <w:p>
      <w:pPr>
        <w:jc w:val="both"/>
        <w:ind w:right="20" w:firstLine="18"/>
        <w:spacing w:after="0" w:line="23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and does not contain all of the information that you should consider before investing in our securities. Before investing in our common stock, you should carefully read the information contained and incorporated by reference in this prospectus supplement, the accompanying prospectus, any related free-writing prospectus that we have authorized for use in connection with this offering and the documents incorporated by reference herein or therein, including the sections titled “Risk Factors,” “Cautionary Note Regarding Forward-Looking Statements” and the financial statements and accompanying notes.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43" w:lineRule="exact"/>
        <w:rPr>
          <w:sz w:val="20"/>
          <w:szCs w:val="20"/>
          <w:color w:val="auto"/>
        </w:rPr>
      </w:pPr>
    </w:p>
    <w:p>
      <w:pPr>
        <w:jc w:val="both"/>
        <w:ind w:firstLine="18"/>
        <w:spacing w:after="0" w:line="241" w:lineRule="auto"/>
        <w:rPr>
          <w:sz w:val="20"/>
          <w:szCs w:val="20"/>
          <w:color w:val="auto"/>
        </w:rPr>
      </w:pPr>
      <w:r>
        <w:rPr>
          <w:rFonts w:ascii="Times New Roman" w:cs="Times New Roman" w:eastAsia="Times New Roman" w:hAnsi="Times New Roman"/>
          <w:sz w:val="18"/>
          <w:szCs w:val="18"/>
          <w:color w:val="auto"/>
        </w:rPr>
        <w:t>We are a late clinical-stage biopharmaceutical company leveraging a deep understanding of nose-to-brain neurocircuitry to develop and commercialize a new class of non-systemic intranasal product candidates called pherines. Our broad and diverse neuroscience pipeline currently consists of five clinical-stage pherine product candidates, each with a novel mechanism of action and positive clinical data in their targeted indication(s). Pherines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w:t>
      </w:r>
    </w:p>
    <w:p>
      <w:pPr>
        <w:spacing w:after="0" w:line="21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Our most advanced intranasal pherine product candidate is fasedienol, which is being investigated in our U.S. registration-directed PALISADE Program for the acute treatment of social anxiety disorder (“SAD”). In August 2023, we received and reported positive topline results from our PALISADE-2 Phase 3 trial of fasedienol for the acute treatment of SAD. The ongoing clinical trials in our PALISADE Program include our PALISADE-3 and PALISADE-4 Phase 3 trials, which are designed similarly to PALISADE-2, and a small exploratory Phase 2 repeat dose study (the “Repeat Dose Study”). Topline data for PALISADE-3 are expected in the fourth quarter of 2025 and topline results for PALISADE-4 and the Repeat Dose Study are expected in the first half of 2026. We believe either PALISADE-3 or PALISADE-4, if successful, together with the positive results from PALISADE-2, may establish substantial evidence of the effectiveness of fasedienol in support of a potential New Drug Application submission to the U.S. Food and Drug Administration (the “FDA”) for the acute treatment of SAD. The FDA has granted Fast Track designation for the investigation of fasedienol for the acute treatment of SAD. Fasedienol has the potential to be the first FDA-approved acute treatment of SAD and provide significant advantages relative to the current standard of care.</w:t>
      </w:r>
    </w:p>
    <w:p>
      <w:pPr>
        <w:spacing w:after="0" w:line="217"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We have also reported positive results from an exploratory Phase 2A clinical trial for each of our next most advanced pherine product candidates, itruvone for treatment of major depressive disorder, and PH80 for both vasomotor symptoms (hot flashes) due to menopause and premenstrual dysphoric disorder, as well as a pilot Phase 2A study of PH15 for improvement of psychomotor impairment due to mental fatigue and an exploratory Phase 2A study of PH284 for treatment of cancer cachexia.</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passionate about developing transformative treatment options with potential to meet clear and growing unmet needs and bring meaningful relief to patients underserved by the current standard of care for multiple highly prevalent indications.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43" w:lineRule="exact"/>
        <w:rPr>
          <w:sz w:val="20"/>
          <w:szCs w:val="20"/>
          <w:color w:val="auto"/>
        </w:rPr>
      </w:pPr>
    </w:p>
    <w:p>
      <w:pPr>
        <w:jc w:val="both"/>
        <w:ind w:right="20" w:firstLine="18"/>
        <w:spacing w:after="0" w:line="242" w:lineRule="auto"/>
        <w:rPr>
          <w:sz w:val="20"/>
          <w:szCs w:val="20"/>
          <w:color w:val="auto"/>
        </w:rPr>
      </w:pPr>
      <w:r>
        <w:rPr>
          <w:rFonts w:ascii="Times New Roman" w:cs="Times New Roman" w:eastAsia="Times New Roman" w:hAnsi="Times New Roman"/>
          <w:sz w:val="18"/>
          <w:szCs w:val="18"/>
          <w:color w:val="auto"/>
        </w:rPr>
        <w:t xml:space="preserve">Vistagen Therapeutics, Inc., a Nevada corporation, is the parent of Pherin Pharmaceuticals, Inc., a Delaware corporation, and Vistastem, Inc., a wholly owned California corporation. Our principal executive offices are located at 343 Allerton Avenue, South San Francisco, California 94080, and our telephone number is (650) 577-3600. Our website address is </w:t>
      </w:r>
      <w:r>
        <w:rPr>
          <w:rFonts w:ascii="Times New Roman" w:cs="Times New Roman" w:eastAsia="Times New Roman" w:hAnsi="Times New Roman"/>
          <w:sz w:val="18"/>
          <w:szCs w:val="18"/>
          <w:i w:val="1"/>
          <w:iCs w:val="1"/>
          <w:color w:val="auto"/>
        </w:rPr>
        <w:t>www.vistagen.com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The information contained on our website is not part of this prospectus supplement or the accompanying prospectus. We have included our website address as a factual reference and do not intend it to be an active link to our website.</w:t>
      </w:r>
    </w:p>
    <w:p>
      <w:pPr>
        <w:sectPr>
          <w:pgSz w:w="11900" w:h="16838" w:orient="portrait"/>
          <w:cols w:equalWidth="0" w:num="1">
            <w:col w:w="9260"/>
          </w:cols>
          <w:pgMar w:left="1320" w:top="144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S-3</w:t>
      </w:r>
    </w:p>
    <w:p>
      <w:pPr>
        <w:sectPr>
          <w:pgSz w:w="11900" w:h="16838" w:orient="portrait"/>
          <w:cols w:equalWidth="0" w:num="1">
            <w:col w:w="9260"/>
          </w:cols>
          <w:pgMar w:left="1320" w:top="1440" w:right="131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-530225</wp:posOffset>
            </wp:positionV>
            <wp:extent cx="7136130" cy="4779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477901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both"/>
        <w:ind w:left="700"/>
        <w:spacing w:after="0" w:line="266" w:lineRule="auto"/>
        <w:rPr>
          <w:sz w:val="20"/>
          <w:szCs w:val="20"/>
          <w:color w:val="auto"/>
        </w:rPr>
      </w:pPr>
      <w:r>
        <w:rPr>
          <w:rFonts w:ascii="Times New Roman" w:cs="Times New Roman" w:eastAsia="Times New Roman" w:hAnsi="Times New Roman"/>
          <w:sz w:val="18"/>
          <w:szCs w:val="18"/>
          <w:color w:val="auto"/>
        </w:rPr>
        <w:t>Shares of our common stock having an aggregate offering price of up to $175,000,000.</w:t>
      </w:r>
    </w:p>
    <w:p>
      <w:pPr>
        <w:jc w:val="both"/>
        <w:ind w:left="700"/>
        <w:spacing w:after="0" w:line="226"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 Jefferies. See “Plan of Distribution” on page S-10 of this prospectus supplement.</w:t>
      </w:r>
    </w:p>
    <w:p>
      <w:pPr>
        <w:spacing w:after="0" w:line="252" w:lineRule="exact"/>
        <w:rPr>
          <w:sz w:val="20"/>
          <w:szCs w:val="20"/>
          <w:color w:val="auto"/>
        </w:rPr>
      </w:pPr>
    </w:p>
    <w:p>
      <w:pPr>
        <w:jc w:val="both"/>
        <w:ind w:left="700"/>
        <w:spacing w:after="0" w:line="237" w:lineRule="auto"/>
        <w:rPr>
          <w:sz w:val="20"/>
          <w:szCs w:val="20"/>
          <w:color w:val="auto"/>
        </w:rPr>
      </w:pPr>
      <w:r>
        <w:rPr>
          <w:rFonts w:ascii="Times New Roman" w:cs="Times New Roman" w:eastAsia="Times New Roman" w:hAnsi="Times New Roman"/>
          <w:sz w:val="18"/>
          <w:szCs w:val="18"/>
          <w:color w:val="auto"/>
        </w:rPr>
        <w:t>Our management will retain broad discretion regarding the allocation and use of the net proceeds. We intend to use the net proceeds from this offering for contract manufacturing, nonclinical and clinical development, and potential commercialization of our pherine product candidates, as well as for working capital and other general corporate purposes. See “Use of Proceeds” on page S-8.</w:t>
      </w:r>
    </w:p>
    <w:p>
      <w:pPr>
        <w:spacing w:after="0" w:line="135" w:lineRule="exact"/>
        <w:rPr>
          <w:sz w:val="20"/>
          <w:szCs w:val="20"/>
          <w:color w:val="auto"/>
        </w:rPr>
      </w:pPr>
    </w:p>
    <w:p>
      <w:pPr>
        <w:jc w:val="both"/>
        <w:ind w:left="700"/>
        <w:spacing w:after="0" w:line="239"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the information contained under the heading “Risk Factors” beginning on page S-5 of this prospectus supplement and under similar headings in the accompanying prospectus and in the other documents that are incorporated by reference herein and therein, including specifically under “Item 1A: Risk Factors” and elsewhere in our Annual Report on Form 10-K for the fiscal year ended March 31, 2025.</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“VTGN”</w:t>
      </w:r>
    </w:p>
    <w:p>
      <w:pPr>
        <w:spacing w:after="0" w:line="200" w:lineRule="exact"/>
        <w:rPr>
          <w:sz w:val="20"/>
          <w:szCs w:val="20"/>
          <w:color w:val="auto"/>
        </w:rPr>
      </w:pPr>
    </w:p>
    <w:p>
      <w:pPr>
        <w:sectPr>
          <w:pgSz w:w="11900" w:h="16838" w:orient="portrait"/>
          <w:cols w:equalWidth="0" w:num="2">
            <w:col w:w="3200" w:space="720"/>
            <w:col w:w="5280"/>
          </w:cols>
          <w:pgMar w:left="1340" w:top="144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9200"/>
          </w:cols>
          <w:pgMar w:left="1340" w:top="1440" w:right="13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making an investment decision, you should carefully consider the risks described below and in our Annual Report on Form 10-K for the fiscal year ended March 31, 2025 incorporated by reference into this prospectus supplement and the accompanying prospectus, any amendment or update thereto reflected in our subsequent filings with the SEC, any related free writing prospectus and all of the other information contained in this prospectus supplement, the accompanying prospectus, any related free writing prospectus and the documents incorporated by reference herein or therein, including our financial statements and related notes.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currently believe to be immaterial may also materially harm our business, operating results and financial condition and could result in a complete loss of your investment.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will experience immediate dilution in the book value per share of the common stock purchased in the offering.</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However, we expect that the offering price of our common stock will be substantially higher than the net tangible book value per share of our outstanding common stock. After giving effect to the sale of shares of our common stock in the aggregate amount of $175,000,000 at an assumed offering price of $2.36 per share, the last sale price of our common stock on June 16, 2025 on The Nasdaq Capital Market, and after deducting commissions and estimated offering expenses, our as adjusted net tangible book value as of March 31, 2025 would have been approximately $170.6 million or approximately $1.65 per share, excluding the impact of outstanding pre-funded warrants. This represents an immediate decrease in net tangible book value of approximately $0.76 per share to our existing stockholders and an immediate dilution in as adjusted net tangible book value of approximately $0.71 per share to purchasers of our common stock in this offering. See “Dilution” for more information.</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to this offering, subject to market conditions and other factors, we may pursue additional equity financings in the future, including future public offerings or future private placements of equity securities or securities convertible into or exchangeable for equity securities at prices that may be higher or lower than the price per share in this offering. Further, the exercise of outstanding options or warrants could result in further dilution to investors and any additional shares issued in connection with acquisitions, collaborations, licensing transactions or other similar transactions will result in dilution to investors. In addition, the market price of our common stock could fall as a result of resales of any of these shares of common stock due to an increased number of shares available for sale in the market.</w:t>
      </w:r>
    </w:p>
    <w:p>
      <w:pPr>
        <w:spacing w:after="0" w:line="2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Sales Agreement,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or the perception that such sales may occur, may adversely impact the price of our common stock.</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March 31, 2025, we had 28,996,959 shares of common stock outstanding, as well as outstanding options to purchase an aggregate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40"/>
          </w:cols>
          <w:pgMar w:left="320" w:top="1400" w:right="339" w:bottom="1440" w:gutter="0" w:footer="0" w:header="0"/>
        </w:sectPr>
      </w:pPr>
    </w:p>
    <w:bookmarkStart w:id="9" w:name="page10"/>
    <w:bookmarkEnd w:id="9"/>
    <w:p>
      <w:pPr>
        <w:jc w:val="both"/>
        <w:spacing w:after="0" w:line="245" w:lineRule="auto"/>
        <w:rPr>
          <w:sz w:val="20"/>
          <w:szCs w:val="20"/>
          <w:color w:val="auto"/>
        </w:rPr>
      </w:pPr>
      <w:r>
        <w:rPr>
          <w:rFonts w:ascii="Times New Roman" w:cs="Times New Roman" w:eastAsia="Times New Roman" w:hAnsi="Times New Roman"/>
          <w:sz w:val="18"/>
          <w:szCs w:val="18"/>
          <w:color w:val="auto"/>
        </w:rPr>
        <w:t>3,239,642 shares of our common stock at a weighted average exercise price of $10.32 per share, outstanding pre-funded warrants to purchase up to 2,788,620 shares of our common stock at an exercise price of $0.001 per share and outstanding warrants, other than the pre-funded warrants, to purchase up to an aggregate of 20,571,460 shares of our common stock at a weighted average exercise price of $7.30 per share. The exercise and/or conversion of such outstanding derivative securities may result in further dilution of your investment.</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this offering and may allocate such net proceeds in ways that you and other stockholders may not approve.</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management will have broad discretion in the use of the net proceeds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with Jefferies, at any one time or in total, is uncertain.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Subject to certain limitations in the Sales Agreement with Jefferies and compliance with applicable law, we have the discretion to deliver placement notices to Jefferies at any time throughout the term of the Sales Agreement. The number of shares that are sold by Jefferies after delivering a placement notice will fluctuate based on the market price of the common stock during the sales period and limits we set with Jefferies.</w:t>
      </w:r>
    </w:p>
    <w:p>
      <w:pPr>
        <w:spacing w:after="0" w:line="20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and expansion of our business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common stock unless you sell our common stock for a price greater than that which you paid for it.</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We currently have research coverage by four securities and industry analysts.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204"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class action and derivative lawsuits, which could result in substantial costs and could divert management attention away from other business concerns.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Even if the lawsuits are without merit, defending against these claims can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40"/>
          </w:cols>
          <w:pgMar w:left="320" w:top="1404"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substantial costs and divert management time and resources from other business concerns, which could seriously harm our business. An adverse judgment could result in monetary damages, which could have a negative impact on our liquidity and financial condition.</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adversely affected by market conditions affecting the stock markets in general, including price and trading fluctuations on Nasdaq.</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A weak global economy or other circumstances, such as changes in tariffs and trade, could also contribute to extreme volatility of the markets, which may have an effect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240"/>
          </w:cols>
          <w:pgMar w:left="320" w:top="14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$175,000,000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our Sales Agreement with Jefferies.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intend to use the net proceeds from this offering for contract manufacturing, nonclinical and clinical development, and potential commercialization of our pherine product candidates, as well as for working capital and other general corporate purposes. Pending other uses, we intend to invest our proceeds from this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14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Purchasers of our common offered by this prospectus supplement and the accompanying prospectus will suffer immediate and substantial dilution in the net tangible book value per share of common stock. Net tangible book value is total assets minus the sum of liabilities and intangible assets. Net tangible book value per share is net tangible book value divided by the total number of shares of common stock outstanding. As of March 31, 2025, our net tangible book value was approximately $70.0 million, or approximately $2.41 per share.</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After giving effect to the assumed sale of 74,152,542 shares of common stock in the aggregate amount of $175,000,000 at an assumed public offering price of $2.36 per share, the last reported price of our common stock on The Nasdaq Capital Market on June 16, 2025, after deducting the underwriting discount and commissions, and estimated offering expenses payable by us, our pro forma net tangible book value as of March 31, 2025 would have been approximately $170.6 million or approximately $1.65 per share. This amount represents an immediate decrease in net tangible book value of approximately $0.76 per share to existing stockholders and an immediate dilution in net tangible book value of approximately $0.71 per share to purchasers of our common stock in this offering.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the dilution in net tangible book value per share to new investors:</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8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Assumed public offering price per share:</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9"/>
        </w:trPr>
        <w:tc>
          <w:tcPr>
            <w:tcW w:w="8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tangible book value per share as of March 31, 2025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7"/>
        </w:trPr>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Decrease in pro forma, net tangible book value per share after this offering</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19"/>
        </w:trPr>
        <w:tc>
          <w:tcPr>
            <w:tcW w:w="86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p>
        </w:tc>
        <w:tc>
          <w:tcPr>
            <w:tcW w:w="4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62"/>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in pro forma net tangible book value per share to new investors in this offering</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foregoing discussion and table do not take into account further dilution to new investors that could occur upon the exercise of outstanding options or warrants having a per share exercise price less than the assumed public offering price in this offering. To the extent that we raise additional capital through the sale of equity or convertible debt securities after this offering, the issuance of those securities could result in further dilution to our stockholders.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discussion and table are based on 28,996,959 shares of common stock outstanding as of March 31, 2025 and excludes the following securities:</w:t>
      </w:r>
    </w:p>
    <w:p>
      <w:pPr>
        <w:spacing w:after="0" w:line="239" w:lineRule="exact"/>
        <w:rPr>
          <w:sz w:val="20"/>
          <w:szCs w:val="20"/>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2,788,620 shares of common stock that have been reserved for issuance upon exercise of outstanding pre-funded warrants, with an exercise price of $0.001 per share;</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20,571,460 shares of common stock that have been reserved for issuance upon exercise of outstanding warrants, other than pre-funded warrants, with a weighted average exercise price of $7.30 per share;</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3,239,642 shares of common stock reserved for issuance upon exercise of outstanding stock options under our 2019 Omnibus Equity Incentive Plan, as amended (the “2019 Plan”) and our Amended and Restated 2016 Stock Incentive Plan, formerly titled the 2008 Stock Incentive Plan, with a weighted average exercise price of $10.32 per share;</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2,042,153 shares of common stock reserved for future issuance in connection with future grants under the 2019 Plan;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911,342 shares of common stock reserved for future issuance in connection with our 2019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40"/>
          </w:cols>
          <w:pgMar w:left="320" w:top="14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previously entered into the Sales Agreement with Jefferies, under which we may offer and sell shares of common stock from time to time through Jefferies acting as sales agent. Pursuant to this prospectus supplement, we may offer and sell up to $175,000,000 of our shares of common stock, $171,556,387 of which is still remaining to be sold. Sales of our shares of common stock, if any, under this prospectus supplement and the accompanying base prospectus will be made by any method that is deemed to be an “at the market offering” as defined in Rule 415(a)(4) under the Securities Act.</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Each time we wish to issue and sell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settlement of sales of shares between us and Jefferies is generally anticipated to occur on the first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in an amount not to exceed $75,000,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$0.1 million. The remaining sale proceeds, after deducting any other transaction fees, will equal our net proceeds from the sale of such shares.</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Jefferies will provide written confirmation to us before the open on The Nasdaq Capital Market on the day following each day on which shares of common stock are sold under the sales agreement. Each confirmation will include the number of shares sold on that day, the aggregate gross proceeds of such sales and the proceeds to us.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sale of the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of our shares of common stock pursuant to the Sales Agreement will terminate as permitted therein.</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will be filed as an exhibit to a Current Report on Form 8-K filed under the Exchange Act and incorporated by reference in this prospectus supplement.</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prospectus supplement and the accompanying base prospectus in electronic format may be made available on a website maintained by Jefferies, and Jefferies may distribute the prospectus supplement and the accompanying prospectus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320" w:top="1400"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Latham &amp; Watkins LLP, Chicago, Illinois. The validity of the securities offered hereby will be passed upon for us by Woodburn and Wedge, Reno, Nevada. Jefferies LLC is being represented in connection with this offering by Cooley LLP, New York, New York.</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consolidated financial statements of Vistagen Therapeutics, Inc. as of March 31, 2025 and for the year ended March 31, 2025, have been incorporated by reference herein and in the registration statement in reliance upon the report of KPMG LLP, independent registered public accounting firm, incorporated by reference herein, and upon the authority of said firm as experts in accounting and auditing. The audit report covering the March 31, 2025 consolidated financial statements contains an explanatory paragraph that states that the Company’s recurring losses from operations and negative cash flows from operations since inception raise substantial doubt about the entity’s ability to continue as a going concern. The consolidated financial statements do not include any adjustments that might result from the outcome of that uncertainty.</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of Vistagen Therapeutics, Inc. as of March 31, 2024 and for the year ended March 31, 2024, have been incorporated by reference herein and in the registration statement in reliance upon the report of WithumSmith+Brown, PC,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S-3 under the Securities Act with respect to the securities covered by this prospectus supplement. This prospectus supplement, which is a part of the registration statement, does not contain all of the information set forth in the registration statement or the exhibits and schedules filed therewith. For further information with respect to us and the securities covered by this prospectus, please see the registration statement and the exhibits filed with the registration statement. The SEC maintains an Internet website that contains reports, proxy and information statements and other information regarding registrants that file electronically with the SEC. The address of the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We are subject to the information and periodic reporting requirements of the Exchange Act and, in accordance therewith, we file periodic reports, proxy statements and other information with the SEC. Such periodic reports, proxy statements and other information are available free of charge at our website, </w:t>
      </w:r>
      <w:r>
        <w:rPr>
          <w:rFonts w:ascii="Times New Roman" w:cs="Times New Roman" w:eastAsia="Times New Roman" w:hAnsi="Times New Roman"/>
          <w:sz w:val="18"/>
          <w:szCs w:val="18"/>
          <w:i w:val="1"/>
          <w:iCs w:val="1"/>
          <w:color w:val="auto"/>
        </w:rPr>
        <w:t>www.vistagen.com</w:t>
      </w:r>
      <w:r>
        <w:rPr>
          <w:rFonts w:ascii="Times New Roman" w:cs="Times New Roman" w:eastAsia="Times New Roman" w:hAnsi="Times New Roman"/>
          <w:sz w:val="18"/>
          <w:szCs w:val="18"/>
          <w:color w:val="auto"/>
        </w:rPr>
        <w:t>, as soon as reasonably practicable after such material is electronically filed with, or furnished to, the SEC. Our website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contained on that site, or connected to that site, are not incorporated into and are not a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40"/>
          </w:cols>
          <w:pgMar w:left="320" w:top="1400" w:right="339" w:bottom="1440" w:gutter="0" w:footer="0" w:header="0"/>
        </w:sectPr>
      </w:pPr>
    </w:p>
    <w:bookmarkStart w:id="15" w:name="page16"/>
    <w:bookmarkEnd w:id="15"/>
    <w:p>
      <w:pPr>
        <w:spacing w:after="0" w:line="20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by us with the SEC are incorporated by reference in this prospectus supplement:</w:t>
      </w:r>
    </w:p>
    <w:p>
      <w:pPr>
        <w:spacing w:after="0" w:line="23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March 31, 2025, filed on </w:t>
      </w:r>
      <w:hyperlink r:id="rId11">
        <w:r>
          <w:rPr>
            <w:rFonts w:ascii="Times New Roman" w:cs="Times New Roman" w:eastAsia="Times New Roman" w:hAnsi="Times New Roman"/>
            <w:sz w:val="18"/>
            <w:szCs w:val="18"/>
            <w:u w:val="single" w:color="auto"/>
            <w:color w:val="0000FF"/>
          </w:rPr>
          <w:t>June 17, 2025</w:t>
        </w:r>
      </w:hyperlink>
      <w:r>
        <w:rPr>
          <w:rFonts w:ascii="Times New Roman" w:cs="Times New Roman" w:eastAsia="Times New Roman" w:hAnsi="Times New Roman"/>
          <w:sz w:val="18"/>
          <w:szCs w:val="18"/>
          <w:color w:val="auto"/>
        </w:rPr>
        <w:t>; and</w:t>
      </w:r>
    </w:p>
    <w:p>
      <w:pPr>
        <w:spacing w:after="0" w:line="238"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Form 8-A filed pursuant to Section 12(b) of the Securities Exchange Act of 1934, as amended (the “Securities Act”) on </w:t>
      </w:r>
      <w:hyperlink r:id="rId12">
        <w:r>
          <w:rPr>
            <w:rFonts w:ascii="Times New Roman" w:cs="Times New Roman" w:eastAsia="Times New Roman" w:hAnsi="Times New Roman"/>
            <w:sz w:val="18"/>
            <w:szCs w:val="18"/>
            <w:u w:val="single" w:color="auto"/>
            <w:color w:val="0000FF"/>
          </w:rPr>
          <w:t>May 3, 2016</w:t>
        </w:r>
      </w:hyperlink>
      <w:r>
        <w:rPr>
          <w:rFonts w:ascii="Times New Roman" w:cs="Times New Roman" w:eastAsia="Times New Roman" w:hAnsi="Times New Roman"/>
          <w:sz w:val="18"/>
          <w:szCs w:val="18"/>
          <w:color w:val="auto"/>
        </w:rPr>
        <w:t>, including any amendment or report filed with the Commission for the purpose of updating this description.</w:t>
      </w:r>
    </w:p>
    <w:p>
      <w:pPr>
        <w:spacing w:after="0" w:line="204" w:lineRule="exact"/>
        <w:rPr>
          <w:rFonts w:ascii="Times New Roman" w:cs="Times New Roman" w:eastAsia="Times New Roman" w:hAnsi="Times New Roman"/>
          <w:sz w:val="18"/>
          <w:szCs w:val="18"/>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herein by reference and are an important part of this prospectus.</w:t>
      </w:r>
    </w:p>
    <w:p>
      <w:pPr>
        <w:spacing w:after="0" w:line="211" w:lineRule="exact"/>
        <w:rPr>
          <w:rFonts w:ascii="Times New Roman" w:cs="Times New Roman" w:eastAsia="Times New Roman" w:hAnsi="Times New Roman"/>
          <w:sz w:val="18"/>
          <w:szCs w:val="18"/>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208" w:lineRule="exact"/>
        <w:rPr>
          <w:rFonts w:ascii="Times New Roman" w:cs="Times New Roman" w:eastAsia="Times New Roman" w:hAnsi="Times New Roman"/>
          <w:sz w:val="18"/>
          <w:szCs w:val="18"/>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will provide upon request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204" w:lineRule="exact"/>
        <w:rPr>
          <w:rFonts w:ascii="Times New Roman" w:cs="Times New Roman" w:eastAsia="Times New Roman" w:hAnsi="Times New Roman"/>
          <w:sz w:val="18"/>
          <w:szCs w:val="18"/>
          <w:color w:val="auto"/>
        </w:rPr>
      </w:pPr>
    </w:p>
    <w:p>
      <w:pPr>
        <w:ind w:left="4640"/>
        <w:spacing w:after="0"/>
        <w:rPr>
          <w:sz w:val="20"/>
          <w:szCs w:val="20"/>
          <w:color w:val="auto"/>
        </w:rPr>
      </w:pPr>
      <w:r>
        <w:rPr>
          <w:rFonts w:ascii="Times New Roman" w:cs="Times New Roman" w:eastAsia="Times New Roman" w:hAnsi="Times New Roman"/>
          <w:sz w:val="18"/>
          <w:szCs w:val="18"/>
          <w:color w:val="auto"/>
        </w:rPr>
        <w:t>Vistagen Therapeutics, Inc.</w:t>
      </w:r>
    </w:p>
    <w:p>
      <w:pPr>
        <w:ind w:left="4880"/>
        <w:spacing w:after="0" w:line="237" w:lineRule="auto"/>
        <w:rPr>
          <w:sz w:val="20"/>
          <w:szCs w:val="20"/>
          <w:color w:val="auto"/>
        </w:rPr>
      </w:pPr>
      <w:r>
        <w:rPr>
          <w:rFonts w:ascii="Times New Roman" w:cs="Times New Roman" w:eastAsia="Times New Roman" w:hAnsi="Times New Roman"/>
          <w:sz w:val="18"/>
          <w:szCs w:val="18"/>
          <w:color w:val="auto"/>
        </w:rPr>
        <w:t>343 Allerton Avenue</w:t>
      </w:r>
    </w:p>
    <w:p>
      <w:pPr>
        <w:jc w:val="center"/>
        <w:spacing w:after="0" w:line="234" w:lineRule="auto"/>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577-3600</w:t>
      </w:r>
    </w:p>
    <w:p>
      <w:pPr>
        <w:spacing w:after="0" w:line="219" w:lineRule="exact"/>
        <w:rPr>
          <w:rFonts w:ascii="Times New Roman" w:cs="Times New Roman" w:eastAsia="Times New Roman" w:hAnsi="Times New Roman"/>
          <w:sz w:val="18"/>
          <w:szCs w:val="18"/>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44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165735</wp:posOffset>
            </wp:positionV>
            <wp:extent cx="1722755"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227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$350,000,000</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of up to $350,000,000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 In addition, shares of common stock issuable from time to time upon exercise of our pre-funded warrants, Tranche 1 Warrants and Tranche 2 Warrants are also being offered pursuant to this prospectus. See “Description of Capital Stock – Securities Registered Under Prior Registration Statements” for information regarding the pre-funded warrants, Tranche 1 Warrants and Tranche 2 Warrants.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“VTGN.” On February 12, 2024, the closing price of our common stock on the Nasdaq Capital Market was $5.15 per share.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certain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29, 2024</w:t>
      </w:r>
    </w:p>
    <w:p>
      <w:pPr>
        <w:sectPr>
          <w:pgSz w:w="11900" w:h="16838" w:orient="portrait"/>
          <w:cols w:equalWidth="0" w:num="1">
            <w:col w:w="11240"/>
          </w:cols>
          <w:pgMar w:left="320" w:top="141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ABOUT THIS PROSPECTUS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INCORPORATION BY REFERENCE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OVERVIEW</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THAT MAY BE OFFERED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DESCRIPTION OF PREFERRED STOCK</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DESCRIPTION OF UNITS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CERTAIN PROVISIONS OF NEVADA LAW AND OUR CHARTER AND BYLAWS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OF DISTRIBUTION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EXPERTS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ectPr>
          <w:pgSz w:w="11900" w:h="16838" w:orient="portrait"/>
          <w:cols w:equalWidth="0" w:num="1">
            <w:col w:w="11240"/>
          </w:cols>
          <w:pgMar w:left="320" w:top="141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utilizing a “shelf” registration process. Under this shelf registration process, we may from time to time sell any combination of the securities described in this prospectus in one or more offerings for an aggregate initial offering price of up to $350,000,000.</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This prospectus, together with any accompanying prospectus supplement, contains important information you should know before investing in our securities, including important information about us and the securities being offered. You should read both this prospectus and the accompanying prospectus supplement together with the additional information described under the heading “Where You Can Find More Information” below.</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regardless of the time of delivery of this prospectus, any applicable prospectus supplement or any sale of securities. Our business, financial condition, results of operations and prospects may have changed materially since those dates.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the “Company,” “we,” “our” and “us” refer, collectively, to Vistagen Therapeutics, Inc., a Nevada corporation, and its consolidated subsidiaries.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our trademarks and our logo in this prospectus and the documents incorporated by reference. Solely for the convenience, trademarks and tradenames referred to in this prospectus appear without the “®” and “™” symbols, but those references are not intended to indicate, in any way, that we will not assert, to the fullest extent under applicable law, our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www.vistagen.com. Our website is not a part of this prospectus and is not incorporated by reference in this prospectus.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by us with the SEC are incorporated by reference in this prospectus supplement:</w:t>
      </w:r>
    </w:p>
    <w:p>
      <w:pPr>
        <w:spacing w:after="0" w:line="25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March 31, 2023, filed on </w:t>
      </w:r>
      <w:hyperlink r:id="rId14">
        <w:r>
          <w:rPr>
            <w:rFonts w:ascii="Times New Roman" w:cs="Times New Roman" w:eastAsia="Times New Roman" w:hAnsi="Times New Roman"/>
            <w:sz w:val="18"/>
            <w:szCs w:val="18"/>
            <w:u w:val="single" w:color="auto"/>
            <w:color w:val="0000FF"/>
          </w:rPr>
          <w:t>June 28, 2023</w:t>
        </w:r>
      </w:hyperlink>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period ended June 30, 2023, filed on </w:t>
      </w:r>
      <w:hyperlink r:id="rId15">
        <w:r>
          <w:rPr>
            <w:rFonts w:ascii="Times New Roman" w:cs="Times New Roman" w:eastAsia="Times New Roman" w:hAnsi="Times New Roman"/>
            <w:sz w:val="18"/>
            <w:szCs w:val="18"/>
            <w:u w:val="single" w:color="auto"/>
            <w:color w:val="0000FF"/>
          </w:rPr>
          <w:t>August 10, 2023</w:t>
        </w:r>
      </w:hyperlink>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period ended September 30, 2023, filed on </w:t>
      </w:r>
      <w:hyperlink r:id="rId16">
        <w:r>
          <w:rPr>
            <w:rFonts w:ascii="Times New Roman" w:cs="Times New Roman" w:eastAsia="Times New Roman" w:hAnsi="Times New Roman"/>
            <w:sz w:val="18"/>
            <w:szCs w:val="18"/>
            <w:u w:val="single" w:color="auto"/>
            <w:color w:val="0000FF"/>
          </w:rPr>
          <w:t>November 9, 2023</w:t>
        </w:r>
      </w:hyperlink>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period ended December 31, 2023, filed on </w:t>
      </w:r>
      <w:hyperlink r:id="rId17">
        <w:r>
          <w:rPr>
            <w:rFonts w:ascii="Times New Roman" w:cs="Times New Roman" w:eastAsia="Times New Roman" w:hAnsi="Times New Roman"/>
            <w:sz w:val="18"/>
            <w:szCs w:val="18"/>
            <w:u w:val="single" w:color="auto"/>
            <w:color w:val="0000FF"/>
          </w:rPr>
          <w:t>February 13, 2024</w:t>
        </w:r>
      </w:hyperlink>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on </w:t>
      </w:r>
      <w:hyperlink r:id="rId18">
        <w:r>
          <w:rPr>
            <w:rFonts w:ascii="Times New Roman" w:cs="Times New Roman" w:eastAsia="Times New Roman" w:hAnsi="Times New Roman"/>
            <w:sz w:val="18"/>
            <w:szCs w:val="18"/>
            <w:u w:val="single" w:color="auto"/>
            <w:color w:val="0000FF"/>
          </w:rPr>
          <w:t>July 28, 2023</w:t>
        </w:r>
      </w:hyperlink>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on </w:t>
      </w:r>
      <w:hyperlink r:id="rId19">
        <w:r>
          <w:rPr>
            <w:rFonts w:ascii="Times New Roman" w:cs="Times New Roman" w:eastAsia="Times New Roman" w:hAnsi="Times New Roman"/>
            <w:sz w:val="18"/>
            <w:szCs w:val="18"/>
            <w:u w:val="single" w:color="auto"/>
            <w:color w:val="0000FF"/>
          </w:rPr>
          <w:t>April 6, 2023</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April 19, 2023</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June 1, 2023</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FF"/>
          </w:rPr>
          <w:t>June 6, 2023</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FF"/>
          </w:rPr>
          <w:t>June 7, 2023</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FF"/>
          </w:rPr>
          <w:t>June 13, 2023</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FF"/>
          </w:rPr>
          <w:t>June 21, 2023</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FF"/>
          </w:rPr>
          <w:t>June 23,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July 7,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July 13,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July 18,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August 22,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September 8,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September 13,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September 29,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October</w:t>
        </w:r>
      </w:hyperlink>
      <w:r>
        <w:rPr>
          <w:rFonts w:ascii="Times New Roman" w:cs="Times New Roman" w:eastAsia="Times New Roman" w:hAnsi="Times New Roman"/>
          <w:sz w:val="18"/>
          <w:szCs w:val="18"/>
          <w:color w:val="0000FF"/>
        </w:rPr>
        <w:t xml:space="preserve"> </w:t>
      </w:r>
      <w:hyperlink r:id="rId26">
        <w:r>
          <w:rPr>
            <w:rFonts w:ascii="Times New Roman" w:cs="Times New Roman" w:eastAsia="Times New Roman" w:hAnsi="Times New Roman"/>
            <w:sz w:val="18"/>
            <w:szCs w:val="18"/>
            <w:u w:val="single" w:color="auto"/>
            <w:color w:val="0000FF"/>
          </w:rPr>
          <w:t>2, 2023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7">
        <w:r>
          <w:rPr>
            <w:rFonts w:ascii="Times New Roman" w:cs="Times New Roman" w:eastAsia="Times New Roman" w:hAnsi="Times New Roman"/>
            <w:sz w:val="18"/>
            <w:szCs w:val="18"/>
            <w:u w:val="single" w:color="auto"/>
            <w:color w:val="0000FF"/>
          </w:rPr>
          <w:t xml:space="preserve">October 4, 2023 </w:t>
        </w:r>
      </w:hyperlink>
      <w:hyperlink r:id="rId26">
        <w:r>
          <w:rPr>
            <w:rFonts w:ascii="Times New Roman" w:cs="Times New Roman" w:eastAsia="Times New Roman" w:hAnsi="Times New Roman"/>
            <w:sz w:val="18"/>
            <w:szCs w:val="18"/>
            <w:color w:val="000000"/>
          </w:rPr>
          <w:t>(excluding any information furnished in such reports under Item 7.01),</w:t>
        </w:r>
        <w:r>
          <w:rPr>
            <w:rFonts w:ascii="Times New Roman" w:cs="Times New Roman" w:eastAsia="Times New Roman" w:hAnsi="Times New Roman"/>
            <w:sz w:val="18"/>
            <w:szCs w:val="18"/>
            <w:color w:val="0000FF"/>
          </w:rPr>
          <w:t xml:space="preserve"> </w:t>
        </w:r>
      </w:hyperlink>
      <w:hyperlink r:id="rId28">
        <w:r>
          <w:rPr>
            <w:rFonts w:ascii="Times New Roman" w:cs="Times New Roman" w:eastAsia="Times New Roman" w:hAnsi="Times New Roman"/>
            <w:sz w:val="18"/>
            <w:szCs w:val="18"/>
            <w:u w:val="single" w:color="auto"/>
            <w:color w:val="0000FF"/>
          </w:rPr>
          <w:t>October 26, 2023</w:t>
        </w:r>
      </w:hyperlink>
      <w:hyperlink r:id="rId2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9">
        <w:r>
          <w:rPr>
            <w:rFonts w:ascii="Times New Roman" w:cs="Times New Roman" w:eastAsia="Times New Roman" w:hAnsi="Times New Roman"/>
            <w:sz w:val="18"/>
            <w:szCs w:val="18"/>
            <w:u w:val="single" w:color="auto"/>
            <w:color w:val="0000FF"/>
          </w:rPr>
          <w:t xml:space="preserve">November 6, 2023 </w:t>
        </w:r>
      </w:hyperlink>
      <w:hyperlink r:id="rId26">
        <w:r>
          <w:rPr>
            <w:rFonts w:ascii="Times New Roman" w:cs="Times New Roman" w:eastAsia="Times New Roman" w:hAnsi="Times New Roman"/>
            <w:sz w:val="18"/>
            <w:szCs w:val="18"/>
            <w:color w:val="000000"/>
          </w:rPr>
          <w:t>(as</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amended on </w:t>
      </w:r>
      <w:hyperlink r:id="rId30">
        <w:r>
          <w:rPr>
            <w:rFonts w:ascii="Times New Roman" w:cs="Times New Roman" w:eastAsia="Times New Roman" w:hAnsi="Times New Roman"/>
            <w:sz w:val="18"/>
            <w:szCs w:val="18"/>
            <w:u w:val="single" w:color="auto"/>
            <w:color w:val="0000FF"/>
          </w:rPr>
          <w:t>November 7, 2023</w:t>
        </w:r>
      </w:hyperlink>
      <w:r>
        <w:rPr>
          <w:rFonts w:ascii="Times New Roman" w:cs="Times New Roman" w:eastAsia="Times New Roman" w:hAnsi="Times New Roman"/>
          <w:sz w:val="18"/>
          <w:szCs w:val="18"/>
          <w:color w:val="000000"/>
        </w:rPr>
        <w:t xml:space="preserve">), and </w:t>
      </w:r>
      <w:hyperlink r:id="rId31">
        <w:r>
          <w:rPr>
            <w:rFonts w:ascii="Times New Roman" w:cs="Times New Roman" w:eastAsia="Times New Roman" w:hAnsi="Times New Roman"/>
            <w:sz w:val="18"/>
            <w:szCs w:val="18"/>
            <w:u w:val="single" w:color="auto"/>
            <w:color w:val="0000FF"/>
          </w:rPr>
          <w:t>January 3, 2024</w:t>
        </w:r>
      </w:hyperlink>
      <w:r>
        <w:rPr>
          <w:rFonts w:ascii="Times New Roman" w:cs="Times New Roman" w:eastAsia="Times New Roman" w:hAnsi="Times New Roman"/>
          <w:sz w:val="18"/>
          <w:szCs w:val="18"/>
          <w:color w:val="000000"/>
        </w:rPr>
        <w:t>; and</w:t>
      </w:r>
    </w:p>
    <w:p>
      <w:pPr>
        <w:spacing w:after="0" w:line="139" w:lineRule="exact"/>
        <w:rPr>
          <w:rFonts w:ascii="Times New Roman" w:cs="Times New Roman" w:eastAsia="Times New Roman" w:hAnsi="Times New Roman"/>
          <w:sz w:val="18"/>
          <w:szCs w:val="18"/>
          <w:color w:val="000000"/>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Form 8-A filed pursuant to Section 12(b) of the Securities Exchange Act of 1934, as amended (the Securities Act) on </w:t>
      </w:r>
      <w:hyperlink r:id="rId12">
        <w:r>
          <w:rPr>
            <w:rFonts w:ascii="Times New Roman" w:cs="Times New Roman" w:eastAsia="Times New Roman" w:hAnsi="Times New Roman"/>
            <w:sz w:val="18"/>
            <w:szCs w:val="18"/>
            <w:u w:val="single" w:color="auto"/>
            <w:color w:val="0000FF"/>
          </w:rPr>
          <w:t>May 3, 2016</w:t>
        </w:r>
      </w:hyperlink>
      <w:r>
        <w:rPr>
          <w:rFonts w:ascii="Times New Roman" w:cs="Times New Roman" w:eastAsia="Times New Roman" w:hAnsi="Times New Roman"/>
          <w:sz w:val="18"/>
          <w:szCs w:val="18"/>
          <w:color w:val="auto"/>
        </w:rPr>
        <w:t>, including any amendment or report filed with the Commission for the purpose of updating this description.</w:t>
      </w:r>
    </w:p>
    <w:p>
      <w:pPr>
        <w:spacing w:after="0" w:line="135" w:lineRule="exact"/>
        <w:rPr>
          <w:rFonts w:ascii="Times New Roman" w:cs="Times New Roman" w:eastAsia="Times New Roman" w:hAnsi="Times New Roman"/>
          <w:sz w:val="18"/>
          <w:szCs w:val="18"/>
          <w:color w:val="000000"/>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herein by reference and are an important part of this prospectus.</w:t>
      </w:r>
    </w:p>
    <w:p>
      <w:pPr>
        <w:spacing w:after="0" w:line="210" w:lineRule="exact"/>
        <w:rPr>
          <w:rFonts w:ascii="Times New Roman" w:cs="Times New Roman" w:eastAsia="Times New Roman" w:hAnsi="Times New Roman"/>
          <w:sz w:val="18"/>
          <w:szCs w:val="18"/>
          <w:color w:val="000000"/>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207" w:lineRule="exact"/>
        <w:rPr>
          <w:rFonts w:ascii="Times New Roman" w:cs="Times New Roman" w:eastAsia="Times New Roman" w:hAnsi="Times New Roman"/>
          <w:sz w:val="18"/>
          <w:szCs w:val="18"/>
          <w:color w:val="000000"/>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provide upon request to each person, including any beneficial owner, to whom a prospectus is delivered, a copy of any or all of the information that has been incorporated by reference in the prospectus but not delivered with</w:t>
      </w:r>
    </w:p>
    <w:p>
      <w:pPr>
        <w:spacing w:after="0" w:line="200" w:lineRule="exact"/>
        <w:rPr>
          <w:rFonts w:ascii="Times New Roman" w:cs="Times New Roman" w:eastAsia="Times New Roman" w:hAnsi="Times New Roman"/>
          <w:sz w:val="18"/>
          <w:szCs w:val="18"/>
          <w:color w:val="000000"/>
        </w:rPr>
      </w:pPr>
    </w:p>
    <w:p>
      <w:pPr>
        <w:spacing w:after="0" w:line="200" w:lineRule="exact"/>
        <w:rPr>
          <w:rFonts w:ascii="Times New Roman" w:cs="Times New Roman" w:eastAsia="Times New Roman" w:hAnsi="Times New Roman"/>
          <w:sz w:val="18"/>
          <w:szCs w:val="18"/>
          <w:color w:val="000000"/>
        </w:rPr>
      </w:pPr>
    </w:p>
    <w:p>
      <w:pPr>
        <w:spacing w:after="0" w:line="200" w:lineRule="exact"/>
        <w:rPr>
          <w:rFonts w:ascii="Times New Roman" w:cs="Times New Roman" w:eastAsia="Times New Roman" w:hAnsi="Times New Roman"/>
          <w:sz w:val="18"/>
          <w:szCs w:val="18"/>
          <w:color w:val="000000"/>
        </w:rPr>
      </w:pPr>
    </w:p>
    <w:p>
      <w:pPr>
        <w:spacing w:after="0" w:line="200" w:lineRule="exact"/>
        <w:rPr>
          <w:rFonts w:ascii="Times New Roman" w:cs="Times New Roman" w:eastAsia="Times New Roman" w:hAnsi="Times New Roman"/>
          <w:sz w:val="18"/>
          <w:szCs w:val="18"/>
          <w:color w:val="000000"/>
        </w:rPr>
      </w:pPr>
    </w:p>
    <w:p>
      <w:pPr>
        <w:spacing w:after="0" w:line="226" w:lineRule="exact"/>
        <w:rPr>
          <w:rFonts w:ascii="Times New Roman" w:cs="Times New Roman" w:eastAsia="Times New Roman" w:hAnsi="Times New Roman"/>
          <w:sz w:val="18"/>
          <w:szCs w:val="18"/>
          <w:color w:val="000000"/>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You may request a copy of these filings, excluding the exhibits to such filings which we have not specifically incorporated by reference in such filings, at no cost, by writing to or calling us 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577-3600</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Investing in our securities involves significant risks. Please see the risk factors under the heading “Risk Factors” in our most recent Annual Report on Form 10-K on file with the SEC and our Quarterly Reports on Form 10-Q subsequently filed with the SEC, each of which is incorporated by reference in this prospectus, along with any risk factors identified in a prospectus supplement. Before making an investment decision, you should carefully consider these risks as well as other information we include or incorporate by reference in this prospectus and any prospectus supplement.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Actual results could differ materially from those anticipated in these forward-looking statements as a result of certain factors, including the risks referenced below and described in the documents incorporated herein by reference. The discussion of risks includes or refers to forward-looking statements. You should read the explanation of the qualifications and limitations on such forward-looking statements discussed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any prospectus supplement and the documents incorporated by reference herein contain forward-looking statements that involve substantial risks and uncertainties. All statements, other than statements of historical facts, contained in this prospectus, any prospectus supplement and the documents incorporated by reference herein, including statements regarding our strategy, future operations, future financial position, future revenue, projected costs, prospects, plans, objectives of management and expected market growth, are forward 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20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to satisfy our working capital requirements;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and capital requirements;</w:t>
      </w:r>
    </w:p>
    <w:p>
      <w:pPr>
        <w:spacing w:after="0" w:line="198"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 including, among other things, fasedienol (PH94B) as a potential acute treatment of anxiety for adults with social anxiety disorder (“SAD”), itruvone (PH10) as a potential treatment for adults with major depressive disorder (“MDD”) and other depression-related disorders, PH80 for vasomotor symptoms (hot flashes) due to menopause, premenstrual dysphoric disorder (“PMDD”) or migraine, PH15 for cognition improvement, PH284 for appetite-related disorders or AV-101 as a potential treatment of disorders involving the Central Nervous System (“CNS”);</w:t>
      </w:r>
    </w:p>
    <w:p>
      <w:pPr>
        <w:spacing w:after="0" w:line="14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and complete necessary preclinical and clinical studies in accordance with applicable regulatory requirements to advance the development of our product candidates and for those studies to generate positive results;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regulatory and political developments in the United States and foreign countries;</w:t>
      </w:r>
    </w:p>
    <w:p>
      <w:pPr>
        <w:spacing w:after="0" w:line="198"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contractors involved with the manufacture and production of our drug candidates for nonclinical and clinical development activities, contract research organizations, potential commercial activities and other third-party nonclinical and clinical development collaborators and regulatory service providers;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regulatory and commercial protection for our core assets, including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potential markets for our product candidates and our ability to serve those markets;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for any indication once approved;</w:t>
      </w:r>
    </w:p>
    <w:p>
      <w:pPr>
        <w:spacing w:after="0" w:line="18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scientific, clinical and nonclinical development, regulatory, commercial, and/or management personnel, internally or from one of our third-party collaborators; contract manufacturing organizations, contract research organizations or other service providers;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23" w:name="page24"/>
    <w:bookmarkEnd w:id="23"/>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our existing cash and cash equivalents; and</w:t>
      </w:r>
    </w:p>
    <w:p>
      <w:pPr>
        <w:spacing w:after="0" w:line="18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under Item 1A, “Risk Factors,” in our Annual Report on Form 10-K for the fiscal year ended March 31, 2023, and those described under Part II, Item 1A, “Risk Factors,” in our Quarterly Reports on Form 10-Q for the quarters ended June 30, 2023, September 30, 2023 and December 31, 2023, which risk factors are incorporated herein by reference.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Moreover, our forward-looking statements do not reflect the potential impact of any future acquisitions, mergers, dispositions, joint ventures or investments we may make.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read this prospectus, any prospectus supplement and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This summary does not contain all the information you should consider before buying our securities. You should read the following summary together with the more detailed information appearing in this prospectus and any accompanying prospectus supplement, including the section titled “Risk Factors” on page 3, before deciding whether to purchase our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pioneering neuroscience to deliver first-in-class therapies for psychiatric and neurological disorders. Five of our six clinical-stage product candidates – fasedienol (PH94B), itruvone (PH10), PH15, PH80 and PH284 – belong to a new class of drugs known as pherines, which have the potential to rapidly deliver meaningful efficacy with a differentiated safety profile. Pherines are investigational neuroactive nasal sprays with innovative proposed mechanisms of action that activate chemosensory neurons in the nasal passages to impact fundamental neural circuits in the brain without the need for systemic absorption or binding to receptors in the brain. Our sixth clinical-stage product candidate, AV-101, is an investigational oral drug candidate with the potential to inhibit, but not block, NMDA receptor activity.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passionate about transforming what is possible in the treatment of anxiety, depression, and other neuroscience disorders.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Clinical-Stage Neuroscience Product Candidates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Fasedienol Nasal Spray for Social Anxiety Disorder (SAD)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Fasedienol (PH94B) is an odorless, tasteless synthetic investigational pherine nasal spray from the androstane family in Phase 3 clinical development for the acute treatment of anxiety for adults with SAD. When administered intranasally in microgram-level doses, fasedienol activates receptors of peripheral nasal chemosensory neurons connected to subsets of neurons in the olfactory bulbs that, in turn, connect to neurons in the limbic amygdala involved in the pathophysiology of SAD, and potentially other anxiety and mood disorders. Fasedienol is pharmacologically active without requiring apparent systemic absorption or direct activity on neurons in the brain to achieve its rapid-onset and short-duration anxiolytic effects. We believe fasedienol has the potential to achieve these effects with significantly reduced risks of side effects and other safety concerns, such as potential drug-drug interactions, abuse, misuse, and addiction, associated with certain other systemic pharmaceuticals that act directly on neurons in the brain and are sometimes prescribed for anxiety disorders.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Food and Drug Administration (the FDA) has granted Fast Track designation for the development of fasedienol as a potential treatment for SAD.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Fasedienol PALISADE Phase 3 Program in SAD</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how fasedienol’s rapid-onset mechanism of action (MOA) is differentiated from all FDA-approved anxiety drugs, our primary target indication for fasedienol is the acute treatment of anxiety in adults with SAD. Currently, there is no FDA-approved drug therapy for the acute treatment of SAD. For that acute indication, we have aligned with the FDA that the Subjective Units of Distress Scale (SUDS) is an appropriate primary efficacy endpoint because it provides a measure of anxiety on a minute-by-minute basis immediately related to the specific stressor. We believe utilizing a simulated anxiety-provoking public speaking challenge study design provides the most appropriate and efficient path for the Phase 3 clinical development of fasedienol’s potential to become the first FDA-approved acute treatment of anxiety for adults with SAD. Our PALISADE Phase 3 Program currently includes four randomized, double-blind, placebo-controlled, Phase 3 clinical trials designed to evaluate the efficacy, safety, and tolerability of a single dose of fasedienol to relieve anxiety symptoms in adult patients with SAD during a simulated, anxiety-provoking public speaking challenge in a clinical setting, as measured using the patient-reported SUDS, two of which Phase 3 trials (PALISADE-1 and PALISADE-2) have been concluded and two of which Phase 3 trials (PALISADE-3 and PALISADE-4) will be initiated in 2024, each with open-label extension. Our PALISADE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Phase 3 Program also includes an open-label safety study concluded in 2022 (PALISADE OLS), a Phase 2 repeat dose study to be initiated in 2024 (Repeat Dose Study), two standard preclinical studies to be initiated in 2024, and a small human factor study planned to be initiated in 2025.</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early August 2023, we received and reported positive topline results from our PALISADE-2 Phase 3 trial of fasedienol in SAD based on the 141 subjects who completed the trial. Our PALISADE-2 Phase 3 trial met its primary efficacy endpoint, the difference in mean SUDS scores during the public speaking challenge at baseline (Visit 2) and treatment (Visit 3) for subjects treated with fasedienol versus placebo at Visit 3. Fasedienol-treated patients demonstrated a greater mean change from baseline (least-squares (LS) mean = -13.8) compared to placebo (LS mean = -8.0), for a statistically significant, and we believe clinically relevant, difference between groups of -5.8 (p=0.015). The trial also met its secondary endpoint, demonstrating a statistically significant difference in the proportion of clinician-assessed responders between fasedienol and placebo as measured by the Clinical Global Impressions – Improvement (CGI-I) scale. Responders were identified as those who were rated ‘very much less anxious’ or ‘much less anxious’ and 37.7% of fasedienol-treated patients were rated as responders, as compared to 21.4% of those treated with placebo (p=0.033). The trial also met the important exploratory endpoint of the difference in the proportion of patient-assessed responders between fasedienol and placebo as measured by the Patient’s Global Impression of Change (PGI-C). Responders were identified as those who self-rated ‘very much less anxious’ or ‘much less anxious’ and 40.6% of fasedienol-treated patients were rated as responders, as compared to 18.6% of those treated with placebo (p=0.003). In addition, our PALISADE-2 trial also met the exploratory endpoint of the difference in the proportion of patients in each treatment group with a 20-point or greater improvement in patient-assessed SUDS score from baseline (Visit 2) to treatment (Visit 3). Of the fasedienol-treated patients, 35.7% demonstrated this statistically significant and clinically meaningful improvement in SUDS score, as compared to 18.6% in the placebo-treated group (p=0.020). Fasedienol was observed to be well-tolerated with no serious adverse events, and the treatment-emergent adverse event (TEAE) profiles were comparable between fasedienol and placebo. Overall, no TEAE, except for pyrexia in the placebo group (2.49%), was more prevalent than 2.0%.</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complement the positive topline results from PALISADE-2, we are preparing to launch PALISADE-3 in the first half of 2024 and PALISADE-4 in the second half of 2024. Like PALISADE-2, both PALISADE-3 and PALISADE-4 will be multi-center, randomized, double-blind, placebo-controlled studies designed to evaluate the efficacy, safety, and tolerability of the acute administration of fasedienol to relieve anxiety symptoms in adult patients with SAD after a single dose of fasedienol during a simulated, anxiety-provoking public speaking challenge in a clinical setting, as measured using the patient-reported SUDS as the primary efficacy endpoint. In addition, both PALISADE-3 and PALISADE-4 will have an open-label extension for a period of up to 12 months. We believe either PALISADE-3 or PALISADE-4, if successful, together with PALISADE-2, may establish substantial evidence of effectiveness of fasedienol in support of a potential fasedienol NDA submission for the acute treatment of anxiety in adults with SAD with the FDA.</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planning to initiate the Repeat Dose Study in the second half of 2024. The Repeat Dose Study will be a multi-center, randomized, double-blind, placebo-controlled, clinical trial designed to evaluate repeated dosing of fasedienol in adult patients with SAD during a single simulated, anxiety-provoking public speaking challenge in a clinical setting. The Repeat Dose Study trial will consist of three different dosing arms, with an open-label extension for a period of up to 12 months.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FDA has granted Fast Track designation for the investigation of fasedienol for the acute treatment of SAD.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Itruvone Nasal Spray for Major Depressive Disorder (MDD)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Itruvone (PH10) is an odorless, tasteless synthetic investigational neuroactive pherine nasal spray from the pregnane family with an innovative potential MOA that is fundamentally differentiated from the MOA of all currently approved treatments for depression disorders. Itruvone neuroactive nasal spray is administered at microgram-level doses and is designed to engage and activate chemosensory neurons in the nasal cavity, which are connected to neural circuits in the brain that produce antidepressant effects. Unlike all currently approved oral antidepressants (ADs) and rapid-onset intravenous and intranasal ketamine-based therapy, we believe itruvone does not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systemic absorption or direct activity on neurons in the brain to produce antidepressant effects without the side effects and safety concerns that may be associated with current antidepressant therapies.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preparing and planning for potential U.S. Phase 2B clinical development of itruvone for treatment of MDD. In a randomized, double-blind, placebo-controlled parallel design Phase 2A clinical trial of itruvone in MDD and published in the peer-reviewed British Journal of Pharmaceutical and Medical Research, at a 6.4 μg dose administered intranasally twice daily for eight weeks, PH10 significantly reduced depressive symptoms as early as one week based on the 17-item Hamilton Depression Scale (HAM-D-17) scores compared to placebo (p=0.022). Itruvone was well-tolerated and did not cause psychological side effects (such as dissociation or hallucinations) or other safety concerns that may be associated with other approved pharmacological therapies for MDD. The trial was sponsored by Pherin Pharmaceuticals (Pherin), now a wholly-owned subsidiary of Vistagen, and was conducted in Mexico. Positive data from our recent U.S. IND-enabling Phase 1 trial demonstrated that there were no reported treatment-related serious adverse events (SAEs) or discontinuations due to adverse events in the trial. Overall, itruvone was well-tolerated and continued to demonstrate a favorable safety profile consistent with all other itruvone trials completed to date.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FDA has granted Fast Track designation for the investigation of itruvone for the treatment of MDD.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PH80 Nasal Spray for Women’s Health Disorders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PH80 is an odorless, tasteless synthetic investigational pherine nasal spray with a novel, rapid-onset potential MOA that is fundamentally differentiated from the MOA of all currently approved treatments for vasomotor symptoms (hot flashes) due to menopause, premenstrual dysphoric disorder (PMDD), and other women’s health disorders and migraine headaches. PH80 activates chemosensory neurons in the nasal cavity connected to neural circuits that modulate the basal forebrain associated with the control of body temperature.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PH80 for Moderate to Severe Vasomotor Symptoms (hot flashes) due to Menopause. </w:t>
      </w:r>
      <w:r>
        <w:rPr>
          <w:rFonts w:ascii="Times New Roman" w:cs="Times New Roman" w:eastAsia="Times New Roman" w:hAnsi="Times New Roman"/>
          <w:sz w:val="18"/>
          <w:szCs w:val="18"/>
          <w:color w:val="auto"/>
        </w:rPr>
        <w:t>We recently reported positive results from a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unpublished exploratory randomized, double-blind, placebo-controlled Phase 2A study of PH80 for the acute treatment of vasomotor symptoms (hot flashes) due to menopause sponsored by Pherin, now our wholly-owned subsidiary. This Phase 2A study conducted in a real-world setting demonstrated a statistically significant reduction in the daily number of menopausal hot flashes compared to placebo at the end of the first week of treatment (p=&lt;0.001), and the improvement was maintained through each treatment week until the end of the four-week treatment period (p=&lt;0.001). PH80 treatment also significantly reduced the severity, disruption in function, and sweating related to hot flashes during the treatment period as compared with placebo. PH80 was well-tolerated with no serious adverse events (SAEs), and the adverse event profiles were comparable between PH80 and placebo. All 36 subjects completed four weeks of treatment and no subject discontinued participation in the study as a result of TEAEs.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PH80 for Premenstrual Dysphoric Disorder (PMDD). </w:t>
      </w:r>
      <w:r>
        <w:rPr>
          <w:rFonts w:ascii="Times New Roman" w:cs="Times New Roman" w:eastAsia="Times New Roman" w:hAnsi="Times New Roman"/>
          <w:sz w:val="18"/>
          <w:szCs w:val="18"/>
          <w:color w:val="auto"/>
        </w:rPr>
        <w:t>We also recently reported positive results from a previously unpublished exploratory randomized,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double-blind, placebo-controlled Phase 2A clinical study of PH80 for acute management of the symptoms of PMDD, including negative mood and physical and behavioral symptoms, in subjects with a regular menstrual cycle and at least a one-year history of PMDD. This Phase 2A study was sponsored by Pherin, now our wholly-owned subsidiary, and demonstrated a statistically significant improvement versus placebo in acute management of the symptoms of PMDD, including negative mood and physical and behavioral symptoms. The initial study visit occurred after the onset of symptoms. All subjects were administered a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PH80 demonstrated statistically and clinically significant improvement versus placebo in symptoms of PMDD using the subject-rated Penn Daily Symptom Report (DSR) as early as Day 4 and continuing to Day 6 (p=0.008). PH80 also demonstrated statistically and clinically significant improvement versus placebo at Day 6 on the clinician-rated Premenstrual Tension Scale (PMTS) total score (p=0.006). PH80 was well-tolerated with no SAEs. The most common TEAE was headache, reported by 17% in the placebo group and 7% in the PH80 group. No other TEAE occurred more than once per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7" w:right="339" w:bottom="1440" w:gutter="0" w:footer="0" w:header="0"/>
        </w:sectPr>
      </w:pPr>
    </w:p>
    <w:bookmarkStart w:id="27" w:name="page28"/>
    <w:bookmarkEnd w:id="27"/>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preparing to conduct certain nonclinical studies during the 2024 calendar year necessary to submit our U.S. IND for potential Phase 2B clinical development of PH80 in the U.S. for one or more women’s health indications.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PH15 Nasal Spray for Cognitive and Psychomotor Performance and Improvement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PH15 is an odorless, tasteless synthetic investigational pherine nasal spray with a novel, rapid-onset potential MOA that is fundamentally differentiated from the MOA of all currently approved treatments to improve cognitive impairment caused by mental fatigue and potentially other disorders. We believe intranasal PH15 has the potential to improve cognitive and psychomotor performance and improvement of reaction time in individuals with mental fatigue. We are currently evaluating the potential path forward for PH15, including an assessment of completed studies and studies we believe are necessary to submit a U.S. IND for potential further Phase 2 clinical development of PH15 in the U.S., including the appropriate indication for demonstrating improvement of cognitive function.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PH284 Nasal Spray for Cachexia</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PH284 is an odorless, tasteless synthetic investigational pherine nasal spray with a novel, rapid-onset potential MOA that is fundamentally differentiated from the MOA of all currently approved treatments for the loss of appetite associated with chronic disorders such as cancer. Cachexia is a serious but under-recognized consequence of many chronic diseases with body mass loss of &gt;10% and a prevalence of 5 to 15 %. We believe PH284 may have therapeutic potential for improving subjective feelings of hunger in patients with cachexia. We are currently evaluating the potential path forward for PH284, including assessment of completed studies and studies we believe are necessary to submit a U.S. IND for potential further Phase 2 clinical development of PH15 for the treatment of cachexia, including the appropriate patient populations for demonstrating an increase in appetite and weight gain.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 for Neurological Disorders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AV-101 (4-Cl-KYN) is a novel, oral prodrug that targets the NMDAR (N-methyl-D-aspartate receptor), an ionotropic glutamate receptor in the brain. Based on observations and findings from preclinical studies, we believe AV-101 has the potential to become a new oral treatment alternative for multiple neuroscience disorders, including levodopa-induced dyskinesia and neuropathic pain among others. We are currently assessing a path forward for potential Phase 2A clinical development of AV-101, either on our own or with collaborators, as a treatment for levodopa-induced dyskinesia associated with Parkinson’s disease therapy and possibly one or more additional neurological disorders involving the NMDAR receptor.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FDA has granted Fast Track designation for the investigation of AV-101 for the treatment of neuropathic pain and for the adjunctive treatment of MDD.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Vistagen Therapeutics, Inc., a Nevada corporation, is the parent of Pherin Pharmaceuticals, Inc., a Delaware corporation, and Vistastem, Inc., a wholly owned California corporation. Our principal executive offices are located at 343 Allerton Avenue, South San Francisco, California 94080, and our telephone number is (650) 577-3600. Our website address is www.vistagen.com.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expenditures for research and development expenditures, nonclinical and clinical trials, contract manufacturing, pre-commercial and commercial activities, information technology, intellectual property, working capital, the acquisition of companies or businesses and the repayment and refinancing of debt. We have not determined the amount of net proceeds to be used specifically for such purposes. As a result, management will retain broad discretion over the allocation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SECURITIES THAT MAY BE OFFERED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offer under this prospectus shares of our common stock and preferred stock, various series of debt securities, warrants to purchase any of such securities and units comprised of one or more of the other securities that may be offered under this prospectus, either individually or in combination with other securities, with a total value of up to $350,000,000 from time to time at prices and on terms to be determined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21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84"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and, if applicable, any provisions for changes to or adjustments in the conversion or exchange prices or rates and in the securities or other property receivable upon conversion or exchange;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U.S. federal income tax considerations, if any.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an applicable prospectus supplement. 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restated certificate of incorporation, amended and restated by-laws, as amended, and the other documents referred to in the descriptions, all of which are or will be publicly filed with the SEC, as applicable. See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section describes the general terms and provisions of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will describe the specific terms of any debt securities offered through that prospectus supplement. The terms of any debt securities we offer under a prospectus supplement may differ from the terms we describe below.</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indentures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general obligations and will rank pari passu with our other unsecured and unsubordinated obligations, if any. The subordinated debt securities will constitute our unsecured and subordinated general obligations and will be junior in right of payment to our senior indebtedness (including senior debt securities), as described under the heading “– Certain Terms of the Subordinated Debt Securities – Subordination.” The debt securities will be structurally subordinated to all existing and future indebtedness and other liabilities of our subsidiaries unless such subsidiaries expressly guarantee such debt securities.</w:t>
      </w:r>
    </w:p>
    <w:p>
      <w:pPr>
        <w:spacing w:after="0" w:line="2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unsecured obligations. Any secured debt or other secured obligations will be effectively senior to the debt securities to the extent of the value of the assets securing such debt or other obligations.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type of the debt securities;</w:t>
      </w:r>
    </w:p>
    <w:p>
      <w:pPr>
        <w:spacing w:after="0" w:line="184"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 and, with respect to debt securities issued under the subordinated indenture the terms on which they are subordinated;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3" w:right="339" w:bottom="1440" w:gutter="0" w:footer="0" w:header="0"/>
        </w:sectPr>
      </w:pPr>
    </w:p>
    <w:bookmarkStart w:id="31" w:name="page32"/>
    <w:bookmarkEnd w:id="31"/>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sell the debt securities;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right, if any, to extend such date or 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84"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related record dates;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fund or other analogous fund, if any;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dates, prices, obligations and restrictions on the debt securities;</w:t>
      </w:r>
    </w:p>
    <w:p>
      <w:pPr>
        <w:spacing w:after="0" w:line="18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features of the debt securities;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definitive or global form or in definitive form only upon satisfaction of certain conditions;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as to payment or performance;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securities may bear interest at a fixed rate or a floating rate. Debt securities bearing no interest or interest at a rate that at the time of issuance is below the prevailing market rate (original issue discount securities) may be sold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7"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25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Unless we indicate otherwise in a prospectus supplement, the senior debt securities will not contain any financial or restrictive covenants,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covenants restricting either us or our subsidiaries from incurring, issuing, assuming or guaranteeing any indebtedness secured by a lien on any of our or our subsidiaries’ property or capital stock, or restricting either us or our subsidiaries from entering into sale and leaseback transactions.</w:t>
      </w:r>
    </w:p>
    <w:p>
      <w:pPr>
        <w:spacing w:after="0" w:line="20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Merger and Sale of Assets. Unless we indicate otherwise in a prospectus supplement, we may not consolidate with or merge into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in a transaction in which we are not the surviving corporation, or convey, transfer or lease our properties and assets substantially as an entirety to any person, in either case, unless:</w:t>
      </w:r>
    </w:p>
    <w:p>
      <w:pPr>
        <w:spacing w:after="0" w:line="175"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any, is a U.S. corporation, limited liability company, partnership or trust (subject to certain exceptions provided for in the senior indenture);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our obligations on the senior debt securities and under the senior indenture;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 Protection in the Event of a Change in Control</w:t>
      </w:r>
      <w:r>
        <w:rPr>
          <w:rFonts w:ascii="Times New Roman" w:cs="Times New Roman" w:eastAsia="Times New Roman" w:hAnsi="Times New Roman"/>
          <w:sz w:val="18"/>
          <w:szCs w:val="18"/>
          <w:color w:val="auto"/>
        </w:rPr>
        <w:t>. Unless we indicate otherwise in a prospectus supplement with respect to a particular series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2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indicate otherwise in a prospectus supplement with respect to a particular series of senior debt securities, the following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of default under the senior indenture for any series of senior debt securities:</w:t>
      </w:r>
    </w:p>
    <w:p>
      <w:pPr>
        <w:ind w:left="660" w:right="2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1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7" w:right="339" w:bottom="1440" w:gutter="0" w:footer="0" w:header="0"/>
        </w:sectPr>
      </w:pPr>
    </w:p>
    <w:bookmarkStart w:id="33" w:name="page34"/>
    <w:bookmarkEnd w:id="33"/>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whether or not voluntary; and</w:t>
      </w:r>
    </w:p>
    <w:p>
      <w:pPr>
        <w:spacing w:after="0" w:line="184" w:lineRule="exact"/>
        <w:rPr>
          <w:rFonts w:ascii="Times New Roman" w:cs="Times New Roman" w:eastAsia="Times New Roman" w:hAnsi="Times New Roman"/>
          <w:sz w:val="18"/>
          <w:szCs w:val="18"/>
          <w:color w:val="auto"/>
        </w:rPr>
      </w:pPr>
    </w:p>
    <w:p>
      <w:pPr>
        <w:ind w:right="600" w:firstLine="332"/>
        <w:spacing w:after="0" w:line="500" w:lineRule="auto"/>
        <w:tabs>
          <w:tab w:leader="none" w:pos="6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senior debt securities as may be specified in the applicable prospectus supplement. The default by us under any other debt, including any other series of debt securities, is not a default under the senior indenture.</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specified in the fourth bullet point above occurs and is continuing, the entire principal amount of and accrued interest on each series of senior debt securities then outstanding shall become immediately due and payable.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6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senior debt securities make a written request to the trustee to pursue the remedy in respect of such event of default;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34" w:name="page35"/>
    <w:bookmarkEnd w:id="34"/>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senior debt security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We can satisfy and discharge our obligations to holders of any series of debt securities if:</w:t>
      </w:r>
    </w:p>
    <w:p>
      <w:pPr>
        <w:spacing w:after="0" w:line="29" w:lineRule="exact"/>
        <w:rPr>
          <w:sz w:val="20"/>
          <w:szCs w:val="20"/>
          <w:color w:val="auto"/>
        </w:rPr>
      </w:pP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cause to be paid, as and when due and payable, the principal of and any interest on all senior debt securities of such series outstanding under the senior indenture; or</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senior debt securities of such series have become due and payable or will become due and payable within one year (or are to be called for redemption within one year) and we deposit in trust a combination of cash and U.S. government or U.S. government agency obligations that will generate enough cash to make interest, principal and any other payments on the debt securities of that series on their various due dates.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a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Defeasance</w:t>
      </w:r>
      <w:r>
        <w:rPr>
          <w:rFonts w:ascii="Times New Roman" w:cs="Times New Roman" w:eastAsia="Times New Roman" w:hAnsi="Times New Roman"/>
          <w:sz w:val="18"/>
          <w:szCs w:val="18"/>
          <w:color w:val="auto"/>
        </w:rPr>
        <w:t>. Unless the applicable prospectus supplement provides otherwise, the following discussion of legal defeasance and discharge and covenant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defeasance will apply to any series of debt securities issued under the indentures.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Legal Defeasance. We can legally release ourselves from any payment or other obligations on the debt securities of any series (called “legal defeasance”) if certain conditions are met, including the following:</w:t>
      </w:r>
    </w:p>
    <w:p>
      <w:pPr>
        <w:spacing w:after="0" w:line="189" w:lineRule="exact"/>
        <w:rPr>
          <w:sz w:val="20"/>
          <w:szCs w:val="20"/>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deposit in trust for your benefit and the benefit of all other direct holders of the debt securities of the same series a combination of cash and U.S. government or U.S. government agency obligations that will generate enough cash to make interest, principal and any other payments on the debt securities of that series on their various due dates.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current U.S. federal income tax law or an Internal Revenue Service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legal opinion of our counsel confirming the tax law change or ruling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Without any change of current U.S. federal tax law, we can make the same type of deposit described above and be released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209"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your benefit and the benefit of all other direct holders of the debt securities of the same series a combination of cash and U.S. government or U.S. government agency obligations that will generate enough cash to make interest, principal and any other payments on the debt securities of that series on their various due dates.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We and the trustee may amend or supplement the senior indenture or the senior debt securities without the consent of any holder:</w:t>
      </w:r>
    </w:p>
    <w:p>
      <w:pPr>
        <w:spacing w:after="0" w:line="25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assets as security for the senior debt securities of one or more series;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senior indenture under the Trust Indenture Act of 1939, as amended;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add guarantors with respect to the senior debt securities of any series;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senior debt securities as permitted by the senior indenture;</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purposes of issue, authentication and delivery of any series of senior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7" w:right="339" w:bottom="1440" w:gutter="0" w:footer="0" w:header="0"/>
        </w:sectPr>
      </w:pPr>
    </w:p>
    <w:bookmarkStart w:id="36" w:name="page37"/>
    <w:bookmarkEnd w:id="36"/>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senior debt securities of any series so long as no senior debt securities of such series are outstanding;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all series affected by the amendment or modification (voting together as a single class); provided, however, that each affected holder must consent to any modification, amendment or waiver that:</w:t>
      </w:r>
    </w:p>
    <w:p>
      <w:pPr>
        <w:spacing w:after="0" w:line="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final maturity of any senior debt securities of such series;</w:t>
      </w:r>
    </w:p>
    <w:p>
      <w:pPr>
        <w:spacing w:after="0" w:line="16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any senior debt securities of such series;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rate or extends the time of payment of interest on any senior debt securities of such series;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amount payable upon the redemption of any senior debt securities of such series;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currency of payment of principal of or interest on any senior debt securities of such series;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original issue discount securities payable upon acceleration of maturity or the amount provable in bankruptcy;</w:t>
      </w:r>
    </w:p>
    <w:p>
      <w:pPr>
        <w:spacing w:after="0" w:line="19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 uncured default in the payment of principal of or interest on the senior debt securities (except in the case of a rescission of acceleration as described above);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relating to the waiver of past defaults or changes or impairs the right of holders to receive payment or to institute suit for the enforcement of any payment or conversion of any senior debt securities of such series on or after the due date therefor;</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or</w:t>
      </w:r>
    </w:p>
    <w:p>
      <w:pPr>
        <w:spacing w:after="0" w:line="14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 Personal Liability of Incorporators, Stockholders, Officers, Directors. </w:t>
      </w:r>
      <w:r>
        <w:rPr>
          <w:rFonts w:ascii="Times New Roman" w:cs="Times New Roman" w:eastAsia="Times New Roman" w:hAnsi="Times New Roman"/>
          <w:sz w:val="18"/>
          <w:szCs w:val="18"/>
          <w:color w:val="auto"/>
        </w:rPr>
        <w:t>The senior indenture provides that no recourse shall be had under any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Concerning the Trustee. </w:t>
      </w:r>
      <w:r>
        <w:rPr>
          <w:rFonts w:ascii="Times New Roman" w:cs="Times New Roman" w:eastAsia="Times New Roman" w:hAnsi="Times New Roman"/>
          <w:sz w:val="18"/>
          <w:szCs w:val="18"/>
          <w:color w:val="auto"/>
        </w:rPr>
        <w:t>The senior indenture provides that, except during the continuance of an event of default, the trustee will not be liable except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such duties as are specifically set forth in the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7"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indenture and the provisions of the Trust Indenture Act of 1939 incorporated by reference therein contain limitations on the rights of the trustee thereunder, should it become a creditor of ours or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have normal banking relationships with the senior trustee in the ordinary course of business.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Unclaimed Funds</w:t>
      </w:r>
      <w:r>
        <w:rPr>
          <w:rFonts w:ascii="Times New Roman" w:cs="Times New Roman" w:eastAsia="Times New Roman" w:hAnsi="Times New Roman"/>
          <w:sz w:val="18"/>
          <w:szCs w:val="18"/>
          <w:color w:val="auto"/>
        </w:rPr>
        <w:t>. All funds deposited with the trustee or any paying agent for the payment of principal, premium, interest or additional amounts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senior debt securities that remain unclaimed for two years after the date upon which such principal, premium or interest became due and payable will be repaid to us. Thereafter, any right of any holder of senior debt securities to such funds shall be enforceable only against us, and the trustee and paying agents will have no liability therefor.</w:t>
      </w:r>
    </w:p>
    <w:p>
      <w:pPr>
        <w:spacing w:after="0" w:line="20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senior indenture and the senior debt securities will be governed by, and construed in accordance with, the internal laws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or different subordination terms may be specified in the prospectus supplement applicable to a particular series.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The indebtedness evidenced by the subordinated debt securities is subordinate to the prior payment in full of all of our senior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18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for money borrowed;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that are capitalized on the books of that person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7" w:right="339" w:bottom="1440" w:gutter="0" w:footer="0" w:header="0"/>
        </w:sectPr>
      </w:pPr>
    </w:p>
    <w:bookmarkStart w:id="38" w:name="page39"/>
    <w:bookmarkEnd w:id="38"/>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capital stock is intended as a summary only and therefore is not a complete description of our capital stock. This description is based upon, and is qualified by reference to, our Restated and Amended Articles of Incorporation, as amended (our “Charter”), our Amended and Restated Bylaws, as amended (our “Bylaws”), and applicable provisions of Nevada corporate law. You should read our Charter and Bylaws for the provisions that are important to you.</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325,000,000 shares of common stock, $0.001 par value per share, and 10,000,000 shares of preferred stock, $0.001 par value per share, all of which preferred stock is undesignated. The following description of our capital stock and provisions of our Charter and Bylaws are summaries and are qualified by reference to our Charter and Bylaws. Copies of these documents are filed with the SEC as exhibits to our Annual Report on Form 10-K for the year ended March 31, 2023, filed with the SEC on June 28, 2023.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our common stock and certain provisions of our Charter, and our amended and restated bylaws, and certain provisions of Nevada law.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elect or be required to amend our Charter to increase the number of shares of common stock authorized for issuance prior to completing sales of shares of our common stock, or securities convertible and/or exchangeable into shares of our common stock described in this prospectus and/or any accompanying prospectus supplement.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section describes the general terms of our common stock that we may offer from time to time. For more detailed information, a holder of our common stock should refer to our Charter and our Bylaws.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our Charter,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our common stock is entitled to cast one vote for each share of common stock held on all matters submitted to a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Cumulative voting for election of directors is not allowed under our Charter, which means that a plurality of the shares voted can elect all of the directors then outstanding for election. Except as otherwise provided under Nevada law or our Charter and Bylaws, on matters other than election of directors, action on a matter is approved if the votes cast favoring the action exceed the votes cast opposing the action.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holders of outstanding shares of our common stock are entitled to receive dividends out of funds legally available, if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(our “Board”), in its discretion, determines to issue a dividend, and only at the times and in the amounts that our Board may determine. Our Board is not obligated to declare a dividend. We have not paid any dividends on our common stock in the past and we do not intend to pay dividends in the foreseeable future.</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our liquidation, dissolution or winding-up, the holders of our common stock will be entitled to share equally, identically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in all assets remaining, subject to the prior satisfaction of all outstanding debt and liabilities and the preferential rights and payment of liquidation preferences, if any, on any outstanding shares of preferred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Our common stock is not subject to conversion, redemption, sinking fund or similar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 xml:space="preserve">Listing on The Nasdaq Capital Market </w:t>
      </w:r>
      <w:r>
        <w:rPr>
          <w:rFonts w:ascii="Times New Roman" w:cs="Times New Roman" w:eastAsia="Times New Roman" w:hAnsi="Times New Roman"/>
          <w:sz w:val="18"/>
          <w:szCs w:val="18"/>
          <w:color w:val="auto"/>
        </w:rPr>
        <w:t>Our common stock is listed on The Nasdaq Capital Market under the symbol “VTGN.”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Shares </w:t>
      </w:r>
      <w:r>
        <w:rPr>
          <w:rFonts w:ascii="Times New Roman" w:cs="Times New Roman" w:eastAsia="Times New Roman" w:hAnsi="Times New Roman"/>
          <w:sz w:val="18"/>
          <w:szCs w:val="18"/>
          <w:color w:val="auto"/>
        </w:rPr>
        <w:t>The authorized but unissued shares of common stock are available for future issuance without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any limitations imposed by applicable listing rules of The Nasdaq Stock Market. These additional shares may be used for a variety of corporate finance transactions, acquisitions and employee benefit plans. The existence of authorized but unissued and unreserved common stock could make it more difficult or discourage an attempt to obtain control of us by means of a proxy contest, tender offer, merger or otherwise.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our common stock is Computershare Trust Company,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Offered Under Prior Registration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2023, we entered into an underwriting agreement (the “Underwriting Agreement”) with Jefferies LLC, Stifel, Nicolaus &amp; Company, Incorporated, and William Blair &amp; Company, L.L.C., as the representatives of the underwriters listed on Schedule A attached thereto (the “Underwriters”), in connection with the underwritten offering, issuance and sale by us of 15,010,810 shares common stock, pre-funded warrants to purchase up to 3,577,240 shares of common stock (the “Pre-Funded Warrants”), warrants to purchase up to 9,294,022 shares of common stock (or pre-funded warrants to purchase up to 9,294,022 shares of common stock in lieu thereof) (the “Tranche 1 Warrants”) and warrants to purchase 11,265,086 shares of common stock (or pre-funded warrants to purchase up to 11,265,086 shares of common stock in lieu thereof) (the “Tranche 2 Warrants”).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offering shares of common stock issuable from time to time upon exercise of our pre-funded warrants, Tranche 1 Warrants and Tranche 2 Warrants. The following is a summary of certain terms and conditions of the pre-funded warrants, Tranche 1 Warrants and Tranche 2 Warrants, which summary is subject in all respect to the provisions contained in the pre-funded warrants, Tranche 1 Warrants and Tranche 2 Warrants. Forms of each of the pre-funded warrants, Tranche 1 Warrants and Tranche 2 Warrants are filed with the SEC as exhibits to our Current Report on Form 8-K, dated October 4, 2023 and incorporated by reference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Exercisability. </w:t>
      </w:r>
      <w:r>
        <w:rPr>
          <w:rFonts w:ascii="Times New Roman" w:cs="Times New Roman" w:eastAsia="Times New Roman" w:hAnsi="Times New Roman"/>
          <w:sz w:val="18"/>
          <w:szCs w:val="18"/>
          <w:color w:val="auto"/>
        </w:rPr>
        <w:t>The pre-funded warrants are exercisable at any time after their original issuance. The pre-funded warrants will be exercisable, at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exercise price.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Exercise Limitations</w:t>
      </w:r>
      <w:r>
        <w:rPr>
          <w:rFonts w:ascii="Times New Roman" w:cs="Times New Roman" w:eastAsia="Times New Roman" w:hAnsi="Times New Roman"/>
          <w:sz w:val="18"/>
          <w:szCs w:val="18"/>
          <w:color w:val="auto"/>
        </w:rPr>
        <w:t>. A holder will not have the right to exercise any portion of the pre-funded warrant if the holder (together with its affiliates)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in excess of 9.99% of the number of shares of our common stock outstanding immediately after giving effect to the exercise, as such percentage ownership is determined in accordance with the terms of the pre-funded warrants. However, any holder may elect, prior to issuance of its pre-funded warrant, to include a provision in such holder’s pre-funded warrant that will permit such holder to elect to increase or decrease such percentage to any other percentage upon at least 61 days’ prior notice from the holder to us.</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per whole share of our common stock purchasable upon the exercise of the pre-funded warrants is $0.001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 exercise price of the pre-funded warrants is subject to appropriate adjustment in the event of certain stock dividends and distributions, stock splits, stock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5" w:right="339" w:bottom="1440" w:gutter="0" w:footer="0" w:header="0"/>
        </w:sectPr>
      </w:pPr>
    </w:p>
    <w:bookmarkStart w:id="41" w:name="page42"/>
    <w:bookmarkEnd w:id="4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reclassifications or similar events affecting our common stock and also upon any distributions of assets, including cash, stock or other property to our stockholders.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by virtue of such holder’s ownership of shares of our common stock, the holder of a pre-funded warrant does not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or privileges of a holder of our common stock, including any voting rights, until the holder exercises the pre-funded warrant.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the pre-funded warrants may be offered for sale, sold, transferred or assigned without our consent.</w:t>
      </w:r>
    </w:p>
    <w:p>
      <w:pPr>
        <w:spacing w:after="0" w:line="2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pre-funded warrants are not listed, and we do not intend to list the pre-funded warrants on The Nasdaq Capital Market,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securities exchange or any other nationally recognized trading system.</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In the event of a fundamental transaction, as described in the pre-funded warrants and generally including any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Rights as a Stockholder. </w:t>
      </w:r>
      <w:r>
        <w:rPr>
          <w:rFonts w:ascii="Times New Roman" w:cs="Times New Roman" w:eastAsia="Times New Roman" w:hAnsi="Times New Roman"/>
          <w:sz w:val="18"/>
          <w:szCs w:val="18"/>
          <w:color w:val="auto"/>
        </w:rPr>
        <w:t>Except by virtue of such holder’s ownership of shares of our common stock, the holder of a pre-funded warrant does not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or privileges of a holder of our common stock, including any voting rights, until the holder exercises the pre-funded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Tranche 1 Warrants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Exercisability. </w:t>
      </w:r>
      <w:r>
        <w:rPr>
          <w:rFonts w:ascii="Times New Roman" w:cs="Times New Roman" w:eastAsia="Times New Roman" w:hAnsi="Times New Roman"/>
          <w:sz w:val="18"/>
          <w:szCs w:val="18"/>
          <w:color w:val="auto"/>
        </w:rPr>
        <w:t>The Tranche 1 Warrants are exercisable at any time after their original issuance and will expire 60 days after the later of (i) the date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first publicly disclose, whether by press release or Form 8-K filing, the top-line data for our PALISADE-3 study and (ii) the date on which we first publicly disclose, whether by press release or Form 8-K filing, the top-line data for our PALISADE-4 study. The Tranche 1 Warrants will be exercisable, at the option of each holder, in whole or in part by delivering to us a duly executed exercise notice and by payment in full in immediately available funds for the number of shares of common stock or pre-funded warrants purchased upon such exercise. As an alternative to payment in immediately available funds, the holder may if and only if at the time of exercise hereof there is no effective registration statement registering, or the prospectus contained therein is not available for the issuance of the common stock or pre-funded warrants to the holder, then in its sole discretion, elect to exercise the Tranche 2 Warrant through a cashless exercise, in which case the holder would receive upon such exercise the net number of shares of common stock or pre-funded warrants determined according to the formula set forth in the Tranche 1 Warrant. No fractional shares of common stock or pre-funded warrants will be issued in connection with the exercise of a Tranche 1 Warrant. In lieu of fractional shares, we will pay the holder an amount in cash equal to the fractional amount multiplied by the exercise price.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Exercise Limitations. </w:t>
      </w:r>
      <w:r>
        <w:rPr>
          <w:rFonts w:ascii="Times New Roman" w:cs="Times New Roman" w:eastAsia="Times New Roman" w:hAnsi="Times New Roman"/>
          <w:sz w:val="18"/>
          <w:szCs w:val="18"/>
          <w:color w:val="auto"/>
        </w:rPr>
        <w:t>A holder will not have the right to exercise any portion of the Tranche 1 Warrant if the holder (together with its affiliates)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in excess of 9.99% of the number of shares of our common stock outstanding immediately after giving effect to the exercise, as such percentage ownership is determined in accordance with the terms of the Tranche 1 Warrant. However, any holder may elect, prior to issuance of its Tranche 1 Warrant, to include a provision in such holder’s Tranche 1 Warrant that will permit such holder to elect to increase or decrease such percentage to any other percentage upon at least 61 days’ prior notice from the holder to us.</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exercise price per whole share of our common stock or pre-funded warrants purchasable upon the exercise of the Tranche 1 Warrants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$5.38 per share of common stock or pre-funded warrant. The exercise price of the Tranche 1 Warrants is subject to appropriate adjustment in the event of certain stock dividends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7"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distributions, stock splits, stock combinations, reclassifications or similar events affecting our common stock and also upon any distributions of assets, including cash, stock or other property to our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Subject to applicable laws, the Tranche 1 Warrants may be offered for sale, sold, transferred or assigned without our consent.</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Tranche 1 Warrants are not listed, and we do not intend to list the Tranche 1 Warrants on The Nasdaq Capital Market,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securities exchange or any other nationally recognized trading system.</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Fundamental Transactions. </w:t>
      </w:r>
      <w:r>
        <w:rPr>
          <w:rFonts w:ascii="Times New Roman" w:cs="Times New Roman" w:eastAsia="Times New Roman" w:hAnsi="Times New Roman"/>
          <w:sz w:val="18"/>
          <w:szCs w:val="18"/>
          <w:color w:val="auto"/>
        </w:rPr>
        <w:t>In the event of a fundamental transaction, as described in the Tranche 1 Warrants and generally including any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Tranche 1 Warrants will be entitled to receive upon exercise of the Tranche 1 Warrants the kind and amount of securities, cash or other property that the holders would have received had they exercised the Tranche 1 Warrants immediately prior to such fundamental transaction.</w:t>
      </w:r>
    </w:p>
    <w:p>
      <w:pPr>
        <w:spacing w:after="0" w:line="20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Rights as a Stockholder. </w:t>
      </w:r>
      <w:r>
        <w:rPr>
          <w:rFonts w:ascii="Times New Roman" w:cs="Times New Roman" w:eastAsia="Times New Roman" w:hAnsi="Times New Roman"/>
          <w:sz w:val="18"/>
          <w:szCs w:val="18"/>
          <w:color w:val="auto"/>
        </w:rPr>
        <w:t>Except by virtue of such holder’s ownership of shares of our common stock, the holder of a Tranche 1 Warrant does not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or privileges of a holder of our common stock, including any voting rights, until the holder exercises the Tranche 1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Tranche 2 Warrants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Form. </w:t>
      </w:r>
      <w:r>
        <w:rPr>
          <w:rFonts w:ascii="Times New Roman" w:cs="Times New Roman" w:eastAsia="Times New Roman" w:hAnsi="Times New Roman"/>
          <w:sz w:val="18"/>
          <w:szCs w:val="18"/>
          <w:color w:val="auto"/>
        </w:rPr>
        <w:t>The Tranche 2 Warrants will be issued as individual warrant agreements to the investors. You should review the form of Tranche 2 Warrants,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filed as an exhibit to a Current Report on Form 8-K, for a complete description of the terms and conditions applicable to the Tranche 2 Warrants.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Exercisability. </w:t>
      </w:r>
      <w:r>
        <w:rPr>
          <w:rFonts w:ascii="Times New Roman" w:cs="Times New Roman" w:eastAsia="Times New Roman" w:hAnsi="Times New Roman"/>
          <w:sz w:val="18"/>
          <w:szCs w:val="18"/>
          <w:color w:val="auto"/>
        </w:rPr>
        <w:t>The Tranche 2 Warrants are exercisable at any time after their original issuance and will expire on the five year anniversary of the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The Tranche 2 Warrants will be exercisable, at the option of each holder, in whole or in part by delivering to us a duly executed exercise notice and by payment in full in immediately available funds for the number of shares of common stock or pre-funded warrants purchased upon such exercise. As an alternative to payment in immediately available funds, the holder may, in its sole discretion, elect to exercise the Tranche 2 Warrant through a cashless exercise, in which case the holder would receive upon such exercise the net number of shares of common stock or pre-funded warrants determined according to the formula set forth in the Tranche 2 Warrant. No fractional shares of common stock or pre-funded warrants will be issued in connection with the exercise of a Tranche 2 Warrant. In lieu of fractional shares, we will pay the holder an amount in cash equal to the fractional amount multiplied by the exercise price.</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Exercise Limitations. </w:t>
      </w:r>
      <w:r>
        <w:rPr>
          <w:rFonts w:ascii="Times New Roman" w:cs="Times New Roman" w:eastAsia="Times New Roman" w:hAnsi="Times New Roman"/>
          <w:sz w:val="18"/>
          <w:szCs w:val="18"/>
          <w:color w:val="auto"/>
        </w:rPr>
        <w:t>A holder will not have the right to exercise any portion of the Tranche 2 Warrant if the holder (together with its affiliates)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in excess of 9.99% of the number of shares of our common stock outstanding immediately after giving effect to the exercise, as such percentage ownership is determined in accordance with the terms of the Tranche 2 Warrant. However, any holder may elect, prior to issuance of its Tranche 2 Warrant, to include a provision in such holder’s Tranche 2 Warrant that will permit such holder to elect to increase or decrease such percentage to any other percentage upon at least 61 days’ prior notice from the holder to us.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exercise price per whole share of our common stock or pre-funded warrant purchasable upon the exercise of the Tranche 2 Warrants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$8.877 per share of common stock or pre-funded warrant. The exercise price of the Tranche 2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Subject to applicable laws, the Tranche 2 Warrants may be offered for sale, sold, transferred or assigned without our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7" w:right="339" w:bottom="1440" w:gutter="0" w:footer="0" w:header="0"/>
        </w:sectPr>
      </w:pPr>
    </w:p>
    <w:bookmarkStart w:id="43" w:name="page44"/>
    <w:bookmarkEnd w:id="43"/>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Tranche 2 Warrants are not listed, and we do not intend to list the Tranche 2 Warrants on The Nasdaq Capital Market,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securities exchange or any other nationally recognized trading system.</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Fundamental Transactions. </w:t>
      </w:r>
      <w:r>
        <w:rPr>
          <w:rFonts w:ascii="Times New Roman" w:cs="Times New Roman" w:eastAsia="Times New Roman" w:hAnsi="Times New Roman"/>
          <w:sz w:val="18"/>
          <w:szCs w:val="18"/>
          <w:color w:val="auto"/>
        </w:rPr>
        <w:t>In the event of a fundamental transaction, as described in the Tranche 2 Warrants and generally including any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Tranche 2 Warrants will be entitled to receive upon exercise of the Tranche 2 Warrants the kind and amount of securities, cash or other property that the holders would have received had they exercised the Tranche 2 Warrants immediately prior to such fundamental transaction.</w:t>
      </w:r>
    </w:p>
    <w:p>
      <w:pPr>
        <w:spacing w:after="0" w:line="20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Rights as a Stockholder. </w:t>
      </w:r>
      <w:r>
        <w:rPr>
          <w:rFonts w:ascii="Times New Roman" w:cs="Times New Roman" w:eastAsia="Times New Roman" w:hAnsi="Times New Roman"/>
          <w:sz w:val="18"/>
          <w:szCs w:val="18"/>
          <w:color w:val="auto"/>
        </w:rPr>
        <w:t>Except by virtue of such holder’s ownership of shares of our common stock, the holder of a Tranche 2 Warrant does not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or privileges of a holder of our common stock, including any voting rights, until the holder exercises the Tranche 2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section describes the general terms and provisions of our authorized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Charter, and the applicable prospectus supplement (and any related free writing prospectus that we may authorize to be provided to you) for more specific information.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of Preferred Stock Issuable Pursuant to this Prospectus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preferred stock offered pursuant to this prospectus will have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20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stock and the number of shares offered;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preferred stock;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stock.</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each other series of preferred stock. The rights of holders of shares of each series of preferred stock will be subordinate to those of our general creditors.</w:t>
      </w:r>
    </w:p>
    <w:p>
      <w:pPr>
        <w:spacing w:after="0" w:line="2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specified in the prospectus supplement, the preferred stock will, with respect to dividend rights and rights upon our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winding up of our affairs, rank:</w:t>
      </w:r>
    </w:p>
    <w:p>
      <w:pPr>
        <w:spacing w:after="0" w:line="187"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the preferred stock of each series will be entitled to receive, when, as and if declared by our Board, cash dividends at such rates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described in the applicable prospectus supplement. If our Board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jc w:val="both"/>
        <w:spacing w:after="0" w:line="255"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Upon any voluntary or involuntary liquidation, dissolution or winding up of our affairs, then, before we make any distribution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preferred stock and all other such classes or series of capital stock will share ratably in any such distribution of assets in proportion to the full liquidating distributions to which they would otherwise be entitled.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If so provided in the applicable prospectus supplement, the preferred stock will be subject to mandatory redemption or redemption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as a whole or in part, in each case upon the terms, at the times and at the redemption prices set forth in such prospectus supplement.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preferred stock will not have any voting rights, except as required by law or as indicated in the applicable prospectus supplement.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stock, no consent or vote of the holders of shares of preferred stock or any series thereof shall be required for any amendment to our restated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stock is convertible into our common stock will be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preferred stock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Warrants may be offered independently or together with common stock or preferred stock and/or debt securities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or debt securities. We may offer warrants separately or together with one or more additional warrants, common stock, preferred stock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1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stock with which the warrants are issued and the number of warrants issued with each security;</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or common stock will be separately transferable;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purchasable upon exercise of a warrant and the price at which those shares may be purchased;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48" w:name="page49"/>
    <w:bookmarkEnd w:id="48"/>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we issue warrants, we may issue the warrants under a warrant agreement, which, if applicable,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UNITS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If so described in a particular prospectus supplement, the specific terms of any series of units may differ from the general description of terms presented below.</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that may be offered under this prospectus, in any combination. The following, together with the additional information we may include in the applicable prospectus supplement, summarizes the material terms and provisions of the units that we may offer under this prospectus. While the terms summarized below will apply generally to any units we may offer, we will describe the particular terms of any series of units in more detail in the applicable prospectus supplement.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applicable prospectus supplement will describe:</w:t>
      </w:r>
    </w:p>
    <w:p>
      <w:pPr>
        <w:spacing w:after="0" w:line="252" w:lineRule="exact"/>
        <w:rPr>
          <w:sz w:val="20"/>
          <w:szCs w:val="20"/>
          <w:color w:val="auto"/>
        </w:rPr>
      </w:pPr>
    </w:p>
    <w:p>
      <w:pPr>
        <w:ind w:left="660" w:right="1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units and of the securities comprising the units, including whether and under what circumstances those securities may be held or transferred separately;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relating to the issuance, payment, settlement, transfer or exchange of the units or of the securities comprising the units;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units;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of the governing unit agreement that differ from those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1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CERTAIN PROVISIONS OF NEVADA LAW AND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CHARTER AND BYLAWS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Interested Persons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Nevada Revised Statutes (the “NRS”)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207"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of the common directorship, office or financial interest is known to our Board or a committee of our Board and a majority of disinterested directors on the Board (or on the committee) authorize, approved or ratify the transaction in good faith;</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of the common directorship, office or financial interest is known to the stockholders and stockholders holding a majority of the shares, including shares held by the common or interested directors or officers, authorize, approve or ratify the transaction in good faith;</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of the common directorship, office or financial interest is not known to the director or officer at the time the transaction is brought to the Board for action; or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fair to the Company at the time it is authorized or approved.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and Nevada law include certain provisions which may have the effect of delaying or deterring a change in control or in our management or encouraging persons considering unsolicited tender offers or other unilateral takeover proposals to negotiate with our board of directors rather than pursue non-negotiated takeover attempts. These provisions include authorized blank check preferred stock, restrictions on business combinations, and the availability of authorized but unissued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Combination with Interested Stockholders Statute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Sections 78.411 to 78.444 of the NRS, which apply to any Nevada corporation which has at least 200 stockholders of record and is publicly traded, including us, prohibits an “interested stockholder” from entering into specified types of business “combinations” with the Nevada corporation for two years, unless certain conditions are met. A “combination” includes:</w:t>
      </w:r>
    </w:p>
    <w:p>
      <w:pPr>
        <w:spacing w:after="0" w:line="203" w:lineRule="exact"/>
        <w:rPr>
          <w:sz w:val="20"/>
          <w:szCs w:val="20"/>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the corporation or any subsidiary of the corporation with an “interested stockholder,” or any other entity, whether or not itself an “interested stockholder,” which is, or after and as a result of the merger would be, an affiliate or associate of an “interested stockholder;”</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to or with an “interested stockholder” or any affiliate or associate of an “interested stockholder,” of assets of the corporation or any subsidiary:</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aggregate market value equal to more than 5% of the aggregate market value of the corporation’s assets, determined on a consolidated basis;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3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aggregate market value equal to more than 5% of the aggregate market value of all outstanding voting shares of the corporation;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13" w:right="339" w:bottom="1440" w:gutter="0" w:footer="0" w:header="0"/>
        </w:sectPr>
      </w:pPr>
    </w:p>
    <w:bookmarkStart w:id="51" w:name="page52"/>
    <w:bookmarkEnd w:id="51"/>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more than 10% of the earning power or net income, determined on a consolidated basis, of the corporation; or</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7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transfer by the corporation or any subsidiary, of any shares of the corporation or any subsidiary to an “interested stockholder” or any affiliate or associate of an “interested stockholder,” having an aggregate market value equal to 5% or more of the aggregate market value of all of the outstanding voting shares of the corporation, except under the exercise of warrants or rights to purchase shares offered, or a dividend or distribution paid or made, pro rata to all stockholders of the resident domestic corporation;</w:t>
      </w:r>
    </w:p>
    <w:p>
      <w:pPr>
        <w:spacing w:after="0" w:line="20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any plan, or proposal for the liquidation or dissolution of the corporation, under any agreement, arrangement or understanding, with the “interested stockholder,” or any affiliate or associate of the “interested stockholder;”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following actions occurs:</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reclassification of the corporation’s securities, including, without limitation, any splitting of shares, share dividend, or other distribution of shares with respect to other shares, or any issuance of new shares in exchange for a proportionately greater number of old shares;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of the corporation;</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or consolidation of the corporation with any subsidiary; or</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transaction, whether or not with or into or otherwise involving the interested stockholder,</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any agreement, arrangement or understanding, whether or not in writing, with the interested stockholder or any affiliate or associate of the interested stockholder, which has the immediate and proximate effect of increasing the proportionate share of the outstanding shares of any class or series of voting shares or securities convertible into voting shares of the corporation or any subsidiary of the corporation which is beneficially owned by the interested stockholder or any affiliate or associate of the interested stockholder, except as a result of immaterial changes because of adjustments of fractional shares; or</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receipt by an “interested stockholder” or any affiliate or associate of an “interested stockholder,” except proportionately as a stockholder of the corporation, of the benefit of any loan, advance, guarantee, pledge or other financial assistance or any tax credit or other tax advantage provided by or through the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“interested stockholder” is a person who is:</w:t>
      </w:r>
    </w:p>
    <w:p>
      <w:pPr>
        <w:spacing w:after="0" w:line="25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the beneficial owner of 10% or more of the voting power of the outstanding voting shares of the corporation; or</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which at any time within two years immediately before the date in question was the beneficial owner, directly or indirectly, of 10% or more of the voting power of the then outstanding shares of the corporation.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corporation to which the Combinations with Interested Stockholders Statute applies may not engage in a “combination” within two years after the interested stockholder first became an interested stockholder, unless the combination meets all of the requirements of the corporation’s articles of incorporation and (i) the combination or the transaction by which the person first became an interested stockholder is approved by the board of directors before the person first became an interested stockholder, or (ii)(a) the combination is approved by the board of directors and (b) at or after that time, the combination is approved at an annual or special meeting of the stockholders, and not by written consent, by the affirmative vote of the stockholders representing at least 60%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7" w:right="339" w:bottom="1440" w:gutter="0" w:footer="0" w:header="0"/>
        </w:sectPr>
      </w:pPr>
    </w:p>
    <w:bookmarkStart w:id="52" w:name="page53"/>
    <w:bookmarkEnd w:id="52"/>
    <w:p>
      <w:pPr>
        <w:jc w:val="both"/>
        <w:spacing w:after="0" w:line="271" w:lineRule="auto"/>
        <w:rPr>
          <w:sz w:val="20"/>
          <w:szCs w:val="20"/>
          <w:color w:val="auto"/>
        </w:rPr>
      </w:pPr>
      <w:r>
        <w:rPr>
          <w:rFonts w:ascii="Times New Roman" w:cs="Times New Roman" w:eastAsia="Times New Roman" w:hAnsi="Times New Roman"/>
          <w:sz w:val="17"/>
          <w:szCs w:val="17"/>
          <w:color w:val="auto"/>
        </w:rPr>
        <w:t>outstanding voting power of the corporation not beneficially owned by the interested stockholder or the affiliates or associates of the interested stockholder. If this approval is not obtained, the combination may be consummated after the two year period expires if either (i)(a) the combination or transaction by which the person first became an interested stockholder is approved by the board of directors before such person first became an interested stockholder, (b) the combination is approved by a majority of the outstanding voting power of the corporation not beneficially owned by the interested stockholder or any affiliate or associate of the interested stockholder, or (c) the combination otherwise meets the requirements of the Combination with Interested Stockholders statute. Alternatively, a combination with an interested stockholder engaged in more than 2 years after the date the person first became an interested stockholder may be permissible if the aggregate amount of cash and the market value of consideration other than cash to be received by holders of shares of common stock and holders of any other class or series of shares meets the minimum requirements set forth in the statue, and prior to the completion of the combination, except in limited circumstances, the interested stockholder has not become the beneficial owner of additional voting shares of the corporation.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Controlling Interest Statute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Nevada’s “Acquisition of Controlling Interest Statute,” prohibits an acquiror, under certain circumstances, from voting shares of a target corporation’s stock after crossing certain threshold ownership percentages, unless the acquiror obtains the approval of the target corporation’s stockholders. Sections 78.378 to 78.3793 of the NRS only apply to Nevada corporations with at least 200 stockholders, including at least 100 record stockholders who are Nevada residents, that do business directly or indirectly in Nevada and whose articles of incorporation or bylaws in effect ten days following the acquisition of a controlling interest by an acquiror do not prohibit its application.</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intend to “do business” in Nevada within the meaning of the Acquisition of Controlling Interest Statute. Further, our Bylaws contain a specific opt out from the statute. Therefore, we believe it is unlikely that this statute will apply to us. The statute specifies three thresholds:</w:t>
      </w:r>
    </w:p>
    <w:p>
      <w:pPr>
        <w:spacing w:after="0" w:line="18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one-fifth but less than one-third;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one-third but less than a majority;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the outstanding voting power.</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Once an acquiror crosses one of these thresholds, shares which it acquired in the transaction taking it over the threshold (or within 90 days preceding the date thereof) become “control shares” which could be deprived of the right to vote until a majority of the disinterested stockholders restore that right. A special stockholders’ meeting may be called at the request of the acquiror to consider the voting rights of the acquiror’s shares. If the acquiror requests a special meeting and gives an undertaking to pay the expenses of said meeting, then the meeting must take place no earlier than 30 days (unless the acquiror requests that the meeting be held sooner) and no more than 50 days (unless the acquiror agrees to a later date) after the delivery by the acquiror to the corporation of an information statement which sets forth the range of voting power that the acquiror has acquired or proposes to acquire and certain other information concerning the acquiror and the proposed control share acquisition.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no such request for a stockholders’ meeting is made, consideration of the voting rights of the acquiror’s shares must be taken at the next special or annual stockholders’ meeting. If the stockholders fail to restore voting rights to the acquiror, or if the acquiror fails to timely deliver an information statement to the corporation, then the corporation may, if so provided in its articles of incorporation or bylaws, call certain of the acquiror’s shares for redemption at the average price paid for the control shares by the acquiror.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and our Bylaws do not currently permit us to redeem an acquiror’s shares under these circumstances. The Acquisition of Controlling Interest Statute also provides that in the event the stockholders restore full voting rights to a holder of control shares that owns a majority of the voting stock, then all other stockholders who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17" w:right="339" w:bottom="1440" w:gutter="0" w:footer="0" w:header="0"/>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t>vote in favor of restoring voting rights to the control shares may demand payment for the “fair value” of their shares as determined by a court in dissenter’s rights proceeding pursuant to Chapter 92A of the NRS.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17"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25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 under the Securities Act of 1933, as amended (the “Securities Act”). Such offering may be made into an existing trading market for such securities in transactions at other than a fixed price, either:</w:t>
      </w:r>
    </w:p>
    <w:p>
      <w:pPr>
        <w:spacing w:after="0" w:line="203" w:lineRule="exact"/>
        <w:rPr>
          <w:sz w:val="20"/>
          <w:szCs w:val="20"/>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Capital Market or any other securities exchange or quotation or trading service on which such securities may be listed, quoted or traded at the time of sale; and/or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Nasdaq Capital Market or such other securities exchanges or quotation or trading services.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5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3" w:right="339" w:bottom="1440" w:gutter="0" w:footer="0" w:header="0"/>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18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214" w:lineRule="exact"/>
        <w:rPr>
          <w:sz w:val="20"/>
          <w:szCs w:val="20"/>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17"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Rule 15c6-1 of the Securities Exchange Act of 1934, as amended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more than two scheduled business days after the trade date for your securities, to make alternative settlement arrangements to prevent a failed settlement.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Latham &amp; Watkins LLP, Chicago, Illinois. The validity of the securities offered hereby will be passed upon for us by Woodburn and Wedge, Reno, Nevada. Additional legal matters may be passed upon for us or any underwriters, dealers or agents, by counsel that we will name in the applicable prospectus supplement.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WithumSmith+Brown, PC (“Withum”) our independent registered public accounting firm, has audited our consolidated financial statements included in our Annual Report on Form 10-K for the year ended March 31, 2023,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Withum’s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13"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1785620</wp:posOffset>
            </wp:positionH>
            <wp:positionV relativeFrom="page">
              <wp:posOffset>1683385</wp:posOffset>
            </wp:positionV>
            <wp:extent cx="3977640" cy="1080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397764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Up to $175,000,000</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17, 2025</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lvl w:ilvl="1">
      <w:lvlJc w:val="left"/>
      <w:lvlText w:val="◦"/>
      <w:numFmt w:val="bullet"/>
      <w:start w:val="1"/>
    </w:lvl>
  </w:abstractNum>
  <w:abstractNum w:abstractNumId="30">
    <w:nsid w:val="419AC241"/>
    <w:multiLevelType w:val="hybridMultilevel"/>
    <w:lvl w:ilvl="0">
      <w:lvlJc w:val="left"/>
      <w:lvlText w:val="•"/>
      <w:numFmt w:val="bullet"/>
      <w:start w:val="1"/>
    </w:lvl>
    <w:lvl w:ilvl="1">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jpeg"/><Relationship Id="rId32" Type="http://schemas.openxmlformats.org/officeDocument/2006/relationships/image" Target="media/image5.jpeg"/><Relationship Id="rId11" Type="http://schemas.openxmlformats.org/officeDocument/2006/relationships/hyperlink" Target="https://www.sec.gov/ix?doc=/Archives/edgar/data/0001411685/000141168525000041/vtgn-20250331.htm" TargetMode="External"/><Relationship Id="rId12" Type="http://schemas.openxmlformats.org/officeDocument/2006/relationships/hyperlink" Target="https://www.sec.gov/Archives/edgar/data/1411685/000141588916005714/vsta8a12b_may2016.htm" TargetMode="External"/><Relationship Id="rId14" Type="http://schemas.openxmlformats.org/officeDocument/2006/relationships/hyperlink" Target="https://www.sec.gov/ix?doc=/Archives/edgar/data/1411685/000143774923018793/vtgn20230331_10k.htm" TargetMode="External"/><Relationship Id="rId15" Type="http://schemas.openxmlformats.org/officeDocument/2006/relationships/hyperlink" Target="https://www.sec.gov/ix?doc=/Archives/edgar/data/1411685/000143774923023127/vtgn20230630_10q.htm" TargetMode="External"/><Relationship Id="rId16" Type="http://schemas.openxmlformats.org/officeDocument/2006/relationships/hyperlink" Target="https://www.sec.gov/ix?doc=/Archives/edgar/data/1411685/000143774923031293/vtgn20230930_10q.htm" TargetMode="External"/><Relationship Id="rId17" Type="http://schemas.openxmlformats.org/officeDocument/2006/relationships/hyperlink" Target="https://www.sec.gov/ix?doc=/Archives/edgar/data/1411685/000143774924003916/vtgn20231231_10q.htm" TargetMode="External"/><Relationship Id="rId18" Type="http://schemas.openxmlformats.org/officeDocument/2006/relationships/hyperlink" Target="https://www.sec.gov/Archives/edgar/data/1411685/000143774923021049/vtgn20230727_def14a.htm" TargetMode="External"/><Relationship Id="rId19" Type="http://schemas.openxmlformats.org/officeDocument/2006/relationships/hyperlink" Target="https://www.sec.gov/ix?doc=/Archives/edgar/data/1411685/000143774923009679/vtgn20230406_8k.htm" TargetMode="External"/><Relationship Id="rId20" Type="http://schemas.openxmlformats.org/officeDocument/2006/relationships/hyperlink" Target="https://www.sec.gov/ix?doc=/Archives/edgar/data/1411685/000143774923010647/vtgn20230419_8k.htm" TargetMode="External"/><Relationship Id="rId21" Type="http://schemas.openxmlformats.org/officeDocument/2006/relationships/hyperlink" Target="https://www.sec.gov/ix?doc=/Archives/edgar/data/1411685/000143774923016377/vtgn20230601_8k.htm" TargetMode="External"/><Relationship Id="rId22" Type="http://schemas.openxmlformats.org/officeDocument/2006/relationships/hyperlink" Target="https://www.sec.gov/ix?doc=/Archives/edgar/data/1411685/000143774923016689/vtgn20230605_8k.htm" TargetMode="External"/><Relationship Id="rId23" Type="http://schemas.openxmlformats.org/officeDocument/2006/relationships/hyperlink" Target="https://www.sec.gov/ix?doc=/Archives/edgar/data/1411685/000143774923016888/vtgn20230607_8k.htm" TargetMode="External"/><Relationship Id="rId24" Type="http://schemas.openxmlformats.org/officeDocument/2006/relationships/hyperlink" Target="https://www.sec.gov/ix?doc=/Archives/edgar/data/1411685/000143774923017300/vtgn20230613_8k.htm" TargetMode="External"/><Relationship Id="rId25" Type="http://schemas.openxmlformats.org/officeDocument/2006/relationships/hyperlink" Target="https://www.sec.gov/ix?doc=/Archives/edgar/data/1411685/000143774923018003/vtgn20230621_8k.htm" TargetMode="External"/><Relationship Id="rId26" Type="http://schemas.openxmlformats.org/officeDocument/2006/relationships/hyperlink" Target="https://www.sec.gov/ix?doc=/Archives/edgar/data/1411685/000143774923027327/vtgn20230929_8k.htm" TargetMode="External"/><Relationship Id="rId27" Type="http://schemas.openxmlformats.org/officeDocument/2006/relationships/hyperlink" Target="https://www.sec.gov/ix?doc=/Archives/edgar/data/1411685/000143774923027662/vtgn20231003_8k.htm" TargetMode="External"/><Relationship Id="rId28" Type="http://schemas.openxmlformats.org/officeDocument/2006/relationships/hyperlink" Target="https://www.sec.gov/ix?doc=/Archives/edgar/data/1411685/000143774923029096/vtgn20231026_8k.htm" TargetMode="External"/><Relationship Id="rId29" Type="http://schemas.openxmlformats.org/officeDocument/2006/relationships/hyperlink" Target="https://www.sec.gov/ix?doc=/Archives/edgar/data/1411685/000143774923030402/vtgn20231106_8k.htm" TargetMode="External"/><Relationship Id="rId30" Type="http://schemas.openxmlformats.org/officeDocument/2006/relationships/hyperlink" Target="https://www.sec.gov/ix?doc=/Archives/edgar/data/1411685/000143774923030460/vtgn20231106_8ka.htm" TargetMode="External"/><Relationship Id="rId31" Type="http://schemas.openxmlformats.org/officeDocument/2006/relationships/hyperlink" Target="https://www.sec.gov/ix?doc=/Archives/edgar/data/1411685/000143774924000419/vtgn20240103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2025-06-17T15:48:15Z</dcterms:created>
  <dcterms:modified xsi:type="dcterms:W3CDTF">2025-06-17T15:48:15Z</dcterms:modified>
</cp:coreProperties>
</file>