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1.jpeg" ContentType="image/jpeg"/>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before="0" w:after="0"/>
        <w:ind w:left="0" w:right="0" w:hanging="0"/>
        <w:rPr/>
      </w:pPr>
      <w:bookmarkStart w:id="0" w:name="rw_vsta.htm"/>
      <w:bookmarkStart w:id="1" w:name="ksrw_vsta"/>
      <w:bookmarkEnd w:id="0"/>
      <w:bookmarkEnd w:id="1"/>
      <w:r>
        <w:rPr/>
        <w:t> </w:t>
      </w:r>
    </w:p>
    <w:tbl>
      <w:tblPr>
        <w:tblW w:w="5000" w:type="pct"/>
        <w:jc w:val="center"/>
        <w:tblInd w:w="0" w:type="dxa"/>
        <w:shd w:fill="FFFFFF" w:val="clear"/>
        <w:tblCellMar>
          <w:top w:w="0" w:type="dxa"/>
          <w:left w:w="0" w:type="dxa"/>
          <w:bottom w:w="0" w:type="dxa"/>
          <w:right w:w="0" w:type="dxa"/>
        </w:tblCellMar>
      </w:tblPr>
      <w:tblGrid>
        <w:gridCol w:w="3401"/>
        <w:gridCol w:w="3402"/>
        <w:gridCol w:w="3402"/>
      </w:tblGrid>
      <w:tr>
        <w:trPr/>
        <w:tc>
          <w:tcPr>
            <w:tcW w:w="3401" w:type="dxa"/>
            <w:tcBorders/>
            <w:shd w:fill="FFFFFF" w:val="clear"/>
            <w:vAlign w:val="center"/>
          </w:tcPr>
          <w:p>
            <w:pPr>
              <w:pStyle w:val="TableContents"/>
              <w:spacing w:before="0" w:after="283"/>
              <w:rPr/>
            </w:pPr>
            <w:r>
              <w:rPr/>
              <w:t> </w:t>
            </w:r>
            <w:r>
              <w:rPr/>
              <w:drawing>
                <wp:inline distT="0" distB="0" distL="0" distR="0">
                  <wp:extent cx="1828800" cy="8667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828800" cy="866775"/>
                          </a:xfrm>
                          <a:prstGeom prst="rect">
                            <a:avLst/>
                          </a:prstGeom>
                        </pic:spPr>
                      </pic:pic>
                    </a:graphicData>
                  </a:graphic>
                </wp:inline>
              </w:drawing>
            </w:r>
          </w:p>
        </w:tc>
        <w:tc>
          <w:tcPr>
            <w:tcW w:w="3402" w:type="dxa"/>
            <w:tcBorders/>
            <w:shd w:fill="FFFFFF" w:val="clear"/>
            <w:vAlign w:val="center"/>
          </w:tcPr>
          <w:p>
            <w:pPr>
              <w:pStyle w:val="TableContents"/>
              <w:spacing w:before="0" w:after="283"/>
              <w:rPr/>
            </w:pPr>
            <w:r>
              <w:rPr/>
              <w:t> </w:t>
            </w:r>
          </w:p>
        </w:tc>
        <w:tc>
          <w:tcPr>
            <w:tcW w:w="3402" w:type="dxa"/>
            <w:tcBorders/>
            <w:shd w:fill="FFFFFF" w:val="clear"/>
            <w:vAlign w:val="center"/>
          </w:tcPr>
          <w:p>
            <w:pPr>
              <w:pStyle w:val="TableContents"/>
              <w:spacing w:before="0" w:after="0"/>
              <w:jc w:val="left"/>
              <w:rPr/>
            </w:pPr>
            <w:r>
              <w:rPr/>
              <w:t xml:space="preserve">  </w:t>
            </w:r>
          </w:p>
          <w:p>
            <w:pPr>
              <w:pStyle w:val="TableContents"/>
              <w:spacing w:before="0" w:after="0"/>
              <w:ind w:left="240" w:right="0" w:hanging="0"/>
              <w:jc w:val="left"/>
              <w:rPr>
                <w:rFonts w:ascii="times new roman" w:hAnsi="times new roman"/>
                <w:b/>
                <w:sz w:val="20"/>
              </w:rPr>
            </w:pPr>
            <w:r>
              <w:rPr>
                <w:rFonts w:ascii="times new roman" w:hAnsi="times new roman"/>
                <w:b/>
                <w:sz w:val="20"/>
              </w:rPr>
              <w:t>VistaGen Therapeutics, Inc.</w:t>
            </w:r>
          </w:p>
          <w:p>
            <w:pPr>
              <w:pStyle w:val="TableContents"/>
              <w:spacing w:before="0" w:after="0"/>
              <w:ind w:left="240" w:right="0" w:hanging="0"/>
              <w:jc w:val="left"/>
              <w:rPr>
                <w:rFonts w:ascii="times new roman" w:hAnsi="times new roman"/>
                <w:sz w:val="20"/>
              </w:rPr>
            </w:pPr>
            <w:r>
              <w:rPr>
                <w:rFonts w:ascii="times new roman" w:hAnsi="times new roman"/>
                <w:sz w:val="20"/>
              </w:rPr>
              <w:t>343 Allerton Avenue</w:t>
            </w:r>
          </w:p>
          <w:p>
            <w:pPr>
              <w:pStyle w:val="TableContents"/>
              <w:spacing w:before="0" w:after="0"/>
              <w:ind w:left="240" w:right="0" w:hanging="0"/>
              <w:jc w:val="left"/>
              <w:rPr>
                <w:rFonts w:ascii="times new roman" w:hAnsi="times new roman"/>
                <w:sz w:val="20"/>
              </w:rPr>
            </w:pPr>
            <w:r>
              <w:rPr>
                <w:rFonts w:ascii="times new roman" w:hAnsi="times new roman"/>
                <w:sz w:val="20"/>
              </w:rPr>
              <w:t>South San Francisco, CA 94080</w:t>
            </w:r>
          </w:p>
          <w:p>
            <w:pPr>
              <w:pStyle w:val="TableContents"/>
              <w:spacing w:before="0" w:after="0"/>
              <w:ind w:left="240" w:right="0" w:hanging="0"/>
              <w:jc w:val="left"/>
              <w:rPr>
                <w:rFonts w:ascii="times new roman" w:hAnsi="times new roman"/>
                <w:sz w:val="20"/>
              </w:rPr>
            </w:pPr>
            <w:r>
              <w:rPr>
                <w:rFonts w:ascii="times new roman" w:hAnsi="times new roman"/>
                <w:sz w:val="20"/>
              </w:rPr>
              <w:t>650.577.3600 fax: 650.244.9991</w:t>
            </w:r>
          </w:p>
          <w:p>
            <w:pPr>
              <w:pStyle w:val="TableContents"/>
              <w:spacing w:before="0" w:after="0"/>
              <w:ind w:left="240" w:right="0" w:hanging="0"/>
              <w:jc w:val="left"/>
              <w:rPr>
                <w:rFonts w:ascii="times new roman" w:hAnsi="times new roman"/>
                <w:sz w:val="20"/>
              </w:rPr>
            </w:pPr>
            <w:r>
              <w:rPr>
                <w:rFonts w:ascii="times new roman" w:hAnsi="times new roman"/>
                <w:sz w:val="20"/>
              </w:rPr>
              <w:t>www.vistagen.com</w:t>
            </w:r>
          </w:p>
        </w:tc>
      </w:tr>
    </w:tbl>
    <w:p>
      <w:pPr>
        <w:pStyle w:val="TextBody"/>
        <w:spacing w:before="0" w:after="0"/>
        <w:rPr/>
      </w:pPr>
      <w:r>
        <w:rPr/>
        <w:t> </w:t>
      </w:r>
    </w:p>
    <w:p>
      <w:pPr>
        <w:pStyle w:val="TextBody"/>
        <w:spacing w:before="0" w:after="0"/>
        <w:ind w:left="480" w:right="0" w:hanging="0"/>
        <w:jc w:val="left"/>
        <w:rPr/>
      </w:pPr>
      <w:r>
        <w:rPr/>
        <w:t> </w:t>
      </w:r>
    </w:p>
    <w:p>
      <w:pPr>
        <w:pStyle w:val="TextBody"/>
        <w:spacing w:before="0" w:after="0"/>
        <w:ind w:left="0" w:right="0" w:hanging="0"/>
        <w:jc w:val="center"/>
        <w:rPr>
          <w:rFonts w:ascii="Times New Roman" w:hAnsi="Times New Roman"/>
          <w:sz w:val="20"/>
        </w:rPr>
      </w:pPr>
      <w:r>
        <w:rPr>
          <w:rFonts w:ascii="Times New Roman" w:hAnsi="Times New Roman"/>
          <w:sz w:val="20"/>
        </w:rPr>
        <w:t>December 5, 2014</w:t>
      </w:r>
    </w:p>
    <w:p>
      <w:pPr>
        <w:pStyle w:val="TextBody"/>
        <w:spacing w:before="0" w:after="0"/>
        <w:ind w:left="0" w:right="0" w:hanging="0"/>
        <w:rPr/>
      </w:pPr>
      <w:r>
        <w:rPr/>
      </w:r>
    </w:p>
    <w:p>
      <w:pPr>
        <w:pStyle w:val="TextBody"/>
        <w:spacing w:before="0" w:after="0"/>
        <w:ind w:left="0" w:right="0" w:hanging="0"/>
        <w:jc w:val="both"/>
        <w:rPr>
          <w:rFonts w:ascii="Times New Roman" w:hAnsi="Times New Roman"/>
          <w:b/>
          <w:sz w:val="20"/>
          <w:u w:val="single"/>
        </w:rPr>
      </w:pPr>
      <w:r>
        <w:rPr>
          <w:rFonts w:ascii="Times New Roman" w:hAnsi="Times New Roman"/>
          <w:b/>
          <w:sz w:val="20"/>
          <w:u w:val="single"/>
        </w:rPr>
        <w:t>VIA EDGAR</w:t>
      </w:r>
    </w:p>
    <w:p>
      <w:pPr>
        <w:pStyle w:val="TextBody"/>
        <w:spacing w:before="0" w:after="0"/>
        <w:ind w:left="0" w:right="0" w:hanging="0"/>
        <w:rPr/>
      </w:pPr>
      <w:r>
        <w:rPr/>
      </w:r>
    </w:p>
    <w:p>
      <w:pPr>
        <w:pStyle w:val="TextBody"/>
        <w:spacing w:before="0" w:after="0"/>
        <w:ind w:left="0" w:right="0" w:hanging="0"/>
        <w:jc w:val="left"/>
        <w:rPr>
          <w:rFonts w:ascii="Times New Roman" w:hAnsi="Times New Roman"/>
          <w:sz w:val="20"/>
        </w:rPr>
      </w:pPr>
      <w:r>
        <w:rPr>
          <w:rFonts w:ascii="Times New Roman" w:hAnsi="Times New Roman"/>
          <w:sz w:val="20"/>
        </w:rPr>
        <w:t>United States Securities and Exchange Commission</w:t>
      </w:r>
    </w:p>
    <w:p>
      <w:pPr>
        <w:pStyle w:val="TextBody"/>
        <w:spacing w:before="0" w:after="0"/>
        <w:ind w:left="0" w:right="0" w:hanging="0"/>
        <w:jc w:val="left"/>
        <w:rPr>
          <w:rFonts w:ascii="Times New Roman" w:hAnsi="Times New Roman"/>
          <w:sz w:val="20"/>
        </w:rPr>
      </w:pPr>
      <w:r>
        <w:rPr>
          <w:rFonts w:ascii="Times New Roman" w:hAnsi="Times New Roman"/>
          <w:sz w:val="20"/>
        </w:rPr>
        <w:t>Division of Corporation Finance</w:t>
      </w:r>
    </w:p>
    <w:p>
      <w:pPr>
        <w:pStyle w:val="TextBody"/>
        <w:spacing w:before="0" w:after="0"/>
        <w:ind w:left="0" w:right="0" w:hanging="0"/>
        <w:jc w:val="left"/>
        <w:rPr>
          <w:rFonts w:ascii="Times New Roman" w:hAnsi="Times New Roman"/>
          <w:sz w:val="20"/>
        </w:rPr>
      </w:pPr>
      <w:r>
        <w:rPr>
          <w:rFonts w:ascii="Times New Roman" w:hAnsi="Times New Roman"/>
          <w:sz w:val="20"/>
        </w:rPr>
        <w:t>100 F Street, N.E.</w:t>
      </w:r>
    </w:p>
    <w:p>
      <w:pPr>
        <w:pStyle w:val="TextBody"/>
        <w:spacing w:before="0" w:after="0"/>
        <w:ind w:left="0" w:right="0" w:hanging="0"/>
        <w:jc w:val="left"/>
        <w:rPr>
          <w:rFonts w:ascii="Times New Roman" w:hAnsi="Times New Roman"/>
          <w:sz w:val="20"/>
        </w:rPr>
      </w:pPr>
      <w:r>
        <w:rPr>
          <w:rFonts w:ascii="Times New Roman" w:hAnsi="Times New Roman"/>
          <w:sz w:val="20"/>
        </w:rPr>
        <w:t>Washington, D.C. 20549</w:t>
      </w:r>
    </w:p>
    <w:p>
      <w:pPr>
        <w:pStyle w:val="TextBody"/>
        <w:spacing w:before="0" w:after="0"/>
        <w:ind w:left="0" w:right="0" w:hanging="0"/>
        <w:jc w:val="left"/>
        <w:rPr>
          <w:rFonts w:ascii="Times New Roman" w:hAnsi="Times New Roman"/>
          <w:sz w:val="20"/>
        </w:rPr>
      </w:pPr>
      <w:r>
        <w:rPr>
          <w:rFonts w:ascii="Times New Roman" w:hAnsi="Times New Roman"/>
          <w:sz w:val="20"/>
        </w:rPr>
        <w:t>Attention:   Mr. Jeffrey P. Riedler, Assistant Director</w:t>
      </w:r>
    </w:p>
    <w:p>
      <w:pPr>
        <w:pStyle w:val="TextBody"/>
        <w:spacing w:before="0" w:after="0"/>
        <w:ind w:left="0" w:right="0" w:hanging="0"/>
        <w:rPr/>
      </w:pPr>
      <w:r>
        <w:rPr/>
      </w:r>
    </w:p>
    <w:p>
      <w:pPr>
        <w:pStyle w:val="TextBody"/>
        <w:spacing w:before="0" w:after="0"/>
        <w:ind w:left="0" w:right="0" w:hanging="0"/>
        <w:rPr/>
      </w:pPr>
      <w:r>
        <w:rPr/>
      </w:r>
    </w:p>
    <w:p>
      <w:pPr>
        <w:pStyle w:val="Normal"/>
        <w:spacing w:before="0" w:after="0"/>
        <w:ind w:left="0" w:right="0" w:hanging="0"/>
        <w:rPr>
          <w:sz w:val="4"/>
          <w:szCs w:val="4"/>
        </w:rPr>
      </w:pPr>
      <w:r>
        <w:rPr>
          <w:sz w:val="4"/>
          <w:szCs w:val="4"/>
        </w:rPr>
      </w:r>
      <w:bookmarkStart w:id="2" w:name="hangingindent"/>
      <w:bookmarkStart w:id="3" w:name="hangingindent"/>
      <w:bookmarkEnd w:id="3"/>
    </w:p>
    <w:tbl>
      <w:tblPr>
        <w:tblW w:w="5000" w:type="pct"/>
        <w:jc w:val="left"/>
        <w:tblInd w:w="0" w:type="dxa"/>
        <w:tblCellMar>
          <w:top w:w="0" w:type="dxa"/>
          <w:left w:w="0" w:type="dxa"/>
          <w:bottom w:w="0" w:type="dxa"/>
          <w:right w:w="0" w:type="dxa"/>
        </w:tblCellMar>
      </w:tblPr>
      <w:tblGrid>
        <w:gridCol w:w="331"/>
        <w:gridCol w:w="9874"/>
      </w:tblGrid>
      <w:tr>
        <w:trPr/>
        <w:tc>
          <w:tcPr>
            <w:tcW w:w="331" w:type="dxa"/>
            <w:tcBorders/>
            <w:shd w:fill="auto" w:val="clear"/>
          </w:tcPr>
          <w:p>
            <w:pPr>
              <w:pStyle w:val="TableContents"/>
              <w:spacing w:before="0" w:after="0"/>
              <w:ind w:left="0" w:right="0" w:hanging="0"/>
              <w:jc w:val="left"/>
              <w:rPr>
                <w:rFonts w:ascii="Times New Roman" w:hAnsi="Times New Roman"/>
                <w:b/>
                <w:sz w:val="20"/>
              </w:rPr>
            </w:pPr>
            <w:r>
              <w:rPr>
                <w:rFonts w:ascii="Times New Roman" w:hAnsi="Times New Roman"/>
                <w:b/>
                <w:sz w:val="20"/>
              </w:rPr>
              <w:t>RE: </w:t>
            </w:r>
          </w:p>
        </w:tc>
        <w:tc>
          <w:tcPr>
            <w:tcW w:w="9874" w:type="dxa"/>
            <w:tcBorders/>
            <w:shd w:fill="auto" w:val="clear"/>
          </w:tcPr>
          <w:p>
            <w:pPr>
              <w:pStyle w:val="TableContents"/>
              <w:spacing w:before="0" w:after="0"/>
              <w:ind w:left="0" w:right="0" w:hanging="0"/>
              <w:jc w:val="left"/>
              <w:rPr>
                <w:rFonts w:ascii="Times New Roman" w:hAnsi="Times New Roman"/>
                <w:b/>
                <w:sz w:val="20"/>
              </w:rPr>
            </w:pPr>
            <w:r>
              <w:rPr>
                <w:rFonts w:ascii="Times New Roman" w:hAnsi="Times New Roman"/>
                <w:b/>
                <w:sz w:val="20"/>
              </w:rPr>
              <w:t>VistaGen Therapeutics, Inc.</w:t>
            </w:r>
          </w:p>
          <w:p>
            <w:pPr>
              <w:pStyle w:val="TableContents"/>
              <w:spacing w:before="0" w:after="0"/>
              <w:ind w:left="0" w:right="0" w:hanging="0"/>
              <w:jc w:val="left"/>
              <w:rPr>
                <w:rFonts w:ascii="Times New Roman" w:hAnsi="Times New Roman"/>
                <w:b/>
                <w:sz w:val="20"/>
              </w:rPr>
            </w:pPr>
            <w:r>
              <w:rPr>
                <w:rFonts w:ascii="Times New Roman" w:hAnsi="Times New Roman"/>
                <w:b/>
                <w:sz w:val="20"/>
              </w:rPr>
              <w:t>Withdrawal of Registration Statement on Form S-1</w:t>
            </w:r>
          </w:p>
          <w:p>
            <w:pPr>
              <w:pStyle w:val="TableContents"/>
              <w:spacing w:before="0" w:after="0"/>
              <w:ind w:left="0" w:right="0" w:hanging="0"/>
              <w:jc w:val="left"/>
              <w:rPr>
                <w:rFonts w:ascii="Times New Roman" w:hAnsi="Times New Roman"/>
                <w:b/>
                <w:sz w:val="20"/>
              </w:rPr>
            </w:pPr>
            <w:r>
              <w:rPr>
                <w:rFonts w:ascii="Times New Roman" w:hAnsi="Times New Roman"/>
                <w:b/>
                <w:sz w:val="20"/>
              </w:rPr>
              <w:t>(File No. 333-195901)</w:t>
            </w:r>
          </w:p>
        </w:tc>
      </w:tr>
    </w:tbl>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jc w:val="left"/>
        <w:rPr>
          <w:rFonts w:ascii="Times New Roman" w:hAnsi="Times New Roman"/>
          <w:sz w:val="20"/>
        </w:rPr>
      </w:pPr>
      <w:r>
        <w:rPr>
          <w:rFonts w:ascii="Times New Roman" w:hAnsi="Times New Roman"/>
          <w:sz w:val="20"/>
        </w:rPr>
        <w:t>Ladies and Gentlemen,</w:t>
      </w:r>
    </w:p>
    <w:p>
      <w:pPr>
        <w:pStyle w:val="TextBody"/>
        <w:spacing w:before="0" w:after="0"/>
        <w:ind w:left="0" w:right="0" w:hanging="0"/>
        <w:rPr/>
      </w:pPr>
      <w:r>
        <w:rPr/>
      </w:r>
    </w:p>
    <w:p>
      <w:pPr>
        <w:pStyle w:val="TextBody"/>
        <w:spacing w:before="0" w:after="0"/>
        <w:ind w:left="0" w:right="0" w:hanging="0"/>
        <w:jc w:val="both"/>
        <w:rPr/>
      </w:pPr>
      <w:r>
        <w:rPr/>
        <w:t>           </w:t>
      </w:r>
      <w:r>
        <w:rPr>
          <w:rFonts w:ascii="Times New Roman" w:hAnsi="Times New Roman"/>
          <w:sz w:val="20"/>
        </w:rPr>
        <w:t>Pursuant to Rule 477 promulgated under the Securities Act of 1933, as amended (the “</w:t>
      </w:r>
      <w:r>
        <w:rPr>
          <w:rFonts w:ascii="Times New Roman" w:hAnsi="Times New Roman"/>
          <w:i/>
          <w:sz w:val="20"/>
        </w:rPr>
        <w:t>Securities Act</w:t>
      </w:r>
      <w:r>
        <w:rPr>
          <w:rFonts w:ascii="Times New Roman" w:hAnsi="Times New Roman"/>
          <w:sz w:val="20"/>
        </w:rPr>
        <w:t>”), VistaGen Therapeutics, Inc. (the “</w:t>
      </w:r>
      <w:r>
        <w:rPr>
          <w:rFonts w:ascii="Times New Roman" w:hAnsi="Times New Roman"/>
          <w:i/>
          <w:sz w:val="20"/>
        </w:rPr>
        <w:t>Registrant</w:t>
      </w:r>
      <w:r>
        <w:rPr>
          <w:rFonts w:ascii="Times New Roman" w:hAnsi="Times New Roman"/>
          <w:sz w:val="20"/>
        </w:rPr>
        <w:t>”) hereby requests that the Securities and Exchange Commission (the “</w:t>
      </w:r>
      <w:r>
        <w:rPr>
          <w:rFonts w:ascii="Times New Roman" w:hAnsi="Times New Roman"/>
          <w:i/>
          <w:sz w:val="20"/>
        </w:rPr>
        <w:t>Commission</w:t>
      </w:r>
      <w:r>
        <w:rPr>
          <w:rFonts w:ascii="Times New Roman" w:hAnsi="Times New Roman"/>
          <w:sz w:val="20"/>
        </w:rPr>
        <w:t>”) consent to the withdrawal, effective as of the date hereof or at the earliest practicable date hereafter, of its Registration Statement on Form S-1 (File No. 333-195901), together with all exhibits and amendments thereto (collectively, the “</w:t>
      </w:r>
      <w:r>
        <w:rPr>
          <w:rFonts w:ascii="Times New Roman" w:hAnsi="Times New Roman"/>
          <w:i/>
          <w:sz w:val="20"/>
        </w:rPr>
        <w:t>Registration Statement</w:t>
      </w:r>
      <w:r>
        <w:rPr>
          <w:rFonts w:ascii="Times New Roman" w:hAnsi="Times New Roman"/>
          <w:sz w:val="20"/>
        </w:rPr>
        <w:t>”). The Registration Statement was originally filed with the Commission on May 12, 2014 and declared effective on August 7, 2014. The Registrant is submitting this request for withdrawal because on December 4, 2014, the Registrant terminated the engagement letter agreement, dated August 6, 2014, by and between the Registrant and Geller Biopharm, a division of Financial West Group (“</w:t>
      </w:r>
      <w:r>
        <w:rPr>
          <w:rFonts w:ascii="Times New Roman" w:hAnsi="Times New Roman"/>
          <w:i/>
          <w:sz w:val="20"/>
        </w:rPr>
        <w:t>Geller</w:t>
      </w:r>
      <w:r>
        <w:rPr>
          <w:rFonts w:ascii="Times New Roman" w:hAnsi="Times New Roman"/>
          <w:sz w:val="20"/>
        </w:rPr>
        <w:t>”), with respect to the Registrant’s engagement of Geller to consummate the registered public offering of its common stock and warrants contemplated by the Registration Statement.</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The Registrant confirms that no securities have been sold pursuant to the Registration Statement. Pursuant to Rule 477(c), the Registrant advises the Commission that it may undertake a subsequent private offering in reliance on Rule 155(c) promulgated under the Securities Act.</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The Registrant requests that, in accordance with Rule 457(p) under the Securities Act, all fees paid to the Commission in connection with the filing of the Registration Statement be credited for future use.</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Please send copies of the written order granting withdrawal of the Registration Statement to the undersigned at VistaGen Therapeutics, Inc., 343 Allerton Avenue, South San Francisco, California 94080, facsimile number (650) 244-9991, with a copy to the Company’s counsel, Disclosure Law Group, Attn: Daniel W. Rumsey, 600 W. Broadway, Suite 700, San Diego, California 92101, facsimile number (619) 330-2101.</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If you have any questions with respect to this matter, please contact Daniel W. Rumsey, Managing Partner of Disclosure Law Group at (619) 795-1134.</w:t>
      </w:r>
    </w:p>
    <w:p>
      <w:pPr>
        <w:pStyle w:val="TextBody"/>
        <w:spacing w:before="0" w:after="0"/>
        <w:ind w:left="0" w:right="0" w:hanging="0"/>
        <w:rPr/>
      </w:pPr>
      <w:r>
        <w:rPr/>
      </w:r>
    </w:p>
    <w:p>
      <w:pPr>
        <w:pStyle w:val="TextBody"/>
        <w:spacing w:before="0" w:after="0"/>
        <w:ind w:left="4320" w:right="0" w:hanging="0"/>
        <w:jc w:val="both"/>
        <w:rPr>
          <w:rFonts w:ascii="Times New Roman" w:hAnsi="Times New Roman"/>
          <w:sz w:val="20"/>
        </w:rPr>
      </w:pPr>
      <w:bookmarkStart w:id="4" w:name="TAB1"/>
      <w:bookmarkEnd w:id="4"/>
      <w:r>
        <w:rPr>
          <w:rFonts w:ascii="Times New Roman" w:hAnsi="Times New Roman"/>
          <w:sz w:val="20"/>
        </w:rPr>
        <w:t>Very truly yours,</w:t>
      </w:r>
    </w:p>
    <w:p>
      <w:pPr>
        <w:pStyle w:val="TextBody"/>
        <w:spacing w:before="0" w:after="0"/>
        <w:ind w:left="0" w:right="0" w:hanging="0"/>
        <w:rPr/>
      </w:pPr>
      <w:r>
        <w:rPr/>
      </w:r>
    </w:p>
    <w:p>
      <w:pPr>
        <w:pStyle w:val="TextBody"/>
        <w:spacing w:before="0" w:after="0"/>
        <w:ind w:left="4320" w:right="0" w:hanging="0"/>
        <w:jc w:val="both"/>
        <w:rPr>
          <w:rFonts w:ascii="Times New Roman" w:hAnsi="Times New Roman"/>
          <w:sz w:val="20"/>
          <w:u w:val="single"/>
        </w:rPr>
      </w:pPr>
      <w:bookmarkStart w:id="5" w:name="TAB11"/>
      <w:bookmarkEnd w:id="5"/>
      <w:r>
        <w:rPr>
          <w:rFonts w:ascii="Times New Roman" w:hAnsi="Times New Roman"/>
          <w:sz w:val="20"/>
          <w:u w:val="single"/>
        </w:rPr>
        <w:t>/s/  Shawn K. Singh</w:t>
      </w:r>
    </w:p>
    <w:p>
      <w:pPr>
        <w:pStyle w:val="TextBody"/>
        <w:spacing w:before="0" w:after="0"/>
        <w:ind w:left="4320" w:right="0" w:hanging="0"/>
        <w:jc w:val="both"/>
        <w:rPr>
          <w:rFonts w:ascii="Times New Roman" w:hAnsi="Times New Roman"/>
          <w:sz w:val="20"/>
        </w:rPr>
      </w:pPr>
      <w:bookmarkStart w:id="6" w:name="TAB12"/>
      <w:bookmarkEnd w:id="6"/>
      <w:r>
        <w:rPr>
          <w:rFonts w:ascii="Times New Roman" w:hAnsi="Times New Roman"/>
          <w:sz w:val="20"/>
        </w:rPr>
        <w:t>Shawn K. Singh</w:t>
      </w:r>
    </w:p>
    <w:p>
      <w:pPr>
        <w:pStyle w:val="TextBody"/>
        <w:spacing w:before="0" w:after="0"/>
        <w:ind w:left="4320" w:right="0" w:hanging="0"/>
        <w:jc w:val="both"/>
        <w:rPr>
          <w:rFonts w:ascii="Times New Roman" w:hAnsi="Times New Roman"/>
          <w:sz w:val="20"/>
        </w:rPr>
      </w:pPr>
      <w:bookmarkStart w:id="7" w:name="TAB13"/>
      <w:bookmarkEnd w:id="7"/>
      <w:r>
        <w:rPr>
          <w:rFonts w:ascii="Times New Roman" w:hAnsi="Times New Roman"/>
          <w:sz w:val="20"/>
        </w:rPr>
        <w:t>Chief Executive Officer</w:t>
      </w:r>
    </w:p>
    <w:p>
      <w:pPr>
        <w:pStyle w:val="TextBody"/>
        <w:spacing w:before="0" w:after="0"/>
        <w:ind w:left="4320" w:right="0" w:hanging="0"/>
        <w:jc w:val="both"/>
        <w:rPr>
          <w:rFonts w:ascii="Times New Roman" w:hAnsi="Times New Roman"/>
          <w:sz w:val="20"/>
        </w:rPr>
      </w:pPr>
      <w:bookmarkStart w:id="8" w:name="TAB14"/>
      <w:bookmarkEnd w:id="8"/>
      <w:r>
        <w:rPr>
          <w:rFonts w:ascii="Times New Roman" w:hAnsi="Times New Roman"/>
          <w:sz w:val="20"/>
        </w:rPr>
        <w:t>VistaGen Therapeutics, Inc.</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cc:           Daniel W. Rumsey</w:t>
      </w:r>
    </w:p>
    <w:p>
      <w:pPr>
        <w:pStyle w:val="TextBody"/>
        <w:spacing w:before="0" w:after="0"/>
        <w:ind w:left="0" w:right="0" w:firstLine="720"/>
        <w:jc w:val="left"/>
        <w:rPr>
          <w:rFonts w:ascii="Times New Roman" w:hAnsi="Times New Roman"/>
          <w:sz w:val="20"/>
        </w:rPr>
      </w:pPr>
      <w:r>
        <w:rPr>
          <w:rFonts w:ascii="Times New Roman" w:hAnsi="Times New Roman"/>
          <w:sz w:val="20"/>
        </w:rPr>
        <w:t>Managing Partner</w:t>
      </w:r>
    </w:p>
    <w:p>
      <w:pPr>
        <w:pStyle w:val="TextBody"/>
        <w:spacing w:before="0" w:after="283"/>
        <w:ind w:left="720" w:right="0" w:hanging="0"/>
        <w:jc w:val="both"/>
        <w:rPr>
          <w:rFonts w:ascii="Times New Roman" w:hAnsi="Times New Roman"/>
          <w:sz w:val="20"/>
        </w:rPr>
      </w:pPr>
      <w:bookmarkStart w:id="9" w:name="TAB15"/>
      <w:bookmarkEnd w:id="9"/>
      <w:r>
        <w:rPr>
          <w:rFonts w:ascii="Times New Roman" w:hAnsi="Times New Roman"/>
          <w:sz w:val="20"/>
        </w:rPr>
        <w:t>Disclosure Law Group</w:t>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charset w:val="00"/>
    <w:family w:val="auto"/>
    <w:pitch w:val="default"/>
  </w:font>
  <w:font w:name="Times New Roman">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style>
  <w:style w:type="paragraph" w:styleId="Caption">
    <w:name w:val="Caption"/>
    <w:basedOn w:val="Normal"/>
    <w:qFormat/>
    <w:pPr>
      <w:suppressLineNumbers/>
      <w:spacing w:before="120" w:after="120"/>
    </w:pPr>
    <w:rPr>
      <w:i/>
      <w:iCs/>
      <w:sz w:val="24"/>
      <w:szCs w:val="24"/>
    </w:rPr>
  </w:style>
  <w:style w:type="paragraph" w:styleId="List">
    <w:name w:val="List"/>
    <w:basedOn w:val="TextBody"/>
    <w:pPr/>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2</Pages>
  <Words>396</Words>
  <CharactersWithSpaces>2723</CharactersWithSpaces>
  <Paragraphs>36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