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240"/>
          </w:cols>
          <w:pgMar w:left="320" w:top="922" w:right="3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SEC Only (as permitted by Rule 14a-6(e)(2))</w:t>
      </w:r>
    </w:p>
    <w:p>
      <w:pPr>
        <w:spacing w:after="0" w:line="31" w:lineRule="exact"/>
        <w:rPr>
          <w:sz w:val="24"/>
          <w:szCs w:val="24"/>
          <w:color w:val="auto"/>
        </w:rPr>
      </w:pPr>
    </w:p>
    <w:p>
      <w:pPr>
        <w:sectPr>
          <w:pgSz w:w="11900" w:h="16838" w:orient="portrait"/>
          <w:cols w:equalWidth="0" w:num="2">
            <w:col w:w="260" w:space="440"/>
            <w:col w:w="10540"/>
          </w:cols>
          <w:pgMar w:left="320" w:top="922" w:right="339" w:bottom="1440" w:gutter="0" w:footer="0" w:header="0"/>
          <w:type w:val="continuous"/>
        </w:sectPr>
      </w:pPr>
    </w:p>
    <w:p>
      <w:pPr>
        <w:ind w:left="700" w:hanging="692"/>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ectPr>
          <w:pgSz w:w="11900" w:h="16838" w:orient="portrait"/>
          <w:cols w:equalWidth="0" w:num="1">
            <w:col w:w="11240"/>
          </w:cols>
          <w:pgMar w:left="320" w:top="922"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14a-12</w:t>
      </w:r>
    </w:p>
    <w:p>
      <w:pPr>
        <w:spacing w:after="0" w:line="222" w:lineRule="exact"/>
        <w:rPr>
          <w:sz w:val="24"/>
          <w:szCs w:val="24"/>
          <w:color w:val="auto"/>
        </w:rPr>
      </w:pPr>
    </w:p>
    <w:p>
      <w:pPr>
        <w:sectPr>
          <w:pgSz w:w="11900" w:h="16838" w:orient="portrait"/>
          <w:cols w:equalWidth="0" w:num="2">
            <w:col w:w="260" w:space="440"/>
            <w:col w:w="10540"/>
          </w:cols>
          <w:pgMar w:left="320" w:top="922" w:right="339" w:bottom="1440" w:gutter="0" w:footer="0" w:header="0"/>
          <w:type w:val="continuous"/>
        </w:sectPr>
      </w:pP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340" w:hanging="330"/>
        <w:spacing w:after="0"/>
        <w:tabs>
          <w:tab w:leader="none" w:pos="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340" w:hanging="330"/>
        <w:spacing w:after="0"/>
        <w:tabs>
          <w:tab w:leader="none" w:pos="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340" w:hanging="330"/>
        <w:spacing w:after="0" w:line="250" w:lineRule="auto"/>
        <w:tabs>
          <w:tab w:leader="none" w:pos="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340" w:hanging="330"/>
        <w:spacing w:after="0"/>
        <w:tabs>
          <w:tab w:leader="none" w:pos="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340" w:hanging="330"/>
        <w:spacing w:after="0"/>
        <w:tabs>
          <w:tab w:leader="none" w:pos="3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0" w:lineRule="auto"/>
        <w:tabs>
          <w:tab w:leader="none" w:pos="228"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3" w:lineRule="exact"/>
        <w:rPr>
          <w:rFonts w:ascii="Arial" w:cs="Arial" w:eastAsia="Arial" w:hAnsi="Arial"/>
          <w:sz w:val="18"/>
          <w:szCs w:val="18"/>
          <w:color w:val="auto"/>
        </w:rPr>
      </w:pPr>
    </w:p>
    <w:p>
      <w:pPr>
        <w:ind w:left="340" w:hanging="330"/>
        <w:spacing w:after="0"/>
        <w:tabs>
          <w:tab w:leader="none" w:pos="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340" w:hanging="330"/>
        <w:spacing w:after="0"/>
        <w:tabs>
          <w:tab w:leader="none" w:pos="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340" w:hanging="330"/>
        <w:spacing w:after="0"/>
        <w:tabs>
          <w:tab w:leader="none" w:pos="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340" w:hanging="330"/>
        <w:spacing w:after="0"/>
        <w:tabs>
          <w:tab w:leader="none" w:pos="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6706870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1717040</wp:posOffset>
            </wp:positionH>
            <wp:positionV relativeFrom="page">
              <wp:posOffset>654685</wp:posOffset>
            </wp:positionV>
            <wp:extent cx="4123055" cy="5349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12305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363220</wp:posOffset>
            </wp:positionV>
            <wp:extent cx="1551940" cy="1002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51940" cy="100266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You are cordially invited to virtually attend the 2021 Annual Meeting of Stockholders of VistaGen Therapeutics, Inc. (the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or the </w:t>
      </w:r>
      <w:r>
        <w:rPr>
          <w:rFonts w:ascii="Arial" w:cs="Arial" w:eastAsia="Arial" w:hAnsi="Arial"/>
          <w:sz w:val="18"/>
          <w:szCs w:val="18"/>
          <w:i w:val="1"/>
          <w:iCs w:val="1"/>
          <w:color w:val="auto"/>
        </w:rPr>
        <w:t>Meeting</w:t>
      </w:r>
      <w:r>
        <w:rPr>
          <w:rFonts w:ascii="Arial" w:cs="Arial" w:eastAsia="Arial" w:hAnsi="Arial"/>
          <w:sz w:val="18"/>
          <w:szCs w:val="18"/>
          <w:color w:val="auto"/>
        </w:rPr>
        <w:t>) that will be held at 10:00 a.m., Pacific Time, on Friday, September 17, 2021. To protect the health and well-being of our stockholders,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Board of Directors and advisors during the ongoing COVID-19 pandemic, the Annual Meeting will be held virtually via the Internet. Although there will not be a physical meeting location, and you will not be able to attend the Annual Meeting in person, stockholders will be able to attend the Meeting, submit questions, and vote their shares during the Meeting, from any location that has Internet connectivity, by visiting </w:t>
      </w:r>
      <w:r>
        <w:rPr>
          <w:rFonts w:ascii="Arial" w:cs="Arial" w:eastAsia="Arial" w:hAnsi="Arial"/>
          <w:sz w:val="18"/>
          <w:szCs w:val="18"/>
          <w:u w:val="single" w:color="auto"/>
          <w:color w:val="0563C1"/>
        </w:rPr>
        <w:t>http://meetings.computershare.com/MPL727P</w:t>
      </w:r>
      <w:r>
        <w:rPr>
          <w:rFonts w:ascii="Arial" w:cs="Arial" w:eastAsia="Arial" w:hAnsi="Arial"/>
          <w:sz w:val="18"/>
          <w:szCs w:val="18"/>
          <w:color w:val="auto"/>
        </w:rPr>
        <w:t>. In addition, prior to the Meeting, we encourage you to vote online by following the instructions provided on the Notice of Internet Availability of Proxy Materials described below.</w:t>
      </w:r>
    </w:p>
    <w:p>
      <w:pPr>
        <w:spacing w:after="0" w:line="20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response to the COVID-19 pandemic and as part of our efforts to conserve environmental resources and prevent unnecessary corporate expense, we are using the “Notice and Access” method of providing proxy materials to you via the Internet pursuant to the regulations promulgated by the U.S.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We believe that this process will provide you with a safe, convenient and efficient way to access your proxy materials and vote your shares, while also allowing us to conserve natural resources and reduce the costs of printing and distributing the proxy materials for the Annual Meeting by postal mail. On or about July 29, 2021, we are mailing to our stockholders a one-page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containing instructions on how to access our Proxy Statement and vote electronically via the Internet or by telephone. The Notice will also contain</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instructions on how to receive a paper copy of your proxy materials.</w:t>
      </w:r>
    </w:p>
    <w:p>
      <w:pPr>
        <w:spacing w:after="0" w:line="17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Details of the business to be conducted at the Annual Meeting are described in the Notice and in the accompanying Proxy Statement. We have also made a copy of our Annual Report on Form 10-K for the year ended March 31, 2021 (</w:t>
      </w:r>
      <w:r>
        <w:rPr>
          <w:rFonts w:ascii="Arial" w:cs="Arial" w:eastAsia="Arial" w:hAnsi="Arial"/>
          <w:sz w:val="16"/>
          <w:szCs w:val="16"/>
          <w:i w:val="1"/>
          <w:iCs w:val="1"/>
          <w:color w:val="auto"/>
        </w:rPr>
        <w:t>Annual Report</w:t>
      </w:r>
      <w:r>
        <w:rPr>
          <w:rFonts w:ascii="Arial" w:cs="Arial" w:eastAsia="Arial" w:hAnsi="Arial"/>
          <w:sz w:val="16"/>
          <w:szCs w:val="16"/>
          <w:color w:val="auto"/>
        </w:rPr>
        <w:t>) available with this Proxy Statement. We encourage you to read our Annual Report. It includes our audited financial statements and provides information about our business.</w:t>
      </w:r>
    </w:p>
    <w:p>
      <w:pPr>
        <w:spacing w:after="0" w:line="15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color w:val="auto"/>
        </w:rPr>
        <w:t>Your vote is very important to us. Whether or not you plan to attend the Annual Meeting virtually, please carefully review the accompanying Proxy Statement and then cast your vote by Internet, telephone or postal mail as promptly as possible so that your shares will be represented and voted at the Meeting. Please refer to the Notice for instructions on submitting your vote</w:t>
      </w:r>
      <w:r>
        <w:rPr>
          <w:rFonts w:ascii="Arial" w:cs="Arial" w:eastAsia="Arial" w:hAnsi="Arial"/>
          <w:sz w:val="16"/>
          <w:szCs w:val="16"/>
          <w:color w:val="auto"/>
        </w:rPr>
        <w:t>. Our Board of Directors has unanimously approved the proposals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the accompanying Proxy Statement and we recommend that you vote in favor of each such proposal.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support of VistaGen. We look forward to your participation at the Annual Meeting.</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-125730</wp:posOffset>
            </wp:positionV>
            <wp:extent cx="1259840" cy="1448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59840" cy="144843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Shawn K Singh, J.D.</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Shawn K. Singh, J.D.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363220</wp:posOffset>
            </wp:positionV>
            <wp:extent cx="1551940" cy="1002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5194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17,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We are pleased to invite you to virtually attend the 2021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or </w:t>
      </w:r>
      <w:r>
        <w:rPr>
          <w:rFonts w:ascii="Arial" w:cs="Arial" w:eastAsia="Arial" w:hAnsi="Arial"/>
          <w:sz w:val="16"/>
          <w:szCs w:val="16"/>
          <w:i w:val="1"/>
          <w:iCs w:val="1"/>
          <w:color w:val="auto"/>
        </w:rPr>
        <w:t>Meeting</w:t>
      </w:r>
      <w:r>
        <w:rPr>
          <w:rFonts w:ascii="Arial" w:cs="Arial" w:eastAsia="Arial" w:hAnsi="Arial"/>
          <w:sz w:val="16"/>
          <w:szCs w:val="16"/>
          <w:color w:val="auto"/>
        </w:rPr>
        <w:t xml:space="preserve">) of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or </w:t>
      </w:r>
      <w:r>
        <w:rPr>
          <w:rFonts w:ascii="Arial" w:cs="Arial" w:eastAsia="Arial" w:hAnsi="Arial"/>
          <w:sz w:val="16"/>
          <w:szCs w:val="16"/>
          <w:i w:val="1"/>
          <w:iCs w:val="1"/>
          <w:color w:val="auto"/>
        </w:rPr>
        <w:t>our</w:t>
      </w:r>
      <w:r>
        <w:rPr>
          <w:rFonts w:ascii="Arial" w:cs="Arial" w:eastAsia="Arial" w:hAnsi="Arial"/>
          <w:sz w:val="16"/>
          <w:szCs w:val="16"/>
          <w:color w:val="auto"/>
        </w:rPr>
        <w:t xml:space="preserve">). The Annual Meeting will be a virtual-format meeting, held exclusively via the Internet at </w:t>
      </w:r>
      <w:r>
        <w:rPr>
          <w:rFonts w:ascii="Arial" w:cs="Arial" w:eastAsia="Arial" w:hAnsi="Arial"/>
          <w:sz w:val="16"/>
          <w:szCs w:val="16"/>
          <w:u w:val="single" w:color="auto"/>
          <w:color w:val="auto"/>
        </w:rPr>
        <w:t>http://meetings.computershare.com/MPL727P</w:t>
      </w:r>
      <w:r>
        <w:rPr>
          <w:rFonts w:ascii="Arial" w:cs="Arial" w:eastAsia="Arial" w:hAnsi="Arial"/>
          <w:sz w:val="16"/>
          <w:szCs w:val="16"/>
          <w:color w:val="auto"/>
        </w:rPr>
        <w:t xml:space="preserve"> on Friday, September 17, 2021, at 10:00 a.m Pacific Time, for the following purposes:</w:t>
      </w:r>
    </w:p>
    <w:p>
      <w:pPr>
        <w:spacing w:after="0" w:line="160" w:lineRule="exact"/>
        <w:rPr>
          <w:sz w:val="20"/>
          <w:szCs w:val="20"/>
          <w:color w:val="auto"/>
        </w:rPr>
      </w:pPr>
    </w:p>
    <w:p>
      <w:pPr>
        <w:ind w:left="98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seven (7) directors to our Board of Directors, each to serve until our 2022 Annual Meeting of Stockholders, or until her or his respective successor is elected and qualified;</w:t>
      </w:r>
    </w:p>
    <w:p>
      <w:pPr>
        <w:spacing w:after="0" w:line="18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approve an amendment and restatement of the Company’s 2019 Omnibus Equity Incentive Plan (the </w:t>
      </w:r>
      <w:r>
        <w:rPr>
          <w:rFonts w:ascii="Arial" w:cs="Arial" w:eastAsia="Arial" w:hAnsi="Arial"/>
          <w:sz w:val="18"/>
          <w:szCs w:val="18"/>
          <w:i w:val="1"/>
          <w:iCs w:val="1"/>
          <w:color w:val="auto"/>
        </w:rPr>
        <w:t>Amended 2019 Plan</w:t>
      </w:r>
      <w:r>
        <w:rPr>
          <w:rFonts w:ascii="Arial" w:cs="Arial" w:eastAsia="Arial" w:hAnsi="Arial"/>
          <w:sz w:val="18"/>
          <w:szCs w:val="18"/>
          <w:color w:val="auto"/>
        </w:rPr>
        <w:t>), which Amended 2019 Plan makes certain changes to the Company’s 2019 Omnibus Equity Incentive Plan, including increasing the number of shares of the common stock authorized for issuance thereunder from 7.5 million shares to 18 million shares;</w:t>
      </w:r>
    </w:p>
    <w:p>
      <w:pPr>
        <w:spacing w:after="0" w:line="220"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WithumSmith+Brown, PC as our independent registered public accounting firm for our fiscal year ending March 31, 2022; and</w:t>
      </w:r>
    </w:p>
    <w:p>
      <w:pPr>
        <w:spacing w:after="0" w:line="185" w:lineRule="exact"/>
        <w:rPr>
          <w:rFonts w:ascii="Arial" w:cs="Arial" w:eastAsia="Arial" w:hAnsi="Arial"/>
          <w:sz w:val="18"/>
          <w:szCs w:val="18"/>
          <w:color w:val="auto"/>
        </w:rPr>
      </w:pPr>
    </w:p>
    <w:p>
      <w:pPr>
        <w:ind w:left="660" w:right="240" w:hanging="4"/>
        <w:spacing w:after="0" w:line="500" w:lineRule="auto"/>
        <w:tabs>
          <w:tab w:leader="none" w:pos="9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upon such other matters, if any, as may properly come before the Annual Meeting or any adjournment or postponement of the Meeting. These matters are more fully discussed in the attached Proxy Statement.</w:t>
      </w:r>
    </w:p>
    <w:p>
      <w:pPr>
        <w:spacing w:after="0" w:line="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elected to provide access to our proxy materials primarily electronically via the Internet, pursuant to the “Notice and Access” method regulations promulgated by the U.S.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xml:space="preserve">). We believe this method expedites our stockholders’ safe receipt of proxy materials while the COVID-19 pandemic remains a concern, conserves natural resources and significantly reduces the costs of the Annual Meeting. On or about July 29, 2021, we began mailing a one-page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xml:space="preserve">) to each of our stockholders entitled to notice of and to vote at the Annual Meeting, which Notice contains instructions for accessing the attached Proxy Statement, our Annual Report on Form 10-K for our fiscal year ended March 31, 2021 (the </w:t>
      </w:r>
      <w:r>
        <w:rPr>
          <w:rFonts w:ascii="Arial" w:cs="Arial" w:eastAsia="Arial" w:hAnsi="Arial"/>
          <w:sz w:val="18"/>
          <w:szCs w:val="18"/>
          <w:i w:val="1"/>
          <w:iCs w:val="1"/>
          <w:color w:val="auto"/>
        </w:rPr>
        <w:t>Annual Report</w:t>
      </w:r>
      <w:r>
        <w:rPr>
          <w:rFonts w:ascii="Arial" w:cs="Arial" w:eastAsia="Arial" w:hAnsi="Arial"/>
          <w:sz w:val="18"/>
          <w:szCs w:val="18"/>
          <w:color w:val="auto"/>
        </w:rPr>
        <w:t xml:space="preserve">) via the Internet, as well as voting instructions. The Notice also includes instructions on how you can receive a paper copy of your proxy materials. </w:t>
      </w:r>
      <w:r>
        <w:rPr>
          <w:rFonts w:ascii="Arial" w:cs="Arial" w:eastAsia="Arial" w:hAnsi="Arial"/>
          <w:sz w:val="18"/>
          <w:szCs w:val="18"/>
          <w:b w:val="1"/>
          <w:bCs w:val="1"/>
          <w:color w:val="auto"/>
        </w:rPr>
        <w:t>The Proxy Statement and the Annual Report are both available on the Internet at: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http://www.edocumentview.com/VTGN</w:t>
      </w:r>
      <w:r>
        <w:rPr>
          <w:rFonts w:ascii="Arial" w:cs="Arial" w:eastAsia="Arial" w:hAnsi="Arial"/>
          <w:sz w:val="18"/>
          <w:szCs w:val="18"/>
          <w:b w:val="1"/>
          <w:bCs w:val="1"/>
          <w:color w:val="auto"/>
        </w:rPr>
        <w:t>.</w:t>
      </w:r>
    </w:p>
    <w:p>
      <w:pPr>
        <w:spacing w:after="0" w:line="198"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 xml:space="preserve">The close of business on July 23, 2021 (the </w:t>
      </w:r>
      <w:r>
        <w:rPr>
          <w:rFonts w:ascii="Arial" w:cs="Arial" w:eastAsia="Arial" w:hAnsi="Arial"/>
          <w:sz w:val="16"/>
          <w:szCs w:val="16"/>
          <w:i w:val="1"/>
          <w:iCs w:val="1"/>
          <w:color w:val="auto"/>
        </w:rPr>
        <w:t>Record Date</w:t>
      </w:r>
      <w:r>
        <w:rPr>
          <w:rFonts w:ascii="Arial" w:cs="Arial" w:eastAsia="Arial" w:hAnsi="Arial"/>
          <w:sz w:val="16"/>
          <w:szCs w:val="16"/>
          <w:color w:val="auto"/>
        </w:rPr>
        <w:t xml:space="preserve">)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by sending an email to </w:t>
      </w:r>
      <w:r>
        <w:rPr>
          <w:rFonts w:ascii="Arial" w:cs="Arial" w:eastAsia="Arial" w:hAnsi="Arial"/>
          <w:sz w:val="16"/>
          <w:szCs w:val="16"/>
          <w:u w:val="single" w:color="auto"/>
          <w:color w:val="auto"/>
        </w:rPr>
        <w:t>Corp.Secretary@vistagen.com</w:t>
      </w:r>
      <w:r>
        <w:rPr>
          <w:rFonts w:ascii="Arial" w:cs="Arial" w:eastAsia="Arial" w:hAnsi="Arial"/>
          <w:sz w:val="16"/>
          <w:szCs w:val="16"/>
          <w:color w:val="auto"/>
        </w:rPr>
        <w:t xml:space="preserve"> stating the purpose of the request and providing proof of ownership of our common stock. This list will also be available for examination by stockholders of record during the webcast of the Annual Meeting at </w:t>
      </w:r>
      <w:r>
        <w:rPr>
          <w:rFonts w:ascii="Arial" w:cs="Arial" w:eastAsia="Arial" w:hAnsi="Arial"/>
          <w:sz w:val="16"/>
          <w:szCs w:val="16"/>
          <w:u w:val="single" w:color="auto"/>
          <w:color w:val="auto"/>
        </w:rPr>
        <w:t>http://meetings.computershare.com/MPL727P</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ind w:right="40" w:firstLine="648"/>
        <w:spacing w:after="0" w:line="289" w:lineRule="auto"/>
        <w:rPr>
          <w:sz w:val="20"/>
          <w:szCs w:val="20"/>
          <w:color w:val="auto"/>
        </w:rPr>
      </w:pPr>
      <w:r>
        <w:rPr>
          <w:rFonts w:ascii="Arial" w:cs="Arial" w:eastAsia="Arial" w:hAnsi="Arial"/>
          <w:sz w:val="16"/>
          <w:szCs w:val="16"/>
          <w:color w:val="auto"/>
        </w:rPr>
        <w:t>You are entitled to virtually attend the Annual Meeting online only if you were a stockholder as of the close of business on the Record Date or hold a valid proxy for the Annual Meeting. If you are a stockholder of record, your ownership as of the Record Date will be verified prior to admittance into the Annual Meeting. If you are not a stockholder of record but hold shares through a broker, trustee or nominee, you must provide proof of beneficial ownership as of the Record Date, such as an account statement or similar evidence of ownership, to virtually attend the Annual Meeting. Further information about how to attend the Annual Meeting, vote your shares online during the Meeting and submit questions during the Meeting is included in the accompanying Proxy Statement. For instructions on how to vote your shares, please refer to the instructions on the Notice of Internet Availability of Proxy Materials you received by postal mail, the section titled “Voting” beginning on page 2 of the Proxy Statement or, if you requested to receive printed proxy materials, your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251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YOUR VOTES ARE IMPORTANT</w:t>
      </w:r>
    </w:p>
    <w:p>
      <w:pPr>
        <w:spacing w:after="0" w:line="225" w:lineRule="exact"/>
        <w:rPr>
          <w:sz w:val="20"/>
          <w:szCs w:val="20"/>
          <w:color w:val="auto"/>
        </w:rPr>
      </w:pPr>
    </w:p>
    <w:p>
      <w:pPr>
        <w:jc w:val="both"/>
        <w:ind w:left="120" w:right="220"/>
        <w:spacing w:after="0" w:line="319" w:lineRule="auto"/>
        <w:rPr>
          <w:sz w:val="20"/>
          <w:szCs w:val="20"/>
          <w:color w:val="auto"/>
        </w:rPr>
      </w:pPr>
      <w:r>
        <w:rPr>
          <w:rFonts w:ascii="Arial" w:cs="Arial" w:eastAsia="Arial" w:hAnsi="Arial"/>
          <w:sz w:val="15"/>
          <w:szCs w:val="15"/>
          <w:b w:val="1"/>
          <w:bCs w:val="1"/>
          <w:color w:val="auto"/>
        </w:rPr>
        <w:t>All stockholders are cordially invited to virtually attend the Annual Meeting. However, to ensure your representation at the Annual Meeting, you are urged to vote by Internet, telephone or postal mail in advance of the Meeting, as promptly as possible. Submitting your votes in advance of the Annual Meeting assures that a quorum will be present at the Meeting and will avoid the Company incurring additional expense for duplicate proxy solicitations. By following the procedures described in the section entitled “Voting” beginning on page 2 of the attached Proxy Statement, any stockholder attending the Annual Meeting virtually may vote at the Meeting, even if he or she has returned a proxy prior to the Meeting.</w:t>
      </w:r>
    </w:p>
    <w:p>
      <w:pPr>
        <w:spacing w:after="0" w:line="37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Your vote is very important to us. Whether or not you expect to attend the Annual Meeting virtually, we urge you to vote your shares in advance of the Meeting, as promptly as possible, online via the Internet, by telephone or by postal mail so that your shares may be represented and voted at the Meeting. </w:t>
      </w:r>
      <w:r>
        <w:rPr>
          <w:rFonts w:ascii="Arial" w:cs="Arial" w:eastAsia="Arial" w:hAnsi="Arial"/>
          <w:sz w:val="18"/>
          <w:szCs w:val="18"/>
          <w:color w:val="auto"/>
        </w:rPr>
        <w:t>If your shares are held in the name of a bank, broker, brokerage firm or other fiduciary, please follow the instructions on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 card furnished by the record holder.</w:t>
      </w:r>
    </w:p>
    <w:p>
      <w:pPr>
        <w:spacing w:after="0" w:line="19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b w:val="1"/>
          <w:bCs w:val="1"/>
          <w:color w:val="auto"/>
        </w:rPr>
        <w:t>Our Board of Directors has unanimously recommended that you vote “FOR” each of the Director nominees identified in Proposal No. 1, and "FOR" Proposals No. 2 and 3, each of which is described in detail in the accompanying Proxy Statement.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25"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8"/>
          <w:szCs w:val="18"/>
          <w:b w:val="1"/>
          <w:bCs w:val="1"/>
          <w:color w:val="auto"/>
        </w:rPr>
        <w:t xml:space="preserve">THE ANNUAL REPORT AND PROXY STATEMENT ARE AVAILABLE ONLINE VIA THE INTERNET AT </w:t>
      </w:r>
      <w:r>
        <w:rPr>
          <w:rFonts w:ascii="Arial" w:cs="Arial" w:eastAsia="Arial" w:hAnsi="Arial"/>
          <w:sz w:val="18"/>
          <w:szCs w:val="18"/>
          <w:b w:val="1"/>
          <w:bCs w:val="1"/>
          <w:u w:val="single" w:color="auto"/>
          <w:color w:val="auto"/>
        </w:rPr>
        <w:t>http://www.edocumentview.com/VTGN</w:t>
      </w:r>
      <w:r>
        <w:rPr>
          <w:rFonts w:ascii="Arial" w:cs="Arial" w:eastAsia="Arial" w:hAnsi="Arial"/>
          <w:sz w:val="18"/>
          <w:szCs w:val="18"/>
          <w:b w:val="1"/>
          <w:bCs w:val="1"/>
          <w:color w:val="auto"/>
        </w:rPr>
        <w:t>.</w:t>
      </w:r>
    </w:p>
    <w:p>
      <w:pPr>
        <w:spacing w:after="0" w:line="3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Jerrold D. Dotson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226060</wp:posOffset>
            </wp:positionV>
            <wp:extent cx="1551940" cy="1002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51940" cy="100266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enclosed proxy is solicited on behalf of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xml:space="preserve">)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we </w:t>
      </w:r>
      <w:r>
        <w:rPr>
          <w:rFonts w:ascii="Arial" w:cs="Arial" w:eastAsia="Arial" w:hAnsi="Arial"/>
          <w:sz w:val="18"/>
          <w:szCs w:val="18"/>
          <w:color w:val="auto"/>
        </w:rPr>
        <w:t>or</w:t>
      </w:r>
      <w:r>
        <w:rPr>
          <w:rFonts w:ascii="Arial" w:cs="Arial" w:eastAsia="Arial" w:hAnsi="Arial"/>
          <w:sz w:val="18"/>
          <w:szCs w:val="18"/>
          <w:i w:val="1"/>
          <w:iCs w:val="1"/>
          <w:color w:val="auto"/>
        </w:rPr>
        <w:t xml:space="preserve"> our</w:t>
      </w:r>
      <w:r>
        <w:rPr>
          <w:rFonts w:ascii="Arial" w:cs="Arial" w:eastAsia="Arial" w:hAnsi="Arial"/>
          <w:sz w:val="18"/>
          <w:szCs w:val="18"/>
          <w:color w:val="auto"/>
        </w:rPr>
        <w:t>), for use at the Company’s 2021 Annual Meeting of Stockholders (the</w:t>
      </w:r>
      <w:r>
        <w:rPr>
          <w:rFonts w:ascii="Arial" w:cs="Arial" w:eastAsia="Arial" w:hAnsi="Arial"/>
          <w:sz w:val="18"/>
          <w:szCs w:val="18"/>
          <w:i w:val="1"/>
          <w:iCs w:val="1"/>
          <w:color w:val="auto"/>
        </w:rPr>
        <w:t xml:space="preserve"> Annual Meeting </w:t>
      </w:r>
      <w:r>
        <w:rPr>
          <w:rFonts w:ascii="Arial" w:cs="Arial" w:eastAsia="Arial" w:hAnsi="Arial"/>
          <w:sz w:val="18"/>
          <w:szCs w:val="18"/>
          <w:color w:val="auto"/>
        </w:rPr>
        <w:t>or the</w:t>
      </w:r>
      <w:r>
        <w:rPr>
          <w:rFonts w:ascii="Arial" w:cs="Arial" w:eastAsia="Arial" w:hAnsi="Arial"/>
          <w:sz w:val="18"/>
          <w:szCs w:val="18"/>
          <w:i w:val="1"/>
          <w:iCs w:val="1"/>
          <w:color w:val="auto"/>
        </w:rPr>
        <w:t xml:space="preserve"> Meeting</w:t>
      </w:r>
      <w:r>
        <w:rPr>
          <w:rFonts w:ascii="Arial" w:cs="Arial" w:eastAsia="Arial" w:hAnsi="Arial"/>
          <w:sz w:val="18"/>
          <w:szCs w:val="18"/>
          <w:color w:val="auto"/>
        </w:rPr>
        <w:t>). The Annual Meeting will take place in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virtual meeting format on Friday, September 17, 2021, 10:00 a.m., Pacific Time, and will be held exclusively via the Internet at </w:t>
      </w:r>
      <w:r>
        <w:rPr>
          <w:rFonts w:ascii="Arial" w:cs="Arial" w:eastAsia="Arial" w:hAnsi="Arial"/>
          <w:sz w:val="18"/>
          <w:szCs w:val="18"/>
          <w:u w:val="single" w:color="auto"/>
          <w:color w:val="auto"/>
        </w:rPr>
        <w:t>http://meetings.computershare.com/MPL727P.</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elected to provide access to the proxy materials for the Annual Meeting primarily over the Internet in accordance with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xml:space="preserve">) “Notice and Access” rules. On or about July 29, 2021, we began mailing a one-page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to each of our stockholders entitled to notice of and to vote at the Annual Meeting. The Notice contains instructions for accessing this Proxy Statement, our Annual Report on Form 10-K for our fiscal year ended March 31, 2021 (</w:t>
      </w:r>
      <w:r>
        <w:rPr>
          <w:rFonts w:ascii="Arial" w:cs="Arial" w:eastAsia="Arial" w:hAnsi="Arial"/>
          <w:sz w:val="16"/>
          <w:szCs w:val="16"/>
          <w:i w:val="1"/>
          <w:iCs w:val="1"/>
          <w:color w:val="auto"/>
        </w:rPr>
        <w:t>Annual Report</w:t>
      </w:r>
      <w:r>
        <w:rPr>
          <w:rFonts w:ascii="Arial" w:cs="Arial" w:eastAsia="Arial" w:hAnsi="Arial"/>
          <w:sz w:val="16"/>
          <w:szCs w:val="16"/>
          <w:color w:val="auto"/>
        </w:rPr>
        <w:t xml:space="preserve">) and Annual Meeting voting instructions. The Notice also includes instructions on how you can receive a paper copy of your proxy materials by postal mail. </w:t>
      </w:r>
      <w:r>
        <w:rPr>
          <w:rFonts w:ascii="Arial" w:cs="Arial" w:eastAsia="Arial" w:hAnsi="Arial"/>
          <w:sz w:val="16"/>
          <w:szCs w:val="16"/>
          <w:b w:val="1"/>
          <w:bCs w:val="1"/>
          <w:color w:val="auto"/>
        </w:rPr>
        <w:t>This Proxy Statement and the Annual Report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are available on the Internet at: </w:t>
      </w:r>
      <w:r>
        <w:rPr>
          <w:rFonts w:ascii="Arial" w:cs="Arial" w:eastAsia="Arial" w:hAnsi="Arial"/>
          <w:sz w:val="16"/>
          <w:szCs w:val="16"/>
          <w:b w:val="1"/>
          <w:bCs w:val="1"/>
          <w:u w:val="single" w:color="auto"/>
          <w:color w:val="auto"/>
        </w:rPr>
        <w:t>http://www.edocumentview.com/VTGN</w:t>
      </w:r>
      <w:r>
        <w:rPr>
          <w:rFonts w:ascii="Arial" w:cs="Arial" w:eastAsia="Arial" w:hAnsi="Arial"/>
          <w:sz w:val="16"/>
          <w:szCs w:val="16"/>
          <w:b w:val="1"/>
          <w:bCs w:val="1"/>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Record Date and Shares</w:t>
            </w:r>
          </w:p>
        </w:tc>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The specific proposals to be considered and acted upon at the Annual Meeting are each described in this Proxy</w:t>
            </w:r>
          </w:p>
        </w:tc>
      </w:tr>
      <w:tr>
        <w:trPr>
          <w:trHeight w:val="222"/>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w:t>
            </w:r>
          </w:p>
        </w:tc>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 xml:space="preserve">Statement.  Only holders of our common stock as of the close of business on July 23, 2021 (the </w:t>
            </w:r>
            <w:r>
              <w:rPr>
                <w:rFonts w:ascii="Arial" w:cs="Arial" w:eastAsia="Arial" w:hAnsi="Arial"/>
                <w:sz w:val="18"/>
                <w:szCs w:val="18"/>
                <w:i w:val="1"/>
                <w:iCs w:val="1"/>
                <w:color w:val="auto"/>
                <w:w w:val="91"/>
              </w:rPr>
              <w:t>Record Date</w:t>
            </w:r>
            <w:r>
              <w:rPr>
                <w:rFonts w:ascii="Arial" w:cs="Arial" w:eastAsia="Arial" w:hAnsi="Arial"/>
                <w:sz w:val="18"/>
                <w:szCs w:val="18"/>
                <w:color w:val="auto"/>
                <w:w w:val="91"/>
              </w:rPr>
              <w:t>) are</w:t>
            </w:r>
          </w:p>
        </w:tc>
      </w:tr>
      <w:tr>
        <w:trPr>
          <w:trHeight w:val="216"/>
        </w:trPr>
        <w:tc>
          <w:tcPr>
            <w:tcW w:w="2380" w:type="dxa"/>
            <w:vAlign w:val="bottom"/>
            <w:shd w:val="clear" w:color="auto" w:fill="CCEEFF"/>
          </w:tcPr>
          <w:p>
            <w:pPr>
              <w:spacing w:after="0"/>
              <w:rPr>
                <w:sz w:val="18"/>
                <w:szCs w:val="18"/>
                <w:color w:val="auto"/>
              </w:rPr>
            </w:pPr>
          </w:p>
        </w:tc>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entitled to notice of and to vote at the Annual Meeting. On the Record Date, there were 192,098,965 shares of our</w:t>
            </w:r>
          </w:p>
        </w:tc>
      </w:tr>
      <w:tr>
        <w:trPr>
          <w:trHeight w:val="216"/>
        </w:trPr>
        <w:tc>
          <w:tcPr>
            <w:tcW w:w="2380" w:type="dxa"/>
            <w:vAlign w:val="bottom"/>
            <w:shd w:val="clear" w:color="auto" w:fill="CCEEFF"/>
          </w:tcPr>
          <w:p>
            <w:pPr>
              <w:spacing w:after="0"/>
              <w:rPr>
                <w:sz w:val="18"/>
                <w:szCs w:val="18"/>
                <w:color w:val="auto"/>
              </w:rPr>
            </w:pPr>
          </w:p>
        </w:tc>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common stock issued and outstanding. Each holder of common stock is entitled to one vote for each share held as of</w:t>
            </w:r>
          </w:p>
        </w:tc>
      </w:tr>
      <w:tr>
        <w:trPr>
          <w:trHeight w:val="224"/>
        </w:trPr>
        <w:tc>
          <w:tcPr>
            <w:tcW w:w="2380" w:type="dxa"/>
            <w:vAlign w:val="bottom"/>
            <w:shd w:val="clear" w:color="auto" w:fill="CCEEFF"/>
          </w:tcPr>
          <w:p>
            <w:pPr>
              <w:spacing w:after="0"/>
              <w:rPr>
                <w:sz w:val="19"/>
                <w:szCs w:val="19"/>
                <w:color w:val="auto"/>
              </w:rPr>
            </w:pPr>
          </w:p>
        </w:tc>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the Record Date.</w:t>
            </w:r>
          </w:p>
        </w:tc>
      </w:tr>
      <w:tr>
        <w:trPr>
          <w:trHeight w:val="424"/>
        </w:trPr>
        <w:tc>
          <w:tcPr>
            <w:tcW w:w="2380" w:type="dxa"/>
            <w:vAlign w:val="bottom"/>
          </w:tcPr>
          <w:p>
            <w:pPr>
              <w:spacing w:after="0"/>
              <w:rPr>
                <w:sz w:val="20"/>
                <w:szCs w:val="20"/>
                <w:color w:val="auto"/>
              </w:rPr>
            </w:pPr>
            <w:r>
              <w:rPr>
                <w:rFonts w:ascii="Arial" w:cs="Arial" w:eastAsia="Arial" w:hAnsi="Arial"/>
                <w:sz w:val="18"/>
                <w:szCs w:val="18"/>
                <w:b w:val="1"/>
                <w:bCs w:val="1"/>
                <w:color w:val="auto"/>
              </w:rPr>
              <w:t>Quorum</w:t>
            </w:r>
          </w:p>
        </w:tc>
        <w:tc>
          <w:tcPr>
            <w:tcW w:w="8860" w:type="dxa"/>
            <w:vAlign w:val="bottom"/>
          </w:tcPr>
          <w:p>
            <w:pPr>
              <w:ind w:left="540"/>
              <w:spacing w:after="0"/>
              <w:rPr>
                <w:sz w:val="20"/>
                <w:szCs w:val="20"/>
                <w:color w:val="auto"/>
              </w:rPr>
            </w:pPr>
            <w:r>
              <w:rPr>
                <w:rFonts w:ascii="Arial" w:cs="Arial" w:eastAsia="Arial" w:hAnsi="Arial"/>
                <w:sz w:val="18"/>
                <w:szCs w:val="18"/>
                <w:color w:val="auto"/>
                <w:w w:val="89"/>
              </w:rPr>
              <w:t>In order for any business to be conducted at the Annual Meeting, the holders of more than 50% of the shares entitled</w:t>
            </w:r>
          </w:p>
        </w:tc>
      </w:tr>
      <w:tr>
        <w:trPr>
          <w:trHeight w:val="216"/>
        </w:trPr>
        <w:tc>
          <w:tcPr>
            <w:tcW w:w="2380" w:type="dxa"/>
            <w:vAlign w:val="bottom"/>
          </w:tcPr>
          <w:p>
            <w:pPr>
              <w:spacing w:after="0"/>
              <w:rPr>
                <w:sz w:val="18"/>
                <w:szCs w:val="18"/>
                <w:color w:val="auto"/>
              </w:rPr>
            </w:pPr>
          </w:p>
        </w:tc>
        <w:tc>
          <w:tcPr>
            <w:tcW w:w="8860" w:type="dxa"/>
            <w:vAlign w:val="bottom"/>
          </w:tcPr>
          <w:p>
            <w:pPr>
              <w:ind w:left="540"/>
              <w:spacing w:after="0"/>
              <w:rPr>
                <w:sz w:val="20"/>
                <w:szCs w:val="20"/>
                <w:color w:val="auto"/>
              </w:rPr>
            </w:pPr>
            <w:r>
              <w:rPr>
                <w:rFonts w:ascii="Arial" w:cs="Arial" w:eastAsia="Arial" w:hAnsi="Arial"/>
                <w:sz w:val="18"/>
                <w:szCs w:val="18"/>
                <w:color w:val="auto"/>
                <w:w w:val="88"/>
              </w:rPr>
              <w:t>to vote must be represented at the Meeting, either in person or by properly executed proxy. If a quorum is not present</w:t>
            </w:r>
          </w:p>
        </w:tc>
      </w:tr>
      <w:tr>
        <w:trPr>
          <w:trHeight w:val="216"/>
        </w:trPr>
        <w:tc>
          <w:tcPr>
            <w:tcW w:w="2380" w:type="dxa"/>
            <w:vAlign w:val="bottom"/>
          </w:tcPr>
          <w:p>
            <w:pPr>
              <w:spacing w:after="0"/>
              <w:rPr>
                <w:sz w:val="18"/>
                <w:szCs w:val="18"/>
                <w:color w:val="auto"/>
              </w:rPr>
            </w:pPr>
          </w:p>
        </w:tc>
        <w:tc>
          <w:tcPr>
            <w:tcW w:w="8860" w:type="dxa"/>
            <w:vAlign w:val="bottom"/>
          </w:tcPr>
          <w:p>
            <w:pPr>
              <w:ind w:left="540"/>
              <w:spacing w:after="0"/>
              <w:rPr>
                <w:sz w:val="20"/>
                <w:szCs w:val="20"/>
                <w:color w:val="auto"/>
              </w:rPr>
            </w:pPr>
            <w:r>
              <w:rPr>
                <w:rFonts w:ascii="Arial" w:cs="Arial" w:eastAsia="Arial" w:hAnsi="Arial"/>
                <w:sz w:val="18"/>
                <w:szCs w:val="18"/>
                <w:color w:val="auto"/>
                <w:w w:val="94"/>
              </w:rPr>
              <w:t>at the scheduled time of the Annual Meeting, the stockholders who are present may adjourn the Meeting until a</w:t>
            </w:r>
          </w:p>
        </w:tc>
      </w:tr>
      <w:tr>
        <w:trPr>
          <w:trHeight w:val="216"/>
        </w:trPr>
        <w:tc>
          <w:tcPr>
            <w:tcW w:w="2380" w:type="dxa"/>
            <w:vAlign w:val="bottom"/>
          </w:tcPr>
          <w:p>
            <w:pPr>
              <w:spacing w:after="0"/>
              <w:rPr>
                <w:sz w:val="18"/>
                <w:szCs w:val="18"/>
                <w:color w:val="auto"/>
              </w:rPr>
            </w:pPr>
          </w:p>
        </w:tc>
        <w:tc>
          <w:tcPr>
            <w:tcW w:w="8860" w:type="dxa"/>
            <w:vAlign w:val="bottom"/>
          </w:tcPr>
          <w:p>
            <w:pPr>
              <w:ind w:left="540"/>
              <w:spacing w:after="0"/>
              <w:rPr>
                <w:sz w:val="20"/>
                <w:szCs w:val="20"/>
                <w:color w:val="auto"/>
              </w:rPr>
            </w:pPr>
            <w:r>
              <w:rPr>
                <w:rFonts w:ascii="Arial" w:cs="Arial" w:eastAsia="Arial" w:hAnsi="Arial"/>
                <w:sz w:val="18"/>
                <w:szCs w:val="18"/>
                <w:color w:val="auto"/>
                <w:w w:val="98"/>
              </w:rPr>
              <w:t>quorum is present. The time and place of the adjourned Annual Meeting will be announced at the time the</w:t>
            </w:r>
          </w:p>
        </w:tc>
      </w:tr>
      <w:tr>
        <w:trPr>
          <w:trHeight w:val="216"/>
        </w:trPr>
        <w:tc>
          <w:tcPr>
            <w:tcW w:w="2380" w:type="dxa"/>
            <w:vAlign w:val="bottom"/>
          </w:tcPr>
          <w:p>
            <w:pPr>
              <w:spacing w:after="0"/>
              <w:rPr>
                <w:sz w:val="18"/>
                <w:szCs w:val="18"/>
                <w:color w:val="auto"/>
              </w:rPr>
            </w:pPr>
          </w:p>
        </w:tc>
        <w:tc>
          <w:tcPr>
            <w:tcW w:w="8860" w:type="dxa"/>
            <w:vAlign w:val="bottom"/>
          </w:tcPr>
          <w:p>
            <w:pPr>
              <w:ind w:left="540"/>
              <w:spacing w:after="0"/>
              <w:rPr>
                <w:sz w:val="20"/>
                <w:szCs w:val="20"/>
                <w:color w:val="auto"/>
              </w:rPr>
            </w:pPr>
            <w:r>
              <w:rPr>
                <w:rFonts w:ascii="Arial" w:cs="Arial" w:eastAsia="Arial" w:hAnsi="Arial"/>
                <w:sz w:val="18"/>
                <w:szCs w:val="18"/>
                <w:color w:val="auto"/>
                <w:w w:val="89"/>
              </w:rPr>
              <w:t>adjournment is taken, and no other notice will be given. An adjournment will have no effect on the business that may</w:t>
            </w:r>
          </w:p>
        </w:tc>
      </w:tr>
      <w:tr>
        <w:trPr>
          <w:trHeight w:val="222"/>
        </w:trPr>
        <w:tc>
          <w:tcPr>
            <w:tcW w:w="2380" w:type="dxa"/>
            <w:vAlign w:val="bottom"/>
          </w:tcPr>
          <w:p>
            <w:pPr>
              <w:spacing w:after="0"/>
              <w:rPr>
                <w:sz w:val="19"/>
                <w:szCs w:val="19"/>
                <w:color w:val="auto"/>
              </w:rPr>
            </w:pPr>
          </w:p>
        </w:tc>
        <w:tc>
          <w:tcPr>
            <w:tcW w:w="8860" w:type="dxa"/>
            <w:vAlign w:val="bottom"/>
          </w:tcPr>
          <w:p>
            <w:pPr>
              <w:ind w:left="540"/>
              <w:spacing w:after="0"/>
              <w:rPr>
                <w:sz w:val="20"/>
                <w:szCs w:val="20"/>
                <w:color w:val="auto"/>
              </w:rPr>
            </w:pPr>
            <w:r>
              <w:rPr>
                <w:rFonts w:ascii="Arial" w:cs="Arial" w:eastAsia="Arial" w:hAnsi="Arial"/>
                <w:sz w:val="18"/>
                <w:szCs w:val="18"/>
                <w:color w:val="auto"/>
              </w:rPr>
              <w:t>be conducted at the Annual Meeting.</w:t>
            </w:r>
          </w:p>
        </w:tc>
      </w:tr>
      <w:tr>
        <w:trPr>
          <w:trHeight w:val="218"/>
        </w:trPr>
        <w:tc>
          <w:tcPr>
            <w:tcW w:w="238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08"/>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List</w:t>
            </w:r>
          </w:p>
        </w:tc>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A list of registered stockholders as of the close of business on the Record Date will be open for examination by any</w:t>
            </w:r>
          </w:p>
        </w:tc>
      </w:tr>
      <w:tr>
        <w:trPr>
          <w:trHeight w:val="216"/>
        </w:trPr>
        <w:tc>
          <w:tcPr>
            <w:tcW w:w="2380" w:type="dxa"/>
            <w:vAlign w:val="bottom"/>
            <w:shd w:val="clear" w:color="auto" w:fill="CCEEFF"/>
          </w:tcPr>
          <w:p>
            <w:pPr>
              <w:spacing w:after="0"/>
              <w:rPr>
                <w:sz w:val="18"/>
                <w:szCs w:val="18"/>
                <w:color w:val="auto"/>
              </w:rPr>
            </w:pPr>
          </w:p>
        </w:tc>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stockholder for a period of ten days prior to the Annual Meeting for a purpose pertaining to the Meeting by sending</w:t>
            </w:r>
          </w:p>
        </w:tc>
      </w:tr>
      <w:tr>
        <w:trPr>
          <w:trHeight w:val="216"/>
        </w:trPr>
        <w:tc>
          <w:tcPr>
            <w:tcW w:w="2380" w:type="dxa"/>
            <w:vAlign w:val="bottom"/>
            <w:shd w:val="clear" w:color="auto" w:fill="CCEEFF"/>
          </w:tcPr>
          <w:p>
            <w:pPr>
              <w:spacing w:after="0"/>
              <w:rPr>
                <w:sz w:val="18"/>
                <w:szCs w:val="18"/>
                <w:color w:val="auto"/>
              </w:rPr>
            </w:pPr>
          </w:p>
        </w:tc>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an email to Corp.Secretary@vistagen.com, stating the purpose of the request and providing proof of ownership of our</w:t>
            </w:r>
          </w:p>
        </w:tc>
      </w:tr>
      <w:tr>
        <w:trPr>
          <w:trHeight w:val="216"/>
        </w:trPr>
        <w:tc>
          <w:tcPr>
            <w:tcW w:w="2380" w:type="dxa"/>
            <w:vAlign w:val="bottom"/>
            <w:shd w:val="clear" w:color="auto" w:fill="CCEEFF"/>
          </w:tcPr>
          <w:p>
            <w:pPr>
              <w:spacing w:after="0"/>
              <w:rPr>
                <w:sz w:val="18"/>
                <w:szCs w:val="18"/>
                <w:color w:val="auto"/>
              </w:rPr>
            </w:pPr>
          </w:p>
        </w:tc>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common stock. This list will also be available for examination to stockholders of record during the virtual Annual</w:t>
            </w:r>
          </w:p>
        </w:tc>
      </w:tr>
      <w:tr>
        <w:trPr>
          <w:trHeight w:val="224"/>
        </w:trPr>
        <w:tc>
          <w:tcPr>
            <w:tcW w:w="2380" w:type="dxa"/>
            <w:vAlign w:val="bottom"/>
            <w:shd w:val="clear" w:color="auto" w:fill="CCEEFF"/>
          </w:tcPr>
          <w:p>
            <w:pPr>
              <w:spacing w:after="0"/>
              <w:rPr>
                <w:sz w:val="19"/>
                <w:szCs w:val="19"/>
                <w:color w:val="auto"/>
              </w:rPr>
            </w:pPr>
          </w:p>
        </w:tc>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Meeting webcast at http://meetings.computershare.com/MPL727P.</w:t>
            </w:r>
          </w:p>
        </w:tc>
      </w:tr>
      <w:tr>
        <w:trPr>
          <w:trHeight w:val="655"/>
        </w:trPr>
        <w:tc>
          <w:tcPr>
            <w:tcW w:w="2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ind w:left="314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Attendance at Virtual Annual</w:t>
            </w:r>
          </w:p>
        </w:tc>
        <w:tc>
          <w:tcPr>
            <w:tcW w:w="8540" w:type="dxa"/>
            <w:vAlign w:val="bottom"/>
          </w:tcPr>
          <w:p>
            <w:pPr>
              <w:ind w:left="220"/>
              <w:spacing w:after="0"/>
              <w:rPr>
                <w:sz w:val="20"/>
                <w:szCs w:val="20"/>
                <w:color w:val="auto"/>
              </w:rPr>
            </w:pPr>
            <w:r>
              <w:rPr>
                <w:rFonts w:ascii="Arial" w:cs="Arial" w:eastAsia="Arial" w:hAnsi="Arial"/>
                <w:sz w:val="18"/>
                <w:szCs w:val="18"/>
                <w:color w:val="auto"/>
                <w:w w:val="92"/>
              </w:rPr>
              <w:t>We will host the Annual Meeting live online, via Internet webcast. You may attend the Annual Meeting virtually by</w:t>
            </w:r>
          </w:p>
        </w:tc>
      </w:tr>
      <w:tr>
        <w:trPr>
          <w:trHeight w:val="222"/>
        </w:trPr>
        <w:tc>
          <w:tcPr>
            <w:tcW w:w="2700" w:type="dxa"/>
            <w:vAlign w:val="bottom"/>
          </w:tcPr>
          <w:p>
            <w:pPr>
              <w:spacing w:after="0"/>
              <w:rPr>
                <w:sz w:val="20"/>
                <w:szCs w:val="20"/>
                <w:color w:val="auto"/>
              </w:rPr>
            </w:pPr>
            <w:r>
              <w:rPr>
                <w:rFonts w:ascii="Arial" w:cs="Arial" w:eastAsia="Arial" w:hAnsi="Arial"/>
                <w:sz w:val="18"/>
                <w:szCs w:val="18"/>
                <w:b w:val="1"/>
                <w:bCs w:val="1"/>
                <w:color w:val="auto"/>
              </w:rPr>
              <w:t>Meeting</w:t>
            </w:r>
          </w:p>
        </w:tc>
        <w:tc>
          <w:tcPr>
            <w:tcW w:w="8540" w:type="dxa"/>
            <w:vAlign w:val="bottom"/>
          </w:tcPr>
          <w:p>
            <w:pPr>
              <w:ind w:left="220"/>
              <w:spacing w:after="0"/>
              <w:rPr>
                <w:sz w:val="20"/>
                <w:szCs w:val="20"/>
                <w:color w:val="auto"/>
              </w:rPr>
            </w:pPr>
            <w:r>
              <w:rPr>
                <w:rFonts w:ascii="Arial" w:cs="Arial" w:eastAsia="Arial" w:hAnsi="Arial"/>
                <w:sz w:val="18"/>
                <w:szCs w:val="18"/>
                <w:color w:val="auto"/>
                <w:w w:val="90"/>
              </w:rPr>
              <w:t>visiting http://meetings.computershare.com/MPL727P. The webcast will start at 10:00 a.m., Pacific Time, on Friday,</w:t>
            </w:r>
          </w:p>
        </w:tc>
      </w:tr>
      <w:tr>
        <w:trPr>
          <w:trHeight w:val="222"/>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September 17, 2021.</w:t>
            </w:r>
          </w:p>
        </w:tc>
      </w:tr>
      <w:tr>
        <w:trPr>
          <w:trHeight w:val="426"/>
        </w:trPr>
        <w:tc>
          <w:tcPr>
            <w:tcW w:w="2700" w:type="dxa"/>
            <w:vAlign w:val="bottom"/>
          </w:tcPr>
          <w:p>
            <w:pPr>
              <w:spacing w:after="0"/>
              <w:rPr>
                <w:sz w:val="24"/>
                <w:szCs w:val="24"/>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2"/>
              </w:rPr>
              <w:t>To virtually attend the Annual Meeting please go to http://meetings.computershare.com/MPL727P. You have the</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1"/>
              </w:rPr>
              <w:t>option to log in to the virtual Annual Meeting as a “Stockholder” with a control number” or as a “Guest.” If you are a</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4"/>
              </w:rPr>
              <w:t>stockholder of record (i.e., if you hold your shares through Computershare, our registrar and transfer agent) (a</w:t>
            </w:r>
          </w:p>
        </w:tc>
      </w:tr>
      <w:tr>
        <w:trPr>
          <w:trHeight w:val="210"/>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i w:val="1"/>
                <w:iCs w:val="1"/>
                <w:color w:val="auto"/>
                <w:w w:val="93"/>
              </w:rPr>
              <w:t>Stockholder</w:t>
            </w:r>
            <w:r>
              <w:rPr>
                <w:rFonts w:ascii="Arial" w:cs="Arial" w:eastAsia="Arial" w:hAnsi="Arial"/>
                <w:sz w:val="18"/>
                <w:szCs w:val="18"/>
                <w:color w:val="auto"/>
                <w:w w:val="93"/>
              </w:rPr>
              <w:t>), you may log in as a Stockholder using the control number which can be found on your Notice and</w:t>
            </w:r>
          </w:p>
        </w:tc>
      </w:tr>
      <w:tr>
        <w:trPr>
          <w:trHeight w:val="222"/>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89"/>
              </w:rPr>
              <w:t xml:space="preserve">proxy card, and Annual Meeting password. The password for the meeting is </w:t>
            </w:r>
            <w:r>
              <w:rPr>
                <w:rFonts w:ascii="Arial" w:cs="Arial" w:eastAsia="Arial" w:hAnsi="Arial"/>
                <w:sz w:val="18"/>
                <w:szCs w:val="18"/>
                <w:b w:val="1"/>
                <w:bCs w:val="1"/>
                <w:color w:val="auto"/>
                <w:w w:val="89"/>
              </w:rPr>
              <w:t>VTGN2021</w:t>
            </w:r>
            <w:r>
              <w:rPr>
                <w:rFonts w:ascii="Arial" w:cs="Arial" w:eastAsia="Arial" w:hAnsi="Arial"/>
                <w:sz w:val="18"/>
                <w:szCs w:val="18"/>
                <w:color w:val="auto"/>
                <w:w w:val="89"/>
              </w:rPr>
              <w:t>. If you are not a stockholder</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89"/>
              </w:rPr>
              <w:t>of record (i.e., if you do not hold your shares through Computershare), but hold shares through an intermediary, such</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3"/>
              </w:rPr>
              <w:t>as a bank or broker, trustee or nominee (sometimes referred to as holding in “street name”), you may attend the</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4"/>
              </w:rPr>
              <w:t>meeting as “Guest” by entering your name and email address. As a Guest, you will have access to the meeting</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3"/>
              </w:rPr>
              <w:t>materials and will be able to ask questions during the Annual Meeting, but you will not be able to vote during the</w:t>
            </w:r>
          </w:p>
        </w:tc>
      </w:tr>
      <w:tr>
        <w:trPr>
          <w:trHeight w:val="222"/>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Meeting.</w:t>
            </w:r>
          </w:p>
        </w:tc>
      </w:tr>
      <w:tr>
        <w:trPr>
          <w:trHeight w:val="426"/>
        </w:trPr>
        <w:tc>
          <w:tcPr>
            <w:tcW w:w="2700" w:type="dxa"/>
            <w:vAlign w:val="bottom"/>
          </w:tcPr>
          <w:p>
            <w:pPr>
              <w:spacing w:after="0"/>
              <w:rPr>
                <w:sz w:val="24"/>
                <w:szCs w:val="24"/>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0"/>
              </w:rPr>
              <w:t>If you hold your shares through an intermediary, such as a bank or broker, and you desire to vote during the Annual</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0"/>
              </w:rPr>
              <w:t>Meeting, you must register in advance to virtually attend the Annual Meeting as a Stockholder. To register to attend</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0"/>
              </w:rPr>
              <w:t>the virtual Annual Meeting as a Stockholder, you must provide proof of beneficial ownership as of the Record Date,</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0"/>
              </w:rPr>
              <w:t>such as an account statement, legal proxy from your broker, or similar evidence of ownership along with your name</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89"/>
              </w:rPr>
              <w:t>and email address to Computershare. Requests for Annual Meeting registration of beneficial owners must be labeled</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1"/>
              </w:rPr>
              <w:t>as “Legal Proxy” and be received no later than 5:00 p.m., Eastern Time, on September 7, 2021. You will receive a</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3"/>
              </w:rPr>
              <w:t>confirmation of your virtual Annual Meeting registration by email after Computershare receives your registration</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3"/>
              </w:rPr>
              <w:t>materials. Requests for registration should be directed by email to legalproxy@computershare.com or by mail to</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2"/>
              </w:rPr>
              <w:t>Computershare, VistaGen Therapeutics, Inc. Legal Proxy, P.O. Box 43001, Providence, RI 02940-3001. You will</w:t>
            </w:r>
          </w:p>
        </w:tc>
      </w:tr>
      <w:tr>
        <w:trPr>
          <w:trHeight w:val="216"/>
        </w:trPr>
        <w:tc>
          <w:tcPr>
            <w:tcW w:w="2700" w:type="dxa"/>
            <w:vAlign w:val="bottom"/>
          </w:tcPr>
          <w:p>
            <w:pPr>
              <w:spacing w:after="0"/>
              <w:rPr>
                <w:sz w:val="18"/>
                <w:szCs w:val="18"/>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94"/>
              </w:rPr>
              <w:t>receive a confirmation email from Computershare of your Annual Meeting registration and will receive a control</w:t>
            </w:r>
          </w:p>
        </w:tc>
      </w:tr>
      <w:tr>
        <w:trPr>
          <w:trHeight w:val="222"/>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number to enter the meeting as a Stockholder.</w:t>
            </w:r>
          </w:p>
        </w:tc>
      </w:tr>
      <w:tr>
        <w:trPr>
          <w:trHeight w:val="426"/>
        </w:trPr>
        <w:tc>
          <w:tcPr>
            <w:tcW w:w="2700" w:type="dxa"/>
            <w:vAlign w:val="bottom"/>
          </w:tcPr>
          <w:p>
            <w:pPr>
              <w:spacing w:after="0"/>
              <w:rPr>
                <w:sz w:val="24"/>
                <w:szCs w:val="24"/>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w w:val="89"/>
              </w:rPr>
              <w:t>Whether you virtually attend the Annual Meeting as a Stockholder or as a Guest, please allow yourself ample time for</w:t>
            </w:r>
          </w:p>
        </w:tc>
      </w:tr>
      <w:tr>
        <w:trPr>
          <w:trHeight w:val="222"/>
        </w:trPr>
        <w:tc>
          <w:tcPr>
            <w:tcW w:w="270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the online check-in procedures.</w:t>
            </w:r>
          </w:p>
        </w:tc>
      </w:tr>
      <w:tr>
        <w:trPr>
          <w:trHeight w:val="218"/>
        </w:trPr>
        <w:tc>
          <w:tcPr>
            <w:tcW w:w="2700" w:type="dxa"/>
            <w:vAlign w:val="bottom"/>
          </w:tcPr>
          <w:p>
            <w:pPr>
              <w:spacing w:after="0"/>
              <w:rPr>
                <w:sz w:val="18"/>
                <w:szCs w:val="18"/>
                <w:color w:val="auto"/>
              </w:rPr>
            </w:pPr>
          </w:p>
        </w:tc>
        <w:tc>
          <w:tcPr>
            <w:tcW w:w="8540" w:type="dxa"/>
            <w:vAlign w:val="bottom"/>
          </w:tcPr>
          <w:p>
            <w:pPr>
              <w:spacing w:after="0"/>
              <w:rPr>
                <w:sz w:val="18"/>
                <w:szCs w:val="18"/>
                <w:color w:val="auto"/>
              </w:rPr>
            </w:pPr>
          </w:p>
        </w:tc>
      </w:tr>
      <w:tr>
        <w:trPr>
          <w:trHeight w:val="208"/>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Questions at the Annual Meeting</w:t>
            </w:r>
          </w:p>
        </w:tc>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If you wish to submit a question during the Annual Meeting, you may log in online, and ask a question on our virtual</w:t>
            </w:r>
          </w:p>
        </w:tc>
      </w:tr>
      <w:tr>
        <w:trPr>
          <w:trHeight w:val="216"/>
        </w:trPr>
        <w:tc>
          <w:tcPr>
            <w:tcW w:w="2700" w:type="dxa"/>
            <w:vAlign w:val="bottom"/>
            <w:shd w:val="clear" w:color="auto" w:fill="CCEEFF"/>
          </w:tcPr>
          <w:p>
            <w:pPr>
              <w:spacing w:after="0"/>
              <w:rPr>
                <w:sz w:val="18"/>
                <w:szCs w:val="18"/>
                <w:color w:val="auto"/>
              </w:rPr>
            </w:pPr>
          </w:p>
        </w:tc>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Annual Meeting platform at http://meetings.computershare.com/MPL727P. Our virtual Annual Meeting will be</w:t>
            </w:r>
          </w:p>
        </w:tc>
      </w:tr>
      <w:tr>
        <w:trPr>
          <w:trHeight w:val="216"/>
        </w:trPr>
        <w:tc>
          <w:tcPr>
            <w:tcW w:w="2700" w:type="dxa"/>
            <w:vAlign w:val="bottom"/>
            <w:shd w:val="clear" w:color="auto" w:fill="CCEEFF"/>
          </w:tcPr>
          <w:p>
            <w:pPr>
              <w:spacing w:after="0"/>
              <w:rPr>
                <w:sz w:val="18"/>
                <w:szCs w:val="18"/>
                <w:color w:val="auto"/>
              </w:rPr>
            </w:pPr>
          </w:p>
        </w:tc>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governed by our Rules of Conduct which will be available on the virtual Meeting platform during the Annual</w:t>
            </w:r>
          </w:p>
        </w:tc>
      </w:tr>
      <w:tr>
        <w:trPr>
          <w:trHeight w:val="216"/>
        </w:trPr>
        <w:tc>
          <w:tcPr>
            <w:tcW w:w="2700" w:type="dxa"/>
            <w:vAlign w:val="bottom"/>
            <w:shd w:val="clear" w:color="auto" w:fill="CCEEFF"/>
          </w:tcPr>
          <w:p>
            <w:pPr>
              <w:spacing w:after="0"/>
              <w:rPr>
                <w:sz w:val="18"/>
                <w:szCs w:val="18"/>
                <w:color w:val="auto"/>
              </w:rPr>
            </w:pPr>
          </w:p>
        </w:tc>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Meeting. The Rules of Conduct will address the ability of stockholders to ask questions during the meeting, including</w:t>
            </w:r>
          </w:p>
        </w:tc>
      </w:tr>
      <w:tr>
        <w:trPr>
          <w:trHeight w:val="216"/>
        </w:trPr>
        <w:tc>
          <w:tcPr>
            <w:tcW w:w="2700" w:type="dxa"/>
            <w:vAlign w:val="bottom"/>
            <w:shd w:val="clear" w:color="auto" w:fill="CCEEFF"/>
          </w:tcPr>
          <w:p>
            <w:pPr>
              <w:spacing w:after="0"/>
              <w:rPr>
                <w:sz w:val="18"/>
                <w:szCs w:val="18"/>
                <w:color w:val="auto"/>
              </w:rPr>
            </w:pPr>
          </w:p>
        </w:tc>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rules on permissible topics, and rules for how questions and comments will be recognized and disclosed to meeting</w:t>
            </w:r>
          </w:p>
        </w:tc>
      </w:tr>
      <w:tr>
        <w:trPr>
          <w:trHeight w:val="224"/>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participants.</w:t>
            </w:r>
          </w:p>
        </w:tc>
      </w:tr>
      <w:tr>
        <w:trPr>
          <w:trHeight w:val="655"/>
        </w:trPr>
        <w:tc>
          <w:tcPr>
            <w:tcW w:w="27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8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557"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8640" w:type="dxa"/>
            <w:vAlign w:val="bottom"/>
          </w:tcPr>
          <w:p>
            <w:pPr>
              <w:ind w:left="320"/>
              <w:spacing w:after="0"/>
              <w:rPr>
                <w:sz w:val="20"/>
                <w:szCs w:val="20"/>
                <w:color w:val="auto"/>
              </w:rPr>
            </w:pPr>
            <w:r>
              <w:rPr>
                <w:rFonts w:ascii="Arial" w:cs="Arial" w:eastAsia="Arial" w:hAnsi="Arial"/>
                <w:sz w:val="18"/>
                <w:szCs w:val="18"/>
                <w:color w:val="auto"/>
              </w:rPr>
              <w:t>There are four (4) ways a stockholder of record can vote:</w:t>
            </w:r>
          </w:p>
        </w:tc>
      </w:tr>
      <w:tr>
        <w:trPr>
          <w:trHeight w:val="426"/>
        </w:trPr>
        <w:tc>
          <w:tcPr>
            <w:tcW w:w="2600" w:type="dxa"/>
            <w:vAlign w:val="bottom"/>
          </w:tcPr>
          <w:p>
            <w:pPr>
              <w:spacing w:after="0"/>
              <w:rPr>
                <w:sz w:val="24"/>
                <w:szCs w:val="24"/>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0"/>
              </w:rPr>
              <w:t>(1) By Internet:  If you are a stockholder as of the Record Date, you may vote over the Internet by following the</w:t>
            </w:r>
          </w:p>
        </w:tc>
      </w:tr>
      <w:tr>
        <w:trPr>
          <w:trHeight w:val="222"/>
        </w:trPr>
        <w:tc>
          <w:tcPr>
            <w:tcW w:w="2600" w:type="dxa"/>
            <w:vAlign w:val="bottom"/>
          </w:tcPr>
          <w:p>
            <w:pPr>
              <w:spacing w:after="0"/>
              <w:rPr>
                <w:sz w:val="19"/>
                <w:szCs w:val="19"/>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instructions provided in the Notice.</w:t>
            </w:r>
          </w:p>
        </w:tc>
      </w:tr>
      <w:tr>
        <w:trPr>
          <w:trHeight w:val="426"/>
        </w:trPr>
        <w:tc>
          <w:tcPr>
            <w:tcW w:w="2600" w:type="dxa"/>
            <w:vAlign w:val="bottom"/>
          </w:tcPr>
          <w:p>
            <w:pPr>
              <w:spacing w:after="0"/>
              <w:rPr>
                <w:sz w:val="24"/>
                <w:szCs w:val="24"/>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1"/>
              </w:rPr>
              <w:t>(2) By Telephone:  If you are a stockholder as of the Record Date, you may vote by telephone by following the</w:t>
            </w:r>
          </w:p>
        </w:tc>
      </w:tr>
      <w:tr>
        <w:trPr>
          <w:trHeight w:val="222"/>
        </w:trPr>
        <w:tc>
          <w:tcPr>
            <w:tcW w:w="2600" w:type="dxa"/>
            <w:vAlign w:val="bottom"/>
          </w:tcPr>
          <w:p>
            <w:pPr>
              <w:spacing w:after="0"/>
              <w:rPr>
                <w:sz w:val="19"/>
                <w:szCs w:val="19"/>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instructions in the Notice.</w:t>
            </w:r>
          </w:p>
        </w:tc>
      </w:tr>
      <w:tr>
        <w:trPr>
          <w:trHeight w:val="426"/>
        </w:trPr>
        <w:tc>
          <w:tcPr>
            <w:tcW w:w="2600" w:type="dxa"/>
            <w:vAlign w:val="bottom"/>
          </w:tcPr>
          <w:p>
            <w:pPr>
              <w:spacing w:after="0"/>
              <w:rPr>
                <w:sz w:val="24"/>
                <w:szCs w:val="24"/>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89"/>
              </w:rPr>
              <w:t>(3) By Mail:  If you requested printed copies of proxy materials and are a stockholder as of the Record Date, you</w:t>
            </w:r>
          </w:p>
        </w:tc>
      </w:tr>
      <w:tr>
        <w:trPr>
          <w:trHeight w:val="222"/>
        </w:trPr>
        <w:tc>
          <w:tcPr>
            <w:tcW w:w="2600" w:type="dxa"/>
            <w:vAlign w:val="bottom"/>
          </w:tcPr>
          <w:p>
            <w:pPr>
              <w:spacing w:after="0"/>
              <w:rPr>
                <w:sz w:val="19"/>
                <w:szCs w:val="19"/>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may vote by mailing your proxy as described in the proxy materials.</w:t>
            </w:r>
          </w:p>
        </w:tc>
      </w:tr>
      <w:tr>
        <w:trPr>
          <w:trHeight w:val="426"/>
        </w:trPr>
        <w:tc>
          <w:tcPr>
            <w:tcW w:w="2600" w:type="dxa"/>
            <w:vAlign w:val="bottom"/>
          </w:tcPr>
          <w:p>
            <w:pPr>
              <w:spacing w:after="0"/>
              <w:rPr>
                <w:sz w:val="24"/>
                <w:szCs w:val="24"/>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2"/>
              </w:rPr>
              <w:t>(4) During the Annual Meeting:  The Annual Meeting will be held exclusively via the Internet, and can only be</w:t>
            </w:r>
          </w:p>
        </w:tc>
      </w:tr>
      <w:tr>
        <w:trPr>
          <w:trHeight w:val="216"/>
        </w:trPr>
        <w:tc>
          <w:tcPr>
            <w:tcW w:w="26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2"/>
              </w:rPr>
              <w:t>accessed at http://meetings.computershare.com/MPL727P. Subject to the provisions applicable to other than</w:t>
            </w:r>
          </w:p>
        </w:tc>
      </w:tr>
      <w:tr>
        <w:trPr>
          <w:trHeight w:val="216"/>
        </w:trPr>
        <w:tc>
          <w:tcPr>
            <w:tcW w:w="26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1"/>
              </w:rPr>
              <w:t>holders of record as outlined above in the section entitled “Attendance at Virtual Annual Meeting,” if you are a</w:t>
            </w:r>
          </w:p>
        </w:tc>
      </w:tr>
      <w:tr>
        <w:trPr>
          <w:trHeight w:val="216"/>
        </w:trPr>
        <w:tc>
          <w:tcPr>
            <w:tcW w:w="26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1"/>
              </w:rPr>
              <w:t>stockholder as of the Record Date, you will have the ability to attend the virtual Meeting and vote online during</w:t>
            </w:r>
          </w:p>
        </w:tc>
      </w:tr>
      <w:tr>
        <w:trPr>
          <w:trHeight w:val="216"/>
        </w:trPr>
        <w:tc>
          <w:tcPr>
            <w:tcW w:w="26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4"/>
              </w:rPr>
              <w:t>the Meeting. Submitting a proxy will not prevent a stockholder from attending the Annual Meeting virtually,</w:t>
            </w:r>
          </w:p>
        </w:tc>
      </w:tr>
      <w:tr>
        <w:trPr>
          <w:trHeight w:val="216"/>
        </w:trPr>
        <w:tc>
          <w:tcPr>
            <w:tcW w:w="260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w w:val="90"/>
              </w:rPr>
              <w:t>revoking an earlier-submitted proxy in accordance with the process outlined below and voting online during the</w:t>
            </w:r>
          </w:p>
        </w:tc>
      </w:tr>
      <w:tr>
        <w:trPr>
          <w:trHeight w:val="222"/>
        </w:trPr>
        <w:tc>
          <w:tcPr>
            <w:tcW w:w="2600" w:type="dxa"/>
            <w:vAlign w:val="bottom"/>
          </w:tcPr>
          <w:p>
            <w:pPr>
              <w:spacing w:after="0"/>
              <w:rPr>
                <w:sz w:val="19"/>
                <w:szCs w:val="19"/>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virtual Meeting.</w:t>
            </w:r>
          </w:p>
        </w:tc>
      </w:tr>
      <w:tr>
        <w:trPr>
          <w:trHeight w:val="426"/>
        </w:trPr>
        <w:tc>
          <w:tcPr>
            <w:tcW w:w="2600" w:type="dxa"/>
            <w:vAlign w:val="bottom"/>
          </w:tcPr>
          <w:p>
            <w:pPr>
              <w:spacing w:after="0"/>
              <w:rPr>
                <w:sz w:val="24"/>
                <w:szCs w:val="24"/>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w w:val="91"/>
              </w:rPr>
              <w:t>In order to be counted, proxies submitted by telephone or via the Internet must be received by 11:59 p.m., Eastern</w:t>
            </w:r>
          </w:p>
        </w:tc>
      </w:tr>
      <w:tr>
        <w:trPr>
          <w:trHeight w:val="216"/>
        </w:trPr>
        <w:tc>
          <w:tcPr>
            <w:tcW w:w="260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w w:val="89"/>
              </w:rPr>
              <w:t>Time, on September 16, 2021. Proxies submitted by U.S. mail must be received before the start of the virtual Annual</w:t>
            </w:r>
          </w:p>
        </w:tc>
      </w:tr>
      <w:tr>
        <w:trPr>
          <w:trHeight w:val="222"/>
        </w:trPr>
        <w:tc>
          <w:tcPr>
            <w:tcW w:w="2600" w:type="dxa"/>
            <w:vAlign w:val="bottom"/>
          </w:tcPr>
          <w:p>
            <w:pPr>
              <w:spacing w:after="0"/>
              <w:rPr>
                <w:sz w:val="19"/>
                <w:szCs w:val="19"/>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Meeting. If you hold your shares through a bank or broker, please follow their voting instructions.</w:t>
            </w:r>
          </w:p>
        </w:tc>
      </w:tr>
      <w:tr>
        <w:trPr>
          <w:trHeight w:val="218"/>
        </w:trPr>
        <w:tc>
          <w:tcPr>
            <w:tcW w:w="2600" w:type="dxa"/>
            <w:vAlign w:val="bottom"/>
          </w:tcPr>
          <w:p>
            <w:pPr>
              <w:spacing w:after="0"/>
              <w:rPr>
                <w:sz w:val="18"/>
                <w:szCs w:val="18"/>
                <w:color w:val="auto"/>
              </w:rPr>
            </w:pPr>
          </w:p>
        </w:tc>
        <w:tc>
          <w:tcPr>
            <w:tcW w:w="8640" w:type="dxa"/>
            <w:vAlign w:val="bottom"/>
          </w:tcPr>
          <w:p>
            <w:pPr>
              <w:spacing w:after="0"/>
              <w:rPr>
                <w:sz w:val="18"/>
                <w:szCs w:val="18"/>
                <w:color w:val="auto"/>
              </w:rPr>
            </w:pPr>
          </w:p>
        </w:tc>
      </w:tr>
      <w:tr>
        <w:trPr>
          <w:trHeight w:val="208"/>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Required Vote for Approval</w:t>
            </w: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w w:val="88"/>
              </w:rPr>
              <w:t xml:space="preserve">Proposal No. 1: Election of Directors. </w:t>
            </w:r>
            <w:r>
              <w:rPr>
                <w:rFonts w:ascii="Arial" w:cs="Arial" w:eastAsia="Arial" w:hAnsi="Arial"/>
                <w:sz w:val="18"/>
                <w:szCs w:val="18"/>
                <w:color w:val="auto"/>
                <w:w w:val="88"/>
              </w:rPr>
              <w:t>The seven (7) Director nominees who receive the greatest number of votes cast</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at the Annual Meeting by the shares present, either in person or by proxy, and entitled to vote will be elected to serve</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on our Board of Directors until our 2022 Annual Meeting of Stockholders, or until her or his successor is duly elected</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and qualified. The election of directors requires the affirmative vote of a plurality of the voting shares present or</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represented by proxy and entitled to vote at the Annual Meeting. The seven nominees receiving the highest number of</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affirmative votes will be elected to serve on our Board of Directors until our 2022 Annual Meeting of Stockholders,</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or until her or his successor is duly elected and qualified. Unless otherwise instructed or unless authority to vote is</w:t>
            </w:r>
          </w:p>
        </w:tc>
      </w:tr>
      <w:tr>
        <w:trPr>
          <w:trHeight w:val="222"/>
        </w:trPr>
        <w:tc>
          <w:tcPr>
            <w:tcW w:w="2600" w:type="dxa"/>
            <w:vAlign w:val="bottom"/>
            <w:shd w:val="clear" w:color="auto" w:fill="CCEEFF"/>
          </w:tcPr>
          <w:p>
            <w:pPr>
              <w:spacing w:after="0"/>
              <w:rPr>
                <w:sz w:val="19"/>
                <w:szCs w:val="19"/>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withheld, shares represented by executed proxies will be voted “FOR” the election of the nominees.</w:t>
            </w:r>
          </w:p>
        </w:tc>
      </w:tr>
      <w:tr>
        <w:trPr>
          <w:trHeight w:val="426"/>
        </w:trPr>
        <w:tc>
          <w:tcPr>
            <w:tcW w:w="2600" w:type="dxa"/>
            <w:vAlign w:val="bottom"/>
            <w:shd w:val="clear" w:color="auto" w:fill="CCEEFF"/>
          </w:tcPr>
          <w:p>
            <w:pPr>
              <w:spacing w:after="0"/>
              <w:rPr>
                <w:sz w:val="24"/>
                <w:szCs w:val="24"/>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w w:val="88"/>
              </w:rPr>
              <w:t>Proposal No. 2: Approval of an Amendment and Restatement of the Company’s 2019 Omnibus Equity Incentive Plan</w:t>
            </w:r>
            <w:r>
              <w:rPr>
                <w:rFonts w:ascii="Arial" w:cs="Arial" w:eastAsia="Arial" w:hAnsi="Arial"/>
                <w:sz w:val="18"/>
                <w:szCs w:val="18"/>
                <w:color w:val="auto"/>
                <w:w w:val="88"/>
              </w:rPr>
              <w:t>.</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Our Board unanimously approved of an amendment and restatement of our 2019 Omnibus Equity Incentive Plan</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 xml:space="preserve">(the </w:t>
            </w:r>
            <w:r>
              <w:rPr>
                <w:rFonts w:ascii="Arial" w:cs="Arial" w:eastAsia="Arial" w:hAnsi="Arial"/>
                <w:sz w:val="18"/>
                <w:szCs w:val="18"/>
                <w:i w:val="1"/>
                <w:iCs w:val="1"/>
                <w:color w:val="auto"/>
                <w:w w:val="89"/>
              </w:rPr>
              <w:t>Amended 2019 Plan</w:t>
            </w:r>
            <w:r>
              <w:rPr>
                <w:rFonts w:ascii="Arial" w:cs="Arial" w:eastAsia="Arial" w:hAnsi="Arial"/>
                <w:sz w:val="18"/>
                <w:szCs w:val="18"/>
                <w:color w:val="auto"/>
                <w:w w:val="89"/>
              </w:rPr>
              <w:t>), which Amended 2019 Plan makes certain changes to our 2019 Omnibus Equity Incentive</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Plan, including increasing the number of shares of the common stock authorized for issuance thereunder from 7.5</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million shares to 18 million shares. A copy of the Amended 2019 Plan is attached to this Proxy Statement as</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Appendix A. The affirmative vote “FOR” a majority of the shares present in person or by proxy at the Annual</w:t>
            </w:r>
          </w:p>
        </w:tc>
      </w:tr>
      <w:tr>
        <w:trPr>
          <w:trHeight w:val="222"/>
        </w:trPr>
        <w:tc>
          <w:tcPr>
            <w:tcW w:w="2600" w:type="dxa"/>
            <w:vAlign w:val="bottom"/>
            <w:shd w:val="clear" w:color="auto" w:fill="CCEEFF"/>
          </w:tcPr>
          <w:p>
            <w:pPr>
              <w:spacing w:after="0"/>
              <w:rPr>
                <w:sz w:val="19"/>
                <w:szCs w:val="19"/>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Meeting and entitled to vote is necessary for approval of this proposal.</w:t>
            </w:r>
          </w:p>
        </w:tc>
      </w:tr>
      <w:tr>
        <w:trPr>
          <w:trHeight w:val="426"/>
        </w:trPr>
        <w:tc>
          <w:tcPr>
            <w:tcW w:w="2600" w:type="dxa"/>
            <w:vAlign w:val="bottom"/>
            <w:shd w:val="clear" w:color="auto" w:fill="CCEEFF"/>
          </w:tcPr>
          <w:p>
            <w:pPr>
              <w:spacing w:after="0"/>
              <w:rPr>
                <w:sz w:val="24"/>
                <w:szCs w:val="24"/>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w w:val="91"/>
              </w:rPr>
              <w:t xml:space="preserve">Proposal No. 3: Ratification of Appointment of our Independent Registered Public Accounting Firm. </w:t>
            </w:r>
            <w:r>
              <w:rPr>
                <w:rFonts w:ascii="Arial" w:cs="Arial" w:eastAsia="Arial" w:hAnsi="Arial"/>
                <w:sz w:val="18"/>
                <w:szCs w:val="18"/>
                <w:color w:val="auto"/>
                <w:w w:val="91"/>
              </w:rPr>
              <w:t>The affirmative</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“FOR” vote of a majority of the shares present in person or by proxy at the Annual Meeting and entitled to vote is</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required for the ratification of the selection of WithumSmith+Brown, PC as our independent registered public</w:t>
            </w:r>
          </w:p>
        </w:tc>
      </w:tr>
      <w:tr>
        <w:trPr>
          <w:trHeight w:val="222"/>
        </w:trPr>
        <w:tc>
          <w:tcPr>
            <w:tcW w:w="2600" w:type="dxa"/>
            <w:vAlign w:val="bottom"/>
            <w:shd w:val="clear" w:color="auto" w:fill="CCEEFF"/>
          </w:tcPr>
          <w:p>
            <w:pPr>
              <w:spacing w:after="0"/>
              <w:rPr>
                <w:sz w:val="19"/>
                <w:szCs w:val="19"/>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accounting firm for our current fiscal year.</w:t>
            </w:r>
          </w:p>
        </w:tc>
      </w:tr>
      <w:tr>
        <w:trPr>
          <w:trHeight w:val="218"/>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spacing w:after="0"/>
              <w:rPr>
                <w:sz w:val="18"/>
                <w:szCs w:val="18"/>
                <w:color w:val="auto"/>
              </w:rPr>
            </w:pPr>
          </w:p>
        </w:tc>
      </w:tr>
      <w:tr>
        <w:trPr>
          <w:trHeight w:val="655"/>
        </w:trPr>
        <w:tc>
          <w:tcPr>
            <w:tcW w:w="260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773"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Abstentions and Broker Non-</w:t>
            </w:r>
          </w:p>
        </w:tc>
        <w:tc>
          <w:tcPr>
            <w:tcW w:w="8680" w:type="dxa"/>
            <w:vAlign w:val="bottom"/>
          </w:tcPr>
          <w:p>
            <w:pPr>
              <w:ind w:left="360"/>
              <w:spacing w:after="0"/>
              <w:rPr>
                <w:sz w:val="20"/>
                <w:szCs w:val="20"/>
                <w:color w:val="auto"/>
              </w:rPr>
            </w:pPr>
            <w:r>
              <w:rPr>
                <w:rFonts w:ascii="Arial" w:cs="Arial" w:eastAsia="Arial" w:hAnsi="Arial"/>
                <w:sz w:val="18"/>
                <w:szCs w:val="18"/>
                <w:color w:val="auto"/>
                <w:w w:val="90"/>
              </w:rPr>
              <w:t>All votes will be tabulated by the inspector of election appointed for the Annual Meeting, who will separately tabulate</w:t>
            </w:r>
          </w:p>
        </w:tc>
      </w:tr>
      <w:tr>
        <w:trPr>
          <w:trHeight w:val="222"/>
        </w:trPr>
        <w:tc>
          <w:tcPr>
            <w:tcW w:w="2560" w:type="dxa"/>
            <w:vAlign w:val="bottom"/>
          </w:tcPr>
          <w:p>
            <w:pPr>
              <w:spacing w:after="0"/>
              <w:rPr>
                <w:sz w:val="20"/>
                <w:szCs w:val="20"/>
                <w:color w:val="auto"/>
              </w:rPr>
            </w:pPr>
            <w:r>
              <w:rPr>
                <w:rFonts w:ascii="Arial" w:cs="Arial" w:eastAsia="Arial" w:hAnsi="Arial"/>
                <w:sz w:val="18"/>
                <w:szCs w:val="18"/>
                <w:b w:val="1"/>
                <w:bCs w:val="1"/>
                <w:color w:val="auto"/>
              </w:rPr>
              <w:t>Votes</w:t>
            </w:r>
          </w:p>
        </w:tc>
        <w:tc>
          <w:tcPr>
            <w:tcW w:w="8680" w:type="dxa"/>
            <w:vAlign w:val="bottom"/>
          </w:tcPr>
          <w:p>
            <w:pPr>
              <w:ind w:left="360"/>
              <w:spacing w:after="0"/>
              <w:rPr>
                <w:sz w:val="20"/>
                <w:szCs w:val="20"/>
                <w:color w:val="auto"/>
              </w:rPr>
            </w:pPr>
            <w:r>
              <w:rPr>
                <w:rFonts w:ascii="Arial" w:cs="Arial" w:eastAsia="Arial" w:hAnsi="Arial"/>
                <w:sz w:val="18"/>
                <w:szCs w:val="18"/>
                <w:color w:val="auto"/>
                <w:w w:val="88"/>
              </w:rPr>
              <w:t>affirmative and negative votes, abstentions and broker non-votes. An abstention is the voluntary act of not voting by a</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3"/>
              </w:rPr>
              <w:t>stockholder who is present at a meeting and entitled to vote. A broker “non-vote” occurs when a broker nominee</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2"/>
              </w:rPr>
              <w:t>holding shares for a beneficial owner does not vote on a particular proposal because the nominee does not have</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1"/>
              </w:rPr>
              <w:t>discretionary power for that particular item and has not received instructions from the beneficial owner. If you hold</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4"/>
              </w:rPr>
              <w:t>your shares in “street name” through a broker, brokerage firm or other nominee, your broker, brokerage firm or</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0"/>
              </w:rPr>
              <w:t>nominee may not be permitted to exercise voting discretion with respect to some of the matters to be acted upon. If</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0"/>
              </w:rPr>
              <w:t>you do not give your broker, brokerage firm or nominee specific instructions regarding such matters, your proxy will</w:t>
            </w:r>
          </w:p>
        </w:tc>
      </w:tr>
      <w:tr>
        <w:trPr>
          <w:trHeight w:val="222"/>
        </w:trPr>
        <w:tc>
          <w:tcPr>
            <w:tcW w:w="2560" w:type="dxa"/>
            <w:vAlign w:val="bottom"/>
          </w:tcPr>
          <w:p>
            <w:pPr>
              <w:spacing w:after="0"/>
              <w:rPr>
                <w:sz w:val="19"/>
                <w:szCs w:val="19"/>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be deemed a “broker non-vote.”</w:t>
            </w:r>
          </w:p>
        </w:tc>
      </w:tr>
      <w:tr>
        <w:trPr>
          <w:trHeight w:val="426"/>
        </w:trPr>
        <w:tc>
          <w:tcPr>
            <w:tcW w:w="2560" w:type="dxa"/>
            <w:vAlign w:val="bottom"/>
          </w:tcPr>
          <w:p>
            <w:pPr>
              <w:spacing w:after="0"/>
              <w:rPr>
                <w:sz w:val="24"/>
                <w:szCs w:val="24"/>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3"/>
              </w:rPr>
              <w:t>As noted above, the seven director nominees identified under Proposal No. 1 who receive the most votes at the</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0"/>
              </w:rPr>
              <w:t>Annual Meeting will be elected to serve on our Board of Directors until our 2022 Annual Meeting of Stockholders, or</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0"/>
              </w:rPr>
              <w:t>until her or his successor is duly elected and qualified, thus abstentions and broker non-votes will have no effect on</w:t>
            </w:r>
          </w:p>
        </w:tc>
      </w:tr>
      <w:tr>
        <w:trPr>
          <w:trHeight w:val="222"/>
        </w:trPr>
        <w:tc>
          <w:tcPr>
            <w:tcW w:w="2560" w:type="dxa"/>
            <w:vAlign w:val="bottom"/>
          </w:tcPr>
          <w:p>
            <w:pPr>
              <w:spacing w:after="0"/>
              <w:rPr>
                <w:sz w:val="19"/>
                <w:szCs w:val="19"/>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the outcome of Proposal No. 1.</w:t>
            </w:r>
          </w:p>
        </w:tc>
      </w:tr>
      <w:tr>
        <w:trPr>
          <w:trHeight w:val="426"/>
        </w:trPr>
        <w:tc>
          <w:tcPr>
            <w:tcW w:w="2560" w:type="dxa"/>
            <w:vAlign w:val="bottom"/>
          </w:tcPr>
          <w:p>
            <w:pPr>
              <w:spacing w:after="0"/>
              <w:rPr>
                <w:sz w:val="24"/>
                <w:szCs w:val="24"/>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0"/>
              </w:rPr>
              <w:t>Under Nevada law and our Amended and Restated Bylaws, each other matter will be determined by the vote of the</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0"/>
              </w:rPr>
              <w:t>holders of a majority of the voting power present or represented by proxy at the Annual Meeting. For these matters,</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88"/>
              </w:rPr>
              <w:t>abstentions and any broker non-votes cast will not be counted as votes in favor of such proposals, and will also not be</w:t>
            </w:r>
          </w:p>
        </w:tc>
      </w:tr>
      <w:tr>
        <w:trPr>
          <w:trHeight w:val="222"/>
        </w:trPr>
        <w:tc>
          <w:tcPr>
            <w:tcW w:w="2560" w:type="dxa"/>
            <w:vAlign w:val="bottom"/>
          </w:tcPr>
          <w:p>
            <w:pPr>
              <w:spacing w:after="0"/>
              <w:rPr>
                <w:sz w:val="19"/>
                <w:szCs w:val="19"/>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counted as shares voting on such matters.</w:t>
            </w:r>
          </w:p>
        </w:tc>
      </w:tr>
      <w:tr>
        <w:trPr>
          <w:trHeight w:val="218"/>
        </w:trPr>
        <w:tc>
          <w:tcPr>
            <w:tcW w:w="2560" w:type="dxa"/>
            <w:vAlign w:val="bottom"/>
          </w:tcPr>
          <w:p>
            <w:pPr>
              <w:spacing w:after="0"/>
              <w:rPr>
                <w:sz w:val="18"/>
                <w:szCs w:val="18"/>
                <w:color w:val="auto"/>
              </w:rPr>
            </w:pPr>
          </w:p>
        </w:tc>
        <w:tc>
          <w:tcPr>
            <w:tcW w:w="8680" w:type="dxa"/>
            <w:vAlign w:val="bottom"/>
          </w:tcPr>
          <w:p>
            <w:pPr>
              <w:spacing w:after="0"/>
              <w:rPr>
                <w:sz w:val="18"/>
                <w:szCs w:val="18"/>
                <w:color w:val="auto"/>
              </w:rPr>
            </w:pPr>
          </w:p>
        </w:tc>
      </w:tr>
      <w:tr>
        <w:trPr>
          <w:trHeight w:val="208"/>
        </w:trPr>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Revocation of Proxies</w:t>
            </w: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You may revoke or change your proxy at any time before the Annual Meeting by filing, with our Corporate Secretary</w:t>
            </w:r>
          </w:p>
        </w:tc>
      </w:tr>
      <w:tr>
        <w:trPr>
          <w:trHeight w:val="216"/>
        </w:trPr>
        <w:tc>
          <w:tcPr>
            <w:tcW w:w="2560" w:type="dxa"/>
            <w:vAlign w:val="bottom"/>
            <w:shd w:val="clear" w:color="auto" w:fill="CCEEFF"/>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at our principal executive offices, located at 343 Allerton Avenue, South San Francisco, California 94080, a notice of</w:t>
            </w:r>
          </w:p>
        </w:tc>
      </w:tr>
      <w:tr>
        <w:trPr>
          <w:trHeight w:val="216"/>
        </w:trPr>
        <w:tc>
          <w:tcPr>
            <w:tcW w:w="2560" w:type="dxa"/>
            <w:vAlign w:val="bottom"/>
            <w:shd w:val="clear" w:color="auto" w:fill="CCEEFF"/>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revocation or another signed proxy with a later date. You may also revoke your proxy by virtually attending the</w:t>
            </w:r>
          </w:p>
        </w:tc>
      </w:tr>
      <w:tr>
        <w:trPr>
          <w:trHeight w:val="216"/>
        </w:trPr>
        <w:tc>
          <w:tcPr>
            <w:tcW w:w="2560" w:type="dxa"/>
            <w:vAlign w:val="bottom"/>
            <w:shd w:val="clear" w:color="auto" w:fill="CCEEFF"/>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Annual Meeting and voting in person. Your attendance at the virtual Annual Meeting will not, by itself, revoke your</w:t>
            </w:r>
          </w:p>
        </w:tc>
      </w:tr>
      <w:tr>
        <w:trPr>
          <w:trHeight w:val="224"/>
        </w:trPr>
        <w:tc>
          <w:tcPr>
            <w:tcW w:w="2560" w:type="dxa"/>
            <w:vAlign w:val="bottom"/>
            <w:shd w:val="clear" w:color="auto" w:fill="CCEEFF"/>
          </w:tcPr>
          <w:p>
            <w:pPr>
              <w:spacing w:after="0"/>
              <w:rPr>
                <w:sz w:val="19"/>
                <w:szCs w:val="19"/>
                <w:color w:val="auto"/>
              </w:rPr>
            </w:pP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proxy.</w:t>
            </w:r>
          </w:p>
        </w:tc>
      </w:tr>
      <w:tr>
        <w:trPr>
          <w:trHeight w:val="424"/>
        </w:trPr>
        <w:tc>
          <w:tcPr>
            <w:tcW w:w="2560" w:type="dxa"/>
            <w:vAlign w:val="bottom"/>
          </w:tcPr>
          <w:p>
            <w:pPr>
              <w:spacing w:after="0"/>
              <w:rPr>
                <w:sz w:val="20"/>
                <w:szCs w:val="20"/>
                <w:color w:val="auto"/>
              </w:rPr>
            </w:pPr>
            <w:r>
              <w:rPr>
                <w:rFonts w:ascii="Arial" w:cs="Arial" w:eastAsia="Arial" w:hAnsi="Arial"/>
                <w:sz w:val="18"/>
                <w:szCs w:val="18"/>
                <w:b w:val="1"/>
                <w:bCs w:val="1"/>
                <w:color w:val="auto"/>
              </w:rPr>
              <w:t>Solicitation</w:t>
            </w:r>
          </w:p>
        </w:tc>
        <w:tc>
          <w:tcPr>
            <w:tcW w:w="8680" w:type="dxa"/>
            <w:vAlign w:val="bottom"/>
          </w:tcPr>
          <w:p>
            <w:pPr>
              <w:ind w:left="360"/>
              <w:spacing w:after="0"/>
              <w:rPr>
                <w:sz w:val="20"/>
                <w:szCs w:val="20"/>
                <w:color w:val="auto"/>
              </w:rPr>
            </w:pPr>
            <w:r>
              <w:rPr>
                <w:rFonts w:ascii="Arial" w:cs="Arial" w:eastAsia="Arial" w:hAnsi="Arial"/>
                <w:sz w:val="18"/>
                <w:szCs w:val="18"/>
                <w:color w:val="auto"/>
                <w:w w:val="90"/>
              </w:rPr>
              <w:t>We will bear the entire cost of solicitation, including the preparation, assembly, printing and mailing of the Notice, as</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1"/>
              </w:rPr>
              <w:t>well as the preparation and posting on the Internet of this Proxy Statement and any additional solicitation materials</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1"/>
              </w:rPr>
              <w:t>furnished to the stockholders. Copies of any solicitation materials will be furnished to brokerage houses, fiduciaries</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3"/>
              </w:rPr>
              <w:t>and custodians holding shares in their names that are beneficially owned by others so that they may forward the</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6"/>
              </w:rPr>
              <w:t>solicitation materials to such beneficial owners. In addition, we may reimburse such persons for their costs in</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forwarding the solicitation materials to such beneficial owners. The original solicitation of proxies may be</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94"/>
              </w:rPr>
              <w:t>supplemented by a solicitation, by telephone, email or other means, by our directors, officers or employees. No</w:t>
            </w:r>
          </w:p>
        </w:tc>
      </w:tr>
      <w:tr>
        <w:trPr>
          <w:trHeight w:val="216"/>
        </w:trPr>
        <w:tc>
          <w:tcPr>
            <w:tcW w:w="256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w w:val="88"/>
              </w:rPr>
              <w:t>additional compensation will be paid to these individuals for any such services. Except as described above, we do not</w:t>
            </w:r>
          </w:p>
        </w:tc>
      </w:tr>
      <w:tr>
        <w:trPr>
          <w:trHeight w:val="222"/>
        </w:trPr>
        <w:tc>
          <w:tcPr>
            <w:tcW w:w="2560" w:type="dxa"/>
            <w:vAlign w:val="bottom"/>
          </w:tcPr>
          <w:p>
            <w:pPr>
              <w:spacing w:after="0"/>
              <w:rPr>
                <w:sz w:val="19"/>
                <w:szCs w:val="19"/>
                <w:color w:val="auto"/>
              </w:rPr>
            </w:pPr>
          </w:p>
        </w:tc>
        <w:tc>
          <w:tcPr>
            <w:tcW w:w="8680" w:type="dxa"/>
            <w:vAlign w:val="bottom"/>
          </w:tcPr>
          <w:p>
            <w:pPr>
              <w:ind w:left="360"/>
              <w:spacing w:after="0"/>
              <w:rPr>
                <w:sz w:val="20"/>
                <w:szCs w:val="20"/>
                <w:color w:val="auto"/>
              </w:rPr>
            </w:pPr>
            <w:r>
              <w:rPr>
                <w:rFonts w:ascii="Arial" w:cs="Arial" w:eastAsia="Arial" w:hAnsi="Arial"/>
                <w:sz w:val="18"/>
                <w:szCs w:val="18"/>
                <w:color w:val="auto"/>
              </w:rPr>
              <w:t>presently intend to solicit proxies other than by the Internet, telephone, email and postal mail.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Bylaws provide that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shall consist of not less than one, nor more than seven directors, and that upon any change in the number of directors, any newly created directorships or eliminated directorships shall be apportioned by the remaining members of the Board or by stockholders.</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Board currently consists of seven directors, including recently appointed directors Ms. Joanne Curley, Ms. Margaret M. FitzPatrick and Ms. Mary L. Rotunno. These appointments were made following the departure of Dr. H. Ralph Snodgrass and Dr. Brian J. Underdown from the Board. The decision to step down from the Board was not the result of any disagreement with the Company’s management or the Board for either of Dr. Snodgrass, who continues to serve as the Company’s President and Chief Scientific Officer, or Dr. Underdown. Both Dr. Snodgrass and Dr. Underdown made valuable contributions to the Company and the Board during their tenure, and the Board thanks each of them for their service on the Board.</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Each of the Board’s seven (7) current directors is nominated for election at the virtual Annual Meeting to serve until our next annual meeting of stockholders, or until her or his successor is duly elected and qualified. Each nominee has confirmed that he or she is able and willing to continue serving as a director if elected. If any of the nominees becomes unable or unwilling to serve, your proxy will be voted for the election of a substitute nominee recommended by the current Board.</w:t>
      </w:r>
    </w:p>
    <w:p>
      <w:pPr>
        <w:spacing w:after="0" w:line="19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Upon recommendation of the members of its Corporate Governance and Nominating Committee, the Board has nominated the following directors for election at our Annual Meeting: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0"/>
              </w:rPr>
              <w:t>Jon S. Saxe, J.D., LL.M.</w:t>
            </w:r>
          </w:p>
        </w:tc>
        <w:tc>
          <w:tcPr>
            <w:tcW w:w="4060" w:type="dxa"/>
            <w:vAlign w:val="bottom"/>
          </w:tcPr>
          <w:p>
            <w:pPr>
              <w:jc w:val="center"/>
              <w:ind w:left="1372"/>
              <w:spacing w:after="0"/>
              <w:rPr>
                <w:sz w:val="20"/>
                <w:szCs w:val="20"/>
                <w:color w:val="auto"/>
              </w:rPr>
            </w:pPr>
            <w:r>
              <w:rPr>
                <w:rFonts w:ascii="Arial" w:cs="Arial" w:eastAsia="Arial" w:hAnsi="Arial"/>
                <w:sz w:val="18"/>
                <w:szCs w:val="18"/>
                <w:b w:val="1"/>
                <w:bCs w:val="1"/>
                <w:color w:val="auto"/>
                <w:w w:val="93"/>
              </w:rPr>
              <w:t>Jerry B. Gin, Ph.D., MBA</w:t>
            </w:r>
          </w:p>
        </w:tc>
      </w:tr>
      <w:tr>
        <w:trPr>
          <w:trHeight w:val="222"/>
        </w:trPr>
        <w:tc>
          <w:tcPr>
            <w:tcW w:w="5620" w:type="dxa"/>
            <w:vAlign w:val="bottom"/>
          </w:tcPr>
          <w:p>
            <w:pPr>
              <w:jc w:val="center"/>
              <w:ind w:right="12"/>
              <w:spacing w:after="0"/>
              <w:rPr>
                <w:sz w:val="20"/>
                <w:szCs w:val="20"/>
                <w:color w:val="auto"/>
              </w:rPr>
            </w:pPr>
            <w:r>
              <w:rPr>
                <w:rFonts w:ascii="Arial" w:cs="Arial" w:eastAsia="Arial" w:hAnsi="Arial"/>
                <w:sz w:val="18"/>
                <w:szCs w:val="18"/>
                <w:i w:val="1"/>
                <w:iCs w:val="1"/>
                <w:color w:val="auto"/>
                <w:w w:val="89"/>
              </w:rPr>
              <w:t>Chairman and Independent Director</w:t>
            </w:r>
          </w:p>
        </w:tc>
        <w:tc>
          <w:tcPr>
            <w:tcW w:w="4060" w:type="dxa"/>
            <w:vAlign w:val="bottom"/>
          </w:tcPr>
          <w:p>
            <w:pPr>
              <w:jc w:val="center"/>
              <w:ind w:left="1372"/>
              <w:spacing w:after="0"/>
              <w:rPr>
                <w:sz w:val="20"/>
                <w:szCs w:val="20"/>
                <w:color w:val="auto"/>
              </w:rPr>
            </w:pPr>
            <w:r>
              <w:rPr>
                <w:rFonts w:ascii="Arial" w:cs="Arial" w:eastAsia="Arial" w:hAnsi="Arial"/>
                <w:sz w:val="18"/>
                <w:szCs w:val="18"/>
                <w:i w:val="1"/>
                <w:iCs w:val="1"/>
                <w:color w:val="auto"/>
                <w:w w:val="90"/>
              </w:rPr>
              <w:t>Independent Director</w:t>
            </w:r>
          </w:p>
        </w:tc>
      </w:tr>
      <w:tr>
        <w:trPr>
          <w:trHeight w:val="426"/>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2"/>
              </w:rPr>
              <w:t>Ann M. Cunningham, MBA</w:t>
            </w:r>
          </w:p>
        </w:tc>
        <w:tc>
          <w:tcPr>
            <w:tcW w:w="4060" w:type="dxa"/>
            <w:vAlign w:val="bottom"/>
          </w:tcPr>
          <w:p>
            <w:pPr>
              <w:jc w:val="center"/>
              <w:ind w:left="1372"/>
              <w:spacing w:after="0"/>
              <w:rPr>
                <w:sz w:val="20"/>
                <w:szCs w:val="20"/>
                <w:color w:val="auto"/>
              </w:rPr>
            </w:pPr>
            <w:r>
              <w:rPr>
                <w:rFonts w:ascii="Arial" w:cs="Arial" w:eastAsia="Arial" w:hAnsi="Arial"/>
                <w:sz w:val="18"/>
                <w:szCs w:val="18"/>
                <w:b w:val="1"/>
                <w:bCs w:val="1"/>
                <w:color w:val="auto"/>
                <w:w w:val="92"/>
              </w:rPr>
              <w:t>Mary L. Rotunno, J.D.</w:t>
            </w:r>
          </w:p>
        </w:tc>
      </w:tr>
      <w:tr>
        <w:trPr>
          <w:trHeight w:val="222"/>
        </w:trPr>
        <w:tc>
          <w:tcPr>
            <w:tcW w:w="5620" w:type="dxa"/>
            <w:vAlign w:val="bottom"/>
          </w:tcPr>
          <w:p>
            <w:pPr>
              <w:jc w:val="center"/>
              <w:ind w:right="12"/>
              <w:spacing w:after="0"/>
              <w:rPr>
                <w:sz w:val="20"/>
                <w:szCs w:val="20"/>
                <w:color w:val="auto"/>
              </w:rPr>
            </w:pPr>
            <w:r>
              <w:rPr>
                <w:rFonts w:ascii="Arial" w:cs="Arial" w:eastAsia="Arial" w:hAnsi="Arial"/>
                <w:sz w:val="18"/>
                <w:szCs w:val="18"/>
                <w:i w:val="1"/>
                <w:iCs w:val="1"/>
                <w:color w:val="auto"/>
                <w:w w:val="90"/>
              </w:rPr>
              <w:t>Chief Commercial Officer and Director</w:t>
            </w:r>
          </w:p>
        </w:tc>
        <w:tc>
          <w:tcPr>
            <w:tcW w:w="4060" w:type="dxa"/>
            <w:vAlign w:val="bottom"/>
          </w:tcPr>
          <w:p>
            <w:pPr>
              <w:jc w:val="center"/>
              <w:ind w:left="1372"/>
              <w:spacing w:after="0"/>
              <w:rPr>
                <w:sz w:val="20"/>
                <w:szCs w:val="20"/>
                <w:color w:val="auto"/>
              </w:rPr>
            </w:pPr>
            <w:r>
              <w:rPr>
                <w:rFonts w:ascii="Arial" w:cs="Arial" w:eastAsia="Arial" w:hAnsi="Arial"/>
                <w:sz w:val="18"/>
                <w:szCs w:val="18"/>
                <w:i w:val="1"/>
                <w:iCs w:val="1"/>
                <w:color w:val="auto"/>
                <w:w w:val="90"/>
              </w:rPr>
              <w:t>Independent Director</w:t>
            </w:r>
          </w:p>
        </w:tc>
      </w:tr>
      <w:tr>
        <w:trPr>
          <w:trHeight w:val="426"/>
        </w:trPr>
        <w:tc>
          <w:tcPr>
            <w:tcW w:w="562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Joanne Curley, Ph.D.</w:t>
            </w:r>
          </w:p>
        </w:tc>
        <w:tc>
          <w:tcPr>
            <w:tcW w:w="4060" w:type="dxa"/>
            <w:vAlign w:val="bottom"/>
          </w:tcPr>
          <w:p>
            <w:pPr>
              <w:jc w:val="center"/>
              <w:ind w:left="1372"/>
              <w:spacing w:after="0"/>
              <w:rPr>
                <w:sz w:val="20"/>
                <w:szCs w:val="20"/>
                <w:color w:val="auto"/>
              </w:rPr>
            </w:pPr>
            <w:r>
              <w:rPr>
                <w:rFonts w:ascii="Arial" w:cs="Arial" w:eastAsia="Arial" w:hAnsi="Arial"/>
                <w:sz w:val="18"/>
                <w:szCs w:val="18"/>
                <w:b w:val="1"/>
                <w:bCs w:val="1"/>
                <w:color w:val="auto"/>
                <w:w w:val="89"/>
              </w:rPr>
              <w:t>Shawn K. Singh, J.D.</w:t>
            </w:r>
          </w:p>
        </w:tc>
      </w:tr>
      <w:tr>
        <w:trPr>
          <w:trHeight w:val="222"/>
        </w:trPr>
        <w:tc>
          <w:tcPr>
            <w:tcW w:w="5620" w:type="dxa"/>
            <w:vAlign w:val="bottom"/>
          </w:tcPr>
          <w:p>
            <w:pPr>
              <w:jc w:val="center"/>
              <w:ind w:right="12"/>
              <w:spacing w:after="0"/>
              <w:rPr>
                <w:sz w:val="20"/>
                <w:szCs w:val="20"/>
                <w:color w:val="auto"/>
              </w:rPr>
            </w:pPr>
            <w:r>
              <w:rPr>
                <w:rFonts w:ascii="Arial" w:cs="Arial" w:eastAsia="Arial" w:hAnsi="Arial"/>
                <w:sz w:val="18"/>
                <w:szCs w:val="18"/>
                <w:i w:val="1"/>
                <w:iCs w:val="1"/>
                <w:color w:val="auto"/>
                <w:w w:val="90"/>
              </w:rPr>
              <w:t>Independent Director</w:t>
            </w:r>
          </w:p>
        </w:tc>
        <w:tc>
          <w:tcPr>
            <w:tcW w:w="4060" w:type="dxa"/>
            <w:vAlign w:val="bottom"/>
          </w:tcPr>
          <w:p>
            <w:pPr>
              <w:jc w:val="center"/>
              <w:ind w:left="1372"/>
              <w:spacing w:after="0"/>
              <w:rPr>
                <w:sz w:val="20"/>
                <w:szCs w:val="20"/>
                <w:color w:val="auto"/>
              </w:rPr>
            </w:pPr>
            <w:r>
              <w:rPr>
                <w:rFonts w:ascii="Arial" w:cs="Arial" w:eastAsia="Arial" w:hAnsi="Arial"/>
                <w:sz w:val="18"/>
                <w:szCs w:val="18"/>
                <w:i w:val="1"/>
                <w:iCs w:val="1"/>
                <w:color w:val="auto"/>
                <w:w w:val="90"/>
              </w:rPr>
              <w:t>Chief Executive Officer and Director</w:t>
            </w:r>
          </w:p>
        </w:tc>
      </w:tr>
      <w:tr>
        <w:trPr>
          <w:trHeight w:val="426"/>
        </w:trPr>
        <w:tc>
          <w:tcPr>
            <w:tcW w:w="5620" w:type="dxa"/>
            <w:vAlign w:val="bottom"/>
          </w:tcPr>
          <w:p>
            <w:pPr>
              <w:jc w:val="center"/>
              <w:ind w:right="12"/>
              <w:spacing w:after="0"/>
              <w:rPr>
                <w:sz w:val="20"/>
                <w:szCs w:val="20"/>
                <w:color w:val="auto"/>
              </w:rPr>
            </w:pPr>
            <w:r>
              <w:rPr>
                <w:rFonts w:ascii="Arial" w:cs="Arial" w:eastAsia="Arial" w:hAnsi="Arial"/>
                <w:sz w:val="18"/>
                <w:szCs w:val="18"/>
                <w:b w:val="1"/>
                <w:bCs w:val="1"/>
                <w:color w:val="auto"/>
                <w:w w:val="94"/>
              </w:rPr>
              <w:t>Margaret M. FitzPatrick, M.A.</w:t>
            </w:r>
          </w:p>
        </w:tc>
        <w:tc>
          <w:tcPr>
            <w:tcW w:w="4060" w:type="dxa"/>
            <w:vAlign w:val="bottom"/>
          </w:tcPr>
          <w:p>
            <w:pPr>
              <w:spacing w:after="0"/>
              <w:rPr>
                <w:sz w:val="24"/>
                <w:szCs w:val="24"/>
                <w:color w:val="auto"/>
              </w:rPr>
            </w:pPr>
          </w:p>
        </w:tc>
      </w:tr>
      <w:tr>
        <w:trPr>
          <w:trHeight w:val="222"/>
        </w:trPr>
        <w:tc>
          <w:tcPr>
            <w:tcW w:w="5620" w:type="dxa"/>
            <w:vAlign w:val="bottom"/>
          </w:tcPr>
          <w:p>
            <w:pPr>
              <w:jc w:val="center"/>
              <w:ind w:right="12"/>
              <w:spacing w:after="0"/>
              <w:rPr>
                <w:sz w:val="20"/>
                <w:szCs w:val="20"/>
                <w:color w:val="auto"/>
              </w:rPr>
            </w:pPr>
            <w:r>
              <w:rPr>
                <w:rFonts w:ascii="Arial" w:cs="Arial" w:eastAsia="Arial" w:hAnsi="Arial"/>
                <w:sz w:val="18"/>
                <w:szCs w:val="18"/>
                <w:i w:val="1"/>
                <w:iCs w:val="1"/>
                <w:color w:val="auto"/>
                <w:w w:val="90"/>
              </w:rPr>
              <w:t>Independent Director</w:t>
            </w:r>
          </w:p>
        </w:tc>
        <w:tc>
          <w:tcPr>
            <w:tcW w:w="4060" w:type="dxa"/>
            <w:vAlign w:val="bottom"/>
          </w:tcPr>
          <w:p>
            <w:pPr>
              <w:spacing w:after="0"/>
              <w:rPr>
                <w:sz w:val="19"/>
                <w:szCs w:val="19"/>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Required Vote and Recommendation</w:t>
            </w:r>
          </w:p>
        </w:tc>
        <w:tc>
          <w:tcPr>
            <w:tcW w:w="4060" w:type="dxa"/>
            <w:vAlign w:val="bottom"/>
          </w:tcPr>
          <w:p>
            <w:pPr>
              <w:spacing w:after="0"/>
              <w:rPr>
                <w:sz w:val="24"/>
                <w:szCs w:val="24"/>
                <w:color w:val="auto"/>
              </w:rPr>
            </w:pPr>
          </w:p>
        </w:tc>
      </w:tr>
    </w:tbl>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election of directors requires the affirmative vote of a plurality of the voting shares present or represented by proxy and entitled to vote at the Annual Meeting. The seven nominees receiving the highest number of affirmative votes will be elected to serve on our Board of Directors until our 2022 Annual Meeting of Stockholders, or until her or his successor is duly elected and qualified. Unless otherwise instructed or unless authority to vote is withheld, shares represented by executed proxies will be voted “FOR” the election of the nominees.</w:t>
      </w:r>
    </w:p>
    <w:p>
      <w:pPr>
        <w:spacing w:after="0" w:line="19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b w:val="1"/>
          <w:bCs w:val="1"/>
          <w:color w:val="auto"/>
        </w:rPr>
        <w:t>The Board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election of Mr. Saxe, Ms. Cunningham, Dr. Curley, Ms. FitzPatrick, Dr. Gin, Ms. Rotunno and Mr. Singh.</w:t>
      </w:r>
    </w:p>
    <w:p>
      <w:pPr>
        <w:spacing w:after="0" w:line="18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following sections sets forth certain information regarding the nominees for election as directors of the Company. There are no family relationships between any of the directors and the Company’s executive officers.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 Qualification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300"/>
        <w:spacing w:after="0" w:line="331"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i w:val="1"/>
          <w:iCs w:val="1"/>
          <w:color w:val="auto"/>
        </w:rPr>
        <w:t>Chairman and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-1773555</wp:posOffset>
            </wp:positionV>
            <wp:extent cx="1320165" cy="1320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165" cy="132016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Mr. Saxe has served as Chairman of our Board since 2000, first as Chairman of the Board of Directors of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then as Chairman of our Board after the merger by and between the Company and VistaGen California on May 11, 2011, at which time VistaGen California became a wholly-owned subsidiary of the Company (the </w:t>
      </w:r>
      <w:r>
        <w:rPr>
          <w:rFonts w:ascii="Arial" w:cs="Arial" w:eastAsia="Arial" w:hAnsi="Arial"/>
          <w:sz w:val="16"/>
          <w:szCs w:val="16"/>
          <w:i w:val="1"/>
          <w:iCs w:val="1"/>
          <w:color w:val="auto"/>
        </w:rPr>
        <w:t>Merger</w:t>
      </w:r>
      <w:r>
        <w:rPr>
          <w:rFonts w:ascii="Arial" w:cs="Arial" w:eastAsia="Arial" w:hAnsi="Arial"/>
          <w:sz w:val="16"/>
          <w:szCs w:val="16"/>
          <w:color w:val="auto"/>
        </w:rPr>
        <w:t>).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Achelios, Arbor Vita Corporation, Aether, Inc., Arcuo Medical, LLC, Cancer Prevention Pharmaceuticals, Inc.,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118110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5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1294130" cy="1619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 M. Cunningham, MBA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Commercial Officer and Director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53</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Ms. Cunningham has served as a member of our Board since January 2019 and was appointed to serve as the Company’s Chief Commercial Officer on May 1, 2021. Prior to joining the Company, Ms. Cunningham was the Founder and Managing Partner of i3 Strategy Partners, a consulting firm founded in 2018 specializing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-1536700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244475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398780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2880" w:space="720"/>
            <w:col w:w="7640"/>
          </w:cols>
          <w:pgMar w:left="320" w:top="7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Joanne Curley,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-1552575</wp:posOffset>
            </wp:positionV>
            <wp:extent cx="1311275" cy="131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Independent Director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Dr. Curley has served as a member of our Board of Directors since April 2021. Dr. Curley brings more than 25 years of experience in the development and commercialization of pharmaceutical products, including research and development governance. Dr. Curley currently serves as the Chief Development Officer at Vera Therapeutics, Inc., a position she has held since March 2020. Prior to joining Vera, from June 2005 to March 2020, Dr. Curley held various director-level position with Gilead Sciences, Inc., during which time the anti-viral portfolio grew from four to seventeen commercial products. While at Gilead, Dr. Curley led Project and Portfolio Management with oversight of the development pipeline across four therapeutic areas and was responsible for research and development governance. Before Gilead, Dr. Curley worked as an aerosol formulation scientist and subsequently as a project leader at Nektar Therapeutics. Dr. Curley received a BSc in Physics and Chemistry from Trinity College, Ireland, a Ph.D. in Polymer Science and Engineering from the University of Massachusetts, Amherst and completed a post-doctorate at Massachusetts Institute of Technology and Harvard Medical School, focused on long-acting biodegradable formulations.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selected Dr. Curley to serve on our Board of Directors due to her extensive experience in early product development, regulatory approval and commercialization of pharmaceutical products, giving her a unique perspective of the life cycle of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128270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793"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1276985" cy="1594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7698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Margaret M. FitzPatrick, M.A.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55</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Ms. FitzPatrick has served on our Board of Directors since July 2021. Ms. FitzPatrick is a globally recognized corporate affairs executive who has been honored with several prestigious awards, including the Washington Business Journal’s C-Suite Executive of the Year Class (2019), PR Week’s Top 50 Most Powerful People in PR (2015) and PR Week’s Hall of Femme (2019). Recently, she served as Chief Corporate Affairs Officer of the Exelon Corporation, a Fortune 100 diversified clean energy company, from 2016 to 2020. Prior to her time at Exelon Corporation, Ms. FitzPatrick served as Global Chief Communications Officer and led public affairs at Johnson &amp; Johnson, the world's largest and most broadly-based healthcare company, from 2013 to 2016, and as Global Chief Communication Officer and President of the Foundation at CIGNA. Ms. FitzPatrick also served as Executive Vice President at APCO Worldwide, a global public affairs and strategic communications consultancy, where she counseled executives on major global reputation efforts for notable industry leaders such as eBay and United Airlines, among others. Ms. FitzPatrick currently serves on the board of the Southeast Tennis and Learning Center in Washington, D.C. In 2020, she was appointed by DC Mayor Muriel Bowser to serve as a Commissioner on the DC Commission on the Arts and Humanities. Ms. FitzPatrick holds a B.A. in English and Policy Studies from Syracuse University, and an M.A. in Public Policy from The George Washington University. In 2018, she completed the Harvard Business School program for corporate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-2359660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selected Ms. FitzPatrick to serve on the Board due to her extensive experience developing and executing multiple high impact customer-focused marketing communications initiatives for some of the world’s largest and most successful companies. The Board believes Ms. FitzPatrick’s expertise in positioning companies and products through public relations, marketing and digital media campaigns will provide valuable contributions to the Company both before and after commercial launch of the Company’s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130810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285115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0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980"/>
        <w:spacing w:after="0" w:line="331"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i w:val="1"/>
          <w:i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-1731010</wp:posOffset>
            </wp:positionV>
            <wp:extent cx="1276985" cy="127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6985" cy="127698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Dr. Gin has served on our Board of Directors since March 2016. Dr. Gin is currently the co-founder and CEO of 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130175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009"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1311275" cy="1637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Mary L. Rotunno, J.D.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Independent Director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61</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Ms. Rotunno has served as a member of our Board since July 2021. Ms. Rotunno has served as General Counsel of El Camino Health, a health care system, since January 2014, and has served as a Member of the Executive Leadership Team at El Camino Health since August 2015. Ms. Rotunno is also Board Chair and a member of Audit, Executive/Governance and Nominations Committees for health care provider, Momentum for Health, located in San Jose, California. Before joining El Camino Health, Ms. Rotunno spent over 11 years as Senior Counsel and Client Service Leader for Common Spirit Health, formerly Dignity Health, in California’s San Francisco Bay Area. Prior to Dignity Health, she held various legal roles at Varian Medical Systems, Manatt, Phelps &amp; Phillips, Golden Living, and Pillsbury Winthrop Shaw Pitman. Ms. Rotunno graduated with honors from the University of Illinois with a Bachelor of Science in Nursing. She worked as a registered nurse before earning her Juris Doctor degree, cum laude, from the University of California, Hastings College of Law, San Francisco. She obtained certification by the Women’s Corporate Board Readiness Program at Santa Clara University and completed the Hastings Leadership Academy for Women and Dignity Health Ministry Leadership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-1943100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selected Ms. Rotunno to serve on our Board of Directors due to her extensive experience as an advocate for both patients and health care providers and her insights into strategies for value-based care and an understanding of the life cycle of the mental healthcare experience. Ms. Rotunno also brings insights on complex governance, regulatory and compliance requirements to complement her strategic vision and skills for scenario planning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112395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541020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0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Shawn K. Singh,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-1574165</wp:posOffset>
            </wp:positionV>
            <wp:extent cx="1259840" cy="1448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59840" cy="14484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Chief Executive Officer and Director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Mr. Singh has served as our Chief Executive Officer since August 2009, first as the Chief Executive Officer of VistaGen California, then as Chief Executive Officer of the Company after the Merger.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nearly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a medical device company, from 2007 to 2009, and as a member of its Board of Directors from 2007 to 2011. He also served as Chief Executive Officer (part-time) of Hemodynamic Therapeutics, a private biopharmaceutical company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Greater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acquisitions and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132715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0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adopted a director compensation policy for the independent directors of our Board, as “independent” is defined by the rules of the Nasdaq Stock Market rules, which policy became effective for our fiscal year beginning April 1, 2014. Details of this independent director compensation policy are set forth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Director Fees, April 1, 2014 through April 1,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 w:type="dxa"/>
            <w:vAlign w:val="bottom"/>
          </w:tcPr>
          <w:p>
            <w:pPr>
              <w:spacing w:after="0"/>
              <w:rPr>
                <w:sz w:val="18"/>
                <w:szCs w:val="18"/>
                <w:color w:val="auto"/>
              </w:rPr>
            </w:pPr>
          </w:p>
        </w:tc>
        <w:tc>
          <w:tcPr>
            <w:tcW w:w="636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53"/>
              <w:spacing w:after="0"/>
              <w:rPr>
                <w:sz w:val="20"/>
                <w:szCs w:val="20"/>
                <w:color w:val="auto"/>
              </w:rPr>
            </w:pPr>
            <w:r>
              <w:rPr>
                <w:rFonts w:ascii="Arial" w:cs="Arial" w:eastAsia="Arial" w:hAnsi="Arial"/>
                <w:sz w:val="18"/>
                <w:szCs w:val="18"/>
                <w:b w:val="1"/>
                <w:bCs w:val="1"/>
                <w:color w:val="auto"/>
              </w:rPr>
              <w:t>Cash</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left="112"/>
              <w:spacing w:after="0" w:line="211" w:lineRule="exact"/>
              <w:rPr>
                <w:sz w:val="20"/>
                <w:szCs w:val="20"/>
                <w:color w:val="auto"/>
              </w:rPr>
            </w:pPr>
            <w:r>
              <w:rPr>
                <w:rFonts w:ascii="Arial" w:cs="Arial" w:eastAsia="Arial" w:hAnsi="Arial"/>
                <w:sz w:val="18"/>
                <w:szCs w:val="18"/>
                <w:b w:val="1"/>
                <w:bCs w:val="1"/>
                <w:color w:val="auto"/>
                <w:w w:val="88"/>
              </w:rPr>
              <w:t>Equity</w:t>
            </w:r>
            <w:r>
              <w:rPr>
                <w:rFonts w:ascii="Arial" w:cs="Arial" w:eastAsia="Arial" w:hAnsi="Arial"/>
                <w:sz w:val="24"/>
                <w:szCs w:val="24"/>
                <w:b w:val="1"/>
                <w:bCs w:val="1"/>
                <w:color w:val="auto"/>
                <w:w w:val="88"/>
                <w:vertAlign w:val="superscript"/>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6360" w:type="dxa"/>
            <w:vAlign w:val="bottom"/>
          </w:tcPr>
          <w:p>
            <w:pPr>
              <w:ind w:left="3500"/>
              <w:spacing w:after="0"/>
              <w:rPr>
                <w:sz w:val="20"/>
                <w:szCs w:val="20"/>
                <w:color w:val="auto"/>
              </w:rPr>
            </w:pPr>
            <w:r>
              <w:rPr>
                <w:rFonts w:ascii="Arial" w:cs="Arial" w:eastAsia="Arial" w:hAnsi="Arial"/>
                <w:sz w:val="18"/>
                <w:szCs w:val="18"/>
                <w:b w:val="1"/>
                <w:bCs w:val="1"/>
                <w:color w:val="auto"/>
              </w:rPr>
              <w:t>Description</w:t>
            </w:r>
          </w:p>
        </w:tc>
        <w:tc>
          <w:tcPr>
            <w:tcW w:w="19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20"/>
                <w:szCs w:val="20"/>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 Annual Retainer</w:t>
            </w:r>
          </w:p>
        </w:tc>
        <w:tc>
          <w:tcPr>
            <w:tcW w:w="25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25,000</w:t>
            </w:r>
          </w:p>
        </w:tc>
        <w:tc>
          <w:tcPr>
            <w:tcW w:w="14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12,000</w:t>
            </w: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Audit Committee Retainer</w:t>
            </w: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w:t>
            </w:r>
          </w:p>
        </w:tc>
        <w:tc>
          <w:tcPr>
            <w:tcW w:w="25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15,000</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6700" w:type="dxa"/>
            <w:vAlign w:val="bottom"/>
            <w:gridSpan w:val="2"/>
          </w:tcPr>
          <w:p>
            <w:pPr>
              <w:spacing w:after="0"/>
              <w:rPr>
                <w:sz w:val="20"/>
                <w:szCs w:val="20"/>
                <w:color w:val="auto"/>
              </w:rPr>
            </w:pPr>
            <w:r>
              <w:rPr>
                <w:rFonts w:ascii="Arial" w:cs="Arial" w:eastAsia="Arial" w:hAnsi="Arial"/>
                <w:sz w:val="18"/>
                <w:szCs w:val="18"/>
                <w:i w:val="1"/>
                <w:iCs w:val="1"/>
                <w:color w:val="auto"/>
              </w:rPr>
              <w:t>Member</w:t>
            </w:r>
          </w:p>
        </w:tc>
        <w:tc>
          <w:tcPr>
            <w:tcW w:w="25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1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6700" w:type="dxa"/>
            <w:vAlign w:val="bottom"/>
            <w:gridSpan w:val="2"/>
          </w:tcPr>
          <w:p>
            <w:pPr>
              <w:spacing w:after="0"/>
              <w:rPr>
                <w:sz w:val="20"/>
                <w:szCs w:val="20"/>
                <w:color w:val="auto"/>
              </w:rPr>
            </w:pPr>
            <w:r>
              <w:rPr>
                <w:rFonts w:ascii="Arial" w:cs="Arial" w:eastAsia="Arial" w:hAnsi="Arial"/>
                <w:sz w:val="18"/>
                <w:szCs w:val="18"/>
                <w:i w:val="1"/>
                <w:iCs w:val="1"/>
                <w:color w:val="auto"/>
              </w:rPr>
              <w:t>Chair</w:t>
            </w:r>
          </w:p>
        </w:tc>
        <w:tc>
          <w:tcPr>
            <w:tcW w:w="25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10,000</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Member</w:t>
            </w:r>
          </w:p>
        </w:tc>
        <w:tc>
          <w:tcPr>
            <w:tcW w:w="25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Corporate Governance and Nominating Committee</w:t>
            </w:r>
          </w:p>
        </w:tc>
        <w:tc>
          <w:tcPr>
            <w:tcW w:w="1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w:t>
            </w:r>
          </w:p>
        </w:tc>
        <w:tc>
          <w:tcPr>
            <w:tcW w:w="25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10,000</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35"/>
        </w:trPr>
        <w:tc>
          <w:tcPr>
            <w:tcW w:w="6700" w:type="dxa"/>
            <w:vAlign w:val="bottom"/>
            <w:gridSpan w:val="2"/>
          </w:tcPr>
          <w:p>
            <w:pPr>
              <w:spacing w:after="0"/>
              <w:rPr>
                <w:sz w:val="20"/>
                <w:szCs w:val="20"/>
                <w:color w:val="auto"/>
              </w:rPr>
            </w:pPr>
            <w:r>
              <w:rPr>
                <w:rFonts w:ascii="Arial" w:cs="Arial" w:eastAsia="Arial" w:hAnsi="Arial"/>
                <w:sz w:val="18"/>
                <w:szCs w:val="18"/>
                <w:i w:val="1"/>
                <w:iCs w:val="1"/>
                <w:color w:val="auto"/>
              </w:rPr>
              <w:t>Member</w:t>
            </w:r>
          </w:p>
        </w:tc>
        <w:tc>
          <w:tcPr>
            <w:tcW w:w="25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_____________</w:t>
            </w: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02" w:lineRule="exact"/>
        <w:rPr>
          <w:sz w:val="20"/>
          <w:szCs w:val="20"/>
          <w:color w:val="auto"/>
        </w:rPr>
      </w:pPr>
    </w:p>
    <w:p>
      <w:pPr>
        <w:jc w:val="both"/>
        <w:ind w:left="500" w:hanging="492"/>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the minimum amount of equity awards each independent director received pursuant under the director compensation policy. Any additional equity awards granted to the independent directors were issued at the discretion of the Compensation Committee. The equity awards were granted as either stock options or warrants. Prorated grants were made for partial years of service.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our independent directors cash compensation consistent with the policy noted above during our fiscal year ended March 31, 2021.</w:t>
      </w:r>
    </w:p>
    <w:p>
      <w:pPr>
        <w:spacing w:after="0" w:line="24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Effective April 1, 2021, our Board authorized a new policy for independent director compensation, the details of which are set forth below:</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Director Fees, effective April 1,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 w:type="dxa"/>
            <w:vAlign w:val="bottom"/>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right"/>
              <w:ind w:right="400"/>
              <w:spacing w:after="0" w:line="211" w:lineRule="exact"/>
              <w:rPr>
                <w:sz w:val="20"/>
                <w:szCs w:val="20"/>
                <w:color w:val="auto"/>
              </w:rPr>
            </w:pPr>
            <w:r>
              <w:rPr>
                <w:rFonts w:ascii="Arial" w:cs="Arial" w:eastAsia="Arial" w:hAnsi="Arial"/>
                <w:sz w:val="18"/>
                <w:szCs w:val="18"/>
                <w:b w:val="1"/>
                <w:bCs w:val="1"/>
                <w:color w:val="auto"/>
              </w:rPr>
              <w:t>Cash</w:t>
            </w:r>
            <w:r>
              <w:rPr>
                <w:rFonts w:ascii="Arial" w:cs="Arial" w:eastAsia="Arial" w:hAnsi="Arial"/>
                <w:sz w:val="24"/>
                <w:szCs w:val="24"/>
                <w:b w:val="1"/>
                <w:bCs w:val="1"/>
                <w:color w:val="auto"/>
                <w:vertAlign w:val="superscript"/>
              </w:rPr>
              <w:t>(1)</w:t>
            </w:r>
          </w:p>
        </w:tc>
        <w:tc>
          <w:tcPr>
            <w:tcW w:w="4600" w:type="dxa"/>
            <w:vAlign w:val="bottom"/>
            <w:tcBorders>
              <w:top w:val="single" w:sz="8" w:color="auto"/>
            </w:tcBorders>
            <w:vMerge w:val="restart"/>
          </w:tcPr>
          <w:p>
            <w:pPr>
              <w:ind w:left="2300"/>
              <w:spacing w:after="0"/>
              <w:rPr>
                <w:sz w:val="20"/>
                <w:szCs w:val="20"/>
                <w:color w:val="auto"/>
              </w:rPr>
            </w:pPr>
            <w:r>
              <w:rPr>
                <w:rFonts w:ascii="Arial" w:cs="Arial" w:eastAsia="Arial" w:hAnsi="Arial"/>
                <w:sz w:val="18"/>
                <w:szCs w:val="18"/>
                <w:b w:val="1"/>
                <w:bCs w:val="1"/>
                <w:color w:val="auto"/>
              </w:rPr>
              <w:t>Equity</w:t>
            </w:r>
            <w:r>
              <w:rPr>
                <w:rFonts w:ascii="Arial" w:cs="Arial" w:eastAsia="Arial" w:hAnsi="Arial"/>
                <w:sz w:val="24"/>
                <w:szCs w:val="24"/>
                <w:b w:val="1"/>
                <w:bCs w:val="1"/>
                <w:color w:val="auto"/>
                <w:vertAlign w:val="superscript"/>
              </w:rPr>
              <w:t>(2)</w:t>
            </w:r>
          </w:p>
        </w:tc>
        <w:tc>
          <w:tcPr>
            <w:tcW w:w="3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33"/>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460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4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Independent directors serving on the Boardwill be entitled to the</w:t>
            </w:r>
          </w:p>
        </w:tc>
        <w:tc>
          <w:tcPr>
            <w:tcW w:w="0" w:type="dxa"/>
            <w:vAlign w:val="bottom"/>
          </w:tcPr>
          <w:p>
            <w:pPr>
              <w:spacing w:after="0"/>
              <w:rPr>
                <w:sz w:val="1"/>
                <w:szCs w:val="1"/>
                <w:color w:val="auto"/>
              </w:rPr>
            </w:pPr>
          </w:p>
        </w:tc>
      </w:tr>
      <w:tr>
        <w:trPr>
          <w:trHeight w:val="237"/>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 Annual Retainer</w:t>
            </w: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50,000</w:t>
            </w:r>
          </w:p>
        </w:tc>
        <w:tc>
          <w:tcPr>
            <w:tcW w:w="4940" w:type="dxa"/>
            <w:vAlign w:val="bottom"/>
            <w:gridSpan w:val="2"/>
          </w:tcPr>
          <w:p>
            <w:pPr>
              <w:spacing w:after="0"/>
              <w:rPr>
                <w:sz w:val="20"/>
                <w:szCs w:val="20"/>
                <w:color w:val="auto"/>
              </w:rPr>
            </w:pPr>
            <w:r>
              <w:rPr>
                <w:rFonts w:ascii="Arial" w:cs="Arial" w:eastAsia="Arial" w:hAnsi="Arial"/>
                <w:sz w:val="18"/>
                <w:szCs w:val="18"/>
                <w:color w:val="auto"/>
              </w:rPr>
              <w:t>following equity awards: (i) a one-time grant</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2"/>
              </w:rPr>
              <w:t>of stock options upon appointment to the Board in an amount to be</w:t>
            </w: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Audit Committee</w:t>
            </w: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determined at the sole discretion of the</w:t>
            </w:r>
          </w:p>
        </w:tc>
        <w:tc>
          <w:tcPr>
            <w:tcW w:w="0" w:type="dxa"/>
            <w:vAlign w:val="bottom"/>
          </w:tcPr>
          <w:p>
            <w:pPr>
              <w:spacing w:after="0"/>
              <w:rPr>
                <w:sz w:val="1"/>
                <w:szCs w:val="1"/>
                <w:color w:val="auto"/>
              </w:rPr>
            </w:pPr>
          </w:p>
        </w:tc>
      </w:tr>
      <w:tr>
        <w:trPr>
          <w:trHeight w:val="243"/>
        </w:trPr>
        <w:tc>
          <w:tcPr>
            <w:tcW w:w="34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88"/>
              </w:rPr>
              <w:t>Compensation Committee, and (ii) an annual grant of stock options or</w:t>
            </w:r>
          </w:p>
        </w:tc>
        <w:tc>
          <w:tcPr>
            <w:tcW w:w="0" w:type="dxa"/>
            <w:vAlign w:val="bottom"/>
          </w:tcPr>
          <w:p>
            <w:pPr>
              <w:spacing w:after="0"/>
              <w:rPr>
                <w:sz w:val="1"/>
                <w:szCs w:val="1"/>
                <w:color w:val="auto"/>
              </w:rPr>
            </w:pPr>
          </w:p>
        </w:tc>
      </w:tr>
      <w:tr>
        <w:trPr>
          <w:trHeight w:val="245"/>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w:t>
            </w: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15,000</w:t>
            </w:r>
          </w:p>
        </w:tc>
        <w:tc>
          <w:tcPr>
            <w:tcW w:w="4940" w:type="dxa"/>
            <w:vAlign w:val="bottom"/>
            <w:gridSpan w:val="2"/>
          </w:tcPr>
          <w:p>
            <w:pPr>
              <w:spacing w:after="0"/>
              <w:rPr>
                <w:sz w:val="20"/>
                <w:szCs w:val="20"/>
                <w:color w:val="auto"/>
              </w:rPr>
            </w:pPr>
            <w:r>
              <w:rPr>
                <w:rFonts w:ascii="Arial" w:cs="Arial" w:eastAsia="Arial" w:hAnsi="Arial"/>
                <w:sz w:val="18"/>
                <w:szCs w:val="18"/>
                <w:color w:val="auto"/>
              </w:rPr>
              <w:t>restricted stock to be</w:t>
            </w:r>
          </w:p>
        </w:tc>
        <w:tc>
          <w:tcPr>
            <w:tcW w:w="0" w:type="dxa"/>
            <w:vAlign w:val="bottom"/>
          </w:tcPr>
          <w:p>
            <w:pPr>
              <w:spacing w:after="0"/>
              <w:rPr>
                <w:sz w:val="1"/>
                <w:szCs w:val="1"/>
                <w:color w:val="auto"/>
              </w:rPr>
            </w:pPr>
          </w:p>
        </w:tc>
      </w:tr>
      <w:tr>
        <w:trPr>
          <w:trHeight w:val="242"/>
        </w:trPr>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Member</w:t>
            </w: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10,000</w:t>
            </w:r>
          </w:p>
        </w:tc>
        <w:tc>
          <w:tcPr>
            <w:tcW w:w="4940" w:type="dxa"/>
            <w:vAlign w:val="bottom"/>
            <w:gridSpan w:val="2"/>
          </w:tcPr>
          <w:p>
            <w:pPr>
              <w:spacing w:after="0"/>
              <w:rPr>
                <w:sz w:val="20"/>
                <w:szCs w:val="20"/>
                <w:color w:val="auto"/>
              </w:rPr>
            </w:pPr>
            <w:r>
              <w:rPr>
                <w:rFonts w:ascii="Arial" w:cs="Arial" w:eastAsia="Arial" w:hAnsi="Arial"/>
                <w:sz w:val="18"/>
                <w:szCs w:val="18"/>
                <w:color w:val="auto"/>
                <w:w w:val="93"/>
              </w:rPr>
              <w:t>determined at the sole discretion of the Compensation Committee.</w:t>
            </w:r>
          </w:p>
        </w:tc>
        <w:tc>
          <w:tcPr>
            <w:tcW w:w="0" w:type="dxa"/>
            <w:vAlign w:val="bottom"/>
          </w:tcPr>
          <w:p>
            <w:pPr>
              <w:spacing w:after="0"/>
              <w:rPr>
                <w:sz w:val="1"/>
                <w:szCs w:val="1"/>
                <w:color w:val="auto"/>
              </w:rPr>
            </w:pPr>
          </w:p>
        </w:tc>
      </w:tr>
      <w:tr>
        <w:trPr>
          <w:trHeight w:val="244"/>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6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Chair</w:t>
            </w: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10,000</w:t>
            </w:r>
          </w:p>
        </w:tc>
        <w:tc>
          <w:tcPr>
            <w:tcW w:w="4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Member</w:t>
            </w: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4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Corporate Governance and Nominating Committee</w:t>
            </w: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w:t>
            </w: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10,000</w:t>
            </w:r>
          </w:p>
        </w:tc>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Member</w:t>
            </w: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80" w:type="dxa"/>
            <w:vAlign w:val="bottom"/>
            <w:gridSpan w:val="2"/>
          </w:tcPr>
          <w:p>
            <w:pPr>
              <w:ind w:left="60"/>
              <w:spacing w:after="0"/>
              <w:rPr>
                <w:sz w:val="20"/>
                <w:szCs w:val="20"/>
                <w:color w:val="auto"/>
              </w:rPr>
            </w:pPr>
            <w:r>
              <w:rPr>
                <w:rFonts w:ascii="Arial" w:cs="Arial" w:eastAsia="Arial" w:hAnsi="Arial"/>
                <w:sz w:val="18"/>
                <w:szCs w:val="18"/>
                <w:color w:val="auto"/>
              </w:rPr>
              <w:t>_____________</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fees payable in quarterly installments.</w:t>
      </w:r>
    </w:p>
    <w:p>
      <w:pPr>
        <w:spacing w:after="0" w:line="225" w:lineRule="exact"/>
        <w:rPr>
          <w:rFonts w:ascii="Arial" w:cs="Arial" w:eastAsia="Arial" w:hAnsi="Arial"/>
          <w:sz w:val="18"/>
          <w:szCs w:val="18"/>
          <w:color w:val="auto"/>
        </w:rPr>
      </w:pPr>
    </w:p>
    <w:p>
      <w:pPr>
        <w:ind w:left="340" w:right="20" w:hanging="332"/>
        <w:spacing w:after="0" w:line="33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awards issued pursuant to the Director Compensation Plan will be issued pursuant to the 2019 Plan, (defined below) or a successor plan, if any. Each award issued under the Director Compensation Plan will vest in equal monthly installments over a 12-month period beginning on the date of issuance.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ind w:firstLine="648"/>
        <w:spacing w:after="0" w:line="298" w:lineRule="auto"/>
        <w:rPr>
          <w:sz w:val="20"/>
          <w:szCs w:val="20"/>
          <w:color w:val="auto"/>
        </w:rPr>
      </w:pPr>
      <w:r>
        <w:rPr>
          <w:rFonts w:ascii="Arial" w:cs="Arial" w:eastAsia="Arial" w:hAnsi="Arial"/>
          <w:sz w:val="16"/>
          <w:szCs w:val="16"/>
          <w:color w:val="auto"/>
        </w:rPr>
        <w:t xml:space="preserve">In April 2020, we granted to each of our four then-independent directors options to purchase 75,000 shares of our common stock at an exercise price of $0.398 per share under the terms of our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In December 2020, we granted to each of our four then-independent directors options to purchase 75,000 shares of our common stock at an exercise price of $1.77 per share under the terms of the 2019 Plan. Each grant awarded to our independent directors during the year ended March 31, 2021 expires ten years after the date of grant.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Fees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restart"/>
          </w:tcPr>
          <w:p>
            <w:pPr>
              <w:jc w:val="center"/>
              <w:ind w:right="17"/>
              <w:spacing w:after="0"/>
              <w:rPr>
                <w:sz w:val="20"/>
                <w:szCs w:val="20"/>
                <w:color w:val="auto"/>
              </w:rPr>
            </w:pPr>
            <w:r>
              <w:rPr>
                <w:rFonts w:ascii="Arial" w:cs="Arial" w:eastAsia="Arial" w:hAnsi="Arial"/>
                <w:sz w:val="18"/>
                <w:szCs w:val="18"/>
                <w:b w:val="1"/>
                <w:bCs w:val="1"/>
                <w:color w:val="auto"/>
                <w:w w:val="89"/>
              </w:rPr>
              <w:t>Option</w:t>
            </w:r>
          </w:p>
        </w:tc>
        <w:tc>
          <w:tcPr>
            <w:tcW w:w="260" w:type="dxa"/>
            <w:vAlign w:val="bottom"/>
          </w:tcPr>
          <w:p>
            <w:pPr>
              <w:spacing w:after="0"/>
              <w:rPr>
                <w:sz w:val="18"/>
                <w:szCs w:val="18"/>
                <w:color w:val="auto"/>
              </w:rPr>
            </w:pPr>
          </w:p>
        </w:tc>
        <w:tc>
          <w:tcPr>
            <w:tcW w:w="122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38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6"/>
              </w:rPr>
              <w:t>Paid in Cash</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8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ind w:right="37"/>
              <w:spacing w:after="0" w:line="243" w:lineRule="exact"/>
              <w:rPr>
                <w:sz w:val="20"/>
                <w:szCs w:val="20"/>
                <w:color w:val="auto"/>
              </w:rPr>
            </w:pPr>
            <w:r>
              <w:rPr>
                <w:rFonts w:ascii="Arial" w:cs="Arial" w:eastAsia="Arial" w:hAnsi="Arial"/>
                <w:sz w:val="28"/>
                <w:szCs w:val="28"/>
                <w:b w:val="1"/>
                <w:bCs w:val="1"/>
                <w:color w:val="auto"/>
                <w:w w:val="91"/>
                <w:vertAlign w:val="subscript"/>
              </w:rPr>
              <w:t>Awards</w:t>
            </w:r>
            <w:r>
              <w:rPr>
                <w:rFonts w:ascii="Arial" w:cs="Arial" w:eastAsia="Arial" w:hAnsi="Arial"/>
                <w:sz w:val="11"/>
                <w:szCs w:val="11"/>
                <w:b w:val="1"/>
                <w:bCs w:val="1"/>
                <w:color w:val="auto"/>
                <w:w w:val="91"/>
              </w:rPr>
              <w:t>(3)(8)</w:t>
            </w:r>
          </w:p>
        </w:tc>
        <w:tc>
          <w:tcPr>
            <w:tcW w:w="14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w w:val="95"/>
              </w:rPr>
              <w:t>Compensation</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3220" w:type="dxa"/>
            <w:vAlign w:val="bottom"/>
            <w:gridSpan w:val="3"/>
          </w:tcPr>
          <w:p>
            <w:pPr>
              <w:jc w:val="center"/>
              <w:ind w:left="2077"/>
              <w:spacing w:after="0"/>
              <w:rPr>
                <w:sz w:val="20"/>
                <w:szCs w:val="20"/>
                <w:color w:val="auto"/>
              </w:rPr>
            </w:pPr>
            <w:r>
              <w:rPr>
                <w:rFonts w:ascii="Arial" w:cs="Arial" w:eastAsia="Arial" w:hAnsi="Arial"/>
                <w:sz w:val="12"/>
                <w:szCs w:val="12"/>
                <w:b w:val="1"/>
                <w:bCs w:val="1"/>
                <w:color w:val="auto"/>
                <w:w w:val="95"/>
              </w:rPr>
              <w:t>(2)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40" w:type="dxa"/>
            <w:vAlign w:val="bottom"/>
          </w:tcPr>
          <w:p>
            <w:pPr>
              <w:spacing w:after="0" w:line="232"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24"/>
                <w:szCs w:val="24"/>
                <w:b w:val="1"/>
                <w:bCs w:val="1"/>
                <w:color w:val="auto"/>
                <w:vertAlign w:val="superscript"/>
              </w:rPr>
              <w:t>(1)</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33"/>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(4)</w:t>
            </w:r>
          </w:p>
        </w:tc>
        <w:tc>
          <w:tcPr>
            <w:tcW w:w="27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52,500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109,916</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162,416</w:t>
            </w:r>
          </w:p>
        </w:tc>
        <w:tc>
          <w:tcPr>
            <w:tcW w:w="0" w:type="dxa"/>
            <w:vAlign w:val="bottom"/>
          </w:tcPr>
          <w:p>
            <w:pPr>
              <w:spacing w:after="0"/>
              <w:rPr>
                <w:sz w:val="1"/>
                <w:szCs w:val="1"/>
                <w:color w:val="auto"/>
              </w:rPr>
            </w:pPr>
          </w:p>
        </w:tc>
      </w:tr>
      <w:tr>
        <w:trPr>
          <w:trHeight w:val="216"/>
        </w:trPr>
        <w:tc>
          <w:tcPr>
            <w:tcW w:w="3840" w:type="dxa"/>
            <w:vAlign w:val="bottom"/>
          </w:tcPr>
          <w:p>
            <w:pPr>
              <w:spacing w:after="0" w:line="216" w:lineRule="exact"/>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(5)</w:t>
            </w:r>
          </w:p>
        </w:tc>
        <w:tc>
          <w:tcPr>
            <w:tcW w:w="27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30,000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109,916</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139,916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w:t>
            </w:r>
            <w:r>
              <w:rPr>
                <w:rFonts w:ascii="Arial" w:cs="Arial" w:eastAsia="Arial" w:hAnsi="Arial"/>
                <w:sz w:val="24"/>
                <w:szCs w:val="24"/>
                <w:color w:val="auto"/>
                <w:vertAlign w:val="superscript"/>
              </w:rPr>
              <w:t>(6)</w:t>
            </w:r>
          </w:p>
        </w:tc>
        <w:tc>
          <w:tcPr>
            <w:tcW w:w="27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50,000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109,916</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159,916</w:t>
            </w:r>
          </w:p>
        </w:tc>
        <w:tc>
          <w:tcPr>
            <w:tcW w:w="0" w:type="dxa"/>
            <w:vAlign w:val="bottom"/>
          </w:tcPr>
          <w:p>
            <w:pPr>
              <w:spacing w:after="0"/>
              <w:rPr>
                <w:sz w:val="1"/>
                <w:szCs w:val="1"/>
                <w:color w:val="auto"/>
              </w:rPr>
            </w:pPr>
          </w:p>
        </w:tc>
      </w:tr>
      <w:tr>
        <w:trPr>
          <w:trHeight w:val="320"/>
        </w:trPr>
        <w:tc>
          <w:tcPr>
            <w:tcW w:w="3840" w:type="dxa"/>
            <w:vAlign w:val="bottom"/>
          </w:tcPr>
          <w:p>
            <w:pPr>
              <w:spacing w:after="0"/>
              <w:rPr>
                <w:sz w:val="20"/>
                <w:szCs w:val="20"/>
                <w:color w:val="auto"/>
              </w:rPr>
            </w:pPr>
            <w:r>
              <w:rPr>
                <w:rFonts w:ascii="Arial" w:cs="Arial" w:eastAsia="Arial" w:hAnsi="Arial"/>
                <w:sz w:val="18"/>
                <w:szCs w:val="18"/>
                <w:color w:val="auto"/>
              </w:rPr>
              <w:t xml:space="preserve">Brian J. Underdown </w:t>
            </w:r>
            <w:r>
              <w:rPr>
                <w:rFonts w:ascii="Arial" w:cs="Arial" w:eastAsia="Arial" w:hAnsi="Arial"/>
                <w:sz w:val="24"/>
                <w:szCs w:val="24"/>
                <w:color w:val="auto"/>
                <w:vertAlign w:val="superscript"/>
              </w:rPr>
              <w:t>(7)</w:t>
            </w:r>
          </w:p>
        </w:tc>
        <w:tc>
          <w:tcPr>
            <w:tcW w:w="27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52,500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109,916</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162,416</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40" w:right="60" w:hanging="432"/>
        <w:spacing w:after="0" w:line="268"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Ms. Curley, Ms. FitzPatrick and Ms. Rotunno were appointed to the Board of Directors subsequent to our fiscal year ended March 31, 2021, and have therefore been excluded from the table.</w:t>
      </w:r>
    </w:p>
    <w:p>
      <w:pPr>
        <w:spacing w:after="0" w:line="185" w:lineRule="exact"/>
        <w:rPr>
          <w:rFonts w:ascii="Arial" w:cs="Arial" w:eastAsia="Arial" w:hAnsi="Arial"/>
          <w:sz w:val="18"/>
          <w:szCs w:val="18"/>
          <w:color w:val="auto"/>
        </w:rPr>
      </w:pPr>
    </w:p>
    <w:p>
      <w:pPr>
        <w:ind w:left="440" w:right="60" w:hanging="432"/>
        <w:spacing w:after="0" w:line="331"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and Audit Committee, Compensation Committee and Corporate Governance and Nominating Committee during the fiscal year ended March 31, 2021, which amounts were paid in full during the fiscal year then ended.</w:t>
      </w:r>
    </w:p>
    <w:p>
      <w:pPr>
        <w:spacing w:after="0" w:line="140" w:lineRule="exact"/>
        <w:rPr>
          <w:rFonts w:ascii="Arial" w:cs="Arial" w:eastAsia="Arial" w:hAnsi="Arial"/>
          <w:sz w:val="16"/>
          <w:szCs w:val="16"/>
          <w:color w:val="auto"/>
        </w:rPr>
      </w:pPr>
    </w:p>
    <w:p>
      <w:pPr>
        <w:jc w:val="both"/>
        <w:ind w:left="440" w:right="60" w:hanging="432"/>
        <w:spacing w:after="0" w:line="290"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in the “Option Awards” column do not represent any cash payments actually received by Mr. Saxe, Mr. Underdown, Mr. Gin or Ms. Cunningham with respect to any of such stock options awarded to them during the fiscal year ended March 31, 2021. Rather, the amounts represent (i) the aggregate grant date fair value of options to purchase shares of our common stock awarded to each of Mr. Saxe, Ms. Cunningham, Mr. Gin and Mr. Underdown during our fiscal year ended March 31, 2021,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To date, Mr. Saxe, Ms. Cunningham, Mr. Gin and Mr. Underdown have not exercised any of the options granted during our fiscal year ended March 31, 2021, and there can be no assurance that any of them will ever realize the full ASC 718 grant date fair value amounts presented in the “Option Awards” column.</w:t>
      </w:r>
    </w:p>
    <w:p>
      <w:pPr>
        <w:spacing w:after="0" w:line="171" w:lineRule="exact"/>
        <w:rPr>
          <w:rFonts w:ascii="Arial" w:cs="Arial" w:eastAsia="Arial" w:hAnsi="Arial"/>
          <w:sz w:val="16"/>
          <w:szCs w:val="16"/>
          <w:color w:val="auto"/>
        </w:rPr>
      </w:pPr>
    </w:p>
    <w:p>
      <w:pPr>
        <w:jc w:val="both"/>
        <w:ind w:left="440" w:right="60" w:hanging="432"/>
        <w:spacing w:after="0" w:line="298"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Saxe served as the Chairman of our Board, the Chairman of our Audit Committee and a member of our Compensation Committee and Corporate Governance and Nominating Committee throughout our fiscal year ended March 31, 2021. At March 31, 2021, Mr. Saxe held: (i) 55,751 shares of our common stock; (ii) options to purchase 585,000 registered shares of our common stock, of which options to purchase 474,323 shares were exercisable; and (iii) warrants to purchase 7,500 restricted shares of our common stock, all of which are exercisable.</w:t>
      </w:r>
    </w:p>
    <w:p>
      <w:pPr>
        <w:spacing w:after="0" w:line="166" w:lineRule="exact"/>
        <w:rPr>
          <w:rFonts w:ascii="Arial" w:cs="Arial" w:eastAsia="Arial" w:hAnsi="Arial"/>
          <w:sz w:val="16"/>
          <w:szCs w:val="16"/>
          <w:color w:val="auto"/>
        </w:rPr>
      </w:pPr>
    </w:p>
    <w:p>
      <w:pPr>
        <w:jc w:val="both"/>
        <w:ind w:left="440" w:right="60" w:hanging="432"/>
        <w:spacing w:after="0" w:line="294"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Cunningham has served as a member of our Board since January 2019. She also served as a member of our Corporate Governance and Nominating Committee from January 2019 through April 30, 2021. On May 1, 2021, Ms. Cunningham joined the Company as its Chief Commercial Officer and, since she was no longer considered an independent director under the standards established by the SEC and the rules of the Nasdaq Stock Market, her membership on the Corporate Governance and Nominating Committee terminated. At March 31, 2021, Ms. Cunningham held options to purchase 300,000 registered shares of our common stock, of which 189,323 were exercisable.</w:t>
      </w:r>
    </w:p>
    <w:p>
      <w:pPr>
        <w:spacing w:after="0" w:line="169" w:lineRule="exact"/>
        <w:rPr>
          <w:rFonts w:ascii="Arial" w:cs="Arial" w:eastAsia="Arial" w:hAnsi="Arial"/>
          <w:sz w:val="16"/>
          <w:szCs w:val="16"/>
          <w:color w:val="auto"/>
        </w:rPr>
      </w:pPr>
    </w:p>
    <w:p>
      <w:pPr>
        <w:jc w:val="both"/>
        <w:ind w:left="440" w:right="60" w:hanging="432"/>
        <w:spacing w:after="0" w:line="256"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Gin served as a member of our Board, as the Chairman of our Corporate Governance and Nominating Committee and as a member of our Audit Committee and Compensation Committee throughout our fiscal year ended March 31, 2021. At March 31, 2021, Mr. Gin held: (i) 100,000 shares of our common stock, and (ii) options to purchase 610,000 registered shares of our common stock, of which options to purchase 499,323 shares were exercisable.</w:t>
      </w:r>
    </w:p>
    <w:p>
      <w:pPr>
        <w:spacing w:after="0" w:line="196" w:lineRule="exact"/>
        <w:rPr>
          <w:rFonts w:ascii="Arial" w:cs="Arial" w:eastAsia="Arial" w:hAnsi="Arial"/>
          <w:sz w:val="18"/>
          <w:szCs w:val="18"/>
          <w:color w:val="auto"/>
        </w:rPr>
      </w:pPr>
    </w:p>
    <w:p>
      <w:pPr>
        <w:jc w:val="both"/>
        <w:ind w:left="440" w:right="60" w:hanging="432"/>
        <w:spacing w:after="0" w:line="298"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Underdown served as a member of our Board, as the Chairman of our Compensation Committee and as a member of our Audit Committee and Corporate Governance and Nominating Committee throughout our fiscal year ended March 31, 2021 and until his retirement from the Board on July 21, 2021. At March 31, 2021, Mr. Underdown held: (i) options to purchase 585,000 registered shares of our common stock, of which options to purchase 474,323 shares were exercisable; and (ii) warrants to purchase 7,500 restricted shares of our common stock, all of which are exercisable.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 w:name="page17"/>
    <w:bookmarkEnd w:id="16"/>
    <w:p>
      <w:pPr>
        <w:jc w:val="both"/>
        <w:ind w:left="440" w:right="60" w:hanging="432"/>
        <w:spacing w:after="0" w:line="25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awards we granted to Mr. Saxe, Ms. Cunningham, Mr. Gin and Mr. Underdown during our fiscal year ended March 31, 2021 and the weighted average assumptions used in the Black Scholes Option Pricing Model to determine the grant date fair values of the respective awards.</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Option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w:t>
            </w:r>
          </w:p>
        </w:tc>
        <w:tc>
          <w:tcPr>
            <w:tcW w:w="10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2"/>
        </w:trPr>
        <w:tc>
          <w:tcPr>
            <w:tcW w:w="6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4/23/2020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12/31/2020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Mr. Saxe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20,101</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89,815</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109,616</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Ms. Cunningham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20,101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89,815</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109,616</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Mr. Gin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109,616</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Mr. Underdown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20,101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89,815</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109,616</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Grant Date stock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0.397%</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0.426%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5"/>
              </w:rPr>
              <w:t>5.39 years</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5"/>
              </w:rPr>
              <w:t>5.39 years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88.41%</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Fair value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Aggregate option shares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met virtually four times and acted by unanimous written consent ten times during our fiscal year ended March 31, 2021. Our Audit Committee met virtually four times. Our Compensation Committee met virtually four times and acted by unanimous written consent four times with respect to executive compensation matters and grants of equity securities. Our Corporate Governance and Nominating Committee requested action by the entire Board with respect to re-election of members of our Board and other resolutions presented to our stockholders at our September 2020 Annual Meeting of Stockholders and Board committee assignments. Each director serving during our fiscal year ended March 31, 2021 attended all of the meetings of the Board and the committees of the Board upon which such director served that were held during the fiscal year.</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Due to the continuing COVID-19 pandemic, we held our September 2020 Annual Meeting of Stockholders in an on-line virtual format. Each of our directors attended our September 2020 Annual Meeting of Stockholders virtually.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 (c) 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7" w:name="page18"/>
    <w:bookmarkEnd w:id="17"/>
    <w:p>
      <w:pPr>
        <w:jc w:val="both"/>
        <w:ind w:firstLine="648"/>
        <w:spacing w:after="0" w:line="294" w:lineRule="auto"/>
        <w:rPr>
          <w:sz w:val="20"/>
          <w:szCs w:val="20"/>
          <w:color w:val="auto"/>
        </w:rPr>
      </w:pPr>
      <w:r>
        <w:rPr>
          <w:rFonts w:ascii="Arial" w:cs="Arial" w:eastAsia="Arial" w:hAnsi="Arial"/>
          <w:sz w:val="16"/>
          <w:szCs w:val="16"/>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Ms. Curley, Ms. FitzPatrick, Mr. Gin and Ms. Rotunno are each “independent” as that term is defined by the rules of the Nasdaq Stock Market. In making these determinations, our Board considered the current and prior relationships that each nonemployee director has with the Company and all other facts and circumstances that our Board deemed relevant.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Independent directors currently serving on each committee are as follows:</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8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Compensation</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8"/>
              </w:rPr>
              <w:t>Corporate Governance and</w:t>
            </w:r>
          </w:p>
        </w:tc>
      </w:tr>
      <w:tr>
        <w:trPr>
          <w:trHeight w:val="237"/>
        </w:trPr>
        <w:tc>
          <w:tcPr>
            <w:tcW w:w="40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Audit Committee</w:t>
            </w:r>
          </w:p>
        </w:tc>
        <w:tc>
          <w:tcPr>
            <w:tcW w:w="24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8"/>
              </w:rPr>
              <w:t>Committee</w:t>
            </w: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Nominating Committee</w:t>
            </w:r>
          </w:p>
        </w:tc>
      </w:tr>
      <w:tr>
        <w:trPr>
          <w:trHeight w:val="223"/>
        </w:trPr>
        <w:tc>
          <w:tcPr>
            <w:tcW w:w="4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Jon S. Saxe, J.D., LL.M.</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2"/>
              </w:rPr>
              <w:t>Chair</w:t>
            </w:r>
          </w:p>
        </w:tc>
        <w:tc>
          <w:tcPr>
            <w:tcW w:w="2480" w:type="dxa"/>
            <w:vAlign w:val="bottom"/>
            <w:tcBorders>
              <w:bottom w:val="single" w:sz="8" w:color="auto"/>
              <w:right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i w:val="1"/>
                <w:iCs w:val="1"/>
                <w:color w:val="auto"/>
                <w:w w:val="87"/>
              </w:rPr>
              <w:t>Member</w:t>
            </w:r>
          </w:p>
        </w:tc>
        <w:tc>
          <w:tcPr>
            <w:tcW w:w="26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Joanne Curley, Ph.D.</w:t>
            </w:r>
          </w:p>
        </w:tc>
        <w:tc>
          <w:tcPr>
            <w:tcW w:w="20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Member</w:t>
            </w:r>
          </w:p>
        </w:tc>
      </w:tr>
      <w:tr>
        <w:trPr>
          <w:trHeight w:val="223"/>
        </w:trPr>
        <w:tc>
          <w:tcPr>
            <w:tcW w:w="4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Margaret M. FitzPatrick, M.A.</w:t>
            </w:r>
          </w:p>
        </w:tc>
        <w:tc>
          <w:tcPr>
            <w:tcW w:w="2020" w:type="dxa"/>
            <w:vAlign w:val="bottom"/>
            <w:tcBorders>
              <w:bottom w:val="single" w:sz="8" w:color="auto"/>
              <w:right w:val="single" w:sz="8" w:color="auto"/>
            </w:tcBorders>
            <w:shd w:val="clear" w:color="auto" w:fill="CCEEFF"/>
          </w:tcPr>
          <w:p>
            <w:pPr>
              <w:spacing w:after="0"/>
              <w:rPr>
                <w:sz w:val="19"/>
                <w:szCs w:val="19"/>
                <w:color w:val="auto"/>
              </w:rPr>
            </w:pPr>
          </w:p>
        </w:tc>
        <w:tc>
          <w:tcPr>
            <w:tcW w:w="2480" w:type="dxa"/>
            <w:vAlign w:val="bottom"/>
            <w:tcBorders>
              <w:bottom w:val="single" w:sz="8" w:color="auto"/>
              <w:right w:val="single" w:sz="8" w:color="auto"/>
            </w:tcBorders>
            <w:shd w:val="clear" w:color="auto" w:fill="CCEEFF"/>
          </w:tcPr>
          <w:p>
            <w:pPr>
              <w:spacing w:after="0"/>
              <w:rPr>
                <w:sz w:val="19"/>
                <w:szCs w:val="19"/>
                <w:color w:val="auto"/>
              </w:rPr>
            </w:pPr>
          </w:p>
        </w:tc>
        <w:tc>
          <w:tcPr>
            <w:tcW w:w="2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Member</w:t>
            </w:r>
          </w:p>
        </w:tc>
      </w:tr>
      <w:tr>
        <w:trPr>
          <w:trHeight w:val="22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Jerry B. Gin, Ph.D.</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Member</w:t>
            </w:r>
          </w:p>
        </w:tc>
        <w:tc>
          <w:tcPr>
            <w:tcW w:w="2480" w:type="dxa"/>
            <w:vAlign w:val="bottom"/>
            <w:tcBorders>
              <w:bottom w:val="single" w:sz="8" w:color="auto"/>
              <w:right w:val="single" w:sz="8" w:color="auto"/>
            </w:tcBorders>
          </w:tcPr>
          <w:p>
            <w:pPr>
              <w:jc w:val="center"/>
              <w:ind w:right="52"/>
              <w:spacing w:after="0"/>
              <w:rPr>
                <w:sz w:val="20"/>
                <w:szCs w:val="20"/>
                <w:color w:val="auto"/>
              </w:rPr>
            </w:pPr>
            <w:r>
              <w:rPr>
                <w:rFonts w:ascii="Arial" w:cs="Arial" w:eastAsia="Arial" w:hAnsi="Arial"/>
                <w:sz w:val="18"/>
                <w:szCs w:val="18"/>
                <w:i w:val="1"/>
                <w:iCs w:val="1"/>
                <w:color w:val="auto"/>
                <w:w w:val="97"/>
              </w:rPr>
              <w:t>Chair</w:t>
            </w:r>
          </w:p>
        </w:tc>
        <w:tc>
          <w:tcPr>
            <w:tcW w:w="2660" w:type="dxa"/>
            <w:vAlign w:val="bottom"/>
            <w:tcBorders>
              <w:bottom w:val="single" w:sz="8" w:color="auto"/>
              <w:right w:val="single" w:sz="8" w:color="auto"/>
            </w:tcBorders>
          </w:tcPr>
          <w:p>
            <w:pPr>
              <w:spacing w:after="0"/>
              <w:rPr>
                <w:sz w:val="19"/>
                <w:szCs w:val="19"/>
                <w:color w:val="auto"/>
              </w:rPr>
            </w:pPr>
          </w:p>
        </w:tc>
      </w:tr>
      <w:tr>
        <w:trPr>
          <w:trHeight w:val="223"/>
        </w:trPr>
        <w:tc>
          <w:tcPr>
            <w:tcW w:w="40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Mary L. Rotunno, J.D.</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Member</w:t>
            </w:r>
          </w:p>
        </w:tc>
        <w:tc>
          <w:tcPr>
            <w:tcW w:w="2480" w:type="dxa"/>
            <w:vAlign w:val="bottom"/>
            <w:tcBorders>
              <w:bottom w:val="single" w:sz="8" w:color="auto"/>
              <w:right w:val="single" w:sz="8" w:color="auto"/>
            </w:tcBorders>
            <w:shd w:val="clear" w:color="auto" w:fill="CCEEFF"/>
          </w:tcPr>
          <w:p>
            <w:pPr>
              <w:spacing w:after="0"/>
              <w:rPr>
                <w:sz w:val="19"/>
                <w:szCs w:val="19"/>
                <w:color w:val="auto"/>
              </w:rPr>
            </w:pPr>
          </w:p>
        </w:tc>
        <w:tc>
          <w:tcPr>
            <w:tcW w:w="2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2"/>
              </w:rPr>
              <w:t>Chair</w:t>
            </w:r>
          </w:p>
        </w:tc>
      </w:tr>
    </w:tbl>
    <w:p>
      <w:pPr>
        <w:spacing w:after="0" w:line="20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Members serve on these committees until their resignation or until otherwise determined by our Board. Since April 1, 2017, only our independent directors serve as members of these committees, including Mr. Saxe, Dr. Gin and Dr. Underdown throughout our fiscal year ended March 31, 2021, Dr. Curley since April 23, 2021 and Ms. FitzPatrick and Ms. Rotunno since July 21, 2021. As previously noted, Dr. Underdown retired from the Board on July 21, 2021.</w:t>
      </w:r>
    </w:p>
    <w:p>
      <w:pPr>
        <w:spacing w:after="0" w:line="1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During our fiscal year ended March 31, 2021, the Audit Committee of our Board consisted of Mr. Saxe, who serves as the committee chairman, Dr. Underdown and Dr. Gin. Mr. Saxe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our Audit Committee is primarily responsible for, among other things, the following:</w:t>
      </w:r>
    </w:p>
    <w:p>
      <w:pPr>
        <w:spacing w:after="0" w:line="20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our fiscal year ended March 31, 2021, the Compensation Committee of our Board was composed of Dr. Underdown, who served as the committee chairman, Mr. Saxe, and Dr. Gin.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94" w:lineRule="exact"/>
        <w:rPr>
          <w:sz w:val="20"/>
          <w:szCs w:val="20"/>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8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During our fiscal year ended March 31, 2021, the Corporate Governance and Nominating Committee of our Board was composed of Dr. Gin, who served as the committee chairman, Mr. Saxe, Dr. Underdown and Ms. Cunningham. Dr. Curley was appointed to the committee in April 2021 concurrent with her appointment to the Board. Ms. Cunningham’s membership on the committee terminated upon her acceptance of employment by the Company as Chief Commercial Officer effective May 1, 2021, when she was no longer considered an independent director under the standards established by the SEC and the rules of the Nasdaq Stock Market. Our Corporate Governance and Nominating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the Corporate Governance and Nominating Committee is primarily responsible for, among other things, the following:</w:t>
      </w:r>
    </w:p>
    <w:p>
      <w:pPr>
        <w:spacing w:after="0" w:line="17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currently consists of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Audit Committee has reviewed and discussed with management and OUM &amp; Co. LLP (</w:t>
      </w:r>
      <w:r>
        <w:rPr>
          <w:rFonts w:ascii="Arial" w:cs="Arial" w:eastAsia="Arial" w:hAnsi="Arial"/>
          <w:sz w:val="18"/>
          <w:szCs w:val="18"/>
          <w:i w:val="1"/>
          <w:iCs w:val="1"/>
          <w:color w:val="auto"/>
        </w:rPr>
        <w:t>OUM</w:t>
      </w:r>
      <w:r>
        <w:rPr>
          <w:rFonts w:ascii="Arial" w:cs="Arial" w:eastAsia="Arial" w:hAnsi="Arial"/>
          <w:sz w:val="18"/>
          <w:szCs w:val="18"/>
          <w:color w:val="auto"/>
        </w:rPr>
        <w:t>), our independent registered public accounting firm, the audited consolidated financial statements in the VistaGen Therapeutics, Inc. Annual Report on Form 10-K for the year ended March 31, 2021. The Audit Committee also discussed with OUM those matters required to be discussed by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Auditing Standard No. 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2021.</w:t>
      </w:r>
    </w:p>
    <w:p>
      <w:pPr>
        <w:spacing w:after="0" w:line="16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Jon S. Saxe, Audit Committee Chairman</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Brian J. Underdown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2021</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noted in Proposal No. 3 below, on July 15, 2021, WithumSmith+Brown, PC, an independent registered public accounting firm (</w:t>
      </w:r>
      <w:r>
        <w:rPr>
          <w:rFonts w:ascii="Arial" w:cs="Arial" w:eastAsia="Arial" w:hAnsi="Arial"/>
          <w:sz w:val="18"/>
          <w:szCs w:val="18"/>
          <w:i w:val="1"/>
          <w:iCs w:val="1"/>
          <w:color w:val="auto"/>
        </w:rPr>
        <w:t>Withum</w:t>
      </w:r>
      <w:r>
        <w:rPr>
          <w:rFonts w:ascii="Arial" w:cs="Arial" w:eastAsia="Arial" w:hAnsi="Arial"/>
          <w:sz w:val="18"/>
          <w:szCs w:val="18"/>
          <w:color w:val="auto"/>
        </w:rPr>
        <w:t>), acquired certain assets of OUM. As a result, on July 15, 2021, OUM resigned as the Company’s independent registered public accounting firm. Concurrent with such resignation, the Company, with the approval of its Audit Committee, consented to the engagement of Withum. Withum is the Company’s new independent registered public accounting firm, effective July 15, 2021.</w:t>
      </w:r>
    </w:p>
    <w:p>
      <w:pPr>
        <w:spacing w:after="0" w:line="19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information contained above under the caption “</w:t>
      </w:r>
      <w:r>
        <w:rPr>
          <w:rFonts w:ascii="Arial" w:cs="Arial" w:eastAsia="Arial" w:hAnsi="Arial"/>
          <w:sz w:val="18"/>
          <w:szCs w:val="18"/>
          <w:i w:val="1"/>
          <w:iCs w:val="1"/>
          <w:color w:val="auto"/>
        </w:rPr>
        <w:t>Report of the Audit Committee of the Board of Directors</w:t>
      </w:r>
      <w:r>
        <w:rPr>
          <w:rFonts w:ascii="Arial" w:cs="Arial" w:eastAsia="Arial" w:hAnsi="Arial"/>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NO. 2</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APPROVAL OF AN AMENDMENT AND RESTATEMENT OF THE COMPANY’S 2019 OMNIBUS EQUITY INCENTIVE PLAN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Our Board unanimously approved the Company’s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xml:space="preserve">), on May 27, 2019, and our stockholders adopted it and ratified all previously issued grants on September 5, 2019. A total of 7.5 million shares of our common stock were initially authorized for issuance under the 2019 Plan. Additionally, upon approval of the 2019 Plan, all shares of common stock remaining authorized and available for issuance under the Company’s predecessor Amended and Restated 2016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approximately 1.4 million shares, automatically became available for issuance under the 2019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Are Asking Our Stockholders to Approve the Amended 2019 Plan</w:t>
      </w:r>
    </w:p>
    <w:p>
      <w:pPr>
        <w:spacing w:after="0" w:line="16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As of the date of this Proxy Statement, approximately 0.9 million shares remained available for future equity grants under our 2019 Plan. In addition, the 2019 Plan contains certain provisions our Board no longer believes are beneficial to the Company or its stockholders. Accordingly, on July 28, 2021, at the recommendation of the Compensation Committee of our Board, our Board unanimously approved of an amendment and restatement of the 2019 Plan (the </w:t>
      </w:r>
      <w:r>
        <w:rPr>
          <w:rFonts w:ascii="Arial" w:cs="Arial" w:eastAsia="Arial" w:hAnsi="Arial"/>
          <w:sz w:val="16"/>
          <w:szCs w:val="16"/>
          <w:i w:val="1"/>
          <w:iCs w:val="1"/>
          <w:color w:val="auto"/>
        </w:rPr>
        <w:t>Amended 2019 Plan</w:t>
      </w:r>
      <w:r>
        <w:rPr>
          <w:rFonts w:ascii="Arial" w:cs="Arial" w:eastAsia="Arial" w:hAnsi="Arial"/>
          <w:sz w:val="16"/>
          <w:szCs w:val="16"/>
          <w:color w:val="auto"/>
        </w:rPr>
        <w:t>), a copy of which is attached to this Proxy Statement as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Appendix A</w:t>
      </w:r>
      <w:r>
        <w:rPr>
          <w:rFonts w:ascii="Arial" w:cs="Arial" w:eastAsia="Arial" w:hAnsi="Arial"/>
          <w:sz w:val="16"/>
          <w:szCs w:val="16"/>
          <w:color w:val="auto"/>
        </w:rPr>
        <w:t>, to implement the following changes to the 2019 Plan:</w:t>
      </w:r>
    </w:p>
    <w:p>
      <w:pPr>
        <w:spacing w:after="0" w:line="166" w:lineRule="exact"/>
        <w:rPr>
          <w:sz w:val="20"/>
          <w:szCs w:val="20"/>
          <w:color w:val="auto"/>
        </w:rPr>
      </w:pPr>
    </w:p>
    <w:p>
      <w:pPr>
        <w:ind w:left="660" w:hanging="328"/>
        <w:spacing w:after="0" w:line="33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of the authorized shares of common stock under the Amended 2019 Plan from 7.5 million shares to 18 million shares, which we believe which will enable us to have a competitive equity incentive program to compete with our peer group for key talent; and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 repricing of certain awards issued pursuant to the Amended 2019 Plan, including stock options and stock appreciation rights;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Our compensation philosophy reflects broad-based eligibility for equity awards, and we grant awards to substantially all of our employees. However, we recognize that equity awards dilute existing stockholders, and, therefore, we are mindful to responsibly manage the growth of our equity compensation program. We are committed to effectively monitoring our equity compensation share reserve, including our “burn rate,” to ensure that we maximize stockholders’ value by granting the appropriate number of equity awards necessary to attract, reward, and retain employees, directors and consultants.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Below is a summary of the terms and conditions of the Amended 2019 Plan. Unless otherwise indicated, all capitalized terms shall have the same meaning as defined in the Amended 2019 Plan.</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of the Amended 2019 Plan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Awards and Eligible Participants</w:t>
            </w:r>
          </w:p>
        </w:tc>
        <w:tc>
          <w:tcPr>
            <w:tcW w:w="82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3"/>
              </w:rPr>
              <w:t>The  Amended  2019  Plan  is  designed  to  secure  and  retain  the  services  of  our  employees,  non-</w:t>
            </w:r>
          </w:p>
        </w:tc>
        <w:tc>
          <w:tcPr>
            <w:tcW w:w="20" w:type="dxa"/>
            <w:vAlign w:val="bottom"/>
          </w:tcPr>
          <w:p>
            <w:pPr>
              <w:spacing w:after="0"/>
              <w:rPr>
                <w:sz w:val="19"/>
                <w:szCs w:val="19"/>
                <w:color w:val="auto"/>
              </w:rPr>
            </w:pPr>
          </w:p>
        </w:tc>
      </w:tr>
      <w:tr>
        <w:trPr>
          <w:trHeight w:val="216"/>
        </w:trPr>
        <w:tc>
          <w:tcPr>
            <w:tcW w:w="2980" w:type="dxa"/>
            <w:vAlign w:val="bottom"/>
            <w:shd w:val="clear" w:color="auto" w:fill="CCEEFF"/>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employee directors and consultants, to provide incentives for such persons to exert maximum efforts for the</w:t>
            </w:r>
          </w:p>
        </w:tc>
        <w:tc>
          <w:tcPr>
            <w:tcW w:w="2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success of the Company and our affiliates, and to provide a means by which such persons may be given an</w:t>
            </w:r>
          </w:p>
        </w:tc>
        <w:tc>
          <w:tcPr>
            <w:tcW w:w="2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opportunity to benefit from increases in the value of our common stock. The Amended 2019 Plan is also</w:t>
            </w:r>
          </w:p>
        </w:tc>
        <w:tc>
          <w:tcPr>
            <w:tcW w:w="20" w:type="dxa"/>
            <w:vAlign w:val="bottom"/>
          </w:tcPr>
          <w:p>
            <w:pPr>
              <w:spacing w:after="0"/>
              <w:rPr>
                <w:sz w:val="18"/>
                <w:szCs w:val="18"/>
                <w:color w:val="auto"/>
              </w:rPr>
            </w:pPr>
          </w:p>
        </w:tc>
      </w:tr>
      <w:tr>
        <w:trPr>
          <w:trHeight w:val="222"/>
        </w:trPr>
        <w:tc>
          <w:tcPr>
            <w:tcW w:w="2980" w:type="dxa"/>
            <w:vAlign w:val="bottom"/>
            <w:shd w:val="clear" w:color="auto" w:fill="CCEEFF"/>
          </w:tcPr>
          <w:p>
            <w:pPr>
              <w:spacing w:after="0"/>
              <w:rPr>
                <w:sz w:val="19"/>
                <w:szCs w:val="19"/>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designed to align employees’ interests with stockholder interests.</w:t>
            </w:r>
          </w:p>
        </w:tc>
        <w:tc>
          <w:tcPr>
            <w:tcW w:w="20" w:type="dxa"/>
            <w:vAlign w:val="bottom"/>
          </w:tcPr>
          <w:p>
            <w:pPr>
              <w:spacing w:after="0"/>
              <w:rPr>
                <w:sz w:val="19"/>
                <w:szCs w:val="19"/>
                <w:color w:val="auto"/>
              </w:rPr>
            </w:pPr>
          </w:p>
        </w:tc>
      </w:tr>
      <w:tr>
        <w:trPr>
          <w:trHeight w:val="358"/>
        </w:trPr>
        <w:tc>
          <w:tcPr>
            <w:tcW w:w="2980" w:type="dxa"/>
            <w:vAlign w:val="bottom"/>
            <w:shd w:val="clear" w:color="auto" w:fill="CCEEFF"/>
          </w:tcPr>
          <w:p>
            <w:pPr>
              <w:spacing w:after="0"/>
              <w:rPr>
                <w:sz w:val="24"/>
                <w:szCs w:val="24"/>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The Amended 2019 Plan provides for the grant of stock options, stock appreciation rights (</w:t>
            </w:r>
            <w:r>
              <w:rPr>
                <w:rFonts w:ascii="Arial" w:cs="Arial" w:eastAsia="Arial" w:hAnsi="Arial"/>
                <w:sz w:val="18"/>
                <w:szCs w:val="18"/>
                <w:i w:val="1"/>
                <w:iCs w:val="1"/>
                <w:color w:val="auto"/>
                <w:w w:val="90"/>
              </w:rPr>
              <w:t>SARs</w:t>
            </w:r>
            <w:r>
              <w:rPr>
                <w:rFonts w:ascii="Arial" w:cs="Arial" w:eastAsia="Arial" w:hAnsi="Arial"/>
                <w:sz w:val="18"/>
                <w:szCs w:val="18"/>
                <w:color w:val="auto"/>
                <w:w w:val="90"/>
              </w:rPr>
              <w:t>), restricted</w:t>
            </w:r>
          </w:p>
        </w:tc>
        <w:tc>
          <w:tcPr>
            <w:tcW w:w="20" w:type="dxa"/>
            <w:vAlign w:val="bottom"/>
          </w:tcPr>
          <w:p>
            <w:pPr>
              <w:spacing w:after="0"/>
              <w:rPr>
                <w:sz w:val="24"/>
                <w:szCs w:val="24"/>
                <w:color w:val="auto"/>
              </w:rPr>
            </w:pPr>
          </w:p>
        </w:tc>
      </w:tr>
      <w:tr>
        <w:trPr>
          <w:trHeight w:val="216"/>
        </w:trPr>
        <w:tc>
          <w:tcPr>
            <w:tcW w:w="2980" w:type="dxa"/>
            <w:vAlign w:val="bottom"/>
            <w:shd w:val="clear" w:color="auto" w:fill="CCEEFF"/>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9"/>
              </w:rPr>
              <w:t>stock, restricted stock units, and other stock-based awards, and performance awards, collectively referred to</w:t>
            </w:r>
          </w:p>
        </w:tc>
        <w:tc>
          <w:tcPr>
            <w:tcW w:w="2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as “Awards”. Awards may be granted under the Amended 2019 Plan to officers, employees and consultants of</w:t>
            </w:r>
          </w:p>
        </w:tc>
        <w:tc>
          <w:tcPr>
            <w:tcW w:w="2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18"/>
                <w:szCs w:val="18"/>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the Company and our subsidiaries and to our non-employee directors. Incentive stock options may be granted</w:t>
            </w:r>
          </w:p>
        </w:tc>
        <w:tc>
          <w:tcPr>
            <w:tcW w:w="20" w:type="dxa"/>
            <w:vAlign w:val="bottom"/>
          </w:tcPr>
          <w:p>
            <w:pPr>
              <w:spacing w:after="0"/>
              <w:rPr>
                <w:sz w:val="18"/>
                <w:szCs w:val="18"/>
                <w:color w:val="auto"/>
              </w:rPr>
            </w:pPr>
          </w:p>
        </w:tc>
      </w:tr>
      <w:tr>
        <w:trPr>
          <w:trHeight w:val="222"/>
        </w:trPr>
        <w:tc>
          <w:tcPr>
            <w:tcW w:w="2980" w:type="dxa"/>
            <w:vAlign w:val="bottom"/>
            <w:shd w:val="clear" w:color="auto" w:fill="CCEEFF"/>
          </w:tcPr>
          <w:p>
            <w:pPr>
              <w:spacing w:after="0"/>
              <w:rPr>
                <w:sz w:val="19"/>
                <w:szCs w:val="19"/>
                <w:color w:val="auto"/>
              </w:rPr>
            </w:pPr>
          </w:p>
        </w:tc>
        <w:tc>
          <w:tcPr>
            <w:tcW w:w="8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only to employees of the Company or one of our subsidiaries.</w:t>
            </w:r>
          </w:p>
        </w:tc>
        <w:tc>
          <w:tcPr>
            <w:tcW w:w="20" w:type="dxa"/>
            <w:vAlign w:val="bottom"/>
          </w:tcPr>
          <w:p>
            <w:pPr>
              <w:spacing w:after="0"/>
              <w:rPr>
                <w:sz w:val="19"/>
                <w:szCs w:val="19"/>
                <w:color w:val="auto"/>
              </w:rPr>
            </w:pPr>
          </w:p>
        </w:tc>
      </w:tr>
      <w:tr>
        <w:trPr>
          <w:trHeight w:val="225"/>
        </w:trPr>
        <w:tc>
          <w:tcPr>
            <w:tcW w:w="2980" w:type="dxa"/>
            <w:vAlign w:val="bottom"/>
            <w:tcBorders>
              <w:bottom w:val="single" w:sz="8" w:color="auto"/>
            </w:tcBorders>
            <w:shd w:val="clear" w:color="auto" w:fill="CCEEFF"/>
          </w:tcPr>
          <w:p>
            <w:pPr>
              <w:spacing w:after="0"/>
              <w:rPr>
                <w:sz w:val="19"/>
                <w:szCs w:val="19"/>
                <w:color w:val="auto"/>
              </w:rPr>
            </w:pPr>
          </w:p>
        </w:tc>
        <w:tc>
          <w:tcPr>
            <w:tcW w:w="82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8"/>
                <w:szCs w:val="18"/>
                <w:b w:val="1"/>
                <w:bCs w:val="1"/>
                <w:color w:val="auto"/>
              </w:rPr>
              <w:t>Plan Administration</w:t>
            </w:r>
          </w:p>
        </w:tc>
        <w:tc>
          <w:tcPr>
            <w:tcW w:w="8260" w:type="dxa"/>
            <w:vAlign w:val="bottom"/>
          </w:tcPr>
          <w:p>
            <w:pPr>
              <w:ind w:left="520"/>
              <w:spacing w:after="0"/>
              <w:rPr>
                <w:sz w:val="20"/>
                <w:szCs w:val="20"/>
                <w:color w:val="auto"/>
              </w:rPr>
            </w:pPr>
            <w:r>
              <w:rPr>
                <w:rFonts w:ascii="Arial" w:cs="Arial" w:eastAsia="Arial" w:hAnsi="Arial"/>
                <w:sz w:val="18"/>
                <w:szCs w:val="18"/>
                <w:color w:val="auto"/>
                <w:w w:val="90"/>
              </w:rPr>
              <w:t>The Amended 2019 Plan is administered by the Compensation Committee of the Board. The Compensation</w:t>
            </w:r>
          </w:p>
        </w:tc>
        <w:tc>
          <w:tcPr>
            <w:tcW w:w="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93"/>
              </w:rPr>
              <w:t>Committee, in its discretion, selects the individuals to whom awards may be granted, the time or times at</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89"/>
              </w:rPr>
              <w:t>which such awards are granted, and the terms of such awards. The Compensation Committee may delegate</w:t>
            </w:r>
          </w:p>
        </w:tc>
      </w:tr>
      <w:tr>
        <w:trPr>
          <w:trHeight w:val="222"/>
        </w:trPr>
        <w:tc>
          <w:tcPr>
            <w:tcW w:w="2980" w:type="dxa"/>
            <w:vAlign w:val="bottom"/>
          </w:tcPr>
          <w:p>
            <w:pPr>
              <w:spacing w:after="0"/>
              <w:rPr>
                <w:sz w:val="19"/>
                <w:szCs w:val="19"/>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rPr>
              <w:t>its authority to the extent permitted by applicable law.</w:t>
            </w:r>
          </w:p>
        </w:tc>
      </w:tr>
      <w:tr>
        <w:trPr>
          <w:trHeight w:val="426"/>
        </w:trPr>
        <w:tc>
          <w:tcPr>
            <w:tcW w:w="2980" w:type="dxa"/>
            <w:vAlign w:val="bottom"/>
          </w:tcPr>
          <w:p>
            <w:pPr>
              <w:spacing w:after="0"/>
              <w:rPr>
                <w:sz w:val="24"/>
                <w:szCs w:val="24"/>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88"/>
              </w:rPr>
              <w:t>The Compensation Committee sets stock option exercise prices and terms, except that stock options must be</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88"/>
              </w:rPr>
              <w:t>granted with an exercise price not less than 100% of the fair market value of the common stock on the date of</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94"/>
              </w:rPr>
              <w:t>grant. The Compensation Committee may grant either incentive stock options, which must comply with</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91"/>
              </w:rPr>
              <w:t>Section 422 of the Code, or nonqualified stock options. At the time of grant, the Compensation Committee</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90"/>
              </w:rPr>
              <w:t>determines the terms and conditions of stock options, including the quantity, exercise price, vesting periods,</w:t>
            </w:r>
          </w:p>
        </w:tc>
      </w:tr>
      <w:tr>
        <w:trPr>
          <w:trHeight w:val="222"/>
        </w:trPr>
        <w:tc>
          <w:tcPr>
            <w:tcW w:w="2980" w:type="dxa"/>
            <w:vAlign w:val="bottom"/>
          </w:tcPr>
          <w:p>
            <w:pPr>
              <w:spacing w:after="0"/>
              <w:rPr>
                <w:sz w:val="19"/>
                <w:szCs w:val="19"/>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rPr>
              <w:t>term (which cannot exceed ten years) and other conditions on exercise.</w:t>
            </w:r>
          </w:p>
        </w:tc>
      </w:tr>
      <w:tr>
        <w:trPr>
          <w:trHeight w:val="426"/>
        </w:trPr>
        <w:tc>
          <w:tcPr>
            <w:tcW w:w="2980" w:type="dxa"/>
            <w:vAlign w:val="bottom"/>
          </w:tcPr>
          <w:p>
            <w:pPr>
              <w:spacing w:after="0"/>
              <w:rPr>
                <w:sz w:val="24"/>
                <w:szCs w:val="24"/>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91"/>
              </w:rPr>
              <w:t>The Compensation Committee may grant SARs as a right in tandem with the number of shares underlying</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88"/>
              </w:rPr>
              <w:t>stock options granted under the Amended 2019 Plan or as a freestanding award. Upon exercise, SARs entitle</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90"/>
              </w:rPr>
              <w:t>the holder to receive payment per share in stock or cash, or in a combination of stock and cash, equal to the</w:t>
            </w:r>
          </w:p>
        </w:tc>
      </w:tr>
      <w:tr>
        <w:trPr>
          <w:trHeight w:val="222"/>
        </w:trPr>
        <w:tc>
          <w:tcPr>
            <w:tcW w:w="2980" w:type="dxa"/>
            <w:vAlign w:val="bottom"/>
          </w:tcPr>
          <w:p>
            <w:pPr>
              <w:spacing w:after="0"/>
              <w:rPr>
                <w:sz w:val="19"/>
                <w:szCs w:val="19"/>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rPr>
              <w:t>excess of the share’s fair market value on the date of exercise over the grant price of the SAR.</w:t>
            </w:r>
          </w:p>
        </w:tc>
      </w:tr>
      <w:tr>
        <w:trPr>
          <w:trHeight w:val="426"/>
        </w:trPr>
        <w:tc>
          <w:tcPr>
            <w:tcW w:w="2980" w:type="dxa"/>
            <w:vAlign w:val="bottom"/>
          </w:tcPr>
          <w:p>
            <w:pPr>
              <w:spacing w:after="0"/>
              <w:rPr>
                <w:sz w:val="24"/>
                <w:szCs w:val="24"/>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89"/>
              </w:rPr>
              <w:t>The Compensation Committee may also grant awards of restricted stock, which are shares of common stock</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90"/>
              </w:rPr>
              <w:t>subject to specified restrictions, and restricted stock units, which represent the right to receive shares of the</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97"/>
              </w:rPr>
              <w:t>common stock in the future. These awards may be made subject to repurchase, forfeiture or vesting</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88"/>
              </w:rPr>
              <w:t>restrictions at the Compensation Committee’s discretion. The restrictions may be based on continuous service</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92"/>
              </w:rPr>
              <w:t>with the Company or the attainment of specified performance goals, as determined by the Compensation</w:t>
            </w:r>
          </w:p>
        </w:tc>
      </w:tr>
      <w:tr>
        <w:trPr>
          <w:trHeight w:val="216"/>
        </w:trPr>
        <w:tc>
          <w:tcPr>
            <w:tcW w:w="2980" w:type="dxa"/>
            <w:vAlign w:val="bottom"/>
          </w:tcPr>
          <w:p>
            <w:pPr>
              <w:spacing w:after="0"/>
              <w:rPr>
                <w:sz w:val="18"/>
                <w:szCs w:val="18"/>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88"/>
              </w:rPr>
              <w:t>Committee. Stock units may be paid in stock or cash or a combination of stock and cash, as determined by the</w:t>
            </w:r>
          </w:p>
        </w:tc>
      </w:tr>
      <w:tr>
        <w:trPr>
          <w:trHeight w:val="222"/>
        </w:trPr>
        <w:tc>
          <w:tcPr>
            <w:tcW w:w="2980" w:type="dxa"/>
            <w:vAlign w:val="bottom"/>
          </w:tcPr>
          <w:p>
            <w:pPr>
              <w:spacing w:after="0"/>
              <w:rPr>
                <w:sz w:val="19"/>
                <w:szCs w:val="19"/>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rPr>
              <w:t>Compensation Committee.</w:t>
            </w:r>
          </w:p>
        </w:tc>
      </w:tr>
      <w:tr>
        <w:trPr>
          <w:trHeight w:val="426"/>
        </w:trPr>
        <w:tc>
          <w:tcPr>
            <w:tcW w:w="2980" w:type="dxa"/>
            <w:vAlign w:val="bottom"/>
          </w:tcPr>
          <w:p>
            <w:pPr>
              <w:spacing w:after="0"/>
              <w:rPr>
                <w:sz w:val="24"/>
                <w:szCs w:val="24"/>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88"/>
              </w:rPr>
              <w:t>The Compensation Committee may condition the grant, exercise, vesting, or settlement of any award on such</w:t>
            </w:r>
          </w:p>
        </w:tc>
      </w:tr>
      <w:tr>
        <w:trPr>
          <w:trHeight w:val="222"/>
        </w:trPr>
        <w:tc>
          <w:tcPr>
            <w:tcW w:w="2980" w:type="dxa"/>
            <w:vAlign w:val="bottom"/>
          </w:tcPr>
          <w:p>
            <w:pPr>
              <w:spacing w:after="0"/>
              <w:rPr>
                <w:sz w:val="19"/>
                <w:szCs w:val="19"/>
                <w:color w:val="auto"/>
              </w:rPr>
            </w:pPr>
          </w:p>
        </w:tc>
        <w:tc>
          <w:tcPr>
            <w:tcW w:w="8280" w:type="dxa"/>
            <w:vAlign w:val="bottom"/>
            <w:gridSpan w:val="2"/>
          </w:tcPr>
          <w:p>
            <w:pPr>
              <w:ind w:left="520"/>
              <w:spacing w:after="0"/>
              <w:rPr>
                <w:sz w:val="20"/>
                <w:szCs w:val="20"/>
                <w:color w:val="auto"/>
              </w:rPr>
            </w:pPr>
            <w:r>
              <w:rPr>
                <w:rFonts w:ascii="Arial" w:cs="Arial" w:eastAsia="Arial" w:hAnsi="Arial"/>
                <w:sz w:val="18"/>
                <w:szCs w:val="18"/>
                <w:color w:val="auto"/>
                <w:w w:val="98"/>
              </w:rPr>
              <w:t>performance conditions as it may specify. We refer to these awards as “performance awards.” The</w:t>
            </w:r>
          </w:p>
        </w:tc>
      </w:tr>
    </w:tbl>
    <w:p>
      <w:pPr>
        <w:sectPr>
          <w:pgSz w:w="11900" w:h="16838" w:orient="portrait"/>
          <w:cols w:equalWidth="0" w:num="1">
            <w:col w:w="11240"/>
          </w:cols>
          <w:pgMar w:left="320" w:top="557" w:right="3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89"/>
              </w:rPr>
              <w:t>Compensation Committee may select such business criteria or other performance measures as it may deem</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91"/>
              </w:rPr>
              <w:t>appropriate in establishing any performance conditions. At March 31, 2021, the Compensation Committee</w:t>
            </w:r>
          </w:p>
        </w:tc>
      </w:tr>
      <w:tr>
        <w:trPr>
          <w:trHeight w:val="222"/>
        </w:trPr>
        <w:tc>
          <w:tcPr>
            <w:tcW w:w="2440" w:type="dxa"/>
            <w:vAlign w:val="bottom"/>
          </w:tcPr>
          <w:p>
            <w:pPr>
              <w:spacing w:after="0"/>
              <w:rPr>
                <w:sz w:val="19"/>
                <w:szCs w:val="19"/>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has not granted any performance awards.</w:t>
            </w:r>
          </w:p>
        </w:tc>
      </w:tr>
      <w:tr>
        <w:trPr>
          <w:trHeight w:val="225"/>
        </w:trPr>
        <w:tc>
          <w:tcPr>
            <w:tcW w:w="2440" w:type="dxa"/>
            <w:vAlign w:val="bottom"/>
            <w:tcBorders>
              <w:bottom w:val="single" w:sz="8" w:color="auto"/>
            </w:tcBorders>
          </w:tcPr>
          <w:p>
            <w:pPr>
              <w:spacing w:after="0"/>
              <w:rPr>
                <w:sz w:val="19"/>
                <w:szCs w:val="19"/>
                <w:color w:val="auto"/>
              </w:rPr>
            </w:pPr>
          </w:p>
        </w:tc>
        <w:tc>
          <w:tcPr>
            <w:tcW w:w="8800" w:type="dxa"/>
            <w:vAlign w:val="bottom"/>
            <w:tcBorders>
              <w:bottom w:val="single" w:sz="8" w:color="auto"/>
            </w:tcBorders>
          </w:tcPr>
          <w:p>
            <w:pPr>
              <w:spacing w:after="0"/>
              <w:rPr>
                <w:sz w:val="19"/>
                <w:szCs w:val="19"/>
                <w:color w:val="auto"/>
              </w:rPr>
            </w:pPr>
          </w:p>
        </w:tc>
      </w:tr>
      <w:tr>
        <w:trPr>
          <w:trHeight w:val="208"/>
        </w:trPr>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Authorized Shares</w:t>
            </w: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2"/>
              </w:rPr>
              <w:t>A total of 7.5 million shares of common stock was initially authorized for issuance under the 2019 Plan. In</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0"/>
              </w:rPr>
              <w:t>the event our stockholders approve this Proposal No. 2 at the Annual Meeting, a total of 18 million shares of</w:t>
            </w:r>
          </w:p>
        </w:tc>
      </w:tr>
      <w:tr>
        <w:trPr>
          <w:trHeight w:val="222"/>
        </w:trPr>
        <w:tc>
          <w:tcPr>
            <w:tcW w:w="2440" w:type="dxa"/>
            <w:vAlign w:val="bottom"/>
            <w:shd w:val="clear" w:color="auto" w:fill="CCEEFF"/>
          </w:tcPr>
          <w:p>
            <w:pPr>
              <w:spacing w:after="0"/>
              <w:rPr>
                <w:sz w:val="19"/>
                <w:szCs w:val="19"/>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our common stock will become available for issuance under the Amended 2019 Plan.</w:t>
            </w:r>
          </w:p>
        </w:tc>
      </w:tr>
      <w:tr>
        <w:trPr>
          <w:trHeight w:val="426"/>
        </w:trPr>
        <w:tc>
          <w:tcPr>
            <w:tcW w:w="2440" w:type="dxa"/>
            <w:vAlign w:val="bottom"/>
            <w:shd w:val="clear" w:color="auto" w:fill="CCEEFF"/>
          </w:tcPr>
          <w:p>
            <w:pPr>
              <w:spacing w:after="0"/>
              <w:rPr>
                <w:sz w:val="24"/>
                <w:szCs w:val="24"/>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7"/>
              </w:rPr>
              <w:t>In the event any award under the Amended 2019 Plan is canceled, terminates, expires or lapses for any reason</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prior to the issuance of shares or if shares are issued under the Amended 2019 Plan and thereafter are</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2"/>
              </w:rPr>
              <w:t>forfeited to us, the shares subject to such awards and the forfeited shares will again be available for grant</w:t>
            </w:r>
          </w:p>
        </w:tc>
      </w:tr>
      <w:tr>
        <w:trPr>
          <w:trHeight w:val="222"/>
        </w:trPr>
        <w:tc>
          <w:tcPr>
            <w:tcW w:w="2440" w:type="dxa"/>
            <w:vAlign w:val="bottom"/>
            <w:shd w:val="clear" w:color="auto" w:fill="CCEEFF"/>
          </w:tcPr>
          <w:p>
            <w:pPr>
              <w:spacing w:after="0"/>
              <w:rPr>
                <w:sz w:val="19"/>
                <w:szCs w:val="19"/>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under the Amended 2019 Plan.</w:t>
            </w:r>
          </w:p>
        </w:tc>
      </w:tr>
      <w:tr>
        <w:trPr>
          <w:trHeight w:val="225"/>
        </w:trPr>
        <w:tc>
          <w:tcPr>
            <w:tcW w:w="2440" w:type="dxa"/>
            <w:vAlign w:val="bottom"/>
            <w:tcBorders>
              <w:bottom w:val="single" w:sz="8" w:color="auto"/>
            </w:tcBorders>
            <w:shd w:val="clear" w:color="auto" w:fill="CCEEFF"/>
          </w:tcPr>
          <w:p>
            <w:pPr>
              <w:spacing w:after="0"/>
              <w:rPr>
                <w:sz w:val="19"/>
                <w:szCs w:val="19"/>
                <w:color w:val="auto"/>
              </w:rPr>
            </w:pPr>
          </w:p>
        </w:tc>
        <w:tc>
          <w:tcPr>
            <w:tcW w:w="8800" w:type="dxa"/>
            <w:vAlign w:val="bottom"/>
            <w:tcBorders>
              <w:bottom w:val="single" w:sz="8" w:color="auto"/>
            </w:tcBorders>
            <w:shd w:val="clear" w:color="auto" w:fill="CCEEFF"/>
          </w:tcPr>
          <w:p>
            <w:pPr>
              <w:spacing w:after="0"/>
              <w:rPr>
                <w:sz w:val="19"/>
                <w:szCs w:val="19"/>
                <w:color w:val="auto"/>
              </w:rPr>
            </w:pPr>
          </w:p>
        </w:tc>
      </w:tr>
      <w:tr>
        <w:trPr>
          <w:trHeight w:val="208"/>
        </w:trPr>
        <w:tc>
          <w:tcPr>
            <w:tcW w:w="2440" w:type="dxa"/>
            <w:vAlign w:val="bottom"/>
          </w:tcPr>
          <w:p>
            <w:pPr>
              <w:spacing w:after="0"/>
              <w:rPr>
                <w:sz w:val="20"/>
                <w:szCs w:val="20"/>
                <w:color w:val="auto"/>
              </w:rPr>
            </w:pPr>
            <w:r>
              <w:rPr>
                <w:rFonts w:ascii="Arial" w:cs="Arial" w:eastAsia="Arial" w:hAnsi="Arial"/>
                <w:sz w:val="18"/>
                <w:szCs w:val="18"/>
                <w:b w:val="1"/>
                <w:bCs w:val="1"/>
                <w:color w:val="auto"/>
              </w:rPr>
              <w:t>Vesting</w:t>
            </w:r>
          </w:p>
        </w:tc>
        <w:tc>
          <w:tcPr>
            <w:tcW w:w="8800" w:type="dxa"/>
            <w:vAlign w:val="bottom"/>
          </w:tcPr>
          <w:p>
            <w:pPr>
              <w:ind w:left="1060"/>
              <w:spacing w:after="0"/>
              <w:rPr>
                <w:sz w:val="20"/>
                <w:szCs w:val="20"/>
                <w:color w:val="auto"/>
              </w:rPr>
            </w:pPr>
            <w:r>
              <w:rPr>
                <w:rFonts w:ascii="Arial" w:cs="Arial" w:eastAsia="Arial" w:hAnsi="Arial"/>
                <w:sz w:val="18"/>
                <w:szCs w:val="18"/>
                <w:color w:val="auto"/>
                <w:w w:val="88"/>
              </w:rPr>
              <w:t>No more than 25% of any equity-based awards granted under the Amended 2019 Plan may vest on the grant</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91"/>
              </w:rPr>
              <w:t>date of such award. The Board believes this provision will provide the Company the necessary flexibility to</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92"/>
              </w:rPr>
              <w:t>issue Awards that will both attract new talent, particularly as the Company advances its late-stage clinical</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91"/>
              </w:rPr>
              <w:t>development and commercialization plans for its drug candidates and provide incentives sufficient to retain</w:t>
            </w:r>
          </w:p>
        </w:tc>
      </w:tr>
      <w:tr>
        <w:trPr>
          <w:trHeight w:val="222"/>
        </w:trPr>
        <w:tc>
          <w:tcPr>
            <w:tcW w:w="2440" w:type="dxa"/>
            <w:vAlign w:val="bottom"/>
          </w:tcPr>
          <w:p>
            <w:pPr>
              <w:spacing w:after="0"/>
              <w:rPr>
                <w:sz w:val="19"/>
                <w:szCs w:val="19"/>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the Company’s existing employees and directors.</w:t>
            </w:r>
          </w:p>
        </w:tc>
      </w:tr>
      <w:tr>
        <w:trPr>
          <w:trHeight w:val="426"/>
        </w:trPr>
        <w:tc>
          <w:tcPr>
            <w:tcW w:w="2440" w:type="dxa"/>
            <w:vAlign w:val="bottom"/>
          </w:tcPr>
          <w:p>
            <w:pPr>
              <w:spacing w:after="0"/>
              <w:rPr>
                <w:sz w:val="24"/>
                <w:szCs w:val="24"/>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89"/>
              </w:rPr>
              <w:t>This requirement does not apply to (i) substitute awards resulting from acquisitions or (ii) shares delivered in</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97"/>
              </w:rPr>
              <w:t>lieu of fully vested cash awards. In addition, the minimum vesting requirement does not apply to the</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94"/>
              </w:rPr>
              <w:t>Compensation Committee’s discretion to provide for accelerated exercisability or vesting of any award,</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97"/>
              </w:rPr>
              <w:t>including in cases of retirement, death, disability or a change in control, in the terms of the award or</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88"/>
              </w:rPr>
              <w:t>otherwise. Awards are not transferable other than by will or the laws of descent and distribution, except that in</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89"/>
              </w:rPr>
              <w:t>certain instances transfers may be made to or for the benefit of designated family members of the participant</w:t>
            </w:r>
          </w:p>
        </w:tc>
      </w:tr>
      <w:tr>
        <w:trPr>
          <w:trHeight w:val="222"/>
        </w:trPr>
        <w:tc>
          <w:tcPr>
            <w:tcW w:w="2440" w:type="dxa"/>
            <w:vAlign w:val="bottom"/>
          </w:tcPr>
          <w:p>
            <w:pPr>
              <w:spacing w:after="0"/>
              <w:rPr>
                <w:sz w:val="19"/>
                <w:szCs w:val="19"/>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for no consideration.</w:t>
            </w:r>
          </w:p>
        </w:tc>
      </w:tr>
      <w:tr>
        <w:trPr>
          <w:trHeight w:val="441"/>
        </w:trPr>
        <w:tc>
          <w:tcPr>
            <w:tcW w:w="24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2"/>
        </w:trPr>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 Repricing</w:t>
            </w:r>
          </w:p>
        </w:tc>
        <w:tc>
          <w:tcPr>
            <w:tcW w:w="88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The Amended 2019 Plan does not permit repricing of outstanding stock options.</w:t>
            </w:r>
          </w:p>
        </w:tc>
      </w:tr>
      <w:tr>
        <w:trPr>
          <w:trHeight w:val="211"/>
        </w:trPr>
        <w:tc>
          <w:tcPr>
            <w:tcW w:w="2440" w:type="dxa"/>
            <w:vAlign w:val="bottom"/>
            <w:tcBorders>
              <w:bottom w:val="single" w:sz="8" w:color="auto"/>
            </w:tcBorders>
            <w:shd w:val="clear" w:color="auto" w:fill="CCEEFF"/>
          </w:tcPr>
          <w:p>
            <w:pPr>
              <w:spacing w:after="0"/>
              <w:rPr>
                <w:sz w:val="18"/>
                <w:szCs w:val="18"/>
                <w:color w:val="auto"/>
              </w:rPr>
            </w:pPr>
          </w:p>
        </w:tc>
        <w:tc>
          <w:tcPr>
            <w:tcW w:w="8800" w:type="dxa"/>
            <w:vAlign w:val="bottom"/>
            <w:tcBorders>
              <w:bottom w:val="single" w:sz="8" w:color="auto"/>
            </w:tcBorders>
            <w:shd w:val="clear" w:color="auto" w:fill="CCEEFF"/>
          </w:tcPr>
          <w:p>
            <w:pPr>
              <w:spacing w:after="0"/>
              <w:rPr>
                <w:sz w:val="18"/>
                <w:szCs w:val="18"/>
                <w:color w:val="auto"/>
              </w:rPr>
            </w:pPr>
          </w:p>
        </w:tc>
      </w:tr>
      <w:tr>
        <w:trPr>
          <w:trHeight w:val="208"/>
        </w:trPr>
        <w:tc>
          <w:tcPr>
            <w:tcW w:w="2440" w:type="dxa"/>
            <w:vAlign w:val="bottom"/>
          </w:tcPr>
          <w:p>
            <w:pPr>
              <w:spacing w:after="0"/>
              <w:rPr>
                <w:sz w:val="20"/>
                <w:szCs w:val="20"/>
                <w:color w:val="auto"/>
              </w:rPr>
            </w:pPr>
            <w:r>
              <w:rPr>
                <w:rFonts w:ascii="Arial" w:cs="Arial" w:eastAsia="Arial" w:hAnsi="Arial"/>
                <w:sz w:val="18"/>
                <w:szCs w:val="18"/>
                <w:b w:val="1"/>
                <w:bCs w:val="1"/>
                <w:color w:val="auto"/>
              </w:rPr>
              <w:t>Change of Control</w:t>
            </w:r>
          </w:p>
        </w:tc>
        <w:tc>
          <w:tcPr>
            <w:tcW w:w="8800" w:type="dxa"/>
            <w:vAlign w:val="bottom"/>
          </w:tcPr>
          <w:p>
            <w:pPr>
              <w:ind w:left="1060"/>
              <w:spacing w:after="0"/>
              <w:rPr>
                <w:sz w:val="20"/>
                <w:szCs w:val="20"/>
                <w:color w:val="auto"/>
              </w:rPr>
            </w:pPr>
            <w:r>
              <w:rPr>
                <w:rFonts w:ascii="Arial" w:cs="Arial" w:eastAsia="Arial" w:hAnsi="Arial"/>
                <w:sz w:val="18"/>
                <w:szCs w:val="18"/>
                <w:color w:val="auto"/>
                <w:w w:val="91"/>
              </w:rPr>
              <w:t>In the event of a change in control of the Company, the Compensation Committee may accelerate the time</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90"/>
              </w:rPr>
              <w:t>period relating to the exercise of any outstanding Award, including stock options or restricted stock units. In</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89"/>
              </w:rPr>
              <w:t>addition, the Compensation Committee may take other action, including (a) providing for the purchase of any</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88"/>
              </w:rPr>
              <w:t>award for an amount of cash or other property that could have been received upon the exercise of such award</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88"/>
              </w:rPr>
              <w:t>had the award been currently exercisable, (b) subject to certain limitations, adjusting the terms of the award in</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93"/>
              </w:rPr>
              <w:t>a manner determined by the Compensation Committee to reflect the change in control, or (c) causing an</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88"/>
              </w:rPr>
              <w:t>award to be assumed, or new rights substituted therefor, by another entity with appropriate adjustments to be</w:t>
            </w:r>
          </w:p>
        </w:tc>
      </w:tr>
      <w:tr>
        <w:trPr>
          <w:trHeight w:val="216"/>
        </w:trPr>
        <w:tc>
          <w:tcPr>
            <w:tcW w:w="2440" w:type="dxa"/>
            <w:vAlign w:val="bottom"/>
          </w:tcPr>
          <w:p>
            <w:pPr>
              <w:spacing w:after="0"/>
              <w:rPr>
                <w:sz w:val="18"/>
                <w:szCs w:val="18"/>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w w:val="93"/>
              </w:rPr>
              <w:t>made regarding the number and kind of shares and exercise prices of the award. “Change in Control” is</w:t>
            </w:r>
          </w:p>
        </w:tc>
      </w:tr>
      <w:tr>
        <w:trPr>
          <w:trHeight w:val="222"/>
        </w:trPr>
        <w:tc>
          <w:tcPr>
            <w:tcW w:w="2440" w:type="dxa"/>
            <w:vAlign w:val="bottom"/>
          </w:tcPr>
          <w:p>
            <w:pPr>
              <w:spacing w:after="0"/>
              <w:rPr>
                <w:sz w:val="19"/>
                <w:szCs w:val="19"/>
                <w:color w:val="auto"/>
              </w:rPr>
            </w:pPr>
          </w:p>
        </w:tc>
        <w:tc>
          <w:tcPr>
            <w:tcW w:w="8800" w:type="dxa"/>
            <w:vAlign w:val="bottom"/>
          </w:tcPr>
          <w:p>
            <w:pPr>
              <w:ind w:left="1060"/>
              <w:spacing w:after="0"/>
              <w:rPr>
                <w:sz w:val="20"/>
                <w:szCs w:val="20"/>
                <w:color w:val="auto"/>
              </w:rPr>
            </w:pPr>
            <w:r>
              <w:rPr>
                <w:rFonts w:ascii="Arial" w:cs="Arial" w:eastAsia="Arial" w:hAnsi="Arial"/>
                <w:sz w:val="18"/>
                <w:szCs w:val="18"/>
                <w:color w:val="auto"/>
              </w:rPr>
              <w:t>defined under the Amended 2019 Plan and requires consummation of the applicable transaction.</w:t>
            </w:r>
          </w:p>
        </w:tc>
      </w:tr>
      <w:tr>
        <w:trPr>
          <w:trHeight w:val="225"/>
        </w:trPr>
        <w:tc>
          <w:tcPr>
            <w:tcW w:w="2440" w:type="dxa"/>
            <w:vAlign w:val="bottom"/>
            <w:tcBorders>
              <w:bottom w:val="single" w:sz="8" w:color="auto"/>
            </w:tcBorders>
          </w:tcPr>
          <w:p>
            <w:pPr>
              <w:spacing w:after="0"/>
              <w:rPr>
                <w:sz w:val="19"/>
                <w:szCs w:val="19"/>
                <w:color w:val="auto"/>
              </w:rPr>
            </w:pPr>
          </w:p>
        </w:tc>
        <w:tc>
          <w:tcPr>
            <w:tcW w:w="8800" w:type="dxa"/>
            <w:vAlign w:val="bottom"/>
            <w:tcBorders>
              <w:bottom w:val="single" w:sz="8" w:color="auto"/>
            </w:tcBorders>
          </w:tcPr>
          <w:p>
            <w:pPr>
              <w:spacing w:after="0"/>
              <w:rPr>
                <w:sz w:val="19"/>
                <w:szCs w:val="19"/>
                <w:color w:val="auto"/>
              </w:rPr>
            </w:pPr>
          </w:p>
        </w:tc>
      </w:tr>
      <w:tr>
        <w:trPr>
          <w:trHeight w:val="208"/>
        </w:trPr>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Termination</w:t>
            </w: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Unless earlier terminated by the Board, the Amended 2019 Plan will terminate, and no further awards may be</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7"/>
              </w:rPr>
              <w:t>granted, on September 5, 2029, which is ten years after the date on which the 2019 Plan was approved by our</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7"/>
              </w:rPr>
              <w:t>stockholders. The Board may amend, suspend or terminate the Amended 2019 Plan at any time. To the extent</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necessary to comply with applicable provisions of U.S. federal securities laws, state corporate and securities</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1"/>
              </w:rPr>
              <w:t>laws, the Code, the rules of any applicable stock exchange or national market system, and the rules of any</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non-U.S. jurisdiction applicable to Awards granted to residents therein, we will obtain stockholder approval of</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1"/>
              </w:rPr>
              <w:t>any such amendment to the Amended 2019 Plan in such a manner and to such a degree as required. The</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7"/>
              </w:rPr>
              <w:t>amendment, suspension or termination of the Amended 2019 Plan or the amendment of an outstanding award</w:t>
            </w:r>
          </w:p>
        </w:tc>
      </w:tr>
      <w:tr>
        <w:trPr>
          <w:trHeight w:val="216"/>
        </w:trPr>
        <w:tc>
          <w:tcPr>
            <w:tcW w:w="2440" w:type="dxa"/>
            <w:vAlign w:val="bottom"/>
            <w:shd w:val="clear" w:color="auto" w:fill="CCEEFF"/>
          </w:tcPr>
          <w:p>
            <w:pPr>
              <w:spacing w:after="0"/>
              <w:rPr>
                <w:sz w:val="18"/>
                <w:szCs w:val="18"/>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7"/>
              </w:rPr>
              <w:t>generally may not, without a participant’s consent, materially impair the participant’s rights under an</w:t>
            </w:r>
          </w:p>
        </w:tc>
      </w:tr>
      <w:tr>
        <w:trPr>
          <w:trHeight w:val="222"/>
        </w:trPr>
        <w:tc>
          <w:tcPr>
            <w:tcW w:w="2440" w:type="dxa"/>
            <w:vAlign w:val="bottom"/>
            <w:shd w:val="clear" w:color="auto" w:fill="CCEEFF"/>
          </w:tcPr>
          <w:p>
            <w:pPr>
              <w:spacing w:after="0"/>
              <w:rPr>
                <w:sz w:val="19"/>
                <w:szCs w:val="19"/>
                <w:color w:val="auto"/>
              </w:rPr>
            </w:pPr>
          </w:p>
        </w:tc>
        <w:tc>
          <w:tcPr>
            <w:tcW w:w="8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outstanding award.</w:t>
            </w:r>
          </w:p>
        </w:tc>
      </w:tr>
      <w:tr>
        <w:trPr>
          <w:trHeight w:val="225"/>
        </w:trPr>
        <w:tc>
          <w:tcPr>
            <w:tcW w:w="2440" w:type="dxa"/>
            <w:vAlign w:val="bottom"/>
            <w:tcBorders>
              <w:bottom w:val="single" w:sz="8" w:color="auto"/>
            </w:tcBorders>
            <w:shd w:val="clear" w:color="auto" w:fill="CCEEFF"/>
          </w:tcPr>
          <w:p>
            <w:pPr>
              <w:spacing w:after="0"/>
              <w:rPr>
                <w:sz w:val="19"/>
                <w:szCs w:val="19"/>
                <w:color w:val="auto"/>
              </w:rPr>
            </w:pPr>
          </w:p>
        </w:tc>
        <w:tc>
          <w:tcPr>
            <w:tcW w:w="8800" w:type="dxa"/>
            <w:vAlign w:val="bottom"/>
            <w:tcBorders>
              <w:bottom w:val="single" w:sz="8" w:color="auto"/>
            </w:tcBorders>
            <w:shd w:val="clear" w:color="auto" w:fill="CCEEFF"/>
          </w:tcPr>
          <w:p>
            <w:pPr>
              <w:spacing w:after="0"/>
              <w:rPr>
                <w:sz w:val="19"/>
                <w:szCs w:val="19"/>
                <w:color w:val="auto"/>
              </w:rPr>
            </w:pPr>
          </w:p>
        </w:tc>
      </w:tr>
      <w:tr>
        <w:trPr>
          <w:trHeight w:val="655"/>
        </w:trPr>
        <w:tc>
          <w:tcPr>
            <w:tcW w:w="24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ind w:left="304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240"/>
          </w:cols>
          <w:pgMar w:left="320" w:top="57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Plan Benefits</w:t>
      </w:r>
    </w:p>
    <w:p>
      <w:pPr>
        <w:spacing w:after="0" w:line="258"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Participation in the Amended 2019 Plan is entirely within the discretion of the Compensation Committee. Because we cannot predict the predict the rate at which the Compensation Committee will issue Awards or the terms of Awards granted under the Amended 2019 Plan, it is not possible to determine the number of shares that will be purchased or the value of benefits that may be obtained by executive officers and other employees under the Amended 2019 Plan in the future.</w:t>
      </w:r>
    </w:p>
    <w:p>
      <w:pPr>
        <w:spacing w:after="0" w:line="224" w:lineRule="exact"/>
        <w:rPr>
          <w:sz w:val="20"/>
          <w:szCs w:val="20"/>
          <w:color w:val="auto"/>
        </w:rPr>
      </w:pPr>
    </w:p>
    <w:p>
      <w:pPr>
        <w:ind w:left="180" w:right="180" w:firstLine="648"/>
        <w:spacing w:after="0" w:line="268" w:lineRule="auto"/>
        <w:rPr>
          <w:sz w:val="20"/>
          <w:szCs w:val="20"/>
          <w:color w:val="auto"/>
        </w:rPr>
      </w:pPr>
      <w:r>
        <w:rPr>
          <w:rFonts w:ascii="Arial" w:cs="Arial" w:eastAsia="Arial" w:hAnsi="Arial"/>
          <w:sz w:val="18"/>
          <w:szCs w:val="18"/>
          <w:color w:val="auto"/>
        </w:rPr>
        <w:t>The following table discloses all awards granted to the persons or groups specified below under the 2019 Plan during our fiscal year ended March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40" w:type="dxa"/>
            <w:vAlign w:val="bottom"/>
          </w:tcPr>
          <w:p>
            <w:pPr>
              <w:spacing w:after="0"/>
              <w:rPr>
                <w:sz w:val="20"/>
                <w:szCs w:val="20"/>
                <w:color w:val="auto"/>
              </w:rPr>
            </w:pPr>
            <w:r>
              <w:rPr>
                <w:rFonts w:ascii="Arial" w:cs="Arial" w:eastAsia="Arial" w:hAnsi="Arial"/>
                <w:sz w:val="18"/>
                <w:szCs w:val="18"/>
                <w:b w:val="1"/>
                <w:bCs w:val="1"/>
                <w:color w:val="auto"/>
              </w:rPr>
              <w:t>Name and Position</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3"/>
        </w:trPr>
        <w:tc>
          <w:tcPr>
            <w:tcW w:w="10040" w:type="dxa"/>
            <w:vAlign w:val="bottom"/>
          </w:tcPr>
          <w:p>
            <w:pPr>
              <w:spacing w:after="0"/>
              <w:rPr>
                <w:sz w:val="24"/>
                <w:szCs w:val="24"/>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6"/>
              </w:rPr>
              <w:t>No. of Shares</w:t>
            </w:r>
          </w:p>
        </w:tc>
        <w:tc>
          <w:tcPr>
            <w:tcW w:w="140" w:type="dxa"/>
            <w:vAlign w:val="bottom"/>
          </w:tcPr>
          <w:p>
            <w:pPr>
              <w:spacing w:after="0"/>
              <w:rPr>
                <w:sz w:val="24"/>
                <w:szCs w:val="24"/>
                <w:color w:val="auto"/>
              </w:rPr>
            </w:pP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r>
      <w:tr>
        <w:trPr>
          <w:trHeight w:val="216"/>
        </w:trPr>
        <w:tc>
          <w:tcPr>
            <w:tcW w:w="1004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H. Ralph Snodgrass, Ph.D.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300,000</w:t>
            </w: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0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shd w:val="clear" w:color="auto" w:fill="CCEEFF"/>
              </w:rPr>
              <w:t>Mark A Smith, MD, Ph.D.</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300,000</w:t>
            </w:r>
          </w:p>
        </w:tc>
      </w:tr>
      <w:tr>
        <w:trPr>
          <w:trHeight w:val="216"/>
        </w:trPr>
        <w:tc>
          <w:tcPr>
            <w:tcW w:w="10040" w:type="dxa"/>
            <w:vAlign w:val="bottom"/>
          </w:tcPr>
          <w:p>
            <w:pPr>
              <w:spacing w:after="0"/>
              <w:rPr>
                <w:sz w:val="20"/>
                <w:szCs w:val="20"/>
                <w:color w:val="auto"/>
              </w:rPr>
            </w:pPr>
            <w:r>
              <w:rPr>
                <w:rFonts w:ascii="Arial" w:cs="Arial" w:eastAsia="Arial" w:hAnsi="Arial"/>
                <w:sz w:val="18"/>
                <w:szCs w:val="18"/>
                <w:i w:val="1"/>
                <w:iCs w:val="1"/>
                <w:color w:val="auto"/>
              </w:rPr>
              <w:t>Chief Medical Officer</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Jerrold D. Dotson</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300,000</w:t>
            </w: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 Officer, Secretary</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0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r>
      <w:tr>
        <w:trPr>
          <w:trHeight w:val="216"/>
        </w:trPr>
        <w:tc>
          <w:tcPr>
            <w:tcW w:w="10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77"/>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Employees (excluding executive officers) and consultants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2,890,000</w:t>
            </w:r>
          </w:p>
        </w:tc>
      </w:tr>
      <w:tr>
        <w:trPr>
          <w:trHeight w:val="216"/>
        </w:trPr>
        <w:tc>
          <w:tcPr>
            <w:tcW w:w="100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4,990,000</w:t>
            </w:r>
          </w:p>
        </w:tc>
      </w:tr>
      <w:tr>
        <w:trPr>
          <w:trHeight w:val="450"/>
        </w:trPr>
        <w:tc>
          <w:tcPr>
            <w:tcW w:w="1004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Vote Required and Recommendation</w:t>
            </w: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bl>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“FOR” vote of a majority of the shares present in person or by proxy and entitled to vote is necessary for approval of the Amended 2019 Plan. Unless otherwise instructed on the proxy or unless authority to vote is withheld, shares represented by executed proxies will be voted “FOR” this Proposal No. 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Amended 2019 Plan.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Company’s executive officers are appointed by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0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58</w:t>
            </w:r>
          </w:p>
        </w:tc>
        <w:tc>
          <w:tcPr>
            <w:tcW w:w="6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71</w:t>
            </w: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President and Chief Scientific Officer</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0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65</w:t>
            </w:r>
          </w:p>
        </w:tc>
        <w:tc>
          <w:tcPr>
            <w:tcW w:w="6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Medical Officer</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Ann M. Cunningham, MBA</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53</w:t>
            </w: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Chief Commercial Officer and Director</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 CPA</w:t>
            </w:r>
          </w:p>
        </w:tc>
        <w:tc>
          <w:tcPr>
            <w:tcW w:w="10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68</w:t>
            </w:r>
          </w:p>
        </w:tc>
        <w:tc>
          <w:tcPr>
            <w:tcW w:w="6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Chief Financial Officer and Secretary</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J.D. </w:t>
      </w:r>
      <w:r>
        <w:rPr>
          <w:rFonts w:ascii="Arial" w:cs="Arial" w:eastAsia="Arial" w:hAnsi="Arial"/>
          <w:sz w:val="18"/>
          <w:szCs w:val="18"/>
          <w:color w:val="auto"/>
        </w:rPr>
        <w:t>Please see Mr. Singh’s biography on page 5 of this Proxy Statement, under the section titled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5"/>
          <w:szCs w:val="15"/>
          <w:b w:val="1"/>
          <w:bCs w:val="1"/>
          <w:i w:val="1"/>
          <w:iCs w:val="1"/>
          <w:color w:val="auto"/>
        </w:rPr>
        <w:t xml:space="preserve">H. Ralph Snodgrass, Ph.D. </w:t>
      </w:r>
      <w:r>
        <w:rPr>
          <w:rFonts w:ascii="Arial" w:cs="Arial" w:eastAsia="Arial" w:hAnsi="Arial"/>
          <w:sz w:val="15"/>
          <w:szCs w:val="15"/>
          <w:color w:val="auto"/>
        </w:rPr>
        <w:t>co-founded VistaGen California with Dr. Gordon Keller in 1998 and served as the Chief Executive Officer of VistaGen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He was appointed to serve on our Board after the completion of the Merger and served as a Director until June 30, 2021.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28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5"/>
          <w:szCs w:val="15"/>
          <w:i w:val="1"/>
          <w:iCs w:val="1"/>
          <w:color w:val="auto"/>
        </w:rPr>
        <w:t>BIO</w:t>
      </w:r>
      <w:r>
        <w:rPr>
          <w:rFonts w:ascii="Arial" w:cs="Arial" w:eastAsia="Arial" w:hAnsi="Arial"/>
          <w:sz w:val="15"/>
          <w:szCs w:val="15"/>
          <w:color w:val="auto"/>
        </w:rPr>
        <w:t>), and past member of the International Society of Stem Cell Research (</w:t>
      </w:r>
      <w:r>
        <w:rPr>
          <w:rFonts w:ascii="Arial" w:cs="Arial" w:eastAsia="Arial" w:hAnsi="Arial"/>
          <w:sz w:val="15"/>
          <w:szCs w:val="15"/>
          <w:i w:val="1"/>
          <w:iCs w:val="1"/>
          <w:color w:val="auto"/>
        </w:rPr>
        <w:t>ISSCR</w:t>
      </w:r>
      <w:r>
        <w:rPr>
          <w:rFonts w:ascii="Arial" w:cs="Arial" w:eastAsia="Arial" w:hAnsi="Arial"/>
          <w:sz w:val="15"/>
          <w:szCs w:val="15"/>
          <w:color w:val="auto"/>
        </w:rPr>
        <w:t>) Industry Committee. Dr. Snodgrass has published more than 95 scientific papers, is the inventor on more than 21 patents and a number of patent applications, has been the Principal Investigator on U.S. federal and private foundation sponsored research grants with budgets totaling more than $14.5 million and is recognized as an expert in stem cell biology with more than 32 years’ experience in the uses of stem cells as biological tools for research, drug discovery and development.</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has served as our Chief Medical Officer since June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Ann M. Cunningham, MBA. </w:t>
      </w:r>
      <w:r>
        <w:rPr>
          <w:rFonts w:ascii="Arial" w:cs="Arial" w:eastAsia="Arial" w:hAnsi="Arial"/>
          <w:sz w:val="16"/>
          <w:szCs w:val="16"/>
          <w:color w:val="auto"/>
        </w:rPr>
        <w:t>Please see Ms. Cunningham’s biography on page 5 of this Proxy Statement, under the section titled “</w:t>
      </w:r>
      <w:r>
        <w:rPr>
          <w:rFonts w:ascii="Arial" w:cs="Arial" w:eastAsia="Arial" w:hAnsi="Arial"/>
          <w:sz w:val="16"/>
          <w:szCs w:val="16"/>
          <w:i w:val="1"/>
          <w:iCs w:val="1"/>
          <w:color w:val="auto"/>
        </w:rPr>
        <w:t>Directors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5"/>
          <w:szCs w:val="15"/>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For the year ended March 31, 2020, each Named Executive Officer (</w:t>
      </w:r>
      <w:r>
        <w:rPr>
          <w:rFonts w:ascii="Arial" w:cs="Arial" w:eastAsia="Arial" w:hAnsi="Arial"/>
          <w:sz w:val="15"/>
          <w:szCs w:val="15"/>
          <w:i w:val="1"/>
          <w:iCs w:val="1"/>
          <w:color w:val="auto"/>
        </w:rPr>
        <w:t>NEO</w:t>
      </w:r>
      <w:r>
        <w:rPr>
          <w:rFonts w:ascii="Arial" w:cs="Arial" w:eastAsia="Arial" w:hAnsi="Arial"/>
          <w:sz w:val="15"/>
          <w:szCs w:val="15"/>
          <w:color w:val="auto"/>
        </w:rPr>
        <w:t>) serving during that period was awarded a bonus by the Compensation Committee in the amount set forth in the Summary Compensation Table below. At the time of this Proxy Statement, the Compensation Committee has not determined or awarded a bonus to any NEO for our fiscal year ended March 31, 2021. Payment of a bonus to a NEO for our fiscal year ended March 31, 2021, if any, is at the discretion of the Compensation Committee which may consider factors other than attainment of individual or corporate goals in its determination of bonus amounts to be granted.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year ended March 31, 2021, the Compensation Committee granted stock options to management, employees and independent directors as a part of each individual's long-term compensation. The options have a term of ten years, and an exercise price that was at or above the market price of our common stock on the grant date, which the Compensation Committee believes align the long-term interests of our management, employees and independent directors with those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regarding the compensation of our NEOs for services performed in the fiscal years ended March 31, 2021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Option</w:t>
            </w:r>
          </w:p>
        </w:tc>
        <w:tc>
          <w:tcPr>
            <w:tcW w:w="12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All Other</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3280" w:type="dxa"/>
            <w:vAlign w:val="bottom"/>
          </w:tcPr>
          <w:p>
            <w:pPr>
              <w:spacing w:after="0"/>
              <w:rPr>
                <w:sz w:val="20"/>
                <w:szCs w:val="20"/>
                <w:color w:val="auto"/>
              </w:rPr>
            </w:pPr>
            <w:r>
              <w:rPr>
                <w:rFonts w:ascii="Arial" w:cs="Arial" w:eastAsia="Arial" w:hAnsi="Arial"/>
                <w:sz w:val="18"/>
                <w:szCs w:val="18"/>
                <w:b w:val="1"/>
                <w:bCs w:val="1"/>
                <w:color w:val="auto"/>
              </w:rPr>
              <w:t>Name and Principal</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280" w:type="dxa"/>
            <w:vAlign w:val="bottom"/>
          </w:tcPr>
          <w:p>
            <w:pPr>
              <w:spacing w:after="0"/>
              <w:rPr>
                <w:sz w:val="21"/>
                <w:szCs w:val="21"/>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Salary</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500"/>
              <w:spacing w:after="0" w:line="244" w:lineRule="exact"/>
              <w:rPr>
                <w:sz w:val="20"/>
                <w:szCs w:val="20"/>
                <w:color w:val="auto"/>
              </w:rPr>
            </w:pPr>
            <w:r>
              <w:rPr>
                <w:rFonts w:ascii="Arial" w:cs="Arial" w:eastAsia="Arial" w:hAnsi="Arial"/>
                <w:sz w:val="18"/>
                <w:szCs w:val="18"/>
                <w:b w:val="1"/>
                <w:bCs w:val="1"/>
                <w:color w:val="auto"/>
                <w:w w:val="89"/>
              </w:rPr>
              <w:t>Bonus</w:t>
            </w:r>
            <w:r>
              <w:rPr>
                <w:rFonts w:ascii="Arial" w:cs="Arial" w:eastAsia="Arial" w:hAnsi="Arial"/>
                <w:sz w:val="24"/>
                <w:szCs w:val="24"/>
                <w:b w:val="1"/>
                <w:bCs w:val="1"/>
                <w:color w:val="auto"/>
                <w:w w:val="89"/>
                <w:vertAlign w:val="superscript"/>
              </w:rPr>
              <w:t>(7)</w:t>
            </w:r>
          </w:p>
        </w:tc>
        <w:tc>
          <w:tcPr>
            <w:tcW w:w="1220" w:type="dxa"/>
            <w:vAlign w:val="bottom"/>
            <w:gridSpan w:val="2"/>
          </w:tcPr>
          <w:p>
            <w:pPr>
              <w:jc w:val="center"/>
              <w:ind w:right="140"/>
              <w:spacing w:after="0" w:line="243" w:lineRule="exact"/>
              <w:rPr>
                <w:sz w:val="20"/>
                <w:szCs w:val="20"/>
                <w:color w:val="auto"/>
              </w:rPr>
            </w:pPr>
            <w:r>
              <w:rPr>
                <w:rFonts w:ascii="Arial" w:cs="Arial" w:eastAsia="Arial" w:hAnsi="Arial"/>
                <w:sz w:val="28"/>
                <w:szCs w:val="28"/>
                <w:b w:val="1"/>
                <w:bCs w:val="1"/>
                <w:color w:val="auto"/>
                <w:w w:val="93"/>
                <w:vertAlign w:val="subscript"/>
              </w:rPr>
              <w:t>Awards</w:t>
            </w:r>
            <w:r>
              <w:rPr>
                <w:rFonts w:ascii="Arial" w:cs="Arial" w:eastAsia="Arial" w:hAnsi="Arial"/>
                <w:sz w:val="11"/>
                <w:szCs w:val="11"/>
                <w:b w:val="1"/>
                <w:bCs w:val="1"/>
                <w:color w:val="auto"/>
                <w:w w:val="93"/>
              </w:rPr>
              <w:t xml:space="preserve"> (1)(8)(9)</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Compensation</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64"/>
        </w:trPr>
        <w:tc>
          <w:tcPr>
            <w:tcW w:w="328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080" w:type="dxa"/>
            <w:vAlign w:val="bottom"/>
          </w:tcPr>
          <w:p>
            <w:pPr>
              <w:ind w:left="400"/>
              <w:spacing w:after="0"/>
              <w:rPr>
                <w:sz w:val="20"/>
                <w:szCs w:val="20"/>
                <w:color w:val="auto"/>
              </w:rPr>
            </w:pPr>
            <w:r>
              <w:rPr>
                <w:rFonts w:ascii="Arial" w:cs="Arial" w:eastAsia="Arial" w:hAnsi="Arial"/>
                <w:sz w:val="18"/>
                <w:szCs w:val="18"/>
                <w:b w:val="1"/>
                <w:bCs w:val="1"/>
                <w:color w:val="auto"/>
              </w:rPr>
              <w:t>Year</w:t>
            </w:r>
          </w:p>
        </w:tc>
        <w:tc>
          <w:tcPr>
            <w:tcW w:w="136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1080" w:type="dxa"/>
            <w:vAlign w:val="bottom"/>
          </w:tcPr>
          <w:p>
            <w:pPr>
              <w:jc w:val="right"/>
              <w:ind w:right="29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2"/>
                <w:szCs w:val="22"/>
                <w:color w:val="auto"/>
              </w:rPr>
            </w:pP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r>
      <w:tr>
        <w:trPr>
          <w:trHeight w:val="243"/>
        </w:trPr>
        <w:tc>
          <w:tcPr>
            <w:tcW w:w="3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J.D. </w:t>
            </w:r>
            <w:r>
              <w:rPr>
                <w:rFonts w:ascii="Arial" w:cs="Arial" w:eastAsia="Arial" w:hAnsi="Arial"/>
                <w:sz w:val="24"/>
                <w:szCs w:val="24"/>
                <w:color w:val="auto"/>
                <w:vertAlign w:val="superscript"/>
              </w:rPr>
              <w:t>(2)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511,000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333,660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439,618</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1,284,278</w:t>
            </w:r>
          </w:p>
        </w:tc>
      </w:tr>
      <w:tr>
        <w:trPr>
          <w:trHeight w:val="216"/>
        </w:trPr>
        <w:tc>
          <w:tcPr>
            <w:tcW w:w="32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498,000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435,667</w:t>
            </w:r>
          </w:p>
        </w:tc>
        <w:tc>
          <w:tcPr>
            <w:tcW w:w="14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933,667</w:t>
            </w:r>
          </w:p>
        </w:tc>
      </w:tr>
      <w:tr>
        <w:trPr>
          <w:trHeight w:val="216"/>
        </w:trPr>
        <w:tc>
          <w:tcPr>
            <w:tcW w:w="3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(3)</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422,638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125,055</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219,424</w:t>
            </w:r>
          </w:p>
        </w:tc>
        <w:tc>
          <w:tcPr>
            <w:tcW w:w="14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767,117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416,850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254,405</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671,255</w:t>
            </w:r>
          </w:p>
        </w:tc>
      </w:tr>
      <w:tr>
        <w:trPr>
          <w:trHeight w:val="216"/>
        </w:trPr>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(4)</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422,638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219,445</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767,138</w:t>
            </w:r>
          </w:p>
        </w:tc>
      </w:tr>
      <w:tr>
        <w:trPr>
          <w:trHeight w:val="216"/>
        </w:trPr>
        <w:tc>
          <w:tcPr>
            <w:tcW w:w="3280" w:type="dxa"/>
            <w:vAlign w:val="bottom"/>
          </w:tcPr>
          <w:p>
            <w:pPr>
              <w:spacing w:after="0"/>
              <w:rPr>
                <w:sz w:val="20"/>
                <w:szCs w:val="20"/>
                <w:color w:val="auto"/>
              </w:rPr>
            </w:pPr>
            <w:r>
              <w:rPr>
                <w:rFonts w:ascii="Arial" w:cs="Arial" w:eastAsia="Arial" w:hAnsi="Arial"/>
                <w:sz w:val="18"/>
                <w:szCs w:val="18"/>
                <w:i w:val="1"/>
                <w:iCs w:val="1"/>
                <w:color w:val="auto"/>
              </w:rPr>
              <w:t>Chief Medical Officer</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416,850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179,988</w:t>
            </w:r>
          </w:p>
        </w:tc>
        <w:tc>
          <w:tcPr>
            <w:tcW w:w="14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596,838</w:t>
            </w:r>
          </w:p>
        </w:tc>
      </w:tr>
      <w:tr>
        <w:trPr>
          <w:trHeight w:val="216"/>
        </w:trPr>
        <w:tc>
          <w:tcPr>
            <w:tcW w:w="3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(5)</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374,375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110,250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219,399</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704,024</w:t>
            </w:r>
          </w:p>
        </w:tc>
      </w:tr>
      <w:tr>
        <w:trPr>
          <w:trHeight w:val="208"/>
        </w:trPr>
        <w:tc>
          <w:tcPr>
            <w:tcW w:w="3280" w:type="dxa"/>
            <w:vAlign w:val="bottom"/>
          </w:tcPr>
          <w:p>
            <w:pPr>
              <w:spacing w:after="0"/>
              <w:rPr>
                <w:sz w:val="20"/>
                <w:szCs w:val="20"/>
                <w:color w:val="auto"/>
              </w:rPr>
            </w:pPr>
            <w:r>
              <w:rPr>
                <w:rFonts w:ascii="Arial" w:cs="Arial" w:eastAsia="Arial" w:hAnsi="Arial"/>
                <w:sz w:val="18"/>
                <w:szCs w:val="18"/>
                <w:i w:val="1"/>
                <w:iCs w:val="1"/>
                <w:color w:val="auto"/>
                <w:w w:val="96"/>
              </w:rPr>
              <w:t>Vice President, Chief Financial Officer and</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i w:val="1"/>
                <w:iCs w:val="1"/>
                <w:color w:val="auto"/>
              </w:rPr>
              <w:t>Secretary</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367,500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229,571</w:t>
            </w:r>
          </w:p>
        </w:tc>
        <w:tc>
          <w:tcPr>
            <w:tcW w:w="140" w:type="dxa"/>
            <w:vAlign w:val="bottom"/>
          </w:tcPr>
          <w:p>
            <w:pPr>
              <w:spacing w:after="0"/>
              <w:rPr>
                <w:sz w:val="19"/>
                <w:szCs w:val="19"/>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597,071</w:t>
            </w:r>
          </w:p>
        </w:tc>
      </w:tr>
      <w:tr>
        <w:trPr>
          <w:trHeight w:val="217"/>
        </w:trPr>
        <w:tc>
          <w:tcPr>
            <w:tcW w:w="3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(6)</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Commercial Officer</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51" w:lineRule="exact"/>
        <w:rPr>
          <w:sz w:val="20"/>
          <w:szCs w:val="20"/>
          <w:color w:val="auto"/>
        </w:rPr>
      </w:pPr>
    </w:p>
    <w:p>
      <w:pPr>
        <w:jc w:val="both"/>
        <w:ind w:left="340" w:hanging="332"/>
        <w:spacing w:after="0" w:line="281" w:lineRule="auto"/>
        <w:tabs>
          <w:tab w:leader="none" w:pos="340" w:val="left"/>
        </w:tabs>
        <w:numPr>
          <w:ilvl w:val="0"/>
          <w:numId w:val="14"/>
        </w:numPr>
        <w:rPr>
          <w:rFonts w:ascii="Arial" w:cs="Arial" w:eastAsia="Arial" w:hAnsi="Arial"/>
          <w:sz w:val="19"/>
          <w:szCs w:val="19"/>
          <w:color w:val="auto"/>
        </w:rPr>
      </w:pPr>
      <w:r>
        <w:rPr>
          <w:rFonts w:ascii="Arial" w:cs="Arial" w:eastAsia="Arial" w:hAnsi="Arial"/>
          <w:sz w:val="16"/>
          <w:szCs w:val="16"/>
          <w:color w:val="auto"/>
        </w:rPr>
        <w:t>The amounts in the Option Awards column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xml:space="preserve"> ). The amounts in this column do not represent any cash payments actually received by the NEOs with respect to any of such options to purchase shares of our common stock awarded to them during the periods presented. With the exception of Mr. Dotson, who in June 2021 exercised and held certain vested options granted during the fiscal years ended 2020 and 2021, none of the NEOs have exercised any of such options to purchase common stock granted during the fiscal years ended 2020 or 2021, and there can be no assurance that any of them will ever realize any of the ASC 718 grant date fair value amounts presented in the Option Awards column.</w:t>
      </w:r>
    </w:p>
    <w:p>
      <w:pPr>
        <w:spacing w:after="0" w:line="206" w:lineRule="exact"/>
        <w:rPr>
          <w:rFonts w:ascii="Arial" w:cs="Arial" w:eastAsia="Arial" w:hAnsi="Arial"/>
          <w:sz w:val="19"/>
          <w:szCs w:val="19"/>
          <w:color w:val="auto"/>
        </w:rPr>
      </w:pPr>
    </w:p>
    <w:p>
      <w:pPr>
        <w:jc w:val="both"/>
        <w:ind w:left="340" w:hanging="332"/>
        <w:spacing w:after="0" w:line="294"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Singh became Chief Executive Officer of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 on August 20, 2009 and our Chief Executive Officer in May 2011, in connection with the Merger. Pursuant to his January 2010 employment agreement, as amended in June 2016, Mr. Singh’s annual base cash salary, was contractually set at $395,000. The Compensation Committee has since adjusted Mr. Singh’s base annual salary to $498,000 effective in April 2019 and to $550,000 effective in January 2021. Pursuant to his employment agreement, Mr. Singh is eligible to receive an annual cash incentive bonus of up to fifty percent (50%) of his base cash salary.</w:t>
      </w:r>
    </w:p>
    <w:p>
      <w:pPr>
        <w:spacing w:after="0" w:line="169" w:lineRule="exact"/>
        <w:rPr>
          <w:rFonts w:ascii="Arial" w:cs="Arial" w:eastAsia="Arial" w:hAnsi="Arial"/>
          <w:sz w:val="16"/>
          <w:szCs w:val="16"/>
          <w:color w:val="auto"/>
        </w:rPr>
      </w:pPr>
    </w:p>
    <w:p>
      <w:pPr>
        <w:jc w:val="both"/>
        <w:ind w:left="340" w:hanging="332"/>
        <w:spacing w:after="0" w:line="294"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Pursuant to his January 2010 employment agreement, as amended in June 2016, Dr. Snodgrass’ annual base cash salary, was contractually set at $350,000. The Compensation Committee has since adjusted Dr. Snodgrass’ base annual salary to $416,850 effective in April 2019 and to $440,000 effective in January 2021. Pursuant to his employment agreement, Dr. Snodgrass is eligible to receive an annual cash incentive bonus of up to fifty percent (50%) of his base cash salary.</w:t>
      </w:r>
    </w:p>
    <w:p>
      <w:pPr>
        <w:spacing w:after="0" w:line="169" w:lineRule="exact"/>
        <w:rPr>
          <w:rFonts w:ascii="Arial" w:cs="Arial" w:eastAsia="Arial" w:hAnsi="Arial"/>
          <w:sz w:val="16"/>
          <w:szCs w:val="16"/>
          <w:color w:val="auto"/>
        </w:rPr>
      </w:pPr>
    </w:p>
    <w:p>
      <w:pPr>
        <w:ind w:left="340" w:right="20" w:hanging="332"/>
        <w:spacing w:after="0" w:line="33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Dr. Smith has served as our Chief Medical Officer since June 2016. During our fiscal year ended March 31, 2020, Dr. Smith’s annual base cash salary was $416,850. The Compensation Committee adjusted Dr. Smith’s base annual salary to $440,000 effective in January 2021.</w:t>
      </w:r>
    </w:p>
    <w:p>
      <w:pPr>
        <w:spacing w:after="0" w:line="140" w:lineRule="exact"/>
        <w:rPr>
          <w:rFonts w:ascii="Arial" w:cs="Arial" w:eastAsia="Arial" w:hAnsi="Arial"/>
          <w:sz w:val="16"/>
          <w:szCs w:val="16"/>
          <w:color w:val="auto"/>
        </w:rPr>
      </w:pPr>
    </w:p>
    <w:p>
      <w:pPr>
        <w:ind w:left="340" w:hanging="332"/>
        <w:spacing w:after="0" w:line="33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Dotson has served as our Chief Financial Officer since September 2011. During our fiscal year ended March 31, 2020, Mr. Dotson’s annual base cash salary was $367,500. The Compensation Committee adjusted Mr. Dotson’s base annual salary to $395,000 effective in January 2021.</w:t>
      </w:r>
    </w:p>
    <w:p>
      <w:pPr>
        <w:spacing w:after="0" w:line="140" w:lineRule="exact"/>
        <w:rPr>
          <w:rFonts w:ascii="Arial" w:cs="Arial" w:eastAsia="Arial" w:hAnsi="Arial"/>
          <w:sz w:val="16"/>
          <w:szCs w:val="16"/>
          <w:color w:val="auto"/>
        </w:rPr>
      </w:pPr>
    </w:p>
    <w:p>
      <w:pPr>
        <w:jc w:val="both"/>
        <w:ind w:left="340" w:hanging="332"/>
        <w:spacing w:after="0" w:line="369"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Ms. Cunningham was an independent director until she joined the Company as Chief Commercial Officer in May 2021. Accordingly, her compensation is reported in the section captioned Director Compensation above. Upon her employment with the Company, her annual base cash salary was set at $425,000.</w:t>
      </w:r>
    </w:p>
    <w:p>
      <w:pPr>
        <w:spacing w:after="0" w:line="117" w:lineRule="exact"/>
        <w:rPr>
          <w:rFonts w:ascii="Arial" w:cs="Arial" w:eastAsia="Arial" w:hAnsi="Arial"/>
          <w:sz w:val="15"/>
          <w:szCs w:val="15"/>
          <w:color w:val="auto"/>
        </w:rPr>
      </w:pPr>
    </w:p>
    <w:p>
      <w:pPr>
        <w:jc w:val="both"/>
        <w:ind w:left="340" w:hanging="332"/>
        <w:spacing w:after="0" w:line="30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reported in the Bonus column for fiscal 2021 reflect bonuses awarded by the Compensation Committee and earned during the period from April 1, 2019 through December 31, 2020 by each NEO for attainment of performance-based objectives during that period. No cash bonus awards were approved by the Compensation Committee or paid to the NEOs during the fiscal year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line="34" w:lineRule="exact"/>
        <w:rPr>
          <w:sz w:val="20"/>
          <w:szCs w:val="20"/>
          <w:color w:val="auto"/>
        </w:rPr>
      </w:pPr>
    </w:p>
    <w:p>
      <w:pPr>
        <w:jc w:val="both"/>
        <w:ind w:left="332" w:hanging="332"/>
        <w:spacing w:after="0" w:line="256"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in the table below do not represent any cash payments actually received by the NEOs with respect to any of such options to purchase shares of our common stock awarded to them during the periods presented. Rather, the table below provides information regarding the option awards we granted to the NEOs during Fiscal 2021 and 2020 and the assumptions used in the Black Scholes Option Pricing Model to determine the grant date fair values of the respective awards.</w:t>
      </w:r>
    </w:p>
    <w:p>
      <w:pPr>
        <w:spacing w:after="0" w:line="191"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Option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6980" w:type="dxa"/>
            <w:vAlign w:val="bottom"/>
          </w:tcPr>
          <w:p>
            <w:pPr>
              <w:spacing w:after="0"/>
              <w:rPr>
                <w:sz w:val="20"/>
                <w:szCs w:val="20"/>
                <w:color w:val="auto"/>
              </w:rPr>
            </w:pPr>
            <w:r>
              <w:rPr>
                <w:rFonts w:ascii="Arial" w:cs="Arial" w:eastAsia="Arial" w:hAnsi="Arial"/>
                <w:sz w:val="18"/>
                <w:szCs w:val="18"/>
                <w:b w:val="1"/>
                <w:bCs w:val="1"/>
                <w:color w:val="auto"/>
              </w:rPr>
              <w:t>Option Award Compensation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Grant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Grant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8"/>
                <w:szCs w:val="18"/>
                <w:b w:val="1"/>
                <w:bCs w:val="1"/>
                <w:color w:val="auto"/>
              </w:rPr>
              <w:t>Fiscal Year Ended March 31, 2021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4/23/2020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12/30/2020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3"/>
        </w:trPr>
        <w:tc>
          <w:tcPr>
            <w:tcW w:w="69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80,404</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359,214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439,618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Dr. Snodgrass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40,202</w:t>
            </w:r>
          </w:p>
        </w:tc>
        <w:tc>
          <w:tcPr>
            <w:tcW w:w="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179,222</w:t>
            </w: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219,424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Dr. Smith</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40,188</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179,257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219,445</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Mr. Dotson</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40,177</w:t>
            </w:r>
          </w:p>
        </w:tc>
        <w:tc>
          <w:tcPr>
            <w:tcW w:w="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179,222</w:t>
            </w:r>
          </w:p>
        </w:tc>
        <w:tc>
          <w:tcPr>
            <w:tcW w:w="8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219,399</w:t>
            </w:r>
          </w:p>
        </w:tc>
      </w:tr>
      <w:tr>
        <w:trPr>
          <w:trHeight w:val="411"/>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Option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6980" w:type="dxa"/>
            <w:vAlign w:val="bottom"/>
          </w:tcPr>
          <w:p>
            <w:pPr>
              <w:spacing w:after="0"/>
              <w:rPr>
                <w:sz w:val="20"/>
                <w:szCs w:val="20"/>
                <w:color w:val="auto"/>
              </w:rPr>
            </w:pPr>
            <w:r>
              <w:rPr>
                <w:rFonts w:ascii="Arial" w:cs="Arial" w:eastAsia="Arial" w:hAnsi="Arial"/>
                <w:sz w:val="18"/>
                <w:szCs w:val="18"/>
                <w:b w:val="1"/>
                <w:bCs w:val="1"/>
                <w:color w:val="auto"/>
              </w:rPr>
              <w:t>Option Shares Granted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Grant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Grant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8"/>
                <w:szCs w:val="18"/>
                <w:b w:val="1"/>
                <w:bCs w:val="1"/>
                <w:color w:val="auto"/>
              </w:rPr>
              <w:t>Fiscal Year Ended March 31, 2021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04/23/2020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12/30/2020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3"/>
        </w:trPr>
        <w:tc>
          <w:tcPr>
            <w:tcW w:w="6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Dr. Snodgrass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300,000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Dr. Smith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Mr. Dotson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300,000</w:t>
            </w:r>
          </w:p>
        </w:tc>
      </w:tr>
      <w:tr>
        <w:trPr>
          <w:trHeight w:val="654"/>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Option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Option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6980" w:type="dxa"/>
            <w:vAlign w:val="bottom"/>
          </w:tcPr>
          <w:p>
            <w:pPr>
              <w:spacing w:after="0"/>
              <w:rPr>
                <w:sz w:val="20"/>
                <w:szCs w:val="20"/>
                <w:color w:val="auto"/>
              </w:rPr>
            </w:pPr>
            <w:r>
              <w:rPr>
                <w:rFonts w:ascii="Arial" w:cs="Arial" w:eastAsia="Arial" w:hAnsi="Arial"/>
                <w:sz w:val="18"/>
                <w:szCs w:val="18"/>
                <w:b w:val="1"/>
                <w:bCs w:val="1"/>
                <w:color w:val="auto"/>
              </w:rPr>
              <w:t>Option Award Assumptions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Grant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Grant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6980" w:type="dxa"/>
            <w:vAlign w:val="bottom"/>
          </w:tcPr>
          <w:p>
            <w:pPr>
              <w:spacing w:after="0"/>
              <w:rPr>
                <w:sz w:val="20"/>
                <w:szCs w:val="20"/>
                <w:color w:val="auto"/>
              </w:rPr>
            </w:pPr>
            <w:r>
              <w:rPr>
                <w:rFonts w:ascii="Arial" w:cs="Arial" w:eastAsia="Arial" w:hAnsi="Arial"/>
                <w:sz w:val="18"/>
                <w:szCs w:val="18"/>
                <w:b w:val="1"/>
                <w:bCs w:val="1"/>
                <w:color w:val="auto"/>
              </w:rPr>
              <w:t>Fiscal Year Ended March 31, 2021</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4/23/2020</w:t>
            </w: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8"/>
              </w:rPr>
              <w:t>12/30/2020</w:t>
            </w:r>
          </w:p>
        </w:tc>
        <w:tc>
          <w:tcPr>
            <w:tcW w:w="1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0.398</w:t>
            </w: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2"/>
        </w:trPr>
        <w:tc>
          <w:tcPr>
            <w:tcW w:w="69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0.398</w:t>
            </w:r>
          </w:p>
        </w:tc>
        <w:tc>
          <w:tcPr>
            <w:tcW w:w="6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2"/>
        </w:trPr>
        <w:tc>
          <w:tcPr>
            <w:tcW w:w="6980" w:type="dxa"/>
            <w:vAlign w:val="bottom"/>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83.89%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84.27%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2"/>
        </w:trPr>
        <w:tc>
          <w:tcPr>
            <w:tcW w:w="698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2"/>
        </w:trPr>
        <w:tc>
          <w:tcPr>
            <w:tcW w:w="6980" w:type="dxa"/>
            <w:vAlign w:val="bottom"/>
          </w:tcPr>
          <w:p>
            <w:pPr>
              <w:spacing w:after="0"/>
              <w:rPr>
                <w:sz w:val="20"/>
                <w:szCs w:val="20"/>
                <w:color w:val="auto"/>
              </w:rPr>
            </w:pPr>
            <w:r>
              <w:rPr>
                <w:rFonts w:ascii="Arial" w:cs="Arial" w:eastAsia="Arial" w:hAnsi="Arial"/>
                <w:sz w:val="18"/>
                <w:szCs w:val="18"/>
                <w:color w:val="auto"/>
              </w:rPr>
              <w:t>Fair value per share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6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left="332" w:right="20" w:hanging="332"/>
        <w:spacing w:after="0" w:line="256" w:lineRule="auto"/>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in the table below do not represent any cash payments actually received by the NEOs with respect to any of such options to purchase shares of our common stock awarded to them during the periods presented. Rather, the table below provides information regarding the option awards we granted to the NEO’s during Fiscal 2020 and the assumptions used in the Black Scholes Option Pricing Model to determine the grant date fair values of the respective awards.</w:t>
      </w:r>
    </w:p>
    <w:p>
      <w:pPr>
        <w:spacing w:after="0" w:line="218" w:lineRule="exact"/>
        <w:rPr>
          <w:sz w:val="20"/>
          <w:szCs w:val="20"/>
          <w:color w:val="auto"/>
        </w:rPr>
      </w:pPr>
    </w:p>
    <w:tbl>
      <w:tblPr>
        <w:tblLayout w:type="fixed"/>
        <w:tblInd w:w="332" w:type="dxa"/>
        <w:tblCellMar>
          <w:top w:w="0" w:type="dxa"/>
          <w:left w:w="0" w:type="dxa"/>
          <w:bottom w:w="0" w:type="dxa"/>
          <w:right w:w="0" w:type="dxa"/>
        </w:tblCellMar>
      </w:tblPr>
      <w:tr>
        <w:trPr>
          <w:trHeight w:val="243"/>
        </w:trPr>
        <w:tc>
          <w:tcPr>
            <w:tcW w:w="5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Option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8"/>
        </w:trPr>
        <w:tc>
          <w:tcPr>
            <w:tcW w:w="5680" w:type="dxa"/>
            <w:vAlign w:val="bottom"/>
          </w:tcPr>
          <w:p>
            <w:pPr>
              <w:spacing w:after="0"/>
              <w:rPr>
                <w:sz w:val="20"/>
                <w:szCs w:val="20"/>
                <w:color w:val="auto"/>
              </w:rPr>
            </w:pPr>
            <w:r>
              <w:rPr>
                <w:rFonts w:ascii="Arial" w:cs="Arial" w:eastAsia="Arial" w:hAnsi="Arial"/>
                <w:sz w:val="18"/>
                <w:szCs w:val="18"/>
                <w:b w:val="1"/>
                <w:bCs w:val="1"/>
                <w:color w:val="auto"/>
              </w:rPr>
              <w:t>Option Award Compensation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Grant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Grant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5680" w:type="dxa"/>
            <w:vAlign w:val="bottom"/>
          </w:tcPr>
          <w:p>
            <w:pPr>
              <w:spacing w:after="0"/>
              <w:rPr>
                <w:sz w:val="20"/>
                <w:szCs w:val="20"/>
                <w:color w:val="auto"/>
              </w:rPr>
            </w:pPr>
            <w:r>
              <w:rPr>
                <w:rFonts w:ascii="Arial" w:cs="Arial" w:eastAsia="Arial" w:hAnsi="Arial"/>
                <w:sz w:val="18"/>
                <w:szCs w:val="18"/>
                <w:b w:val="1"/>
                <w:bCs w:val="1"/>
                <w:color w:val="auto"/>
              </w:rPr>
              <w:t>Fiscal Year Ended March 31, 2020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5/23/2019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9/5/2019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10/21/2019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42,182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297,682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435,667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Dr. Snodgrass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80,747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173,658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254,405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Dr. Smith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99,241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179,988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Mr. Dotson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80,747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148,824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229,571</w:t>
            </w:r>
          </w:p>
        </w:tc>
      </w:tr>
      <w:tr>
        <w:trPr>
          <w:trHeight w:val="27"/>
        </w:trPr>
        <w:tc>
          <w:tcPr>
            <w:tcW w:w="5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284,423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719,405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1,099,631</w:t>
            </w:r>
          </w:p>
        </w:tc>
      </w:tr>
    </w:tbl>
    <w:p>
      <w:pPr>
        <w:spacing w:after="0" w:line="200" w:lineRule="exact"/>
        <w:rPr>
          <w:sz w:val="20"/>
          <w:szCs w:val="20"/>
          <w:color w:val="auto"/>
        </w:rPr>
      </w:pPr>
    </w:p>
    <w:p>
      <w:pPr>
        <w:spacing w:after="0" w:line="218"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Option</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Option</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5680" w:type="dxa"/>
            <w:vAlign w:val="bottom"/>
          </w:tcPr>
          <w:p>
            <w:pPr>
              <w:spacing w:after="0"/>
              <w:rPr>
                <w:sz w:val="20"/>
                <w:szCs w:val="20"/>
                <w:color w:val="auto"/>
              </w:rPr>
            </w:pPr>
            <w:r>
              <w:rPr>
                <w:rFonts w:ascii="Arial" w:cs="Arial" w:eastAsia="Arial" w:hAnsi="Arial"/>
                <w:sz w:val="18"/>
                <w:szCs w:val="18"/>
                <w:b w:val="1"/>
                <w:bCs w:val="1"/>
                <w:color w:val="auto"/>
              </w:rPr>
              <w:t>Option Shares Granted -</w:t>
            </w:r>
          </w:p>
        </w:tc>
        <w:tc>
          <w:tcPr>
            <w:tcW w:w="140" w:type="dxa"/>
            <w:vAlign w:val="bottom"/>
          </w:tcPr>
          <w:p>
            <w:pPr>
              <w:spacing w:after="0"/>
              <w:rPr>
                <w:sz w:val="19"/>
                <w:szCs w:val="19"/>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5"/>
              </w:rPr>
              <w:t>Grant</w:t>
            </w: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Grant</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5680" w:type="dxa"/>
            <w:vAlign w:val="bottom"/>
          </w:tcPr>
          <w:p>
            <w:pPr>
              <w:spacing w:after="0"/>
              <w:rPr>
                <w:sz w:val="20"/>
                <w:szCs w:val="20"/>
                <w:color w:val="auto"/>
              </w:rPr>
            </w:pPr>
            <w:r>
              <w:rPr>
                <w:rFonts w:ascii="Arial" w:cs="Arial" w:eastAsia="Arial" w:hAnsi="Arial"/>
                <w:sz w:val="18"/>
                <w:szCs w:val="18"/>
                <w:b w:val="1"/>
                <w:bCs w:val="1"/>
                <w:color w:val="auto"/>
              </w:rPr>
              <w:t>Fiscal Year Ended March 31, 2020</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5/23/2019</w:t>
            </w:r>
          </w:p>
        </w:tc>
        <w:tc>
          <w:tcPr>
            <w:tcW w:w="120" w:type="dxa"/>
            <w:vAlign w:val="bottom"/>
          </w:tcPr>
          <w:p>
            <w:pPr>
              <w:spacing w:after="0"/>
              <w:rPr>
                <w:sz w:val="21"/>
                <w:szCs w:val="21"/>
                <w:color w:val="auto"/>
              </w:rPr>
            </w:pPr>
          </w:p>
        </w:tc>
        <w:tc>
          <w:tcPr>
            <w:tcW w:w="118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91"/>
              </w:rPr>
              <w:t>9/5/2019</w:t>
            </w:r>
          </w:p>
        </w:tc>
        <w:tc>
          <w:tcPr>
            <w:tcW w:w="2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10/21/2019</w:t>
            </w:r>
          </w:p>
        </w:tc>
        <w:tc>
          <w:tcPr>
            <w:tcW w:w="28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Mr. Singh</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170,000</w:t>
            </w: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300,000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550,000</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Dr. Snodgrass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175,000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325,000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Dr. Smith</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100,000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Mr. Dotson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150,000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300,000</w:t>
            </w:r>
          </w:p>
        </w:tc>
      </w:tr>
      <w:tr>
        <w:trPr>
          <w:trHeight w:val="222"/>
        </w:trPr>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tcPr>
          <w:p>
            <w:pPr>
              <w:spacing w:after="0"/>
              <w:rPr>
                <w:sz w:val="19"/>
                <w:szCs w:val="19"/>
                <w:color w:val="auto"/>
              </w:rPr>
            </w:pPr>
          </w:p>
        </w:tc>
        <w:tc>
          <w:tcPr>
            <w:tcW w:w="10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2"/>
              </w:rPr>
              <w:t>725,000</w:t>
            </w:r>
          </w:p>
        </w:tc>
        <w:tc>
          <w:tcPr>
            <w:tcW w:w="2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1,425,000</w:t>
            </w:r>
          </w:p>
        </w:tc>
        <w:tc>
          <w:tcPr>
            <w:tcW w:w="140" w:type="dxa"/>
            <w:vAlign w:val="bottom"/>
          </w:tcPr>
          <w:p>
            <w:pPr>
              <w:spacing w:after="0"/>
              <w:rPr>
                <w:sz w:val="19"/>
                <w:szCs w:val="19"/>
                <w:color w:val="auto"/>
              </w:rPr>
            </w:pPr>
          </w:p>
        </w:tc>
      </w:tr>
    </w:tbl>
    <w:p>
      <w:pPr>
        <w:spacing w:after="0" w:line="200" w:lineRule="exact"/>
        <w:rPr>
          <w:sz w:val="20"/>
          <w:szCs w:val="20"/>
          <w:color w:val="auto"/>
        </w:rPr>
      </w:pPr>
    </w:p>
    <w:p>
      <w:pPr>
        <w:sectPr>
          <w:pgSz w:w="11900" w:h="16872" w:orient="portrait"/>
          <w:cols w:equalWidth="0" w:num="1">
            <w:col w:w="11232"/>
          </w:cols>
          <w:pgMar w:left="328" w:top="56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Option Award Assumptions –</w:t>
      </w:r>
    </w:p>
    <w:p>
      <w:pPr>
        <w:spacing w:after="0" w:line="21" w:lineRule="exact"/>
        <w:rPr>
          <w:sz w:val="20"/>
          <w:szCs w:val="20"/>
          <w:color w:val="auto"/>
        </w:rPr>
      </w:pPr>
    </w:p>
    <w:p>
      <w:pPr>
        <w:ind w:left="332"/>
        <w:spacing w:after="0"/>
        <w:rPr>
          <w:sz w:val="20"/>
          <w:szCs w:val="20"/>
          <w:color w:val="auto"/>
        </w:rPr>
      </w:pPr>
      <w:r>
        <w:rPr>
          <w:rFonts w:ascii="Arial" w:cs="Arial" w:eastAsia="Arial" w:hAnsi="Arial"/>
          <w:sz w:val="15"/>
          <w:szCs w:val="15"/>
          <w:b w:val="1"/>
          <w:bCs w:val="1"/>
          <w:color w:val="auto"/>
        </w:rPr>
        <w:t>Fiscal Year Ended March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Option</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Grant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5/23/2019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Grant</w:t>
      </w:r>
    </w:p>
    <w:p>
      <w:pPr>
        <w:sectPr>
          <w:pgSz w:w="11900" w:h="16872" w:orient="portrait"/>
          <w:cols w:equalWidth="0" w:num="4">
            <w:col w:w="5612" w:space="720"/>
            <w:col w:w="700" w:space="680"/>
            <w:col w:w="580" w:space="720"/>
            <w:col w:w="2220"/>
          </w:cols>
          <w:pgMar w:left="328" w:top="563" w:right="339" w:bottom="0" w:gutter="0" w:footer="0" w:header="0"/>
          <w:type w:val="continuous"/>
        </w:sectPr>
      </w:pPr>
    </w:p>
    <w:bookmarkStart w:id="30" w:name="page31"/>
    <w:bookmarkEnd w:id="30"/>
    <w:tbl>
      <w:tblPr>
        <w:tblLayout w:type="fixed"/>
        <w:tblInd w:w="340" w:type="dxa"/>
        <w:tblCellMar>
          <w:top w:w="0" w:type="dxa"/>
          <w:left w:w="0" w:type="dxa"/>
          <w:bottom w:w="0" w:type="dxa"/>
          <w:right w:w="0" w:type="dxa"/>
        </w:tblCellMar>
      </w:tblPr>
      <w:tr>
        <w:trPr>
          <w:trHeight w:val="250"/>
        </w:trPr>
        <w:tc>
          <w:tcPr>
            <w:tcW w:w="56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9/5/2019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6"/>
              </w:rPr>
              <w:t>10/21/2019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Volatility</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85.9%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Dividend rate</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20" w:type="dxa"/>
            <w:vAlign w:val="bottom"/>
          </w:tcPr>
          <w:p>
            <w:pPr>
              <w:spacing w:after="0"/>
              <w:rPr>
                <w:sz w:val="18"/>
                <w:szCs w:val="18"/>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Aggregate shares</w:t>
            </w:r>
          </w:p>
        </w:tc>
        <w:tc>
          <w:tcPr>
            <w:tcW w:w="4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530,000</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170,000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725,000</w:t>
            </w:r>
          </w:p>
        </w:tc>
        <w:tc>
          <w:tcPr>
            <w:tcW w:w="20" w:type="dxa"/>
            <w:vAlign w:val="bottom"/>
          </w:tcPr>
          <w:p>
            <w:pPr>
              <w:spacing w:after="0"/>
              <w:rPr>
                <w:sz w:val="19"/>
                <w:szCs w:val="19"/>
                <w:color w:val="auto"/>
              </w:rPr>
            </w:pPr>
          </w:p>
        </w:tc>
      </w:tr>
    </w:tbl>
    <w:p>
      <w:pPr>
        <w:spacing w:after="0" w:line="201" w:lineRule="exact"/>
        <w:rPr>
          <w:sz w:val="20"/>
          <w:szCs w:val="20"/>
          <w:color w:val="auto"/>
        </w:rPr>
      </w:pPr>
    </w:p>
    <w:p>
      <w:pPr>
        <w:ind w:firstLine="810"/>
        <w:spacing w:after="0" w:line="268" w:lineRule="auto"/>
        <w:rPr>
          <w:sz w:val="20"/>
          <w:szCs w:val="20"/>
          <w:color w:val="auto"/>
        </w:rPr>
      </w:pPr>
      <w:r>
        <w:rPr>
          <w:rFonts w:ascii="Arial" w:cs="Arial" w:eastAsia="Arial" w:hAnsi="Arial"/>
          <w:sz w:val="18"/>
          <w:szCs w:val="18"/>
          <w:color w:val="auto"/>
        </w:rPr>
        <w:t>No NEO is entitled to receive, nor has any NEO received, any perquisites or other personal benefits that, in the aggregate, are worth over $50,000 or over 10% of their base salary.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Following the approval of our 2019 Employee Stock Purchase Plan (the </w:t>
      </w:r>
      <w:r>
        <w:rPr>
          <w:rFonts w:ascii="Arial" w:cs="Arial" w:eastAsia="Arial" w:hAnsi="Arial"/>
          <w:sz w:val="16"/>
          <w:szCs w:val="16"/>
          <w:i w:val="1"/>
          <w:iCs w:val="1"/>
          <w:color w:val="auto"/>
        </w:rPr>
        <w:t>2019 ESPP</w:t>
      </w:r>
      <w:r>
        <w:rPr>
          <w:rFonts w:ascii="Arial" w:cs="Arial" w:eastAsia="Arial" w:hAnsi="Arial"/>
          <w:sz w:val="16"/>
          <w:szCs w:val="16"/>
          <w:color w:val="auto"/>
        </w:rPr>
        <w:t>) by our stockholders in September 2019, the 2019 ESPP became operational effective January 1, 2020. Under our 2019 ESPP, shares of our common stock will be available for purchase by eligible employees, including our NEOs, who participate in the plan. Eligible employees will be entitled to purchase, by means of payroll deductions, limited amounts of our common stock at a discount to the market price during periodic option periods under the 2019 ESPP. At March 31, 2021, two option periods have been completed under the 2019 ESPP. The initial option period under the 2019 ESPP was completed on June 30, 2020 and Mr. Singh, Dr. Snodgrass, Dr. Smith and Mr. Dotson each purchased 5,000 shares of our common stock, the maximum number of shares each such NEO is permitted to purchase during any option period pursuant to the 2019 ESPP, at a price of $0.448 per share in accordance with the provisions of the 2019 ESPP. The second option period under the 2019 ESPP was completed on December 31, 2020 and each of the NEOs again purchased 5,000 shares of our common stock at a price of $0.4521 per share in accordance with the provisions of the 2019 ESPP.</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third option period under the 2019 ESPP was completed on June 30, 2021 and Mr. Singh, Dr. Snodgrass, Dr. Smith and Mr. Dotson purchased 5,000 shares; 3,391 shares, 2,260 shares and 3,044 shares of our common stock, respectively, at a price of $1.9465 per share in accordance with the provisions of the 2019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 and Options at March 31, 2021</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shares of our common stock held by each of the NEOs as of March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bottom w:val="single" w:sz="8" w:color="auto"/>
            </w:tcBorders>
            <w:gridSpan w:val="9"/>
          </w:tcPr>
          <w:p>
            <w:pPr>
              <w:ind w:left="1020"/>
              <w:spacing w:after="0"/>
              <w:rPr>
                <w:sz w:val="20"/>
                <w:szCs w:val="20"/>
                <w:color w:val="auto"/>
              </w:rPr>
            </w:pPr>
            <w:r>
              <w:rPr>
                <w:rFonts w:ascii="Arial" w:cs="Arial" w:eastAsia="Arial" w:hAnsi="Arial"/>
                <w:sz w:val="18"/>
                <w:szCs w:val="18"/>
                <w:b w:val="1"/>
                <w:bCs w:val="1"/>
                <w:color w:val="auto"/>
                <w:w w:val="89"/>
              </w:rPr>
              <w:t>Stock Options and Warrants at March 31, 2021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80"/>
              <w:spacing w:after="0" w:line="201" w:lineRule="exact"/>
              <w:rPr>
                <w:sz w:val="20"/>
                <w:szCs w:val="20"/>
                <w:color w:val="auto"/>
              </w:rPr>
            </w:pPr>
            <w:r>
              <w:rPr>
                <w:rFonts w:ascii="Arial" w:cs="Arial" w:eastAsia="Arial" w:hAnsi="Arial"/>
                <w:sz w:val="18"/>
                <w:szCs w:val="18"/>
                <w:b w:val="1"/>
                <w:bCs w:val="1"/>
                <w:color w:val="auto"/>
                <w:w w:val="91"/>
              </w:rPr>
              <w:t>Number of</w:t>
            </w:r>
          </w:p>
        </w:tc>
        <w:tc>
          <w:tcPr>
            <w:tcW w:w="380" w:type="dxa"/>
            <w:vAlign w:val="bottom"/>
          </w:tcPr>
          <w:p>
            <w:pPr>
              <w:spacing w:after="0"/>
              <w:rPr>
                <w:sz w:val="17"/>
                <w:szCs w:val="17"/>
                <w:color w:val="auto"/>
              </w:rPr>
            </w:pPr>
          </w:p>
        </w:tc>
        <w:tc>
          <w:tcPr>
            <w:tcW w:w="1260" w:type="dxa"/>
            <w:vAlign w:val="bottom"/>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88"/>
              </w:rPr>
              <w:t>Number of</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Securities</w:t>
            </w:r>
          </w:p>
        </w:tc>
        <w:tc>
          <w:tcPr>
            <w:tcW w:w="3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Securities</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Underlying</w:t>
            </w:r>
          </w:p>
        </w:tc>
        <w:tc>
          <w:tcPr>
            <w:tcW w:w="3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Underlying</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Unexercised</w:t>
            </w:r>
          </w:p>
        </w:tc>
        <w:tc>
          <w:tcPr>
            <w:tcW w:w="3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Unexercised</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Options and</w:t>
            </w:r>
          </w:p>
        </w:tc>
        <w:tc>
          <w:tcPr>
            <w:tcW w:w="3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Options and</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Warrants</w:t>
            </w:r>
          </w:p>
        </w:tc>
        <w:tc>
          <w:tcPr>
            <w:tcW w:w="3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Warrants</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ind w:left="240"/>
              <w:spacing w:after="0"/>
              <w:rPr>
                <w:sz w:val="20"/>
                <w:szCs w:val="20"/>
                <w:color w:val="auto"/>
              </w:rPr>
            </w:pPr>
            <w:r>
              <w:rPr>
                <w:rFonts w:ascii="Arial" w:cs="Arial" w:eastAsia="Arial" w:hAnsi="Arial"/>
                <w:sz w:val="18"/>
                <w:szCs w:val="18"/>
                <w:b w:val="1"/>
                <w:bCs w:val="1"/>
                <w:color w:val="auto"/>
              </w:rPr>
              <w:t>Exercise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Expiration</w:t>
            </w:r>
          </w:p>
        </w:tc>
      </w:tr>
      <w:tr>
        <w:trPr>
          <w:trHeight w:val="237"/>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Exercisable</w:t>
            </w:r>
          </w:p>
        </w:tc>
        <w:tc>
          <w:tcPr>
            <w:tcW w:w="38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Unexercisable</w:t>
            </w:r>
          </w:p>
        </w:tc>
        <w:tc>
          <w:tcPr>
            <w:tcW w:w="400" w:type="dxa"/>
            <w:vAlign w:val="bottom"/>
          </w:tcPr>
          <w:p>
            <w:pPr>
              <w:spacing w:after="0"/>
              <w:rPr>
                <w:sz w:val="20"/>
                <w:szCs w:val="20"/>
                <w:color w:val="auto"/>
              </w:rPr>
            </w:pPr>
          </w:p>
        </w:tc>
        <w:tc>
          <w:tcPr>
            <w:tcW w:w="1380" w:type="dxa"/>
            <w:vAlign w:val="bottom"/>
            <w:gridSpan w:val="3"/>
          </w:tcPr>
          <w:p>
            <w:pPr>
              <w:ind w:left="240"/>
              <w:spacing w:after="0"/>
              <w:rPr>
                <w:sz w:val="20"/>
                <w:szCs w:val="20"/>
                <w:color w:val="auto"/>
              </w:rPr>
            </w:pPr>
            <w:r>
              <w:rPr>
                <w:rFonts w:ascii="Arial" w:cs="Arial" w:eastAsia="Arial" w:hAnsi="Arial"/>
                <w:sz w:val="18"/>
                <w:szCs w:val="18"/>
                <w:b w:val="1"/>
                <w:bCs w:val="1"/>
                <w:color w:val="auto"/>
              </w:rPr>
              <w:t>Price ($)</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5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4/26/2021</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72,000</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91"/>
              </w:rPr>
              <w:t>3/3/2023</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6/19/2026</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11/9/2026</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175,000</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4/26/2027</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125,000</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9/19/2027</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1"/>
              </w:rPr>
              <w:t>2/2/2028</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220,000</w:t>
            </w:r>
          </w:p>
        </w:tc>
        <w:tc>
          <w:tcPr>
            <w:tcW w:w="380" w:type="dxa"/>
            <w:vAlign w:val="bottom"/>
          </w:tcPr>
          <w:p>
            <w:pPr>
              <w:jc w:val="right"/>
              <w:ind w:right="99"/>
              <w:spacing w:after="0"/>
              <w:rPr>
                <w:sz w:val="20"/>
                <w:szCs w:val="20"/>
                <w:color w:val="auto"/>
              </w:rPr>
            </w:pPr>
            <w:r>
              <w:rPr>
                <w:rFonts w:ascii="Arial" w:cs="Arial" w:eastAsia="Arial" w:hAnsi="Arial"/>
                <w:sz w:val="12"/>
                <w:szCs w:val="12"/>
                <w:color w:val="auto"/>
              </w:rPr>
              <w:t>(2)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9"/>
              <w:spacing w:after="0"/>
              <w:rPr>
                <w:sz w:val="20"/>
                <w:szCs w:val="20"/>
                <w:color w:val="auto"/>
              </w:rPr>
            </w:pPr>
            <w:r>
              <w:rPr>
                <w:rFonts w:ascii="Arial" w:cs="Arial" w:eastAsia="Arial" w:hAnsi="Arial"/>
                <w:sz w:val="12"/>
                <w:szCs w:val="12"/>
                <w:color w:val="auto"/>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1/14/2029</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68,337</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11,663</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5/23/2029</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106,250</w:t>
            </w:r>
          </w:p>
        </w:tc>
        <w:tc>
          <w:tcPr>
            <w:tcW w:w="380" w:type="dxa"/>
            <w:vAlign w:val="bottom"/>
          </w:tcPr>
          <w:p>
            <w:pPr>
              <w:jc w:val="right"/>
              <w:ind w:right="99"/>
              <w:spacing w:after="0"/>
              <w:rPr>
                <w:sz w:val="20"/>
                <w:szCs w:val="20"/>
                <w:color w:val="auto"/>
              </w:rPr>
            </w:pPr>
            <w:r>
              <w:rPr>
                <w:rFonts w:ascii="Arial" w:cs="Arial" w:eastAsia="Arial" w:hAnsi="Arial"/>
                <w:sz w:val="12"/>
                <w:szCs w:val="12"/>
                <w:color w:val="auto"/>
              </w:rPr>
              <w:t>(6)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63,750</w:t>
            </w:r>
          </w:p>
        </w:tc>
        <w:tc>
          <w:tcPr>
            <w:tcW w:w="400" w:type="dxa"/>
            <w:vAlign w:val="bottom"/>
          </w:tcPr>
          <w:p>
            <w:pPr>
              <w:jc w:val="right"/>
              <w:ind w:right="119"/>
              <w:spacing w:after="0"/>
              <w:rPr>
                <w:sz w:val="20"/>
                <w:szCs w:val="20"/>
                <w:color w:val="auto"/>
              </w:rPr>
            </w:pPr>
            <w:r>
              <w:rPr>
                <w:rFonts w:ascii="Arial" w:cs="Arial" w:eastAsia="Arial" w:hAnsi="Arial"/>
                <w:sz w:val="12"/>
                <w:szCs w:val="12"/>
                <w:color w:val="auto"/>
              </w:rPr>
              <w:t>(6)</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91"/>
              </w:rPr>
              <w:t>9/5/2029</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234,375</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65,625</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8"/>
              </w:rPr>
              <w:t>10/21/2029</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178,125</w:t>
            </w:r>
          </w:p>
        </w:tc>
        <w:tc>
          <w:tcPr>
            <w:tcW w:w="380" w:type="dxa"/>
            <w:vAlign w:val="bottom"/>
          </w:tcPr>
          <w:p>
            <w:pPr>
              <w:jc w:val="right"/>
              <w:ind w:right="99"/>
              <w:spacing w:after="0"/>
              <w:rPr>
                <w:sz w:val="20"/>
                <w:szCs w:val="20"/>
                <w:color w:val="auto"/>
              </w:rPr>
            </w:pPr>
            <w:r>
              <w:rPr>
                <w:rFonts w:ascii="Arial" w:cs="Arial" w:eastAsia="Arial" w:hAnsi="Arial"/>
                <w:sz w:val="12"/>
                <w:szCs w:val="12"/>
                <w:color w:val="auto"/>
              </w:rPr>
              <w:t>(8)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121,875</w:t>
            </w:r>
          </w:p>
        </w:tc>
        <w:tc>
          <w:tcPr>
            <w:tcW w:w="400" w:type="dxa"/>
            <w:vAlign w:val="bottom"/>
          </w:tcPr>
          <w:p>
            <w:pPr>
              <w:jc w:val="right"/>
              <w:ind w:right="119"/>
              <w:spacing w:after="0"/>
              <w:rPr>
                <w:sz w:val="20"/>
                <w:szCs w:val="20"/>
                <w:color w:val="auto"/>
              </w:rPr>
            </w:pPr>
            <w:r>
              <w:rPr>
                <w:rFonts w:ascii="Arial" w:cs="Arial" w:eastAsia="Arial" w:hAnsi="Arial"/>
                <w:sz w:val="12"/>
                <w:szCs w:val="12"/>
                <w:color w:val="auto"/>
              </w:rPr>
              <w:t>(8)</w:t>
            </w:r>
          </w:p>
        </w:tc>
        <w:tc>
          <w:tcPr>
            <w:tcW w:w="1120" w:type="dxa"/>
            <w:vAlign w:val="bottom"/>
          </w:tcPr>
          <w:p>
            <w:pPr>
              <w:jc w:val="right"/>
              <w:spacing w:after="0"/>
              <w:rPr>
                <w:sz w:val="20"/>
                <w:szCs w:val="20"/>
                <w:color w:val="auto"/>
              </w:rPr>
            </w:pPr>
            <w:r>
              <w:rPr>
                <w:rFonts w:ascii="Arial" w:cs="Arial" w:eastAsia="Arial" w:hAnsi="Arial"/>
                <w:sz w:val="18"/>
                <w:szCs w:val="18"/>
                <w:color w:val="auto"/>
              </w:rPr>
              <w:t>0.398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4/23/2030</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103,125</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(9)</w:t>
            </w: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196,875</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(9)</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52"/>
              <w:spacing w:after="0" w:line="196" w:lineRule="exact"/>
              <w:rPr>
                <w:sz w:val="20"/>
                <w:szCs w:val="20"/>
                <w:color w:val="auto"/>
              </w:rPr>
            </w:pPr>
            <w:r>
              <w:rPr>
                <w:rFonts w:ascii="Arial" w:cs="Arial" w:eastAsia="Arial" w:hAnsi="Arial"/>
                <w:sz w:val="18"/>
                <w:szCs w:val="18"/>
                <w:color w:val="auto"/>
                <w:w w:val="88"/>
              </w:rPr>
              <w:t>12/30/2030</w:t>
            </w:r>
          </w:p>
        </w:tc>
        <w:tc>
          <w:tcPr>
            <w:tcW w:w="120" w:type="dxa"/>
            <w:vAlign w:val="bottom"/>
            <w:shd w:val="clear" w:color="auto" w:fill="CCEEFF"/>
          </w:tcPr>
          <w:p>
            <w:pPr>
              <w:spacing w:after="0"/>
              <w:rPr>
                <w:sz w:val="18"/>
                <w:szCs w:val="18"/>
                <w:color w:val="auto"/>
              </w:rPr>
            </w:pPr>
          </w:p>
        </w:tc>
      </w:tr>
      <w:tr>
        <w:trPr>
          <w:trHeight w:val="27"/>
        </w:trPr>
        <w:tc>
          <w:tcPr>
            <w:tcW w:w="5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540" w:type="dxa"/>
            <w:vAlign w:val="bottom"/>
            <w:gridSpan w:val="2"/>
          </w:tcPr>
          <w:p>
            <w:pPr>
              <w:ind w:left="4920"/>
              <w:spacing w:after="0"/>
              <w:rPr>
                <w:sz w:val="20"/>
                <w:szCs w:val="20"/>
                <w:color w:val="auto"/>
              </w:rPr>
            </w:pPr>
            <w:r>
              <w:rPr>
                <w:rFonts w:ascii="Arial" w:cs="Arial" w:eastAsia="Arial" w:hAnsi="Arial"/>
                <w:sz w:val="18"/>
                <w:szCs w:val="18"/>
                <w:i w:val="1"/>
                <w:iCs w:val="1"/>
                <w:color w:val="auto"/>
              </w:rPr>
              <w:t>Total:</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1,887,212</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459,788</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927" w:orient="portrait"/>
          <w:cols w:equalWidth="0" w:num="1">
            <w:col w:w="11240"/>
          </w:cols>
          <w:pgMar w:left="320" w:top="557" w:right="339" w:bottom="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H. Ralph Snodgrass, Ph.D.</w:t>
            </w: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106,250</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43,750</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136,719</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(7)</w:t>
            </w:r>
          </w:p>
        </w:tc>
        <w:tc>
          <w:tcPr>
            <w:tcW w:w="1180" w:type="dxa"/>
            <w:vAlign w:val="bottom"/>
          </w:tcPr>
          <w:p>
            <w:pPr>
              <w:jc w:val="right"/>
              <w:spacing w:after="0"/>
              <w:rPr>
                <w:sz w:val="20"/>
                <w:szCs w:val="20"/>
                <w:color w:val="auto"/>
              </w:rPr>
            </w:pPr>
            <w:r>
              <w:rPr>
                <w:rFonts w:ascii="Arial" w:cs="Arial" w:eastAsia="Arial" w:hAnsi="Arial"/>
                <w:sz w:val="18"/>
                <w:szCs w:val="18"/>
                <w:color w:val="auto"/>
              </w:rPr>
              <w:t>38,281</w:t>
            </w:r>
          </w:p>
        </w:tc>
        <w:tc>
          <w:tcPr>
            <w:tcW w:w="340" w:type="dxa"/>
            <w:vAlign w:val="bottom"/>
          </w:tcPr>
          <w:p>
            <w:pPr>
              <w:jc w:val="center"/>
              <w:ind w:left="79"/>
              <w:spacing w:after="0"/>
              <w:rPr>
                <w:sz w:val="20"/>
                <w:szCs w:val="20"/>
                <w:color w:val="auto"/>
              </w:rPr>
            </w:pPr>
            <w:r>
              <w:rPr>
                <w:rFonts w:ascii="Arial" w:cs="Arial" w:eastAsia="Arial" w:hAnsi="Arial"/>
                <w:sz w:val="12"/>
                <w:szCs w:val="12"/>
                <w:color w:val="auto"/>
                <w:w w:val="93"/>
              </w:rPr>
              <w:t>(10)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89,063</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60,937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40" w:type="dxa"/>
            <w:vAlign w:val="bottom"/>
            <w:vMerge w:val="restart"/>
          </w:tcPr>
          <w:p>
            <w:pPr>
              <w:ind w:left="4880"/>
              <w:spacing w:after="0"/>
              <w:rPr>
                <w:sz w:val="20"/>
                <w:szCs w:val="20"/>
                <w:color w:val="auto"/>
              </w:rPr>
            </w:pPr>
            <w:r>
              <w:rPr>
                <w:rFonts w:ascii="Arial" w:cs="Arial" w:eastAsia="Arial" w:hAnsi="Arial"/>
                <w:sz w:val="18"/>
                <w:szCs w:val="18"/>
                <w:i w:val="1"/>
                <w:iCs w:val="1"/>
                <w:color w:val="auto"/>
              </w:rPr>
              <w:t>Total:</w:t>
            </w:r>
          </w:p>
        </w:tc>
        <w:tc>
          <w:tcPr>
            <w:tcW w:w="11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51,563</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(9)</w:t>
            </w:r>
          </w:p>
        </w:tc>
        <w:tc>
          <w:tcPr>
            <w:tcW w:w="11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98,437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1,163,595</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241,405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540" w:type="dxa"/>
            <w:vAlign w:val="bottom"/>
          </w:tcPr>
          <w:p>
            <w:pPr>
              <w:spacing w:after="0"/>
              <w:rPr>
                <w:sz w:val="20"/>
                <w:szCs w:val="20"/>
                <w:color w:val="auto"/>
              </w:rPr>
            </w:pPr>
            <w:r>
              <w:rPr>
                <w:rFonts w:ascii="Arial" w:cs="Arial" w:eastAsia="Arial" w:hAnsi="Arial"/>
                <w:sz w:val="18"/>
                <w:szCs w:val="18"/>
                <w:color w:val="auto"/>
              </w:rPr>
              <w:t>Mark A. Smith, M.D. Ph.D.</w:t>
            </w:r>
          </w:p>
        </w:tc>
        <w:tc>
          <w:tcPr>
            <w:tcW w:w="1120" w:type="dxa"/>
            <w:vAlign w:val="bottom"/>
          </w:tcPr>
          <w:p>
            <w:pPr>
              <w:jc w:val="right"/>
              <w:spacing w:after="0"/>
              <w:rPr>
                <w:sz w:val="20"/>
                <w:szCs w:val="20"/>
                <w:color w:val="auto"/>
              </w:rPr>
            </w:pPr>
            <w:r>
              <w:rPr>
                <w:rFonts w:ascii="Arial" w:cs="Arial" w:eastAsia="Arial" w:hAnsi="Arial"/>
                <w:sz w:val="18"/>
                <w:szCs w:val="18"/>
                <w:color w:val="auto"/>
              </w:rPr>
              <w:t>180,000</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106,250</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43,750</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78,125</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(7)</w:t>
            </w:r>
          </w:p>
        </w:tc>
        <w:tc>
          <w:tcPr>
            <w:tcW w:w="1180" w:type="dxa"/>
            <w:vAlign w:val="bottom"/>
          </w:tcPr>
          <w:p>
            <w:pPr>
              <w:jc w:val="right"/>
              <w:spacing w:after="0"/>
              <w:rPr>
                <w:sz w:val="20"/>
                <w:szCs w:val="20"/>
                <w:color w:val="auto"/>
              </w:rPr>
            </w:pPr>
            <w:r>
              <w:rPr>
                <w:rFonts w:ascii="Arial" w:cs="Arial" w:eastAsia="Arial" w:hAnsi="Arial"/>
                <w:sz w:val="18"/>
                <w:szCs w:val="18"/>
                <w:color w:val="auto"/>
              </w:rPr>
              <w:t>21,875</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89,063</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60,937</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(8)</w:t>
            </w:r>
          </w:p>
        </w:tc>
        <w:tc>
          <w:tcPr>
            <w:tcW w:w="0" w:type="dxa"/>
            <w:vAlign w:val="bottom"/>
          </w:tcPr>
          <w:p>
            <w:pPr>
              <w:spacing w:after="0"/>
              <w:rPr>
                <w:sz w:val="1"/>
                <w:szCs w:val="1"/>
                <w:color w:val="auto"/>
              </w:rPr>
            </w:pPr>
          </w:p>
        </w:tc>
      </w:tr>
      <w:tr>
        <w:trPr>
          <w:trHeight w:val="231"/>
        </w:trPr>
        <w:tc>
          <w:tcPr>
            <w:tcW w:w="5540" w:type="dxa"/>
            <w:vAlign w:val="bottom"/>
            <w:vMerge w:val="restart"/>
          </w:tcPr>
          <w:p>
            <w:pPr>
              <w:ind w:left="4880"/>
              <w:spacing w:after="0"/>
              <w:rPr>
                <w:sz w:val="20"/>
                <w:szCs w:val="20"/>
                <w:color w:val="auto"/>
              </w:rPr>
            </w:pPr>
            <w:r>
              <w:rPr>
                <w:rFonts w:ascii="Arial" w:cs="Arial" w:eastAsia="Arial" w:hAnsi="Arial"/>
                <w:sz w:val="18"/>
                <w:szCs w:val="18"/>
                <w:i w:val="1"/>
                <w:iCs w:val="1"/>
                <w:color w:val="auto"/>
              </w:rPr>
              <w:t>Total:</w:t>
            </w:r>
          </w:p>
        </w:tc>
        <w:tc>
          <w:tcPr>
            <w:tcW w:w="11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51,563</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(9)</w:t>
            </w:r>
          </w:p>
        </w:tc>
        <w:tc>
          <w:tcPr>
            <w:tcW w:w="11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98,437</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(9)</w:t>
            </w:r>
          </w:p>
        </w:tc>
        <w:tc>
          <w:tcPr>
            <w:tcW w:w="0" w:type="dxa"/>
            <w:vAlign w:val="bottom"/>
          </w:tcPr>
          <w:p>
            <w:pPr>
              <w:spacing w:after="0"/>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1,110,001</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224,999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540" w:type="dxa"/>
            <w:vAlign w:val="bottom"/>
          </w:tcPr>
          <w:p>
            <w:pPr>
              <w:spacing w:after="0"/>
              <w:rPr>
                <w:sz w:val="20"/>
                <w:szCs w:val="20"/>
                <w:color w:val="auto"/>
              </w:rPr>
            </w:pPr>
            <w:r>
              <w:rPr>
                <w:rFonts w:ascii="Arial" w:cs="Arial" w:eastAsia="Arial" w:hAnsi="Arial"/>
                <w:sz w:val="18"/>
                <w:szCs w:val="18"/>
                <w:color w:val="auto"/>
              </w:rPr>
              <w:t>Jerrold D. Dotson</w:t>
            </w:r>
          </w:p>
        </w:tc>
        <w:tc>
          <w:tcPr>
            <w:tcW w:w="1120" w:type="dxa"/>
            <w:vAlign w:val="bottom"/>
          </w:tcPr>
          <w:p>
            <w:pPr>
              <w:jc w:val="right"/>
              <w:spacing w:after="0"/>
              <w:rPr>
                <w:sz w:val="20"/>
                <w:szCs w:val="20"/>
                <w:color w:val="auto"/>
              </w:rPr>
            </w:pPr>
            <w:r>
              <w:rPr>
                <w:rFonts w:ascii="Arial" w:cs="Arial" w:eastAsia="Arial" w:hAnsi="Arial"/>
                <w:sz w:val="18"/>
                <w:szCs w:val="18"/>
                <w:color w:val="auto"/>
              </w:rPr>
              <w:t>5,001</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106,250</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43,750</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117,188</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(7)</w:t>
            </w:r>
          </w:p>
        </w:tc>
        <w:tc>
          <w:tcPr>
            <w:tcW w:w="1180" w:type="dxa"/>
            <w:vAlign w:val="bottom"/>
          </w:tcPr>
          <w:p>
            <w:pPr>
              <w:jc w:val="right"/>
              <w:spacing w:after="0"/>
              <w:rPr>
                <w:sz w:val="20"/>
                <w:szCs w:val="20"/>
                <w:color w:val="auto"/>
              </w:rPr>
            </w:pPr>
            <w:r>
              <w:rPr>
                <w:rFonts w:ascii="Arial" w:cs="Arial" w:eastAsia="Arial" w:hAnsi="Arial"/>
                <w:sz w:val="18"/>
                <w:szCs w:val="18"/>
                <w:color w:val="auto"/>
              </w:rPr>
              <w:t>32,812</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89,063</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60,937</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(8)</w:t>
            </w:r>
          </w:p>
        </w:tc>
        <w:tc>
          <w:tcPr>
            <w:tcW w:w="0" w:type="dxa"/>
            <w:vAlign w:val="bottom"/>
          </w:tcPr>
          <w:p>
            <w:pPr>
              <w:spacing w:after="0"/>
              <w:rPr>
                <w:sz w:val="1"/>
                <w:szCs w:val="1"/>
                <w:color w:val="auto"/>
              </w:rPr>
            </w:pPr>
          </w:p>
        </w:tc>
      </w:tr>
      <w:tr>
        <w:trPr>
          <w:trHeight w:val="231"/>
        </w:trPr>
        <w:tc>
          <w:tcPr>
            <w:tcW w:w="5540" w:type="dxa"/>
            <w:vAlign w:val="bottom"/>
            <w:vMerge w:val="restart"/>
          </w:tcPr>
          <w:p>
            <w:pPr>
              <w:spacing w:after="0"/>
              <w:rPr>
                <w:sz w:val="20"/>
                <w:szCs w:val="20"/>
                <w:color w:val="auto"/>
              </w:rPr>
            </w:pPr>
            <w:r>
              <w:rPr>
                <w:rFonts w:ascii="Arial" w:cs="Arial" w:eastAsia="Arial" w:hAnsi="Arial"/>
                <w:sz w:val="18"/>
                <w:szCs w:val="18"/>
                <w:i w:val="1"/>
                <w:iCs w:val="1"/>
                <w:color w:val="auto"/>
              </w:rPr>
              <w:t>Total:</w:t>
            </w:r>
          </w:p>
        </w:tc>
        <w:tc>
          <w:tcPr>
            <w:tcW w:w="11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51,563</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(9)</w:t>
            </w:r>
          </w:p>
        </w:tc>
        <w:tc>
          <w:tcPr>
            <w:tcW w:w="11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98,437</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(9)</w:t>
            </w:r>
          </w:p>
        </w:tc>
        <w:tc>
          <w:tcPr>
            <w:tcW w:w="0" w:type="dxa"/>
            <w:vAlign w:val="bottom"/>
          </w:tcPr>
          <w:p>
            <w:pPr>
              <w:spacing w:after="0"/>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1,005,065</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235,936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5540" w:type="dxa"/>
            <w:vAlign w:val="bottom"/>
          </w:tcPr>
          <w:p>
            <w:pPr>
              <w:ind w:left="40"/>
              <w:spacing w:after="0"/>
              <w:rPr>
                <w:sz w:val="20"/>
                <w:szCs w:val="20"/>
                <w:color w:val="auto"/>
              </w:rPr>
            </w:pPr>
            <w:r>
              <w:rPr>
                <w:rFonts w:ascii="Arial" w:cs="Arial" w:eastAsia="Arial" w:hAnsi="Arial"/>
                <w:sz w:val="18"/>
                <w:szCs w:val="18"/>
                <w:color w:val="auto"/>
              </w:rPr>
              <w:t>Ann M. Cunningham</w:t>
            </w:r>
          </w:p>
        </w:tc>
        <w:tc>
          <w:tcPr>
            <w:tcW w:w="1120" w:type="dxa"/>
            <w:vAlign w:val="bottom"/>
          </w:tcPr>
          <w:p>
            <w:pPr>
              <w:jc w:val="right"/>
              <w:spacing w:after="0"/>
              <w:rPr>
                <w:sz w:val="20"/>
                <w:szCs w:val="20"/>
                <w:color w:val="auto"/>
              </w:rPr>
            </w:pPr>
            <w:r>
              <w:rPr>
                <w:rFonts w:ascii="Arial" w:cs="Arial" w:eastAsia="Arial" w:hAnsi="Arial"/>
                <w:sz w:val="18"/>
                <w:szCs w:val="18"/>
                <w:color w:val="auto"/>
              </w:rPr>
              <w:t>25,000</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35,417</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8"/>
                <w:szCs w:val="18"/>
                <w:color w:val="auto"/>
              </w:rPr>
              <w:t>14,583</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233"/>
        </w:trPr>
        <w:tc>
          <w:tcPr>
            <w:tcW w:w="5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58,594</w:t>
            </w:r>
          </w:p>
        </w:tc>
        <w:tc>
          <w:tcPr>
            <w:tcW w:w="440" w:type="dxa"/>
            <w:vAlign w:val="bottom"/>
          </w:tcPr>
          <w:p>
            <w:pPr>
              <w:jc w:val="right"/>
              <w:ind w:right="99"/>
              <w:spacing w:after="0"/>
              <w:rPr>
                <w:sz w:val="20"/>
                <w:szCs w:val="20"/>
                <w:color w:val="auto"/>
              </w:rPr>
            </w:pPr>
            <w:r>
              <w:rPr>
                <w:rFonts w:ascii="Arial" w:cs="Arial" w:eastAsia="Arial" w:hAnsi="Arial"/>
                <w:sz w:val="12"/>
                <w:szCs w:val="12"/>
                <w:color w:val="auto"/>
              </w:rPr>
              <w:t>(7)</w:t>
            </w:r>
          </w:p>
        </w:tc>
        <w:tc>
          <w:tcPr>
            <w:tcW w:w="1180" w:type="dxa"/>
            <w:vAlign w:val="bottom"/>
          </w:tcPr>
          <w:p>
            <w:pPr>
              <w:jc w:val="right"/>
              <w:spacing w:after="0"/>
              <w:rPr>
                <w:sz w:val="20"/>
                <w:szCs w:val="20"/>
                <w:color w:val="auto"/>
              </w:rPr>
            </w:pPr>
            <w:r>
              <w:rPr>
                <w:rFonts w:ascii="Arial" w:cs="Arial" w:eastAsia="Arial" w:hAnsi="Arial"/>
                <w:sz w:val="18"/>
                <w:szCs w:val="18"/>
                <w:color w:val="auto"/>
              </w:rPr>
              <w:t>16,406</w:t>
            </w:r>
          </w:p>
        </w:tc>
        <w:tc>
          <w:tcPr>
            <w:tcW w:w="340" w:type="dxa"/>
            <w:vAlign w:val="bottom"/>
          </w:tcPr>
          <w:p>
            <w:pPr>
              <w:jc w:val="center"/>
              <w:ind w:left="59"/>
              <w:spacing w:after="0"/>
              <w:rPr>
                <w:sz w:val="20"/>
                <w:szCs w:val="20"/>
                <w:color w:val="auto"/>
              </w:rPr>
            </w:pPr>
            <w:r>
              <w:rPr>
                <w:rFonts w:ascii="Arial" w:cs="Arial" w:eastAsia="Arial" w:hAnsi="Arial"/>
                <w:sz w:val="12"/>
                <w:szCs w:val="12"/>
                <w:color w:val="auto"/>
                <w:w w:val="95"/>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-5954395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-5680075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-5405755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-5131435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-4857115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-4582795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-4291330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-4017010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-3742690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-3468370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-2919730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-2628265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-2353945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-2079625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-1805305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-1530985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-1256665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-982345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-690880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257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5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tabs>
          <w:tab w:leader="none" w:pos="740" w:val="left"/>
        </w:tabs>
        <w:rPr>
          <w:sz w:val="20"/>
          <w:szCs w:val="20"/>
          <w:color w:val="auto"/>
        </w:rPr>
      </w:pPr>
      <w:r>
        <w:rPr>
          <w:rFonts w:ascii="Arial" w:cs="Arial" w:eastAsia="Arial" w:hAnsi="Arial"/>
          <w:sz w:val="18"/>
          <w:szCs w:val="18"/>
          <w:color w:val="auto"/>
        </w:rPr>
        <w:t>7.00</w:t>
      </w:r>
      <w:r>
        <w:rPr>
          <w:sz w:val="20"/>
          <w:szCs w:val="20"/>
          <w:color w:val="auto"/>
        </w:rPr>
        <w:tab/>
      </w:r>
      <w:r>
        <w:rPr>
          <w:rFonts w:ascii="Arial" w:cs="Arial" w:eastAsia="Arial" w:hAnsi="Arial"/>
          <w:sz w:val="16"/>
          <w:szCs w:val="16"/>
          <w:color w:val="auto"/>
        </w:rPr>
        <w:t>3/3/2023</w:t>
      </w:r>
    </w:p>
    <w:p>
      <w:pPr>
        <w:spacing w:after="0" w:line="15"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6/19/2026</w:t>
      </w:r>
    </w:p>
    <w:p>
      <w:pPr>
        <w:spacing w:after="0" w:line="9"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11/9/2026</w:t>
      </w:r>
    </w:p>
    <w:p>
      <w:pPr>
        <w:spacing w:after="0" w:line="9"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4/26/2027</w:t>
      </w:r>
    </w:p>
    <w:p>
      <w:pPr>
        <w:spacing w:after="0" w:line="9"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9/19/2027</w:t>
      </w:r>
    </w:p>
    <w:p>
      <w:pPr>
        <w:spacing w:after="0" w:line="9"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2/2/2028</w:t>
      </w:r>
    </w:p>
    <w:p>
      <w:pPr>
        <w:spacing w:after="0" w:line="9"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8/5/2028</w:t>
      </w:r>
    </w:p>
    <w:p>
      <w:pPr>
        <w:spacing w:after="0" w:line="9" w:lineRule="exact"/>
        <w:rPr>
          <w:sz w:val="20"/>
          <w:szCs w:val="20"/>
          <w:color w:val="auto"/>
        </w:rPr>
      </w:pPr>
    </w:p>
    <w:p>
      <w:pPr>
        <w:jc w:val="right"/>
        <w:ind w:right="320"/>
        <w:spacing w:after="0"/>
        <w:tabs>
          <w:tab w:leader="none" w:pos="74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6"/>
          <w:szCs w:val="16"/>
          <w:color w:val="auto"/>
        </w:rPr>
        <w:t>5/23/2029</w:t>
      </w:r>
    </w:p>
    <w:p>
      <w:pPr>
        <w:spacing w:after="0" w:line="9" w:lineRule="exact"/>
        <w:rPr>
          <w:sz w:val="20"/>
          <w:szCs w:val="20"/>
          <w:color w:val="auto"/>
        </w:rPr>
      </w:pPr>
    </w:p>
    <w:p>
      <w:pPr>
        <w:jc w:val="right"/>
        <w:ind w:right="280"/>
        <w:spacing w:after="0"/>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10/21/2029</w:t>
      </w:r>
    </w:p>
    <w:p>
      <w:pPr>
        <w:spacing w:after="0" w:line="9" w:lineRule="exact"/>
        <w:rPr>
          <w:sz w:val="20"/>
          <w:szCs w:val="20"/>
          <w:color w:val="auto"/>
        </w:rPr>
      </w:pPr>
    </w:p>
    <w:p>
      <w:pPr>
        <w:jc w:val="right"/>
        <w:ind w:right="320"/>
        <w:spacing w:after="0"/>
        <w:tabs>
          <w:tab w:leader="none" w:pos="740" w:val="left"/>
        </w:tabs>
        <w:rPr>
          <w:sz w:val="20"/>
          <w:szCs w:val="20"/>
          <w:color w:val="auto"/>
        </w:rPr>
      </w:pPr>
      <w:r>
        <w:rPr>
          <w:rFonts w:ascii="Arial" w:cs="Arial" w:eastAsia="Arial" w:hAnsi="Arial"/>
          <w:sz w:val="18"/>
          <w:szCs w:val="18"/>
          <w:color w:val="auto"/>
        </w:rPr>
        <w:t>0.398</w:t>
      </w:r>
      <w:r>
        <w:rPr>
          <w:sz w:val="20"/>
          <w:szCs w:val="20"/>
          <w:color w:val="auto"/>
        </w:rPr>
        <w:tab/>
      </w:r>
      <w:r>
        <w:rPr>
          <w:rFonts w:ascii="Arial" w:cs="Arial" w:eastAsia="Arial" w:hAnsi="Arial"/>
          <w:sz w:val="16"/>
          <w:szCs w:val="16"/>
          <w:color w:val="auto"/>
        </w:rPr>
        <w:t>4/23/2030</w:t>
      </w:r>
    </w:p>
    <w:p>
      <w:pPr>
        <w:spacing w:after="0" w:line="3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5"/>
          <w:szCs w:val="15"/>
          <w:color w:val="auto"/>
        </w:rPr>
        <w:t>12/30/2030</w:t>
      </w:r>
    </w:p>
    <w:p>
      <w:pPr>
        <w:spacing w:after="0" w:line="200" w:lineRule="exact"/>
        <w:rPr>
          <w:sz w:val="20"/>
          <w:szCs w:val="20"/>
          <w:color w:val="auto"/>
        </w:rPr>
      </w:pPr>
    </w:p>
    <w:p>
      <w:pPr>
        <w:spacing w:after="0" w:line="241"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6/19/2026</w:t>
      </w:r>
    </w:p>
    <w:p>
      <w:pPr>
        <w:spacing w:after="0" w:line="15"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11/9/2026</w:t>
      </w:r>
    </w:p>
    <w:p>
      <w:pPr>
        <w:spacing w:after="0" w:line="9"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4/26/2027</w:t>
      </w:r>
    </w:p>
    <w:p>
      <w:pPr>
        <w:spacing w:after="0" w:line="9"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9/19/2027</w:t>
      </w:r>
    </w:p>
    <w:p>
      <w:pPr>
        <w:spacing w:after="0" w:line="9"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2/2/2028</w:t>
      </w:r>
    </w:p>
    <w:p>
      <w:pPr>
        <w:spacing w:after="0" w:line="9"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8/5/2028</w:t>
      </w:r>
    </w:p>
    <w:p>
      <w:pPr>
        <w:spacing w:after="0" w:line="9" w:lineRule="exact"/>
        <w:rPr>
          <w:sz w:val="20"/>
          <w:szCs w:val="20"/>
          <w:color w:val="auto"/>
        </w:rPr>
      </w:pPr>
    </w:p>
    <w:p>
      <w:pPr>
        <w:jc w:val="right"/>
        <w:ind w:right="320"/>
        <w:spacing w:after="0"/>
        <w:tabs>
          <w:tab w:leader="none" w:pos="74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6"/>
          <w:szCs w:val="16"/>
          <w:color w:val="auto"/>
        </w:rPr>
        <w:t>5/23/2029</w:t>
      </w:r>
    </w:p>
    <w:p>
      <w:pPr>
        <w:spacing w:after="0" w:line="9" w:lineRule="exact"/>
        <w:rPr>
          <w:sz w:val="20"/>
          <w:szCs w:val="20"/>
          <w:color w:val="auto"/>
        </w:rPr>
      </w:pPr>
    </w:p>
    <w:p>
      <w:pPr>
        <w:jc w:val="right"/>
        <w:ind w:right="280"/>
        <w:spacing w:after="0"/>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10/21/2029</w:t>
      </w:r>
    </w:p>
    <w:p>
      <w:pPr>
        <w:spacing w:after="0" w:line="9" w:lineRule="exact"/>
        <w:rPr>
          <w:sz w:val="20"/>
          <w:szCs w:val="20"/>
          <w:color w:val="auto"/>
        </w:rPr>
      </w:pPr>
    </w:p>
    <w:p>
      <w:pPr>
        <w:jc w:val="right"/>
        <w:ind w:right="320"/>
        <w:spacing w:after="0"/>
        <w:tabs>
          <w:tab w:leader="none" w:pos="740" w:val="left"/>
        </w:tabs>
        <w:rPr>
          <w:sz w:val="20"/>
          <w:szCs w:val="20"/>
          <w:color w:val="auto"/>
        </w:rPr>
      </w:pPr>
      <w:r>
        <w:rPr>
          <w:rFonts w:ascii="Arial" w:cs="Arial" w:eastAsia="Arial" w:hAnsi="Arial"/>
          <w:sz w:val="18"/>
          <w:szCs w:val="18"/>
          <w:color w:val="auto"/>
        </w:rPr>
        <w:t>0.398</w:t>
      </w:r>
      <w:r>
        <w:rPr>
          <w:sz w:val="20"/>
          <w:szCs w:val="20"/>
          <w:color w:val="auto"/>
        </w:rPr>
        <w:tab/>
      </w:r>
      <w:r>
        <w:rPr>
          <w:rFonts w:ascii="Arial" w:cs="Arial" w:eastAsia="Arial" w:hAnsi="Arial"/>
          <w:sz w:val="16"/>
          <w:szCs w:val="16"/>
          <w:color w:val="auto"/>
        </w:rPr>
        <w:t>4/23/2030</w:t>
      </w:r>
    </w:p>
    <w:p>
      <w:pPr>
        <w:spacing w:after="0" w:line="3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5"/>
          <w:szCs w:val="15"/>
          <w:color w:val="auto"/>
        </w:rPr>
        <w:t>12/30/2030</w:t>
      </w:r>
    </w:p>
    <w:p>
      <w:pPr>
        <w:spacing w:after="0" w:line="200" w:lineRule="exact"/>
        <w:rPr>
          <w:sz w:val="20"/>
          <w:szCs w:val="20"/>
          <w:color w:val="auto"/>
        </w:rPr>
      </w:pPr>
    </w:p>
    <w:p>
      <w:pPr>
        <w:spacing w:after="0" w:line="241"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5"/>
          <w:szCs w:val="15"/>
          <w:color w:val="auto"/>
        </w:rPr>
        <w:t>10/30/2022</w:t>
      </w:r>
    </w:p>
    <w:p>
      <w:pPr>
        <w:spacing w:after="0" w:line="1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5"/>
          <w:szCs w:val="15"/>
          <w:color w:val="auto"/>
        </w:rPr>
        <w:t>10/27/2023</w:t>
      </w:r>
    </w:p>
    <w:p>
      <w:pPr>
        <w:spacing w:after="0" w:line="9"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7.00</w:t>
      </w:r>
      <w:r>
        <w:rPr>
          <w:sz w:val="20"/>
          <w:szCs w:val="20"/>
          <w:color w:val="auto"/>
        </w:rPr>
        <w:tab/>
      </w:r>
      <w:r>
        <w:rPr>
          <w:rFonts w:ascii="Arial" w:cs="Arial" w:eastAsia="Arial" w:hAnsi="Arial"/>
          <w:sz w:val="16"/>
          <w:szCs w:val="16"/>
          <w:color w:val="auto"/>
        </w:rPr>
        <w:t>3/3/2023</w:t>
      </w:r>
    </w:p>
    <w:p>
      <w:pPr>
        <w:spacing w:after="0" w:line="9"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6/19/2026</w:t>
      </w:r>
    </w:p>
    <w:p>
      <w:pPr>
        <w:spacing w:after="0" w:line="9"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11/9/2026</w:t>
      </w:r>
    </w:p>
    <w:p>
      <w:pPr>
        <w:spacing w:after="0" w:line="9"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4/26/2027</w:t>
      </w:r>
    </w:p>
    <w:p>
      <w:pPr>
        <w:spacing w:after="0" w:line="9"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9/19/2027</w:t>
      </w:r>
    </w:p>
    <w:p>
      <w:pPr>
        <w:spacing w:after="0" w:line="9"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2/2/2028</w:t>
      </w:r>
    </w:p>
    <w:p>
      <w:pPr>
        <w:spacing w:after="0" w:line="9"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8/5/2028</w:t>
      </w:r>
    </w:p>
    <w:p>
      <w:pPr>
        <w:spacing w:after="0" w:line="9" w:lineRule="exact"/>
        <w:rPr>
          <w:sz w:val="20"/>
          <w:szCs w:val="20"/>
          <w:color w:val="auto"/>
        </w:rPr>
      </w:pPr>
    </w:p>
    <w:p>
      <w:pPr>
        <w:jc w:val="right"/>
        <w:ind w:right="320"/>
        <w:spacing w:after="0"/>
        <w:tabs>
          <w:tab w:leader="none" w:pos="74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6"/>
          <w:szCs w:val="16"/>
          <w:color w:val="auto"/>
        </w:rPr>
        <w:t>5/23/2029</w:t>
      </w:r>
    </w:p>
    <w:p>
      <w:pPr>
        <w:spacing w:after="0" w:line="9" w:lineRule="exact"/>
        <w:rPr>
          <w:sz w:val="20"/>
          <w:szCs w:val="20"/>
          <w:color w:val="auto"/>
        </w:rPr>
      </w:pPr>
    </w:p>
    <w:p>
      <w:pPr>
        <w:jc w:val="right"/>
        <w:ind w:right="280"/>
        <w:spacing w:after="0"/>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10/21/2029</w:t>
      </w:r>
    </w:p>
    <w:p>
      <w:pPr>
        <w:spacing w:after="0" w:line="9" w:lineRule="exact"/>
        <w:rPr>
          <w:sz w:val="20"/>
          <w:szCs w:val="20"/>
          <w:color w:val="auto"/>
        </w:rPr>
      </w:pPr>
    </w:p>
    <w:p>
      <w:pPr>
        <w:jc w:val="right"/>
        <w:ind w:right="320"/>
        <w:spacing w:after="0"/>
        <w:tabs>
          <w:tab w:leader="none" w:pos="740" w:val="left"/>
        </w:tabs>
        <w:rPr>
          <w:sz w:val="20"/>
          <w:szCs w:val="20"/>
          <w:color w:val="auto"/>
        </w:rPr>
      </w:pPr>
      <w:r>
        <w:rPr>
          <w:rFonts w:ascii="Arial" w:cs="Arial" w:eastAsia="Arial" w:hAnsi="Arial"/>
          <w:sz w:val="18"/>
          <w:szCs w:val="18"/>
          <w:color w:val="auto"/>
        </w:rPr>
        <w:t>0.398</w:t>
      </w:r>
      <w:r>
        <w:rPr>
          <w:sz w:val="20"/>
          <w:szCs w:val="20"/>
          <w:color w:val="auto"/>
        </w:rPr>
        <w:tab/>
      </w:r>
      <w:r>
        <w:rPr>
          <w:rFonts w:ascii="Arial" w:cs="Arial" w:eastAsia="Arial" w:hAnsi="Arial"/>
          <w:sz w:val="16"/>
          <w:szCs w:val="16"/>
          <w:color w:val="auto"/>
        </w:rPr>
        <w:t>4/23/2030</w:t>
      </w:r>
    </w:p>
    <w:p>
      <w:pPr>
        <w:spacing w:after="0" w:line="30"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5"/>
          <w:szCs w:val="15"/>
          <w:color w:val="auto"/>
        </w:rPr>
        <w:t>12/30/2030</w:t>
      </w:r>
    </w:p>
    <w:p>
      <w:pPr>
        <w:spacing w:after="0" w:line="200" w:lineRule="exact"/>
        <w:rPr>
          <w:sz w:val="20"/>
          <w:szCs w:val="20"/>
          <w:color w:val="auto"/>
        </w:rPr>
      </w:pPr>
    </w:p>
    <w:p>
      <w:pPr>
        <w:spacing w:after="0" w:line="241"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1/10/2029</w:t>
      </w:r>
    </w:p>
    <w:p>
      <w:pPr>
        <w:spacing w:after="0" w:line="15"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6"/>
          <w:szCs w:val="16"/>
          <w:color w:val="auto"/>
        </w:rPr>
        <w:t>5/23/2029</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10/21/2029</w:t>
      </w:r>
    </w:p>
    <w:p>
      <w:pPr>
        <w:sectPr>
          <w:pgSz w:w="11900" w:h="16927" w:orient="portrait"/>
          <w:cols w:equalWidth="0" w:num="2">
            <w:col w:w="8760" w:space="720"/>
            <w:col w:w="1760"/>
          </w:cols>
          <w:pgMar w:left="320" w:top="557" w:right="339"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24"/>
        </w:trPr>
        <w:tc>
          <w:tcPr>
            <w:tcW w:w="554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44,531</w:t>
            </w:r>
          </w:p>
        </w:tc>
        <w:tc>
          <w:tcPr>
            <w:tcW w:w="340" w:type="dxa"/>
            <w:vAlign w:val="bottom"/>
          </w:tcPr>
          <w:p>
            <w:pPr>
              <w:jc w:val="right"/>
              <w:ind w:right="99"/>
              <w:spacing w:after="0"/>
              <w:rPr>
                <w:sz w:val="20"/>
                <w:szCs w:val="20"/>
                <w:color w:val="auto"/>
              </w:rPr>
            </w:pPr>
            <w:r>
              <w:rPr>
                <w:rFonts w:ascii="Arial" w:cs="Arial" w:eastAsia="Arial" w:hAnsi="Arial"/>
                <w:sz w:val="12"/>
                <w:szCs w:val="12"/>
                <w:color w:val="auto"/>
              </w:rPr>
              <w:t>(8)</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30,469</w:t>
            </w:r>
          </w:p>
        </w:tc>
        <w:tc>
          <w:tcPr>
            <w:tcW w:w="640" w:type="dxa"/>
            <w:vAlign w:val="bottom"/>
          </w:tcPr>
          <w:p>
            <w:pPr>
              <w:jc w:val="right"/>
              <w:ind w:right="399"/>
              <w:spacing w:after="0"/>
              <w:rPr>
                <w:sz w:val="20"/>
                <w:szCs w:val="20"/>
                <w:color w:val="auto"/>
              </w:rPr>
            </w:pPr>
            <w:r>
              <w:rPr>
                <w:rFonts w:ascii="Arial" w:cs="Arial" w:eastAsia="Arial" w:hAnsi="Arial"/>
                <w:sz w:val="12"/>
                <w:szCs w:val="12"/>
                <w:color w:val="auto"/>
              </w:rPr>
              <w:t>(8)</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0.398</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4/23/2030</w:t>
            </w:r>
          </w:p>
        </w:tc>
      </w:tr>
      <w:tr>
        <w:trPr>
          <w:trHeight w:val="223"/>
        </w:trPr>
        <w:tc>
          <w:tcPr>
            <w:tcW w:w="55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25,781</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2"/>
                <w:szCs w:val="12"/>
                <w:color w:val="auto"/>
              </w:rPr>
              <w:t>(9)</w:t>
            </w:r>
          </w:p>
        </w:tc>
        <w:tc>
          <w:tcPr>
            <w:tcW w:w="130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49,219</w:t>
            </w:r>
          </w:p>
        </w:tc>
        <w:tc>
          <w:tcPr>
            <w:tcW w:w="6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2"/>
                <w:szCs w:val="12"/>
                <w:color w:val="auto"/>
              </w:rPr>
              <w:t>(9)</w:t>
            </w:r>
          </w:p>
        </w:tc>
        <w:tc>
          <w:tcPr>
            <w:tcW w:w="980" w:type="dxa"/>
            <w:vAlign w:val="bottom"/>
            <w:tcBorders>
              <w:bottom w:val="single" w:sz="8" w:color="CCEEFF"/>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1.77</w:t>
            </w:r>
          </w:p>
        </w:tc>
        <w:tc>
          <w:tcPr>
            <w:tcW w:w="1220" w:type="dxa"/>
            <w:vAlign w:val="bottom"/>
            <w:tcBorders>
              <w:bottom w:val="single" w:sz="8" w:color="CCEEFF"/>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12/30/2030</w:t>
            </w:r>
          </w:p>
        </w:tc>
      </w:tr>
      <w:tr>
        <w:trPr>
          <w:trHeight w:val="222"/>
        </w:trPr>
        <w:tc>
          <w:tcPr>
            <w:tcW w:w="554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189,323</w:t>
            </w:r>
          </w:p>
        </w:tc>
        <w:tc>
          <w:tcPr>
            <w:tcW w:w="34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101,677</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jc w:val="both"/>
        <w:ind w:left="340" w:hanging="332"/>
        <w:spacing w:after="0" w:line="25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became fully exercisable. The exercise price of the option was reduced to $1.50 per share on August 29, 2018.</w:t>
      </w:r>
    </w:p>
    <w:p>
      <w:pPr>
        <w:spacing w:after="0" w:line="22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$1.70 per share granted on January 14, 2019 when the market price of our common stock was $1.70 per share. The option became exercisable for 25% of the shares granted immediately upon grant, with the remaining shares becoming exercisable ratably monthly through January 14, 2021, when all shares granted became fully exercisable.</w:t>
      </w:r>
    </w:p>
    <w:p>
      <w:pPr>
        <w:spacing w:after="0" w:line="220" w:lineRule="exact"/>
        <w:rPr>
          <w:rFonts w:ascii="Arial" w:cs="Arial" w:eastAsia="Arial" w:hAnsi="Arial"/>
          <w:sz w:val="18"/>
          <w:szCs w:val="18"/>
          <w:color w:val="auto"/>
        </w:rPr>
      </w:pPr>
    </w:p>
    <w:p>
      <w:pPr>
        <w:jc w:val="both"/>
        <w:ind w:left="340" w:right="2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$1.27 per share granted on August 5, 2018 when the market price of our common stock was $1.27 per share. The option became exercisable for 25% of the shares granted immediately upon grant, with the remaining shares becoming exercisable ratably monthly through August 5, 2020, when all shares granted became fully exercisable.</w:t>
      </w:r>
    </w:p>
    <w:p>
      <w:pPr>
        <w:spacing w:after="0" w:line="22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$1.00 per share granted on May 23, 2019 when the market price of our common stock was $0.80 per share. The option became exercisable for 62.5% of the shares granted immediately upon grant, with the remaining shares becoming exercisable ratably monthly through May 23, 2022, when all shares granted will be fully exercisable.</w:t>
      </w:r>
    </w:p>
    <w:p>
      <w:pPr>
        <w:spacing w:after="0" w:line="22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$1.00 per share granted on May 23, 2019 when the market price of our common stock was $0.80 per share. The option became exercisable for 25% of the shares granted immediately upon grant, with the remaining shares becoming exercisable ratably monthly through May 23, 2022, when all shares granted will be fully exercisable.</w:t>
      </w:r>
    </w:p>
    <w:p>
      <w:pPr>
        <w:spacing w:after="0" w:line="220" w:lineRule="exact"/>
        <w:rPr>
          <w:rFonts w:ascii="Arial" w:cs="Arial" w:eastAsia="Arial" w:hAnsi="Arial"/>
          <w:sz w:val="18"/>
          <w:szCs w:val="18"/>
          <w:color w:val="auto"/>
        </w:rPr>
      </w:pPr>
    </w:p>
    <w:p>
      <w:pPr>
        <w:jc w:val="both"/>
        <w:ind w:left="340" w:hanging="332"/>
        <w:spacing w:after="0" w:line="30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$1.00 per share granted on September 5, 2019 when the market price of our common stock was $0.84 per share. The option became exercisable for 25% of the shares granted immediately upon grant, with the remaining shares becoming exercisable ratably monthly through September 5, 2022, when all shares granted will be fully exercisable.</w:t>
      </w:r>
    </w:p>
    <w:p>
      <w:pPr>
        <w:spacing w:after="0" w:line="187"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$1.41 per share granted on October 21, 2019 when the market price of our common stock was $1.41 per share. The option became exercisable for 25% of the shares granted immediately upon grant, with the remaining shares becoming exercisable ratably monthly through October 21, 2021, when all shares granted will be fully exercisable.</w:t>
      </w:r>
    </w:p>
    <w:p>
      <w:pPr>
        <w:spacing w:after="0" w:line="22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at $0.398 per share granted on April 23, 2020 when the market price of our common stock was $0.398 per share. The option became exercisable for 25% of the shares granted immediately upon grant, with the remaining shares becoming exercisable ratably monthly through April 23, 2022, when all shares granted will be fully exercisable.</w:t>
      </w:r>
    </w:p>
    <w:p>
      <w:pPr>
        <w:spacing w:after="0" w:line="220" w:lineRule="exact"/>
        <w:rPr>
          <w:rFonts w:ascii="Arial" w:cs="Arial" w:eastAsia="Arial" w:hAnsi="Arial"/>
          <w:sz w:val="18"/>
          <w:szCs w:val="18"/>
          <w:color w:val="auto"/>
        </w:rPr>
      </w:pPr>
    </w:p>
    <w:p>
      <w:pPr>
        <w:jc w:val="both"/>
        <w:ind w:left="340" w:hanging="332"/>
        <w:spacing w:after="0" w:line="30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an option to purchase shares of our common stock at $1.77 per share granted on December 30, 2020 when the market price of our common stock was $1.77 per share. The option became exercisable for 25% of the shares granted immediately upon grant, with the remaining shares becoming exercisable ratably monthly through December 30, 2022, when all shares granted will be fully exercisable.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material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Mr. Singh</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entered into an employment agreement with Mr. Singh on April 28, 2010. Under the agreement, as amended on June 22, 2016, Mr. Singh’s base salary was increased from $347,500 per year to $395,000 per year, effective June 16, 2016. The Compensation Committee has subsequently adjusted Mr. Singh’s base annual salary to $477,000 effective in July 2018, to $498,000 effective in April 2019 and to $550,000 effective in January 2021. Under his agreement, Mr. Singh is eligible to receive an annual incentive cash bonus of up to 50% of his base salary. The Compensation Committee awarded Mr. Singh a cash bonus of $333,660 for attainment of performance-based objectives during the 21-month period from April 1, 2019 through December 31, 2020. The award of his incentive bonus, if any, is at the discretion of the Compensation Committee of our Board of Directors. In the event we terminate Mr. Singh’s employment without cause, he is entitled to receive severance in an amount equal to:</w:t>
      </w:r>
    </w:p>
    <w:p>
      <w:pPr>
        <w:spacing w:after="0" w:line="17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660" w:right="20" w:hanging="328"/>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Dr. Snodgrass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entered into an employment agreement with Dr. Snodgrass on April 28, 2010. Under the agreement, as amended on June 22, 2016, Dr. Snodgrass’s base salary was increased from $305,000 per year to $350,000 per year, effective June 16, 2016. The Compensation Committee has subsequently adjusted Dr. Snodgrass’ base annual salary to $397,000 effective in July 2018, to $416,850 effective in April 2019 and to $440,000 effective in January 2021. Under his agreement, Dr. Snodgrass is eligible to receive an annual incentive cash bonus of up to 50% of his base salary. The Compensation Committee awarded Dr. Snodgrass a cash bonus of $125,055 for attainment of performance-based objectives during the 21-month period from April 1, 2019 through December 31, 2020. The award of his incentive bonus, if any, is at the discretion of the Compensation Committee of the Board of Directors. In the event we terminate Dr. Snodgrass’s employment without cause, he is entitled to receive severance in an amount equal to:</w:t>
      </w:r>
    </w:p>
    <w:p>
      <w:pPr>
        <w:spacing w:after="0" w:line="17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9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$550,000 for Mr. Singh and $440,000 for Dr. Snodgrass, excluding any pro-rated portion of an annual or periodic bonus and the imputed value of accelerated vesting of stock options, if 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RATIFICATION OF THE APPOINTMENT OF OUM &amp; CO. LLP TO SERVE AS THE COMPANY'S INDEPENDENT REGISTERED PUBLIC ACCOUNTING FIRM FOR THE CURRENT FISCAL YEAR</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Upon recommendation of the Audit Committee of the Board, the Board appointed OUM &amp; Co. LLP (</w:t>
      </w:r>
      <w:r>
        <w:rPr>
          <w:rFonts w:ascii="Arial" w:cs="Arial" w:eastAsia="Arial" w:hAnsi="Arial"/>
          <w:sz w:val="16"/>
          <w:szCs w:val="16"/>
          <w:i w:val="1"/>
          <w:iCs w:val="1"/>
          <w:color w:val="auto"/>
        </w:rPr>
        <w:t>OUM</w:t>
      </w:r>
      <w:r>
        <w:rPr>
          <w:rFonts w:ascii="Arial" w:cs="Arial" w:eastAsia="Arial" w:hAnsi="Arial"/>
          <w:sz w:val="16"/>
          <w:szCs w:val="16"/>
          <w:color w:val="auto"/>
        </w:rPr>
        <w:t>) as our independent registered public accounting firm for the current fiscal year. Subsequently, on July 15, 2021, WithumSmith+Brown, PC, an independent registered public accounting firm (</w:t>
      </w:r>
      <w:r>
        <w:rPr>
          <w:rFonts w:ascii="Arial" w:cs="Arial" w:eastAsia="Arial" w:hAnsi="Arial"/>
          <w:sz w:val="16"/>
          <w:szCs w:val="16"/>
          <w:i w:val="1"/>
          <w:iCs w:val="1"/>
          <w:color w:val="auto"/>
        </w:rPr>
        <w:t>Withum</w:t>
      </w:r>
      <w:r>
        <w:rPr>
          <w:rFonts w:ascii="Arial" w:cs="Arial" w:eastAsia="Arial" w:hAnsi="Arial"/>
          <w:sz w:val="16"/>
          <w:szCs w:val="16"/>
          <w:color w:val="auto"/>
        </w:rPr>
        <w:t>), acquired certain assets of OUM. As a result, on July 15, 2021, OUM resigned as the Company’s independent registered public accounting firm. Concurrent with such resignation, the Company, with the approval of its Audit Committee, consented to the engagement of Withum. Withum is the Company’s new independent registered public accounting firm, effective July 15, 2021, and the Board hereby recommends that the stockholders ratify such appointment.</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Board may terminate the appointment of Withum as the Company’s independent registered public accounting firm without the approval of the Company’s stockholders whenever the Board deems such termination necessary or appropriate.</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Representatives of Withum will be present at the Annual Meeting or available by telephone and will have an opportunity to make a statement if they so desire and to respond to appropriate questions from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OUM served as our independent registered public accounting firm for the fiscal years ended March 31, 2021 and 2020. Information provided below includes fees for professional services provided to us by OUM for our fiscal years ended March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r>
      <w:tr>
        <w:trPr>
          <w:trHeight w:val="228"/>
        </w:trPr>
        <w:tc>
          <w:tcPr>
            <w:tcW w:w="49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2"/>
        </w:trPr>
        <w:tc>
          <w:tcPr>
            <w:tcW w:w="49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4"/>
              </w:rPr>
              <w:t>2020</w:t>
            </w:r>
          </w:p>
        </w:tc>
        <w:tc>
          <w:tcPr>
            <w:tcW w:w="140" w:type="dxa"/>
            <w:vAlign w:val="bottom"/>
          </w:tcPr>
          <w:p>
            <w:pPr>
              <w:spacing w:after="0"/>
              <w:rPr>
                <w:sz w:val="21"/>
                <w:szCs w:val="21"/>
                <w:color w:val="auto"/>
              </w:rPr>
            </w:pPr>
          </w:p>
        </w:tc>
      </w:tr>
      <w:tr>
        <w:trPr>
          <w:trHeight w:val="243"/>
        </w:trPr>
        <w:tc>
          <w:tcPr>
            <w:tcW w:w="49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242,500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Audit-related fees</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22,400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All other fees</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366,600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280,900</w:t>
            </w: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Audit fees include fees billed for the annual audit of the Company’s financial statements and quarterly reviews for the fiscal years ended March 31, 2021 and 2020, and for services normally provided by OUM in connection with routine statutory and regulatory filings or engagements.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Audit-related fees include fees billed for assurance and related services that are reasonably related to the performance of the annual audit or reviews of the Company’s financial statements and are not reported under “</w:t>
      </w:r>
      <w:r>
        <w:rPr>
          <w:rFonts w:ascii="Arial" w:cs="Arial" w:eastAsia="Arial" w:hAnsi="Arial"/>
          <w:sz w:val="16"/>
          <w:szCs w:val="16"/>
          <w:i w:val="1"/>
          <w:iCs w:val="1"/>
          <w:color w:val="auto"/>
        </w:rPr>
        <w:t>Audit Fees</w:t>
      </w:r>
      <w:r>
        <w:rPr>
          <w:rFonts w:ascii="Arial" w:cs="Arial" w:eastAsia="Arial" w:hAnsi="Arial"/>
          <w:sz w:val="16"/>
          <w:szCs w:val="16"/>
          <w:color w:val="auto"/>
        </w:rPr>
        <w:t>.” During our fiscal years ended March 31, 2021 and 2020, OUM billed the Company for services related to comfort letters and consents for the use of its audit opinion in our filings of Registration Statements on Form S-3, Form S-1, and Form S-8 that included or incorporated by reference the Company’s audited financial statements for the fiscal years ended March 31, 2020 and 2019.</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2020 and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All other fees include fees for products and services other than those described above. During our fiscal years ended March 31, 2021 and 2020, no such fees were billed by OUM.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Ratification of the selection of Withum as the Company’s independent registered public accounting firm for our fiscal year ending March 31, 2022 requires the affirmative vote of a majority of the shares present or represented by proxy and entitled to vote at the Annual Meeting. Unless otherwise instructed on the proxy or unless authority to vote is withheld, shares represented by executed proxies will be voted “FOR” the ratification of Withum as the Company’s independent registered public accounting firm for our fiscal year ending March 31, 2022.</w:t>
      </w:r>
    </w:p>
    <w:p>
      <w:pPr>
        <w:spacing w:after="0" w:line="16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selection of Withum as our independent registered public accounting firm for our fiscal year ending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 w:name="page40"/>
    <w:bookmarkEnd w:id="39"/>
    <w:p>
      <w:pPr>
        <w:ind w:left="5200" w:right="460" w:hanging="4115"/>
        <w:spacing w:after="0" w:line="275"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STOCKHOLDERS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July 23, 2021 for:</w:t>
      </w:r>
    </w:p>
    <w:p>
      <w:pPr>
        <w:spacing w:after="0" w:line="2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five percent (5%) of shares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Applicable percentage ownership is based on 192,098,965 shares of common stock outstanding at July 23, 2021.</w:t>
      </w:r>
    </w:p>
    <w:p>
      <w:pPr>
        <w:spacing w:after="0" w:line="225"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In computing the percentage of shares of common stock beneficially owned, we deemed to be outstanding all shares of common stock subject to options or warrants and all shares of our Series A Preferred Stock, Series B 10% Convertible Preferred Stock and Series C Convertible Preferred Stock held by that person or entity that are currently exercisable or exchangeable or that will become exercisable or exchangeable within 60 days of July 23, 2021.</w:t>
      </w:r>
    </w:p>
    <w:p>
      <w:pPr>
        <w:spacing w:after="0" w:line="16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Unless otherwise noted below, the address of each beneficial owner listed in the table is c/o VistaGen Therapeutics, Inc., 343 Allerton Avenue, South San Francisco, California 94080.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tcPr>
          <w:p>
            <w:pPr>
              <w:spacing w:after="0"/>
              <w:rPr>
                <w:sz w:val="20"/>
                <w:szCs w:val="20"/>
                <w:color w:val="auto"/>
              </w:rPr>
            </w:pPr>
            <w:r>
              <w:rPr>
                <w:rFonts w:ascii="Arial" w:cs="Arial" w:eastAsia="Arial" w:hAnsi="Arial"/>
                <w:sz w:val="18"/>
                <w:szCs w:val="18"/>
                <w:b w:val="1"/>
                <w:bCs w:val="1"/>
                <w:color w:val="auto"/>
              </w:rPr>
              <w:t>Beneficial Ownership of Common Stock:</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68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Percent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shares</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2"/>
              </w:rPr>
              <w:t>of shares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beneficially</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owned</w:t>
            </w: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owned (1)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0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r>
              <w:rPr>
                <w:rFonts w:ascii="Arial" w:cs="Arial" w:eastAsia="Arial" w:hAnsi="Arial"/>
                <w:sz w:val="12"/>
                <w:szCs w:val="12"/>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2,129,237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12"/>
                <w:szCs w:val="12"/>
                <w:color w:val="auto"/>
              </w:rPr>
              <w:t>(3)</w:t>
            </w:r>
          </w:p>
        </w:tc>
        <w:tc>
          <w:tcPr>
            <w:tcW w:w="1080" w:type="dxa"/>
            <w:vAlign w:val="bottom"/>
          </w:tcPr>
          <w:p>
            <w:pPr>
              <w:jc w:val="right"/>
              <w:spacing w:after="0"/>
              <w:rPr>
                <w:sz w:val="20"/>
                <w:szCs w:val="20"/>
                <w:color w:val="auto"/>
              </w:rPr>
            </w:pPr>
            <w:r>
              <w:rPr>
                <w:rFonts w:ascii="Arial" w:cs="Arial" w:eastAsia="Arial" w:hAnsi="Arial"/>
                <w:sz w:val="18"/>
                <w:szCs w:val="18"/>
                <w:color w:val="auto"/>
              </w:rPr>
              <w:t>1,350,021</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12"/>
                <w:szCs w:val="12"/>
                <w:color w:val="auto"/>
              </w:rPr>
              <w:t>(4)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1,203,510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12"/>
                <w:szCs w:val="12"/>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232,031</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Jerrold D. Dotson </w:t>
            </w:r>
            <w:r>
              <w:rPr>
                <w:rFonts w:ascii="Arial" w:cs="Arial" w:eastAsia="Arial" w:hAnsi="Arial"/>
                <w:sz w:val="12"/>
                <w:szCs w:val="12"/>
                <w:color w:val="auto"/>
              </w:rPr>
              <w:t>(6)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1,072,112</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 xml:space="preserve">Jon S. Saxe, J.D., LL.M. </w:t>
            </w:r>
            <w:r>
              <w:rPr>
                <w:rFonts w:ascii="Arial" w:cs="Arial" w:eastAsia="Arial" w:hAnsi="Arial"/>
                <w:sz w:val="12"/>
                <w:szCs w:val="12"/>
                <w:color w:val="auto"/>
              </w:rPr>
              <w:t>(7)</w:t>
            </w:r>
          </w:p>
        </w:tc>
        <w:tc>
          <w:tcPr>
            <w:tcW w:w="1080" w:type="dxa"/>
            <w:vAlign w:val="bottom"/>
          </w:tcPr>
          <w:p>
            <w:pPr>
              <w:jc w:val="right"/>
              <w:spacing w:after="0"/>
              <w:rPr>
                <w:sz w:val="20"/>
                <w:szCs w:val="20"/>
                <w:color w:val="auto"/>
              </w:rPr>
            </w:pPr>
            <w:r>
              <w:rPr>
                <w:rFonts w:ascii="Arial" w:cs="Arial" w:eastAsia="Arial" w:hAnsi="Arial"/>
                <w:sz w:val="18"/>
                <w:szCs w:val="18"/>
                <w:color w:val="auto"/>
              </w:rPr>
              <w:t>580,282</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Joanne Curley, Ph.D. </w:t>
            </w:r>
            <w:r>
              <w:rPr>
                <w:rFonts w:ascii="Arial" w:cs="Arial" w:eastAsia="Arial" w:hAnsi="Arial"/>
                <w:sz w:val="12"/>
                <w:szCs w:val="12"/>
                <w:color w:val="auto"/>
              </w:rPr>
              <w:t>(8)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 xml:space="preserve">Margaret M. FitzPatrick, M.A. </w:t>
            </w:r>
            <w:r>
              <w:rPr>
                <w:rFonts w:ascii="Arial" w:cs="Arial" w:eastAsia="Arial" w:hAnsi="Arial"/>
                <w:sz w:val="12"/>
                <w:szCs w:val="12"/>
                <w:color w:val="auto"/>
              </w:rPr>
              <w:t>(9)</w:t>
            </w:r>
          </w:p>
        </w:tc>
        <w:tc>
          <w:tcPr>
            <w:tcW w:w="1080" w:type="dxa"/>
            <w:vAlign w:val="bottom"/>
          </w:tcPr>
          <w:p>
            <w:pPr>
              <w:jc w:val="right"/>
              <w:spacing w:after="0"/>
              <w:rPr>
                <w:sz w:val="20"/>
                <w:szCs w:val="20"/>
                <w:color w:val="auto"/>
              </w:rPr>
            </w:pPr>
            <w:r>
              <w:rPr>
                <w:rFonts w:ascii="Arial" w:cs="Arial" w:eastAsia="Arial" w:hAnsi="Arial"/>
                <w:sz w:val="18"/>
                <w:szCs w:val="18"/>
                <w:color w:val="auto"/>
              </w:rPr>
              <w:t>12,500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12"/>
                <w:szCs w:val="12"/>
                <w:color w:val="auto"/>
              </w:rPr>
              <w:t>(10)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742,031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 xml:space="preserve">Mary L. Rotunno, J.D. </w:t>
            </w:r>
            <w:r>
              <w:rPr>
                <w:rFonts w:ascii="Arial" w:cs="Arial" w:eastAsia="Arial" w:hAnsi="Arial"/>
                <w:sz w:val="12"/>
                <w:szCs w:val="12"/>
                <w:color w:val="auto"/>
              </w:rPr>
              <w:t>(11)</w:t>
            </w:r>
          </w:p>
        </w:tc>
        <w:tc>
          <w:tcPr>
            <w:tcW w:w="1080" w:type="dxa"/>
            <w:vAlign w:val="bottom"/>
          </w:tcPr>
          <w:p>
            <w:pPr>
              <w:jc w:val="right"/>
              <w:spacing w:after="0"/>
              <w:rPr>
                <w:sz w:val="20"/>
                <w:szCs w:val="20"/>
                <w:color w:val="auto"/>
              </w:rPr>
            </w:pPr>
            <w:r>
              <w:rPr>
                <w:rFonts w:ascii="Arial" w:cs="Arial" w:eastAsia="Arial" w:hAnsi="Arial"/>
                <w:sz w:val="18"/>
                <w:szCs w:val="18"/>
                <w:color w:val="auto"/>
              </w:rPr>
              <w:t>12,500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 xml:space="preserve">All executive officers and directors as a group (10 persons) </w:t>
            </w:r>
            <w:r>
              <w:rPr>
                <w:rFonts w:ascii="Arial" w:cs="Arial" w:eastAsia="Arial" w:hAnsi="Arial"/>
                <w:sz w:val="12"/>
                <w:szCs w:val="12"/>
                <w:color w:val="auto"/>
              </w:rPr>
              <w:t>(12)</w:t>
            </w:r>
          </w:p>
        </w:tc>
        <w:tc>
          <w:tcPr>
            <w:tcW w:w="1080" w:type="dxa"/>
            <w:vAlign w:val="bottom"/>
          </w:tcPr>
          <w:p>
            <w:pPr>
              <w:jc w:val="right"/>
              <w:spacing w:after="0"/>
              <w:rPr>
                <w:sz w:val="20"/>
                <w:szCs w:val="20"/>
                <w:color w:val="auto"/>
              </w:rPr>
            </w:pPr>
            <w:r>
              <w:rPr>
                <w:rFonts w:ascii="Arial" w:cs="Arial" w:eastAsia="Arial" w:hAnsi="Arial"/>
                <w:sz w:val="18"/>
                <w:szCs w:val="18"/>
                <w:color w:val="auto"/>
              </w:rPr>
              <w:t>7,309,224</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i w:val="1"/>
                <w:iCs w:val="1"/>
                <w:color w:val="auto"/>
              </w:rPr>
              <w:t>5% Stockholders: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Entities associated with New Enterprise Associates </w:t>
            </w:r>
            <w:r>
              <w:rPr>
                <w:rFonts w:ascii="Arial" w:cs="Arial" w:eastAsia="Arial" w:hAnsi="Arial"/>
                <w:sz w:val="12"/>
                <w:szCs w:val="12"/>
                <w:color w:val="auto"/>
              </w:rPr>
              <w:t>(13)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16,302,596</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 xml:space="preserve">Entities affiliated with Venrock </w:t>
            </w:r>
            <w:r>
              <w:rPr>
                <w:rFonts w:ascii="Arial" w:cs="Arial" w:eastAsia="Arial" w:hAnsi="Arial"/>
                <w:sz w:val="12"/>
                <w:szCs w:val="12"/>
                <w:color w:val="auto"/>
              </w:rPr>
              <w:t>(14)</w:t>
            </w:r>
          </w:p>
        </w:tc>
        <w:tc>
          <w:tcPr>
            <w:tcW w:w="1080" w:type="dxa"/>
            <w:vAlign w:val="bottom"/>
          </w:tcPr>
          <w:p>
            <w:pPr>
              <w:jc w:val="right"/>
              <w:spacing w:after="0"/>
              <w:rPr>
                <w:sz w:val="20"/>
                <w:szCs w:val="20"/>
                <w:color w:val="auto"/>
              </w:rPr>
            </w:pPr>
            <w:r>
              <w:rPr>
                <w:rFonts w:ascii="Arial" w:cs="Arial" w:eastAsia="Arial" w:hAnsi="Arial"/>
                <w:sz w:val="18"/>
                <w:szCs w:val="18"/>
                <w:color w:val="auto"/>
              </w:rPr>
              <w:t>16,047,286</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Acuta Capital Partners, LLC </w:t>
            </w:r>
            <w:r>
              <w:rPr>
                <w:rFonts w:ascii="Arial" w:cs="Arial" w:eastAsia="Arial" w:hAnsi="Arial"/>
                <w:sz w:val="12"/>
                <w:szCs w:val="12"/>
                <w:color w:val="auto"/>
              </w:rPr>
              <w:t>(15)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12,295,767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 xml:space="preserve">Franklin Advisors, Inc. </w:t>
            </w:r>
            <w:r>
              <w:rPr>
                <w:rFonts w:ascii="Arial" w:cs="Arial" w:eastAsia="Arial" w:hAnsi="Arial"/>
                <w:sz w:val="12"/>
                <w:szCs w:val="12"/>
                <w:color w:val="auto"/>
              </w:rPr>
              <w:t>(16)</w:t>
            </w:r>
          </w:p>
        </w:tc>
        <w:tc>
          <w:tcPr>
            <w:tcW w:w="1080" w:type="dxa"/>
            <w:vAlign w:val="bottom"/>
          </w:tcPr>
          <w:p>
            <w:pPr>
              <w:jc w:val="right"/>
              <w:spacing w:after="0"/>
              <w:rPr>
                <w:sz w:val="20"/>
                <w:szCs w:val="20"/>
                <w:color w:val="auto"/>
              </w:rPr>
            </w:pPr>
            <w:r>
              <w:rPr>
                <w:rFonts w:ascii="Arial" w:cs="Arial" w:eastAsia="Arial" w:hAnsi="Arial"/>
                <w:sz w:val="18"/>
                <w:szCs w:val="18"/>
                <w:color w:val="auto"/>
              </w:rPr>
              <w:t>10,865,937</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0" w:name="page41"/>
    <w:bookmarkEnd w:id="40"/>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192,098,965 shares of common stock issued and outstanding as of July 23, 2021.</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1,985,628 shares of common stock and warrants to purchase 72,000 restricted shares of common stock exercisable within 60 days of July 23, 2021.</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1,208,906 shares of common stock and warrants to purchase 50,000 restricted shares of common stock exercisable within 60 days of July 23, 2021.</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1,191,250 shares of common stock exercisable within 60 days of July 23, 2021.</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232,031 shares of common stock exercisable within 60 days of July 23, 2021.</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959,866 shares of common stock, including options to purchase 626 shares of common stock held by Mr. Dotson’s wife, and warrants to purchase 10,000 restricted shares of common stock exercisable within 60 days of July 23, 2021.</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517,031 shares of common stock and warrants to purchase 7,500 restricted shares of common stock exercisable within 60 days of July 23, 2021.</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25,000 shares of common stock exercisable within 60 days of July 23, 2021.</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12,500 shares of common stock exercisable within 60 days of July 23, 2021.</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100,000 restricted shares of common stock held by Dr. Gin’s wife. Also includes options to purchase 542,031 shares of common stock exercisable within 60 days of July 23, 2021</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options to purchase 12,500 shares of common stock exercisable within 60 days of July 23, 2021</w:t>
      </w:r>
    </w:p>
    <w:p>
      <w:pPr>
        <w:spacing w:after="0" w:line="22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100,000 restricted shares of common stock held by Dr. Gin's wife. Also includes options to purchase 6,686,743 shares of common stock and warrants to purchase 139,500 restricted shares of common stock exercisable within 60 days of July 23, 2021.</w:t>
      </w:r>
    </w:p>
    <w:p>
      <w:pPr>
        <w:spacing w:after="0" w:line="185" w:lineRule="exact"/>
        <w:rPr>
          <w:rFonts w:ascii="Arial" w:cs="Arial" w:eastAsia="Arial" w:hAnsi="Arial"/>
          <w:sz w:val="18"/>
          <w:szCs w:val="18"/>
          <w:color w:val="auto"/>
        </w:rPr>
      </w:pPr>
    </w:p>
    <w:p>
      <w:pPr>
        <w:jc w:val="both"/>
        <w:ind w:left="460" w:hanging="452"/>
        <w:spacing w:after="0" w:line="28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upon Schedule 13F filed by Growth Opportunities 17, LLC on May 17, 2021. The shares held by Growth Opportunities 17, LLC (</w:t>
      </w:r>
      <w:r>
        <w:rPr>
          <w:rFonts w:ascii="Arial" w:cs="Arial" w:eastAsia="Arial" w:hAnsi="Arial"/>
          <w:sz w:val="16"/>
          <w:szCs w:val="16"/>
          <w:i w:val="1"/>
          <w:iCs w:val="1"/>
          <w:color w:val="auto"/>
        </w:rPr>
        <w:t>GEO</w:t>
      </w:r>
      <w:r>
        <w:rPr>
          <w:rFonts w:ascii="Arial" w:cs="Arial" w:eastAsia="Arial" w:hAnsi="Arial"/>
          <w:sz w:val="16"/>
          <w:szCs w:val="16"/>
          <w:color w:val="auto"/>
        </w:rPr>
        <w:t>) are indirectly held by New Enterprise Associates 17, L.P. (</w:t>
      </w:r>
      <w:r>
        <w:rPr>
          <w:rFonts w:ascii="Arial" w:cs="Arial" w:eastAsia="Arial" w:hAnsi="Arial"/>
          <w:sz w:val="16"/>
          <w:szCs w:val="16"/>
          <w:i w:val="1"/>
          <w:iCs w:val="1"/>
          <w:color w:val="auto"/>
        </w:rPr>
        <w:t>NEA 17</w:t>
      </w:r>
      <w:r>
        <w:rPr>
          <w:rFonts w:ascii="Arial" w:cs="Arial" w:eastAsia="Arial" w:hAnsi="Arial"/>
          <w:sz w:val="16"/>
          <w:szCs w:val="16"/>
          <w:color w:val="auto"/>
        </w:rPr>
        <w:t>), which is the sole member of GEO; NEA Partners 17, L.P. (</w:t>
      </w:r>
      <w:r>
        <w:rPr>
          <w:rFonts w:ascii="Arial" w:cs="Arial" w:eastAsia="Arial" w:hAnsi="Arial"/>
          <w:sz w:val="16"/>
          <w:szCs w:val="16"/>
          <w:i w:val="1"/>
          <w:iCs w:val="1"/>
          <w:color w:val="auto"/>
        </w:rPr>
        <w:t>NEA Partners 17</w:t>
      </w:r>
      <w:r>
        <w:rPr>
          <w:rFonts w:ascii="Arial" w:cs="Arial" w:eastAsia="Arial" w:hAnsi="Arial"/>
          <w:sz w:val="16"/>
          <w:szCs w:val="16"/>
          <w:color w:val="auto"/>
        </w:rPr>
        <w:t>), which is the sole general partner of NEA 17; and NEA 17 GP, LLC (</w:t>
      </w:r>
      <w:r>
        <w:rPr>
          <w:rFonts w:ascii="Arial" w:cs="Arial" w:eastAsia="Arial" w:hAnsi="Arial"/>
          <w:sz w:val="16"/>
          <w:szCs w:val="16"/>
          <w:i w:val="1"/>
          <w:iCs w:val="1"/>
          <w:color w:val="auto"/>
        </w:rPr>
        <w:t>NEA 17 LLC</w:t>
      </w:r>
      <w:r>
        <w:rPr>
          <w:rFonts w:ascii="Arial" w:cs="Arial" w:eastAsia="Arial" w:hAnsi="Arial"/>
          <w:sz w:val="16"/>
          <w:szCs w:val="16"/>
          <w:color w:val="auto"/>
        </w:rPr>
        <w:t xml:space="preserve"> and, together with NEA Partners 17, the </w:t>
      </w:r>
      <w:r>
        <w:rPr>
          <w:rFonts w:ascii="Arial" w:cs="Arial" w:eastAsia="Arial" w:hAnsi="Arial"/>
          <w:sz w:val="16"/>
          <w:szCs w:val="16"/>
          <w:i w:val="1"/>
          <w:iCs w:val="1"/>
          <w:color w:val="auto"/>
        </w:rPr>
        <w:t>Control Entities</w:t>
      </w:r>
      <w:r>
        <w:rPr>
          <w:rFonts w:ascii="Arial" w:cs="Arial" w:eastAsia="Arial" w:hAnsi="Arial"/>
          <w:sz w:val="16"/>
          <w:szCs w:val="16"/>
          <w:color w:val="auto"/>
        </w:rPr>
        <w:t xml:space="preserve">), which is the sole general partner of NEA Partners 17. The Managing Members of NEA 17 LLC are Forest Baskett, Ali Behbahani, Carmen Chang, Anthony A. Florence, Jr., Liza Landsman, Mohamad H. Makhzoumi, Joshua Makower, Edward T. Mathers, Scott D. Sandell, Peter W. Sonsini, Paul Walker and Rick Yang (together, the </w:t>
      </w:r>
      <w:r>
        <w:rPr>
          <w:rFonts w:ascii="Arial" w:cs="Arial" w:eastAsia="Arial" w:hAnsi="Arial"/>
          <w:sz w:val="16"/>
          <w:szCs w:val="16"/>
          <w:i w:val="1"/>
          <w:iCs w:val="1"/>
          <w:color w:val="auto"/>
        </w:rPr>
        <w:t>Managers</w:t>
      </w:r>
      <w:r>
        <w:rPr>
          <w:rFonts w:ascii="Arial" w:cs="Arial" w:eastAsia="Arial" w:hAnsi="Arial"/>
          <w:sz w:val="16"/>
          <w:szCs w:val="16"/>
          <w:color w:val="auto"/>
        </w:rPr>
        <w:t xml:space="preserve">). GEO is the record owner of the shares identified herein (the </w:t>
      </w:r>
      <w:r>
        <w:rPr>
          <w:rFonts w:ascii="Arial" w:cs="Arial" w:eastAsia="Arial" w:hAnsi="Arial"/>
          <w:sz w:val="16"/>
          <w:szCs w:val="16"/>
          <w:i w:val="1"/>
          <w:iCs w:val="1"/>
          <w:color w:val="auto"/>
        </w:rPr>
        <w:t>GEO Shares</w:t>
      </w:r>
      <w:r>
        <w:rPr>
          <w:rFonts w:ascii="Arial" w:cs="Arial" w:eastAsia="Arial" w:hAnsi="Arial"/>
          <w:sz w:val="16"/>
          <w:szCs w:val="16"/>
          <w:color w:val="auto"/>
        </w:rPr>
        <w:t>). As the sole member of GEO, NEA 17 may be deemed to own beneficially the GEO Shares. As the general partner of NEA 17, NEA Partners 17 may be deemed to own beneficially the GEO Shares. As the sole general partner of NEA Partners 17, NEA 17 LLC may be deemed to own beneficially the GEO Shares. As members of NEA 17 LLC, each of the Managers may be deemed to own beneficially the GEO Shares. Each of the aforementioned reporting persons disclaims beneficial ownership of the GEO Shares other than those shares which such person owns of record. The principal business address for GEO 10 is 1954 Greenspring Drive, Suite 600, Timonium, MD 21093.</w:t>
      </w:r>
    </w:p>
    <w:p>
      <w:pPr>
        <w:spacing w:after="0" w:line="180" w:lineRule="exact"/>
        <w:rPr>
          <w:rFonts w:ascii="Arial" w:cs="Arial" w:eastAsia="Arial" w:hAnsi="Arial"/>
          <w:sz w:val="16"/>
          <w:szCs w:val="16"/>
          <w:color w:val="auto"/>
        </w:rPr>
      </w:pPr>
    </w:p>
    <w:p>
      <w:pPr>
        <w:jc w:val="both"/>
        <w:ind w:left="46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upon the Company’s records through July 23, 2021. Entities associated with Venrock that hold the securities listed herein include Venrock Healthcare Capital Partners II, L.P.; VHCP Co-Investment Holdings II, LLC and Venrock Healthcare Capital Partners EG, L.P. VHCP Management II, LLC (</w:t>
      </w:r>
      <w:r>
        <w:rPr>
          <w:rFonts w:ascii="Arial" w:cs="Arial" w:eastAsia="Arial" w:hAnsi="Arial"/>
          <w:sz w:val="18"/>
          <w:szCs w:val="18"/>
          <w:i w:val="1"/>
          <w:iCs w:val="1"/>
          <w:color w:val="auto"/>
        </w:rPr>
        <w:t>VHCPM</w:t>
      </w:r>
      <w:r>
        <w:rPr>
          <w:rFonts w:ascii="Arial" w:cs="Arial" w:eastAsia="Arial" w:hAnsi="Arial"/>
          <w:sz w:val="18"/>
          <w:szCs w:val="18"/>
          <w:color w:val="auto"/>
        </w:rPr>
        <w:t>) is the sole general partner of Venrock Healthcare Capital Partners II, L.P. and the sole manager of VHCP Co Investment Holdings II, LLC. VHCP Management EG, LLC (</w:t>
      </w:r>
      <w:r>
        <w:rPr>
          <w:rFonts w:ascii="Arial" w:cs="Arial" w:eastAsia="Arial" w:hAnsi="Arial"/>
          <w:sz w:val="18"/>
          <w:szCs w:val="18"/>
          <w:i w:val="1"/>
          <w:iCs w:val="1"/>
          <w:color w:val="auto"/>
        </w:rPr>
        <w:t>VHCPEG</w:t>
      </w:r>
      <w:r>
        <w:rPr>
          <w:rFonts w:ascii="Arial" w:cs="Arial" w:eastAsia="Arial" w:hAnsi="Arial"/>
          <w:sz w:val="18"/>
          <w:szCs w:val="18"/>
          <w:color w:val="auto"/>
        </w:rPr>
        <w:t>) is the sole general partner of Venrock Healthcare Capital Partners EG, L.P. Dr. Bong Koh and Nimish Shah are the voting members of VHCPM and VHCPEG. The address of each of the entities and individuals identified in this footnote is c/o Venrock, 7 Bryant Park, 23rd Floor, New York, NY 10018.</w:t>
      </w:r>
    </w:p>
    <w:p>
      <w:pPr>
        <w:spacing w:after="0" w:line="197"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upon Schedule 13F filed by Acuta Capital Partners, LLC (</w:t>
      </w:r>
      <w:r>
        <w:rPr>
          <w:rFonts w:ascii="Arial" w:cs="Arial" w:eastAsia="Arial" w:hAnsi="Arial"/>
          <w:sz w:val="18"/>
          <w:szCs w:val="18"/>
          <w:i w:val="1"/>
          <w:iCs w:val="1"/>
          <w:color w:val="auto"/>
        </w:rPr>
        <w:t>Acuta</w:t>
      </w:r>
      <w:r>
        <w:rPr>
          <w:rFonts w:ascii="Arial" w:cs="Arial" w:eastAsia="Arial" w:hAnsi="Arial"/>
          <w:sz w:val="18"/>
          <w:szCs w:val="18"/>
          <w:color w:val="auto"/>
        </w:rPr>
        <w:t>) on May 17, 2021. Anupam Dalal is the Chief Investment Officer and Manfred Yu is the Manager of Acuta. Both Mr. Dalal and Mr. Yu have voting and investment authority over all of the shares held by each of Acuta, and disclaim beneficial ownership except to the extent of their indirect pecuniary interests therein. The business address for Acuta is 1301 Shoreway Road, Suite 350, Belmont, California 94002.</w:t>
      </w:r>
    </w:p>
    <w:p>
      <w:pPr>
        <w:spacing w:after="0" w:line="196" w:lineRule="exact"/>
        <w:rPr>
          <w:rFonts w:ascii="Arial" w:cs="Arial" w:eastAsia="Arial" w:hAnsi="Arial"/>
          <w:sz w:val="18"/>
          <w:szCs w:val="18"/>
          <w:color w:val="auto"/>
        </w:rPr>
      </w:pPr>
    </w:p>
    <w:p>
      <w:pPr>
        <w:jc w:val="both"/>
        <w:ind w:left="460" w:hanging="452"/>
        <w:spacing w:after="0" w:line="290"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upon Schedule 13F filed by Franklin Resources Inc. on May 17, 2021. These shares are beneficially owned by one or more open - or closed - end investment companies or other managed accounts that are investment management clients of investment managers that are direct and indirect subsidiaries (</w:t>
      </w:r>
      <w:r>
        <w:rPr>
          <w:rFonts w:ascii="Arial" w:cs="Arial" w:eastAsia="Arial" w:hAnsi="Arial"/>
          <w:sz w:val="16"/>
          <w:szCs w:val="16"/>
          <w:i w:val="1"/>
          <w:iCs w:val="1"/>
          <w:color w:val="auto"/>
        </w:rPr>
        <w:t>Investment Management Subsidiaries</w:t>
      </w:r>
      <w:r>
        <w:rPr>
          <w:rFonts w:ascii="Arial" w:cs="Arial" w:eastAsia="Arial" w:hAnsi="Arial"/>
          <w:sz w:val="16"/>
          <w:szCs w:val="16"/>
          <w:color w:val="auto"/>
        </w:rPr>
        <w:t>) of Franklin Resources, Inc. (</w:t>
      </w:r>
      <w:r>
        <w:rPr>
          <w:rFonts w:ascii="Arial" w:cs="Arial" w:eastAsia="Arial" w:hAnsi="Arial"/>
          <w:sz w:val="16"/>
          <w:szCs w:val="16"/>
          <w:i w:val="1"/>
          <w:iCs w:val="1"/>
          <w:color w:val="auto"/>
        </w:rPr>
        <w:t>FRI</w:t>
      </w:r>
      <w:r>
        <w:rPr>
          <w:rFonts w:ascii="Arial" w:cs="Arial" w:eastAsia="Arial" w:hAnsi="Arial"/>
          <w:sz w:val="16"/>
          <w:szCs w:val="16"/>
          <w:color w:val="auto"/>
        </w:rPr>
        <w:t>). Charles B. Johnson and Rupert H. Johnson, Jr. (</w:t>
      </w:r>
      <w:r>
        <w:rPr>
          <w:rFonts w:ascii="Arial" w:cs="Arial" w:eastAsia="Arial" w:hAnsi="Arial"/>
          <w:sz w:val="16"/>
          <w:szCs w:val="16"/>
          <w:i w:val="1"/>
          <w:iCs w:val="1"/>
          <w:color w:val="auto"/>
        </w:rPr>
        <w:t>Principal</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Shareholders</w:t>
      </w:r>
      <w:r>
        <w:rPr>
          <w:rFonts w:ascii="Arial" w:cs="Arial" w:eastAsia="Arial" w:hAnsi="Arial"/>
          <w:sz w:val="16"/>
          <w:szCs w:val="16"/>
          <w:color w:val="auto"/>
        </w:rPr>
        <w:t>) each own in excess of 10% of the outstanding common stock of FRI and are the principal stockholders of FRI. FRI, the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and each of the Investment Management Subsidiaries disclaim any pecuniary interest in any of the shares. Franklin Advisors, Inc. has sole voting and sole dispositive power with respect to the shares. The principal address of Franklin Advisors, Inc., FRI and the Principal Shareholders is One Franklin Parkway, San Mateo, California 94403.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As of July 23, 2021, options to purchase a total of 15,288,639 registered shares of our common stock were outstanding at a weighted average exercise price of $1.43 per share, of which options to purchase 11,265,935 shares of our common stock were vested and exercisable at a weighted average exercise price of $1.29 per share and options to purchase 4,022,704 shares were unvested and not exercisable at a weighted average exercise price of $1.82 per share. These options were issued under our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xml:space="preserve">) and under our Amended and Restated 2016 Stock Incentive Plan, formerly titled the 2008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as described below. At July 23, 2021, an additional 1,017,657 shares remained available for future equity grants under our 2019 Plan, and no new awards are available for grant under our 2016 Plan.</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summarizes awards outstanding under the 2016 Plan and the 2019 Plan, as well as shares available for issuance under 2019 Plan and our 2019 Employee Stock Purchase Plan (</w:t>
      </w:r>
      <w:r>
        <w:rPr>
          <w:rFonts w:ascii="Arial" w:cs="Arial" w:eastAsia="Arial" w:hAnsi="Arial"/>
          <w:sz w:val="18"/>
          <w:szCs w:val="18"/>
          <w:i w:val="1"/>
          <w:iCs w:val="1"/>
          <w:color w:val="auto"/>
        </w:rPr>
        <w:t>2019 ESPP</w:t>
      </w:r>
      <w:r>
        <w:rPr>
          <w:rFonts w:ascii="Arial" w:cs="Arial" w:eastAsia="Arial" w:hAnsi="Arial"/>
          <w:sz w:val="18"/>
          <w:szCs w:val="18"/>
          <w:color w:val="auto"/>
        </w:rPr>
        <w:t>) as of March 31, 2021. The following information does not reflect issuances or exercises under the 2016 Plan, 2019 Plan or the 2019 ESPP subsequent to March 31,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7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7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7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available for</w:t>
            </w:r>
          </w:p>
        </w:tc>
      </w:tr>
      <w:tr>
        <w:trPr>
          <w:trHeight w:val="216"/>
        </w:trPr>
        <w:tc>
          <w:tcPr>
            <w:tcW w:w="73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future</w:t>
            </w:r>
          </w:p>
        </w:tc>
      </w:tr>
      <w:tr>
        <w:trPr>
          <w:trHeight w:val="216"/>
        </w:trPr>
        <w:tc>
          <w:tcPr>
            <w:tcW w:w="73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issuance</w:t>
            </w:r>
          </w:p>
        </w:tc>
      </w:tr>
      <w:tr>
        <w:trPr>
          <w:trHeight w:val="216"/>
        </w:trPr>
        <w:tc>
          <w:tcPr>
            <w:tcW w:w="73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to be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average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under equity</w:t>
            </w:r>
          </w:p>
        </w:tc>
      </w:tr>
      <w:tr>
        <w:trPr>
          <w:trHeight w:val="216"/>
        </w:trPr>
        <w:tc>
          <w:tcPr>
            <w:tcW w:w="73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upon</w:t>
            </w:r>
          </w:p>
        </w:tc>
        <w:tc>
          <w:tcPr>
            <w:tcW w:w="12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exercise price</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compensation</w:t>
            </w:r>
          </w:p>
        </w:tc>
      </w:tr>
      <w:tr>
        <w:trPr>
          <w:trHeight w:val="216"/>
        </w:trPr>
        <w:tc>
          <w:tcPr>
            <w:tcW w:w="73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exercise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of</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73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outstanding</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(excluding</w:t>
            </w:r>
          </w:p>
        </w:tc>
      </w:tr>
      <w:tr>
        <w:trPr>
          <w:trHeight w:val="216"/>
        </w:trPr>
        <w:tc>
          <w:tcPr>
            <w:tcW w:w="73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options,</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73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warrants</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reflected in</w:t>
            </w:r>
          </w:p>
        </w:tc>
      </w:tr>
      <w:tr>
        <w:trPr>
          <w:trHeight w:val="216"/>
        </w:trPr>
        <w:tc>
          <w:tcPr>
            <w:tcW w:w="73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rights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and rights</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column (a))</w:t>
            </w:r>
          </w:p>
        </w:tc>
      </w:tr>
      <w:tr>
        <w:trPr>
          <w:trHeight w:val="237"/>
        </w:trPr>
        <w:tc>
          <w:tcPr>
            <w:tcW w:w="734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(b)</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1"/>
              </w:rPr>
              <w:t>(c)</w:t>
            </w:r>
          </w:p>
        </w:tc>
      </w:tr>
      <w:tr>
        <w:trPr>
          <w:trHeight w:val="242"/>
        </w:trPr>
        <w:tc>
          <w:tcPr>
            <w:tcW w:w="734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7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2019 Plan and 2016 Plan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14,638,088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1,843,158</w:t>
            </w:r>
          </w:p>
        </w:tc>
      </w:tr>
      <w:tr>
        <w:trPr>
          <w:trHeight w:val="216"/>
        </w:trPr>
        <w:tc>
          <w:tcPr>
            <w:tcW w:w="7340" w:type="dxa"/>
            <w:vAlign w:val="bottom"/>
          </w:tcPr>
          <w:p>
            <w:pPr>
              <w:ind w:left="500"/>
              <w:spacing w:after="0"/>
              <w:rPr>
                <w:sz w:val="20"/>
                <w:szCs w:val="20"/>
                <w:color w:val="auto"/>
              </w:rPr>
            </w:pPr>
            <w:r>
              <w:rPr>
                <w:rFonts w:ascii="Arial" w:cs="Arial" w:eastAsia="Arial" w:hAnsi="Arial"/>
                <w:sz w:val="18"/>
                <w:szCs w:val="18"/>
                <w:color w:val="auto"/>
              </w:rPr>
              <w:t>2019 ESPP</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941,875</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73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14,638,088</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2,785,033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Our Board unanimously approved the Company’s Amended and Restated 2016 Stock Incentive Plan, formerly titled the 2008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xml:space="preserve">), on July 26, 2016, and the 2016 Plan was approved by our stockholders at our 2016 Annual Meeting of Stockholders on September 26, 2016, and further 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could grant incentive stock options only to employees of the Company or any parent or subsidiary of the Company. Awards other than incentive stock options could be granted to employees, directors and consultants. A total of 10.0 million shares of our common stock were authorized for issuance under the 2016 Plan, of which options to purchase approximately 7.8 million shares remain outstanding at March 31, 2021. Upon the adoption of our 2019 Plan, no further grants were permissible under the 2016 Plan and approximately 1.4 million authorized shares were transferred to the 2019 Plan and became issuable therefrom. All options granted from the 2016 Plan remain operative under the terms of the respective grants.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Description of the 2019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the description of the 2019 Plan as proposed for amendment and restatement in Proposal No.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Board approved the VistaGen Therapeutics, Inc. 2019 Employee Stock Purchase Plan) on June 13, 2019. Our stockholders approved the 2019 ESPP at our annual meeting on September 5, 2019. The principal terms of our 2019 ESPP are summarized below.</w:t>
      </w:r>
    </w:p>
    <w:p>
      <w:pPr>
        <w:spacing w:after="0" w:line="18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1,000,000 shares of our common stock may be purchased under the 2019 ESPP.</w:t>
      </w:r>
    </w:p>
    <w:p>
      <w:pPr>
        <w:spacing w:after="0" w:line="1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2019 ESPP is generally expected to operate in consecutive semi-annual periods referred to as “option periods.” The first option period commenced on January 1, 2020 and ended on the last trading day in the semi-annual period ending June 30, 2020, with successive option periods beginning on the first day of January and July and to terminate on the last trading day of June and December, respectively. Option periods may not last longer than the maximum period permitted under Section 423 of the Code, which generally limits the length of such offerings to either 5 years or 27 months, depending on the terms of the offering. Generally, all full-time employees of the Company and its subsidiaries are eligible to participate in an option period.</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On the first day of each option period (the </w:t>
      </w:r>
      <w:r>
        <w:rPr>
          <w:rFonts w:ascii="Arial" w:cs="Arial" w:eastAsia="Arial" w:hAnsi="Arial"/>
          <w:sz w:val="18"/>
          <w:szCs w:val="18"/>
          <w:i w:val="1"/>
          <w:iCs w:val="1"/>
          <w:color w:val="auto"/>
        </w:rPr>
        <w:t>Grant Date</w:t>
      </w:r>
      <w:r>
        <w:rPr>
          <w:rFonts w:ascii="Arial" w:cs="Arial" w:eastAsia="Arial" w:hAnsi="Arial"/>
          <w:sz w:val="18"/>
          <w:szCs w:val="18"/>
          <w:color w:val="auto"/>
        </w:rPr>
        <w:t>), each participating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in his or her enrollment package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Each participant’s payroll deductions under the 2019 ESPP are credited to a liability account in his or her name under the 2019 ESPP. The aggregate liability for participant payroll deductions at March 31, 2021 was $18,600.</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Each option granted under the 2019 ESPP is automatically exercised on the last day of the respective option period (referred to as the </w:t>
      </w:r>
      <w:r>
        <w:rPr>
          <w:rFonts w:ascii="Arial" w:cs="Arial" w:eastAsia="Arial" w:hAnsi="Arial"/>
          <w:sz w:val="16"/>
          <w:szCs w:val="16"/>
          <w:i w:val="1"/>
          <w:iCs w:val="1"/>
          <w:color w:val="auto"/>
        </w:rPr>
        <w:t>Exercise Date</w:t>
      </w:r>
      <w:r>
        <w:rPr>
          <w:rFonts w:ascii="Arial" w:cs="Arial" w:eastAsia="Arial" w:hAnsi="Arial"/>
          <w:sz w:val="16"/>
          <w:szCs w:val="16"/>
          <w:color w:val="auto"/>
        </w:rPr>
        <w:t>). The number of shares acquired by a participant upon exercise of his or her option is determined by dividing the participant’s 2019 ESPP account balance as of the Exercise Date for the option period by the purchase price of the option. The purchase price for each option is generally equal to the lesser of (i) 85% of the fair market value of a share of our common stock on the applicable Grant Date, or (ii) 85% of the fair market value of a share of our common stock on the applicable Exercise Date. A participant’s 2019 ESPP account balance is reduced upon exercise of his or her option by the amount used to pay the purchase price of the shares acquired by the participant. Following exercise of the option, any excess amount in a participant’s account is refunded following the Exercise Date. No interest is paid to any participant under the 2019 ESPP.</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Participation in the 2019 ESPP is subject to the following limits:</w:t>
      </w:r>
    </w:p>
    <w:p>
      <w:pPr>
        <w:spacing w:after="0" w:line="225" w:lineRule="exact"/>
        <w:rPr>
          <w:sz w:val="20"/>
          <w:szCs w:val="20"/>
          <w:color w:val="auto"/>
        </w:rPr>
      </w:pPr>
    </w:p>
    <w:p>
      <w:pPr>
        <w:ind w:left="580" w:right="20" w:hanging="343"/>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participant cannot contribute less than 1% or more than 15% of his or her compensation to the purchase of stock under the 2019 ESPP in any one payroll period;</w:t>
      </w:r>
    </w:p>
    <w:p>
      <w:pPr>
        <w:spacing w:after="0" w:line="185" w:lineRule="exact"/>
        <w:rPr>
          <w:rFonts w:ascii="Arial" w:cs="Arial" w:eastAsia="Arial" w:hAnsi="Arial"/>
          <w:sz w:val="18"/>
          <w:szCs w:val="18"/>
          <w:color w:val="auto"/>
        </w:rPr>
      </w:pPr>
    </w:p>
    <w:p>
      <w:pPr>
        <w:jc w:val="both"/>
        <w:ind w:left="580" w:hanging="343"/>
        <w:spacing w:after="0" w:line="25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participant cannot purchase any more than 5,000 shares of common stock during an offering period, or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93" w:lineRule="exact"/>
        <w:rPr>
          <w:rFonts w:ascii="Arial" w:cs="Arial" w:eastAsia="Arial" w:hAnsi="Arial"/>
          <w:sz w:val="18"/>
          <w:szCs w:val="18"/>
          <w:color w:val="auto"/>
        </w:rPr>
      </w:pPr>
    </w:p>
    <w:p>
      <w:pPr>
        <w:jc w:val="both"/>
        <w:ind w:left="580" w:hanging="343"/>
        <w:spacing w:after="0" w:line="25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one of its subsidiaries or to the extent it would exceed certain other limits under the Code.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The $25,000 annual purchase and the 5% ownership limitations referred to above are required under the Code.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is customary in stock incentive plans of this nature,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20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2019 ESPP became effective on January 1, 2020 and will continue in effect until the earlier of such time as all of the shares of the Company’s common stock subject to the 2019 ESPP have been sold under the 2019 ESPP or December 31, 2030, unless terminated earlier by the Board. At March 31, 2021, two option periods had been completed. Employees purchased an aggregate of 28,125 shares of our common stock at a price of $0.4480 per share in the option period from January 1, 2020 to June 30, 2020, and an aggregate of 30,000 shares of our common stock at a price of $0.4521 per share in the option period from July 1, 2020 to December 31, 2020, under the 2019 ESPP. The third option period under the 2019 ESPP was completed on June 30, 2021, in which employees purchased an aggregate of 16,251 shares of our common stock at a price of $1.9465 per share.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our fiscal years ended March 31, 2021 and 2020, we engaged a consulting firm headed by one of the then-independent members of our Board to provide various market research studies, commercial analyses and commercial advisory projects for certain of our CNS pipeline candidates pursuant to which we recorded expense of $193,000 and $108,400 for the fiscal years ended March 31, 2021 and 2020, respectively. We recorded no accounts payable or accrued expenses related to such services at March 31, 2021 or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Section 16(a) of the Exchange Act requires our officers, directors and persons who beneficially own more than ten percent of our common stock (collectively, the </w:t>
      </w:r>
      <w:r>
        <w:rPr>
          <w:rFonts w:ascii="Arial" w:cs="Arial" w:eastAsia="Arial" w:hAnsi="Arial"/>
          <w:sz w:val="16"/>
          <w:szCs w:val="16"/>
          <w:i w:val="1"/>
          <w:iCs w:val="1"/>
          <w:color w:val="auto"/>
        </w:rPr>
        <w:t>Reporting Persons</w:t>
      </w:r>
      <w:r>
        <w:rPr>
          <w:rFonts w:ascii="Arial" w:cs="Arial" w:eastAsia="Arial" w:hAnsi="Arial"/>
          <w:sz w:val="16"/>
          <w:szCs w:val="16"/>
          <w:color w:val="auto"/>
        </w:rPr>
        <w:t>) to file reports of ownership on Form 3 and changes in ownership on Form 4 or Form 5 with the SEC. The Reporting Persons are also required by SEC rules to furnish us with copies of all reports that they file pursuant to Section 16(a). To the Company’s knowledge, based solely on our review of the copies of these reports furnished to the Company and written representations that no other reports were required during the fiscal year ended March 31, 2021, all Reporting Persons complied with all applicable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 w:name="page45"/>
    <w:bookmarkEnd w:id="44"/>
    <w:p>
      <w:pPr>
        <w:ind w:left="438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2022 Annual Meeting</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Stockholder proposals that are intended to be presented by stockholders at the Company’s 2022 Annual Meeting of Stockholders must be received by the Secretary of the Company between June 7, 2022 and July 7, 2022 in order that they may be included, if appropriate, in the Company’s proxy statement and form of proxy relating to that meeting. A stockholder proposal not included in the Company’s proxy statement for the 2021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2022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within 10 days after the Company’s public announcement.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Notice, mailed to stockholders on or about July 29, 2021, contains instructions on how to access the Company’s Annual Report on SEC Form 10-K for our fiscal year ended March 31, 2021. The Annual Report, which includes audited financial statements, does not form any part of the material for the solicitation of proxies.</w:t>
      </w:r>
    </w:p>
    <w:p>
      <w:pPr>
        <w:spacing w:after="0" w:line="194"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 Board invites you to attend the Annual Meeting in person. Whether or not you expect to attend the Annual Meeting in person, please submit your vote by Internet, telephone or postal mail as promptly as possible so that your shares will be represented at the Annual Meeting.</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REGARDLESS OF WHETHER YOU PLAN TO ATTEND THE ANNUAL MEETING IN PERSON, PLEASE READ THE ACCOMPANYING PROXY STATEMENT AND THEN VOTE BY INTERNET, TELEPHONE OR POSTAL MAIL AS PROMPTLY AS POSSIBLE. VOTING PROMPTLY WILL SAVE US ADDITIONAL EXPENSE IN SOLICITING PROXIES AND WILL ENSURE THAT YOUR SHARES ARE REPRESENTED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2019 OMNIBUS EQUITY INCENTIVE PLAN</w:t>
      </w:r>
    </w:p>
    <w:p>
      <w:pPr>
        <w:spacing w:after="0" w:line="219"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VistaGen Therapeutics, Inc., a Nevada corporation, sets forth herein the terms of its Amended and Restated 2019 Omnibus Equity Incentive Plan, as follows:</w:t>
      </w:r>
    </w:p>
    <w:p>
      <w:pPr>
        <w:spacing w:after="0" w:line="180"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Plan is intended to enhance the Company’s and its Affiliates’ (as defined herein) ability to attract and retain highly qualified officers, Non-Employee Directors (as defined herein), key employees, consultants and advisors, and to motivate such officers, Non-Employee Directors, key employees, consultants and advisors to serve the Company and its Affiliates and to expend maximum effort to improve the business operations, prospects and results of the Company, by providing to such persons an opportunity to acquire or increase a direct proprietary interest in the operations and future success of the Company. To this end, the Plan provides for the grant of stock options, stock appreciation rights, restricted stock, restricted stock units, other stock-based awards and cash awards. Any of these awards may, but need not, be made as performance incentives to reward attainment of performance goals in accordance with the terms hereof. Stock options granted under the Plan may be non-qualified stock options or incentive stock options, as provided herein. On the Effective Date, the Plan replaces, and no further awards shall be made under, the Predecessor Plan (as defined herein).</w:t>
      </w:r>
    </w:p>
    <w:p>
      <w:pPr>
        <w:spacing w:after="0" w:line="17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purposes of interpreting the Plan and related documents (including Award Agreements), the following definitions shall apply:</w:t>
      </w:r>
    </w:p>
    <w:p>
      <w:pPr>
        <w:spacing w:after="0" w:line="219" w:lineRule="exact"/>
        <w:rPr>
          <w:sz w:val="20"/>
          <w:szCs w:val="20"/>
          <w:color w:val="auto"/>
        </w:rPr>
      </w:pPr>
    </w:p>
    <w:p>
      <w:pPr>
        <w:jc w:val="both"/>
        <w:ind w:left="500" w:right="20"/>
        <w:spacing w:after="0" w:line="27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company or other trade or business that “controls,” is “controlled by” or is “under common control”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meaning of Rule 405 of Regulation C under the Securities Act, including, without limitation, any Subsidiary.</w:t>
      </w:r>
    </w:p>
    <w:p>
      <w:pPr>
        <w:spacing w:after="0" w:line="174" w:lineRule="exact"/>
        <w:rPr>
          <w:sz w:val="20"/>
          <w:szCs w:val="20"/>
          <w:color w:val="auto"/>
        </w:rPr>
      </w:pPr>
    </w:p>
    <w:p>
      <w:pPr>
        <w:jc w:val="both"/>
        <w:ind w:left="500"/>
        <w:spacing w:after="0" w:line="275"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grant of an Option, Stock Appreciation Right, Restricted Stock, Restricted Stock Unit, or Other Stock-based Award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74" w:lineRule="exact"/>
        <w:rPr>
          <w:sz w:val="20"/>
          <w:szCs w:val="20"/>
          <w:color w:val="auto"/>
        </w:rPr>
      </w:pPr>
    </w:p>
    <w:p>
      <w:pPr>
        <w:jc w:val="both"/>
        <w:ind w:left="500"/>
        <w:spacing w:after="0" w:line="275"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written agreement between the Company and a Grantee, or notice from the Company or an Affiliate to a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that evidences and sets forth the terms and conditions of an Award.</w:t>
      </w:r>
    </w:p>
    <w:p>
      <w:pPr>
        <w:spacing w:after="0" w:line="174"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means “Beneficial Owner” as defined in Rule 13d-3 and Rule 13d-5 under the Exchange Act; except that, in calculating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 “Beneficial Ownership” has a corresponding meaning.</w:t>
      </w:r>
    </w:p>
    <w:p>
      <w:pPr>
        <w:spacing w:after="0" w:line="19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xml:space="preserve">” shall have the meaning set forth in </w:t>
      </w:r>
      <w:r>
        <w:rPr>
          <w:rFonts w:ascii="Arial" w:cs="Arial" w:eastAsia="Arial" w:hAnsi="Arial"/>
          <w:sz w:val="16"/>
          <w:szCs w:val="16"/>
          <w:b w:val="1"/>
          <w:bCs w:val="1"/>
          <w:color w:val="auto"/>
        </w:rPr>
        <w:t>Section 14.3.2</w:t>
      </w:r>
      <w:r>
        <w:rPr>
          <w:rFonts w:ascii="Arial" w:cs="Arial" w:eastAsia="Arial" w:hAnsi="Arial"/>
          <w:sz w:val="16"/>
          <w:szCs w:val="16"/>
          <w:color w:val="auto"/>
        </w:rPr>
        <w:t>.</w:t>
      </w:r>
    </w:p>
    <w:p>
      <w:pPr>
        <w:spacing w:after="0" w:line="225" w:lineRule="exact"/>
        <w:rPr>
          <w:sz w:val="20"/>
          <w:szCs w:val="20"/>
          <w:color w:val="auto"/>
        </w:rPr>
      </w:pPr>
    </w:p>
    <w:p>
      <w:pPr>
        <w:jc w:val="both"/>
        <w:ind w:left="500"/>
        <w:spacing w:after="0" w:line="339"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now in effect or as hereafter amended. References to the Code shall include the valid and</w:t>
      </w:r>
      <w:r>
        <w:rPr>
          <w:rFonts w:ascii="Arial" w:cs="Arial" w:eastAsia="Arial" w:hAnsi="Arial"/>
          <w:sz w:val="16"/>
          <w:szCs w:val="16"/>
          <w:b w:val="1"/>
          <w:bCs w:val="1"/>
          <w:color w:val="auto"/>
        </w:rPr>
        <w:t xml:space="preserve"> </w:t>
      </w:r>
      <w:r>
        <w:rPr>
          <w:rFonts w:ascii="Arial" w:cs="Arial" w:eastAsia="Arial" w:hAnsi="Arial"/>
          <w:sz w:val="16"/>
          <w:szCs w:val="16"/>
          <w:color w:val="auto"/>
        </w:rPr>
        <w:t>binding governmental regulations, court decisions and other regulatory and judicial authority issued or rendered thereunder.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54"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or any committee or other person or persons designated by the Board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 the Plan. The Board will cause the Committee to satisfy the applicable requirements of any stock exchange on which the Common Stock may then be listed. For purposes of Awards to Grantees who are subject to Section 16 of the Exchange Act, Committee means all of the members of the Committee who are “non-employee directors” within the meaning of Rule 16b-3 adopted under the Exchange Act. All references in the Plan to the Board shall mean such Committee or the Board. Notwithstanding the foregoing, any action taken by the Committee shall be valid and effective, whether or not members of the Committee at the time of such action are later determined not to have satisfied the requirements for membership set forth in this Section 2.8.</w:t>
      </w:r>
    </w:p>
    <w:p>
      <w:pPr>
        <w:spacing w:after="0" w:line="19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Company</w:t>
      </w:r>
      <w:r>
        <w:rPr>
          <w:rFonts w:ascii="Arial" w:cs="Arial" w:eastAsia="Arial" w:hAnsi="Arial"/>
          <w:sz w:val="15"/>
          <w:szCs w:val="15"/>
          <w:color w:val="auto"/>
        </w:rPr>
        <w:t>” means VistaGen Therapeutics, Inc., a Nevada corporation, or any successor corporation.</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Common Stock</w:t>
      </w:r>
      <w:r>
        <w:rPr>
          <w:rFonts w:ascii="Arial" w:cs="Arial" w:eastAsia="Arial" w:hAnsi="Arial"/>
          <w:sz w:val="15"/>
          <w:szCs w:val="15"/>
          <w:color w:val="auto"/>
        </w:rPr>
        <w:t>” or “</w:t>
      </w:r>
      <w:r>
        <w:rPr>
          <w:rFonts w:ascii="Arial" w:cs="Arial" w:eastAsia="Arial" w:hAnsi="Arial"/>
          <w:sz w:val="15"/>
          <w:szCs w:val="15"/>
          <w:i w:val="1"/>
          <w:iCs w:val="1"/>
          <w:color w:val="auto"/>
        </w:rPr>
        <w:t>Stock</w:t>
      </w:r>
      <w:r>
        <w:rPr>
          <w:rFonts w:ascii="Arial" w:cs="Arial" w:eastAsia="Arial" w:hAnsi="Arial"/>
          <w:sz w:val="15"/>
          <w:szCs w:val="15"/>
          <w:color w:val="auto"/>
        </w:rPr>
        <w:t>” means a share of common stock of the Company, par value $0.001 per share.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means a reorganization, merger, statutory share exchange, consolidation, sale of all or substantially all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the acquisition of assets or stock of another entity by the Company, or other corporate transaction involving the Company or any of its Subsidiaries.</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Effective Date</w:t>
      </w:r>
      <w:r>
        <w:rPr>
          <w:rFonts w:ascii="Arial" w:cs="Arial" w:eastAsia="Arial" w:hAnsi="Arial"/>
          <w:sz w:val="15"/>
          <w:szCs w:val="15"/>
          <w:color w:val="auto"/>
        </w:rPr>
        <w:t>” means [●], 2021, the date the Plan was approved by the Company’s stockholders.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Exchange Act</w:t>
      </w:r>
      <w:r>
        <w:rPr>
          <w:rFonts w:ascii="Arial" w:cs="Arial" w:eastAsia="Arial" w:hAnsi="Arial"/>
          <w:sz w:val="15"/>
          <w:szCs w:val="15"/>
          <w:color w:val="auto"/>
        </w:rPr>
        <w:t>” means the Securities Exchange Act of 1934, as now in effect or as hereafter amended.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of a share of Common Stock as of a particular date means (i) if the Common Stock is listed on a national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the closing or last price of the Common Stock on the composite tape or other comparable reporting system for the applicable date, or if the applicable date is not a trading day, the trading day immediately preceding the applicable date, or (ii) if the shares of Common Stock are not then listed on a national securities exchange, the closing or last price of the Common Stock quoted by an established quotation service for over-the-counter securities, or (iii) if the shares of Common Stock are not then listed on a national securities exchange or quoted by an established quotation service for over-the-counter securities, or the value of such shares is not otherwise determinable, such value as determined by the Board in good faith in its sole discretion.</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i w:val="1"/>
          <w:iCs w:val="1"/>
          <w:color w:val="auto"/>
        </w:rPr>
        <w:t>Family Member</w:t>
      </w:r>
      <w:r>
        <w:rPr>
          <w:rFonts w:ascii="Arial" w:cs="Arial" w:eastAsia="Arial" w:hAnsi="Arial"/>
          <w:sz w:val="18"/>
          <w:szCs w:val="18"/>
          <w:color w:val="auto"/>
        </w:rPr>
        <w:t>” means a person who is a spouse, former spouse, child, stepchild, grandchild, parent, stepparent, grandparent, niece, nephew,</w:t>
      </w:r>
      <w:r>
        <w:rPr>
          <w:rFonts w:ascii="Arial" w:cs="Arial" w:eastAsia="Arial" w:hAnsi="Arial"/>
          <w:sz w:val="18"/>
          <w:szCs w:val="18"/>
          <w:b w:val="1"/>
          <w:bCs w:val="1"/>
          <w:color w:val="auto"/>
        </w:rPr>
        <w:t xml:space="preserve"> </w:t>
      </w:r>
      <w:r>
        <w:rPr>
          <w:rFonts w:ascii="Arial" w:cs="Arial" w:eastAsia="Arial" w:hAnsi="Arial"/>
          <w:sz w:val="18"/>
          <w:szCs w:val="18"/>
          <w:color w:val="auto"/>
        </w:rPr>
        <w:t>mother-in-law, father-in-law, son-in-law, daughter-in-law, brother, sister, brother-in-law, or sister-in-law, including adoptive relationships, of the applicable individual, any person sharing the applicable individual’s household (other than a tenant or employee), a trust in which any one or more of these persons have more than fifty percent of the beneficial interest, a foundation in which any one or more of these persons (or the applicable individual) control the management of assets, and any other entity in which one or more of these persons (or the applicable individual) own more than fifty percent of the voting interests.</w:t>
      </w:r>
    </w:p>
    <w:p>
      <w:pPr>
        <w:sectPr>
          <w:pgSz w:w="11900" w:h="16838" w:orient="portrait"/>
          <w:cols w:equalWidth="0" w:num="1">
            <w:col w:w="10740"/>
          </w:cols>
          <w:pgMar w:left="820" w:top="557" w:right="339" w:bottom="1440" w:gutter="0" w:footer="0" w:header="0"/>
        </w:sectPr>
      </w:pP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as determined by the Board, the latest to occur of (i)</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recipient of an Award first becomes eligible to receive an Award under Board in the Award Agreement.</w:t>
      </w:r>
    </w:p>
    <w:p>
      <w:pPr>
        <w:spacing w:after="0" w:line="18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Grantee</w:t>
      </w:r>
      <w:r>
        <w:rPr>
          <w:rFonts w:ascii="Arial" w:cs="Arial" w:eastAsia="Arial" w:hAnsi="Arial"/>
          <w:sz w:val="15"/>
          <w:szCs w:val="15"/>
          <w:color w:val="auto"/>
        </w:rPr>
        <w:t>” means a person who receives or holds an Award under the Plan.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firstLine="12"/>
        <w:spacing w:after="0" w:line="331" w:lineRule="auto"/>
        <w:rPr>
          <w:sz w:val="20"/>
          <w:szCs w:val="20"/>
          <w:color w:val="auto"/>
        </w:rPr>
      </w:pPr>
      <w:r>
        <w:rPr>
          <w:rFonts w:ascii="Arial" w:cs="Arial" w:eastAsia="Arial" w:hAnsi="Arial"/>
          <w:sz w:val="16"/>
          <w:szCs w:val="16"/>
          <w:color w:val="auto"/>
        </w:rPr>
        <w:t xml:space="preserve">the date as of which the Board approves an Award, (ii) the date on </w:t>
      </w:r>
      <w:r>
        <w:rPr>
          <w:rFonts w:ascii="Arial" w:cs="Arial" w:eastAsia="Arial" w:hAnsi="Arial"/>
          <w:sz w:val="16"/>
          <w:szCs w:val="16"/>
          <w:b w:val="1"/>
          <w:bCs w:val="1"/>
          <w:color w:val="auto"/>
        </w:rPr>
        <w:t xml:space="preserve">Section 6 </w:t>
      </w:r>
      <w:r>
        <w:rPr>
          <w:rFonts w:ascii="Arial" w:cs="Arial" w:eastAsia="Arial" w:hAnsi="Arial"/>
          <w:sz w:val="16"/>
          <w:szCs w:val="16"/>
          <w:color w:val="auto"/>
        </w:rPr>
        <w:t>hereof, or (iii) such other date as may be specified by the</w:t>
      </w:r>
    </w:p>
    <w:p>
      <w:pPr>
        <w:spacing w:after="0" w:line="757" w:lineRule="exact"/>
        <w:rPr>
          <w:sz w:val="20"/>
          <w:szCs w:val="20"/>
          <w:color w:val="auto"/>
        </w:rPr>
      </w:pPr>
    </w:p>
    <w:p>
      <w:pPr>
        <w:sectPr>
          <w:pgSz w:w="11900" w:h="16838" w:orient="portrait"/>
          <w:cols w:equalWidth="0" w:num="2">
            <w:col w:w="5820" w:space="60"/>
            <w:col w:w="4860"/>
          </w:cols>
          <w:pgMar w:left="820" w:top="557" w:right="339" w:bottom="1440" w:gutter="0" w:footer="0" w:header="0"/>
          <w:type w:val="continuous"/>
        </w:sectPr>
      </w:pPr>
    </w:p>
    <w:p>
      <w:pPr>
        <w:spacing w:after="0" w:line="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“incentive stock option” within the meaning of Section 422 of the Code, or the corresponding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subsequently enacted tax statute, as amended from time to time.</w:t>
      </w:r>
    </w:p>
    <w:p>
      <w:pPr>
        <w:spacing w:after="0" w:line="39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57" w:right="339" w:bottom="1440" w:gutter="0" w:footer="0" w:header="0"/>
          <w:type w:val="continuous"/>
        </w:sectPr>
      </w:pPr>
    </w:p>
    <w:bookmarkStart w:id="47" w:name="page48"/>
    <w:bookmarkEnd w:id="47"/>
    <w:p>
      <w:pPr>
        <w:spacing w:after="0"/>
        <w:tabs>
          <w:tab w:leader="none" w:pos="4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 member of the Board who is not an officer or employee of the Company or any Subsidiary.</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an Option that is not an Incentive Stock Option.</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Option</w:t>
      </w:r>
      <w:r>
        <w:rPr>
          <w:rFonts w:ascii="Arial" w:cs="Arial" w:eastAsia="Arial" w:hAnsi="Arial"/>
          <w:sz w:val="15"/>
          <w:szCs w:val="15"/>
          <w:color w:val="auto"/>
        </w:rPr>
        <w:t>” means an option to purchase one or more shares of Stock pursuant to the Plan.</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Option Price</w:t>
      </w:r>
      <w:r>
        <w:rPr>
          <w:rFonts w:ascii="Arial" w:cs="Arial" w:eastAsia="Arial" w:hAnsi="Arial"/>
          <w:sz w:val="15"/>
          <w:szCs w:val="15"/>
          <w:color w:val="auto"/>
        </w:rPr>
        <w:t>” means the exercise price for each share of Stock subject to an Option.</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i w:val="1"/>
          <w:iCs w:val="1"/>
          <w:color w:val="auto"/>
        </w:rPr>
        <w:t>Other Stock-based Awards</w:t>
      </w:r>
      <w:r>
        <w:rPr>
          <w:rFonts w:ascii="Arial" w:cs="Arial" w:eastAsia="Arial" w:hAnsi="Arial"/>
          <w:sz w:val="18"/>
          <w:szCs w:val="18"/>
          <w:color w:val="auto"/>
        </w:rPr>
        <w:t>” means Awards consisting of Stock units, or other Awards, valued in whole or in part by reference to,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Common Stock, other than Options, Stock Appreciation Rights, Restricted Stock, and Restricted Stock Units.</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entity or group within the meaning of Section 13(d)(3) or 14(d)(2) of the Exchange Act.</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Plan</w:t>
      </w:r>
      <w:r>
        <w:rPr>
          <w:rFonts w:ascii="Arial" w:cs="Arial" w:eastAsia="Arial" w:hAnsi="Arial"/>
          <w:sz w:val="15"/>
          <w:szCs w:val="15"/>
          <w:color w:val="auto"/>
        </w:rPr>
        <w:t>” means this VistaGen Therapeutics, Inc. Amended and Restated 2019 Omnibus Equity Incentive Plan, as amended from time to time.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color w:val="auto"/>
        </w:rPr>
        <w:t>“</w:t>
      </w:r>
      <w:r>
        <w:rPr>
          <w:rFonts w:ascii="Arial" w:cs="Arial" w:eastAsia="Arial" w:hAnsi="Arial"/>
          <w:sz w:val="18"/>
          <w:szCs w:val="18"/>
          <w:i w:val="1"/>
          <w:iCs w:val="1"/>
          <w:color w:val="auto"/>
        </w:rPr>
        <w:t>Predecessor Plan</w:t>
      </w:r>
      <w:r>
        <w:rPr>
          <w:rFonts w:ascii="Arial" w:cs="Arial" w:eastAsia="Arial" w:hAnsi="Arial"/>
          <w:sz w:val="18"/>
          <w:szCs w:val="18"/>
          <w:color w:val="auto"/>
        </w:rPr>
        <w:t>” means the VistaGen Therapeutics, Inc. Amended and Restated 2016 Stock Incentive Plan (formerly, the 2008 Stock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Purchase Price</w:t>
      </w:r>
      <w:r>
        <w:rPr>
          <w:rFonts w:ascii="Arial" w:cs="Arial" w:eastAsia="Arial" w:hAnsi="Arial"/>
          <w:sz w:val="15"/>
          <w:szCs w:val="15"/>
          <w:color w:val="auto"/>
        </w:rPr>
        <w:t>” means the purchase price for each share of Stock pursuant to a grant of Restricted Stock.</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Restricted Period</w:t>
      </w:r>
      <w:r>
        <w:rPr>
          <w:rFonts w:ascii="Arial" w:cs="Arial" w:eastAsia="Arial" w:hAnsi="Arial"/>
          <w:sz w:val="15"/>
          <w:szCs w:val="15"/>
          <w:color w:val="auto"/>
        </w:rPr>
        <w:t xml:space="preserve">” shall have the meaning set forth in </w:t>
      </w:r>
      <w:r>
        <w:rPr>
          <w:rFonts w:ascii="Arial" w:cs="Arial" w:eastAsia="Arial" w:hAnsi="Arial"/>
          <w:sz w:val="15"/>
          <w:szCs w:val="15"/>
          <w:b w:val="1"/>
          <w:bCs w:val="1"/>
          <w:color w:val="auto"/>
        </w:rPr>
        <w:t>Section 10.1</w:t>
      </w:r>
      <w:r>
        <w:rPr>
          <w:rFonts w:ascii="Arial" w:cs="Arial" w:eastAsia="Arial" w:hAnsi="Arial"/>
          <w:sz w:val="15"/>
          <w:szCs w:val="15"/>
          <w:color w:val="auto"/>
        </w:rPr>
        <w:t xml:space="preserve"> hereof.</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Restricted Stock</w:t>
      </w:r>
      <w:r>
        <w:rPr>
          <w:rFonts w:ascii="Arial" w:cs="Arial" w:eastAsia="Arial" w:hAnsi="Arial"/>
          <w:sz w:val="15"/>
          <w:szCs w:val="15"/>
          <w:color w:val="auto"/>
        </w:rPr>
        <w:t xml:space="preserve">” means shares of Stock, awarded to a Grantee pursuant to </w:t>
      </w:r>
      <w:r>
        <w:rPr>
          <w:rFonts w:ascii="Arial" w:cs="Arial" w:eastAsia="Arial" w:hAnsi="Arial"/>
          <w:sz w:val="15"/>
          <w:szCs w:val="15"/>
          <w:b w:val="1"/>
          <w:bCs w:val="1"/>
          <w:color w:val="auto"/>
        </w:rPr>
        <w:t>Section 10</w:t>
      </w:r>
      <w:r>
        <w:rPr>
          <w:rFonts w:ascii="Arial" w:cs="Arial" w:eastAsia="Arial" w:hAnsi="Arial"/>
          <w:sz w:val="15"/>
          <w:szCs w:val="15"/>
          <w:color w:val="auto"/>
        </w:rPr>
        <w:t xml:space="preserve"> hereof.</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bookkeeping entry representing the equivalent of shares of Stock, awarded to a Grantee pursuant to</w:t>
      </w:r>
      <w:r>
        <w:rPr>
          <w:rFonts w:ascii="Arial" w:cs="Arial" w:eastAsia="Arial" w:hAnsi="Arial"/>
          <w:sz w:val="18"/>
          <w:szCs w:val="18"/>
          <w:b w:val="1"/>
          <w:bCs w:val="1"/>
          <w:color w:val="auto"/>
        </w:rPr>
        <w:t xml:space="preserve"> Section 10 </w:t>
      </w:r>
      <w:r>
        <w:rPr>
          <w:rFonts w:ascii="Arial" w:cs="Arial" w:eastAsia="Arial" w:hAnsi="Arial"/>
          <w:sz w:val="18"/>
          <w:szCs w:val="18"/>
          <w:color w:val="auto"/>
        </w:rPr>
        <w:t>hereof.</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SAR Exercise Price</w:t>
      </w:r>
      <w:r>
        <w:rPr>
          <w:rFonts w:ascii="Arial" w:cs="Arial" w:eastAsia="Arial" w:hAnsi="Arial"/>
          <w:sz w:val="15"/>
          <w:szCs w:val="15"/>
          <w:color w:val="auto"/>
        </w:rPr>
        <w:t xml:space="preserve">” means the per share exercise price of a SAR granted to a Grantee under </w:t>
      </w:r>
      <w:r>
        <w:rPr>
          <w:rFonts w:ascii="Arial" w:cs="Arial" w:eastAsia="Arial" w:hAnsi="Arial"/>
          <w:sz w:val="15"/>
          <w:szCs w:val="15"/>
          <w:b w:val="1"/>
          <w:bCs w:val="1"/>
          <w:color w:val="auto"/>
        </w:rPr>
        <w:t>Section 9</w:t>
      </w:r>
      <w:r>
        <w:rPr>
          <w:rFonts w:ascii="Arial" w:cs="Arial" w:eastAsia="Arial" w:hAnsi="Arial"/>
          <w:sz w:val="15"/>
          <w:szCs w:val="15"/>
          <w:color w:val="auto"/>
        </w:rPr>
        <w:t xml:space="preserve"> hereof.</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SEC</w:t>
      </w:r>
      <w:r>
        <w:rPr>
          <w:rFonts w:ascii="Arial" w:cs="Arial" w:eastAsia="Arial" w:hAnsi="Arial"/>
          <w:sz w:val="15"/>
          <w:szCs w:val="15"/>
          <w:color w:val="auto"/>
        </w:rPr>
        <w:t>” means the United States Securities and Exchange Commission.</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Section 409A</w:t>
      </w:r>
      <w:r>
        <w:rPr>
          <w:rFonts w:ascii="Arial" w:cs="Arial" w:eastAsia="Arial" w:hAnsi="Arial"/>
          <w:sz w:val="15"/>
          <w:szCs w:val="15"/>
          <w:color w:val="auto"/>
        </w:rPr>
        <w:t>” means Section 409A of the Code.</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Securities Act</w:t>
      </w:r>
      <w:r>
        <w:rPr>
          <w:rFonts w:ascii="Arial" w:cs="Arial" w:eastAsia="Arial" w:hAnsi="Arial"/>
          <w:sz w:val="15"/>
          <w:szCs w:val="15"/>
          <w:color w:val="auto"/>
        </w:rPr>
        <w:t>” means the Securities Act of 1933, as now in effect or as hereafter amended.</w:t>
      </w:r>
    </w:p>
    <w:p>
      <w:pPr>
        <w:spacing w:after="0" w:line="22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2.35 </w:t>
      </w:r>
      <w:r>
        <w:rPr>
          <w:rFonts w:ascii="Arial" w:cs="Arial" w:eastAsia="Arial" w:hAnsi="Arial"/>
          <w:sz w:val="16"/>
          <w:szCs w:val="16"/>
          <w:color w:val="auto"/>
        </w:rPr>
        <w:t>“</w:t>
      </w:r>
      <w:r>
        <w:rPr>
          <w:rFonts w:ascii="Arial" w:cs="Arial" w:eastAsia="Arial" w:hAnsi="Arial"/>
          <w:sz w:val="16"/>
          <w:szCs w:val="16"/>
          <w:i w:val="1"/>
          <w:iCs w:val="1"/>
          <w:color w:val="auto"/>
        </w:rPr>
        <w:t>Separation from Service</w:t>
      </w:r>
      <w:r>
        <w:rPr>
          <w:rFonts w:ascii="Arial" w:cs="Arial" w:eastAsia="Arial" w:hAnsi="Arial"/>
          <w:sz w:val="16"/>
          <w:szCs w:val="16"/>
          <w:color w:val="auto"/>
        </w:rPr>
        <w:t>” means a termination of Service by a Service Provider, as determined by the Board, which determination shall be final,</w:t>
      </w:r>
      <w:r>
        <w:rPr>
          <w:rFonts w:ascii="Arial" w:cs="Arial" w:eastAsia="Arial" w:hAnsi="Arial"/>
          <w:sz w:val="16"/>
          <w:szCs w:val="16"/>
          <w:b w:val="1"/>
          <w:bCs w:val="1"/>
          <w:color w:val="auto"/>
        </w:rPr>
        <w:t xml:space="preserve"> </w:t>
      </w:r>
      <w:r>
        <w:rPr>
          <w:rFonts w:ascii="Arial" w:cs="Arial" w:eastAsia="Arial" w:hAnsi="Arial"/>
          <w:sz w:val="16"/>
          <w:szCs w:val="16"/>
          <w:color w:val="auto"/>
        </w:rPr>
        <w:t>binding and conclusive; provided if any Award governed by Section 409A is to be distributed on a Separation from Service, then the definition of Separation from Service for such purposes shall comply with the definition provided in Section 409A.</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w:t>
      </w:r>
      <w:r>
        <w:rPr>
          <w:rFonts w:ascii="Arial" w:cs="Arial" w:eastAsia="Arial" w:hAnsi="Arial"/>
          <w:sz w:val="18"/>
          <w:szCs w:val="18"/>
          <w:i w:val="1"/>
          <w:iCs w:val="1"/>
          <w:color w:val="auto"/>
        </w:rPr>
        <w:t>Service</w:t>
      </w:r>
      <w:r>
        <w:rPr>
          <w:rFonts w:ascii="Arial" w:cs="Arial" w:eastAsia="Arial" w:hAnsi="Arial"/>
          <w:sz w:val="18"/>
          <w:szCs w:val="18"/>
          <w:color w:val="auto"/>
        </w:rPr>
        <w:t>” means service as a Service Provider to the Company or an Affiliate. Unless otherwise stated in the applicable Award Agreement, a</w:t>
      </w:r>
      <w:r>
        <w:rPr>
          <w:rFonts w:ascii="Arial" w:cs="Arial" w:eastAsia="Arial" w:hAnsi="Arial"/>
          <w:sz w:val="18"/>
          <w:szCs w:val="18"/>
          <w:b w:val="1"/>
          <w:bCs w:val="1"/>
          <w:color w:val="auto"/>
        </w:rPr>
        <w:t xml:space="preserve"> </w:t>
      </w:r>
      <w:r>
        <w:rPr>
          <w:rFonts w:ascii="Arial" w:cs="Arial" w:eastAsia="Arial" w:hAnsi="Arial"/>
          <w:sz w:val="18"/>
          <w:szCs w:val="18"/>
          <w:color w:val="auto"/>
        </w:rPr>
        <w:t>Grantee’s change in position or duties shall not result in interrupted or terminated Service, so long as such Grantee continues to be a Service Provider to the Company or an Affiliate.</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Service Provider</w:t>
      </w:r>
      <w:r>
        <w:rPr>
          <w:rFonts w:ascii="Arial" w:cs="Arial" w:eastAsia="Arial" w:hAnsi="Arial"/>
          <w:sz w:val="16"/>
          <w:szCs w:val="16"/>
          <w:color w:val="auto"/>
        </w:rPr>
        <w:t>” means an employee, officer, Non-Employee Director, consultant or advisor of the Company or an Affiliate.</w:t>
      </w:r>
    </w:p>
    <w:p>
      <w:pPr>
        <w:spacing w:after="0" w:line="200" w:lineRule="exact"/>
        <w:rPr>
          <w:sz w:val="20"/>
          <w:szCs w:val="20"/>
          <w:color w:val="auto"/>
        </w:rPr>
      </w:pPr>
    </w:p>
    <w:p>
      <w:pPr>
        <w:spacing w:after="0" w:line="24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57" w:right="339" w:bottom="1440" w:gutter="0" w:footer="0" w:header="0"/>
        </w:sectPr>
      </w:pPr>
    </w:p>
    <w:bookmarkStart w:id="48" w:name="page49"/>
    <w:bookmarkEnd w:id="48"/>
    <w:p>
      <w:pPr>
        <w:ind w:left="500"/>
        <w:spacing w:after="0"/>
        <w:tabs>
          <w:tab w:leader="none" w:pos="9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Stock Appreciation Right</w:t>
      </w:r>
      <w:r>
        <w:rPr>
          <w:rFonts w:ascii="Arial" w:cs="Arial" w:eastAsia="Arial" w:hAnsi="Arial"/>
          <w:sz w:val="15"/>
          <w:szCs w:val="15"/>
          <w:color w:val="auto"/>
        </w:rPr>
        <w:t>” or “</w:t>
      </w:r>
      <w:r>
        <w:rPr>
          <w:rFonts w:ascii="Arial" w:cs="Arial" w:eastAsia="Arial" w:hAnsi="Arial"/>
          <w:sz w:val="15"/>
          <w:szCs w:val="15"/>
          <w:i w:val="1"/>
          <w:iCs w:val="1"/>
          <w:color w:val="auto"/>
        </w:rPr>
        <w:t>SAR</w:t>
      </w:r>
      <w:r>
        <w:rPr>
          <w:rFonts w:ascii="Arial" w:cs="Arial" w:eastAsia="Arial" w:hAnsi="Arial"/>
          <w:sz w:val="15"/>
          <w:szCs w:val="15"/>
          <w:color w:val="auto"/>
        </w:rPr>
        <w:t xml:space="preserve">” means a right granted to a Grantee under </w:t>
      </w:r>
      <w:r>
        <w:rPr>
          <w:rFonts w:ascii="Arial" w:cs="Arial" w:eastAsia="Arial" w:hAnsi="Arial"/>
          <w:sz w:val="15"/>
          <w:szCs w:val="15"/>
          <w:b w:val="1"/>
          <w:bCs w:val="1"/>
          <w:color w:val="auto"/>
        </w:rPr>
        <w:t>Section 9</w:t>
      </w:r>
      <w:r>
        <w:rPr>
          <w:rFonts w:ascii="Arial" w:cs="Arial" w:eastAsia="Arial" w:hAnsi="Arial"/>
          <w:sz w:val="15"/>
          <w:szCs w:val="15"/>
          <w:color w:val="auto"/>
        </w:rPr>
        <w:t xml:space="preserve"> hereof.</w:t>
      </w: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“subsidiary corporation” of the Company within the meaning of Section 424(f) of the Code.</w:t>
      </w:r>
    </w:p>
    <w:p>
      <w:pPr>
        <w:spacing w:after="0" w:line="225" w:lineRule="exact"/>
        <w:rPr>
          <w:sz w:val="20"/>
          <w:szCs w:val="20"/>
          <w:color w:val="auto"/>
        </w:rPr>
      </w:pPr>
    </w:p>
    <w:p>
      <w:pPr>
        <w:jc w:val="both"/>
        <w:ind w:left="500" w:right="20"/>
        <w:spacing w:after="0" w:line="275"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i w:val="1"/>
          <w:iCs w:val="1"/>
          <w:color w:val="auto"/>
        </w:rPr>
        <w:t>Substitute Award</w:t>
      </w:r>
      <w:r>
        <w:rPr>
          <w:rFonts w:ascii="Arial" w:cs="Arial" w:eastAsia="Arial" w:hAnsi="Arial"/>
          <w:sz w:val="18"/>
          <w:szCs w:val="18"/>
          <w:color w:val="auto"/>
        </w:rPr>
        <w:t>” means any Award granted in assumption of or in substitution for an award of a company or business acquired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a Subsidiary or with which the Company or an Affiliate combines.</w:t>
      </w:r>
    </w:p>
    <w:p>
      <w:pPr>
        <w:spacing w:after="0" w:line="174"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w:t>
      </w:r>
      <w:r>
        <w:rPr>
          <w:rFonts w:ascii="Arial" w:cs="Arial" w:eastAsia="Arial" w:hAnsi="Arial"/>
          <w:sz w:val="18"/>
          <w:szCs w:val="18"/>
          <w:i w:val="1"/>
          <w:iCs w:val="1"/>
          <w:color w:val="auto"/>
        </w:rPr>
        <w:t>Ten Percent Stockholder</w:t>
      </w:r>
      <w:r>
        <w:rPr>
          <w:rFonts w:ascii="Arial" w:cs="Arial" w:eastAsia="Arial" w:hAnsi="Arial"/>
          <w:sz w:val="18"/>
          <w:szCs w:val="18"/>
          <w:color w:val="auto"/>
        </w:rPr>
        <w:t>” means an individual who owns more than ten percent (10%) of the total combined voting power of all classes of</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stock of the Company, its parent or any of its Subsidiaries. In determining stock ownership, the attribution rules of Section 424(d) of the Code shall be applied.</w:t>
      </w:r>
    </w:p>
    <w:p>
      <w:pPr>
        <w:spacing w:after="0" w:line="18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Termination Date</w:t>
      </w:r>
      <w:r>
        <w:rPr>
          <w:rFonts w:ascii="Arial" w:cs="Arial" w:eastAsia="Arial" w:hAnsi="Arial"/>
          <w:sz w:val="15"/>
          <w:szCs w:val="15"/>
          <w:color w:val="auto"/>
        </w:rPr>
        <w:t xml:space="preserve">” means the date that is ten (10) years after the Effective Date, unless the Plan is earlier terminated by the Board under </w:t>
      </w:r>
      <w:r>
        <w:rPr>
          <w:rFonts w:ascii="Arial" w:cs="Arial" w:eastAsia="Arial" w:hAnsi="Arial"/>
          <w:sz w:val="15"/>
          <w:szCs w:val="15"/>
          <w:b w:val="1"/>
          <w:bCs w:val="1"/>
          <w:color w:val="auto"/>
        </w:rPr>
        <w:t>Section</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hereof.</w:t>
      </w:r>
    </w:p>
    <w:p>
      <w:pPr>
        <w:spacing w:after="0" w:line="21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w:t>
      </w:r>
    </w:p>
    <w:p>
      <w:pPr>
        <w:spacing w:after="0" w:line="23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Board shall have such powers and authorities related to the administration of the Plan as are consistent with the Company’s articles of incorporation and bylaws and applicable law. The Board shall have the power and authority to delegate its responsibilities hereunder to the Committee, which shall have full authority to act in accordance with its charter, and with respect to the authority of the Board to act hereunder, all references to the Board shall be deemed to include a reference to the Committee, to the extent such power or responsibilities have been delegated. Except as otherwise may be required by applicable law, regulatory requirement or the articles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The Committee shall administer the Plan; provided that, the Board shall retain the right to exercise the authority of the Committee to the extent consistent with applicable law and the applicable requirements of any securities exchange on which the Common Stock may then be listed. The interpretation and construction by the Board of any provision of the Plan, any Award or any Award Agreement shall be final, binding and conclusive. Without limitation, the Board shall have full and final authority, subject to the other terms and conditions of the Plan, to:</w:t>
      </w:r>
    </w:p>
    <w:p>
      <w:pPr>
        <w:spacing w:after="0" w:line="180" w:lineRule="exact"/>
        <w:rPr>
          <w:sz w:val="20"/>
          <w:szCs w:val="20"/>
          <w:color w:val="auto"/>
        </w:rPr>
      </w:pPr>
    </w:p>
    <w:p>
      <w:pPr>
        <w:ind w:left="840" w:hanging="346"/>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designate Grantees;</w:t>
      </w:r>
    </w:p>
    <w:p>
      <w:pPr>
        <w:spacing w:after="0" w:line="225" w:lineRule="exact"/>
        <w:rPr>
          <w:rFonts w:ascii="Arial" w:cs="Arial" w:eastAsia="Arial" w:hAnsi="Arial"/>
          <w:sz w:val="18"/>
          <w:szCs w:val="18"/>
          <w:color w:val="auto"/>
        </w:rPr>
      </w:pPr>
    </w:p>
    <w:p>
      <w:pPr>
        <w:ind w:left="840" w:hanging="346"/>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type or types of Awards to be made to a Grantee;</w:t>
      </w:r>
    </w:p>
    <w:p>
      <w:pPr>
        <w:spacing w:after="0" w:line="225" w:lineRule="exact"/>
        <w:rPr>
          <w:rFonts w:ascii="Arial" w:cs="Arial" w:eastAsia="Arial" w:hAnsi="Arial"/>
          <w:sz w:val="18"/>
          <w:szCs w:val="18"/>
          <w:color w:val="auto"/>
        </w:rPr>
      </w:pPr>
    </w:p>
    <w:p>
      <w:pPr>
        <w:ind w:left="840" w:hanging="346"/>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number of shares of Stock to be subject to an Award;</w:t>
      </w:r>
    </w:p>
    <w:p>
      <w:pPr>
        <w:spacing w:after="0" w:line="225" w:lineRule="exact"/>
        <w:rPr>
          <w:rFonts w:ascii="Arial" w:cs="Arial" w:eastAsia="Arial" w:hAnsi="Arial"/>
          <w:sz w:val="18"/>
          <w:szCs w:val="18"/>
          <w:color w:val="auto"/>
        </w:rPr>
      </w:pPr>
    </w:p>
    <w:p>
      <w:pPr>
        <w:jc w:val="both"/>
        <w:ind w:firstLine="494"/>
        <w:spacing w:after="0" w:line="259"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the terms and conditions of each Award (including, but not limited to, the Option Price of any Option, the nature and duration of any restriction or condition (or provision for lapse thereof) relating to the vesting, exercise, transfer, or forfeiture of an Award or the shares of Stock subject thereto, and any terms or conditions that may be necessary to qualify Options as Incentive Stock Options);</w:t>
      </w:r>
    </w:p>
    <w:p>
      <w:pPr>
        <w:spacing w:after="0" w:line="193" w:lineRule="exact"/>
        <w:rPr>
          <w:rFonts w:ascii="Arial" w:cs="Arial" w:eastAsia="Arial" w:hAnsi="Arial"/>
          <w:sz w:val="18"/>
          <w:szCs w:val="18"/>
          <w:color w:val="auto"/>
        </w:rPr>
      </w:pPr>
    </w:p>
    <w:p>
      <w:pPr>
        <w:ind w:left="840" w:hanging="346"/>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prescribe the form of each Award Agreement; and</w:t>
      </w:r>
    </w:p>
    <w:p>
      <w:pPr>
        <w:spacing w:after="0" w:line="219" w:lineRule="exact"/>
        <w:rPr>
          <w:rFonts w:ascii="Arial" w:cs="Arial" w:eastAsia="Arial" w:hAnsi="Arial"/>
          <w:sz w:val="18"/>
          <w:szCs w:val="18"/>
          <w:color w:val="auto"/>
        </w:rPr>
      </w:pPr>
    </w:p>
    <w:p>
      <w:pPr>
        <w:jc w:val="both"/>
        <w:ind w:firstLine="494"/>
        <w:spacing w:after="0" w:line="262" w:lineRule="auto"/>
        <w:tabs>
          <w:tab w:leader="none" w:pos="8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16.13</w:t>
      </w:r>
      <w:r>
        <w:rPr>
          <w:rFonts w:ascii="Arial" w:cs="Arial" w:eastAsia="Arial" w:hAnsi="Arial"/>
          <w:sz w:val="18"/>
          <w:szCs w:val="18"/>
          <w:color w:val="auto"/>
        </w:rPr>
        <w:t>, amend, modify, or supplement the terms of any outstanding Award including the authority, in order to effectuate the purposes of the Plan, to modify Awards to foreign nationals or individuals who are employed outside the United States to recognize differences in local law, tax policy, or custom.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left="500"/>
        <w:spacing w:after="0"/>
        <w:tabs>
          <w:tab w:leader="none" w:pos="10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Clawbacks.</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Awards shall be subject to the requirements of (i) Section 954 of the Dodd-Frank Wall Street Reform and Consumer Protection Act (regarding recovery of erroneously awarded compensation) and any implementing rules and regulations thereunder, (ii) similar rules under the laws of any other jurisdiction, (iii) any compensation recovery policies adopted by the Company to implement any such requirements or (iv) any other compensation recovery policies as may be adopted from time to time by the Company, all to the extent determined by the Committee in its discretion to be applicable to a Grantee.</w:t>
      </w:r>
    </w:p>
    <w:p>
      <w:pPr>
        <w:spacing w:after="0" w:line="16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Minimum Vesting Conditions.</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Notwithstanding any other provision of the Plan to the contrary, no more than 25% of any equity-based Awards granted under the Plan shall vest on the date the Award is granted, excluding, for this purpose, any (i) Substitute Awards and (ii) shares delivered in lieu of fully vested cash incentive compensation under any applicable plan or program of the Company; and, provided, however, for the avoidance of doubt, that the foregoing restriction does not apply to the Board’s discretion to provide for accelerated exercisability or vesting of any Award, including in cases of retirement, death, disability or a Change in Control, in the terms of the Award or otherwise.</w:t>
      </w:r>
    </w:p>
    <w:p>
      <w:pPr>
        <w:spacing w:after="0" w:line="195"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Deferral Arrangement.</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Board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Stock units.</w:t>
      </w:r>
    </w:p>
    <w:p>
      <w:pPr>
        <w:spacing w:after="0" w:line="188"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No Liability.</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No member of the Board or of the Committee shall be liable for any action or determination made in good faith with respect to the Plan, any Award or Award Agreement.</w:t>
      </w:r>
    </w:p>
    <w:p>
      <w:pPr>
        <w:spacing w:after="0" w:line="18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Book Entry.</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Notwithstanding any other provision of this Plan to the contrary, the Company may elect to satisfy any requirement under this Plan for the delivery of stock certificates through the use of book-entry.</w:t>
      </w:r>
    </w:p>
    <w:p>
      <w:pPr>
        <w:spacing w:after="0" w:line="180"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    Authorized Number of Shares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Subject to adjustment under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the total number of shares of Common Stock authorized to be awarded under the Plan shall not exceed 18,000,000. In addition, shares of Common Stock authorized and available for issuance under the Predecessor Plan on the Effective Date and/or underlying any outstanding award granted under the Predecessor Plan that, following the Effective Date, expires, or is terminated, surrendered or forfeited for any reason without issuance of such shares shall be available for the grant of new Awards under this Plan. As provided in </w:t>
      </w:r>
      <w:r>
        <w:rPr>
          <w:rFonts w:ascii="Arial" w:cs="Arial" w:eastAsia="Arial" w:hAnsi="Arial"/>
          <w:sz w:val="16"/>
          <w:szCs w:val="16"/>
          <w:b w:val="1"/>
          <w:bCs w:val="1"/>
          <w:color w:val="auto"/>
        </w:rPr>
        <w:t>Section 1</w:t>
      </w:r>
      <w:r>
        <w:rPr>
          <w:rFonts w:ascii="Arial" w:cs="Arial" w:eastAsia="Arial" w:hAnsi="Arial"/>
          <w:sz w:val="16"/>
          <w:szCs w:val="16"/>
          <w:color w:val="auto"/>
        </w:rPr>
        <w:t>, no new awards shall be granted under the Predecessor Plan following the Effective Date. Shares issued under the Plan may consist in whole or in part of authorized but unissued shares, treasury shares, or shares purchased on the open market or otherwise, all as determined by the Company from time to time.</w:t>
      </w:r>
    </w:p>
    <w:p>
      <w:pPr>
        <w:spacing w:after="0" w:line="164"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Share Counting</w:t>
      </w:r>
    </w:p>
    <w:p>
      <w:pPr>
        <w:spacing w:after="0" w:line="225"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6"/>
          <w:szCs w:val="16"/>
          <w:b w:val="1"/>
          <w:bCs w:val="1"/>
          <w:color w:val="auto"/>
        </w:rPr>
        <w:t>General</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 xml:space="preserve">Each share of Common Stock granted in connection with an Award shall be counted as one share against the limit in </w:t>
      </w:r>
      <w:r>
        <w:rPr>
          <w:rFonts w:ascii="Arial" w:cs="Arial" w:eastAsia="Arial" w:hAnsi="Arial"/>
          <w:sz w:val="18"/>
          <w:szCs w:val="18"/>
          <w:b w:val="1"/>
          <w:bCs w:val="1"/>
          <w:color w:val="auto"/>
        </w:rPr>
        <w:t>Section 4.1</w:t>
      </w:r>
      <w:r>
        <w:rPr>
          <w:rFonts w:ascii="Arial" w:cs="Arial" w:eastAsia="Arial" w:hAnsi="Arial"/>
          <w:sz w:val="18"/>
          <w:szCs w:val="18"/>
          <w:color w:val="auto"/>
        </w:rPr>
        <w:t xml:space="preserve">, subject to the provisions of this </w:t>
      </w:r>
      <w:r>
        <w:rPr>
          <w:rFonts w:ascii="Arial" w:cs="Arial" w:eastAsia="Arial" w:hAnsi="Arial"/>
          <w:sz w:val="18"/>
          <w:szCs w:val="18"/>
          <w:b w:val="1"/>
          <w:bCs w:val="1"/>
          <w:color w:val="auto"/>
        </w:rPr>
        <w:t>Section 4.2</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left="980"/>
        <w:spacing w:after="0"/>
        <w:tabs>
          <w:tab w:leader="none" w:pos="192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5"/>
          <w:szCs w:val="15"/>
          <w:b w:val="1"/>
          <w:bCs w:val="1"/>
          <w:color w:val="auto"/>
        </w:rPr>
        <w:t>Cash-Settled Awards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Award settled in cash shall not be counted as shares of Common Stock for any purpose under this Plan.</w:t>
      </w:r>
    </w:p>
    <w:p>
      <w:pPr>
        <w:spacing w:after="0" w:line="219"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6"/>
          <w:szCs w:val="16"/>
          <w:b w:val="1"/>
          <w:bCs w:val="1"/>
          <w:color w:val="auto"/>
        </w:rPr>
        <w:t>Expired or Terminated Awards</w:t>
      </w:r>
    </w:p>
    <w:p>
      <w:pPr>
        <w:spacing w:after="0" w:line="231" w:lineRule="exact"/>
        <w:rPr>
          <w:sz w:val="20"/>
          <w:szCs w:val="20"/>
          <w:color w:val="auto"/>
        </w:rPr>
      </w:pPr>
    </w:p>
    <w:p>
      <w:pPr>
        <w:jc w:val="both"/>
        <w:ind w:right="20" w:firstLine="486"/>
        <w:spacing w:after="0" w:line="331" w:lineRule="auto"/>
        <w:rPr>
          <w:sz w:val="20"/>
          <w:szCs w:val="20"/>
          <w:color w:val="auto"/>
        </w:rPr>
      </w:pPr>
      <w:r>
        <w:rPr>
          <w:rFonts w:ascii="Arial" w:cs="Arial" w:eastAsia="Arial" w:hAnsi="Arial"/>
          <w:sz w:val="16"/>
          <w:szCs w:val="16"/>
          <w:color w:val="auto"/>
        </w:rPr>
        <w:t>If any Award under the Plan expires, or is terminated, surrendered or forfeited, in whole or in part, without issuance or delivery of vested shares, the unissued or surrendered Common Stock covered by such Award shall again be available for the grant of Awards under the Plan.</w:t>
      </w:r>
    </w:p>
    <w:p>
      <w:pPr>
        <w:spacing w:after="0" w:line="135"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6"/>
          <w:szCs w:val="16"/>
          <w:b w:val="1"/>
          <w:bCs w:val="1"/>
          <w:color w:val="auto"/>
        </w:rPr>
        <w:t>Payment of Option Price or Tax Withholding in Shares</w:t>
      </w:r>
    </w:p>
    <w:p>
      <w:pPr>
        <w:spacing w:after="0" w:line="23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 xml:space="preserve">The full number of shares of Common Stock with respect to which an Option or SAR is granted shall count against the aggregate number of shares available for grant under the Plan. Accordingly, if in accordance with the terms of the Plan, a Grantee pays the Option Price for an Option by either tendering previously owned shares or having the Company withhold shares, then such shares surrendered to pay the Option Price shall continue to count against the aggregate number of shares available for grant under the Plan set forth in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above. In addition, if in accordance with the terms of the Plan, a Grantee satisfies any tax withholding requirement with respect to any taxable event arising as a result of this Plan for any Award (including Restricted Stock and Restricted Stock Units) by either tendering previously owned shares or having the Company withhold shares, then such shares surrendered to satisfy such tax withholding requirements shall continue to count against the aggregate number of shares available for grant under the Plan set forth in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above. Any shares of Common Stock repurchased by the Company with cash proceeds from the exercise of Options shall not be added back to the pool of shares available for grant under the Plan set forth in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above.</w:t>
      </w:r>
    </w:p>
    <w:p>
      <w:pPr>
        <w:spacing w:after="0" w:line="167" w:lineRule="exact"/>
        <w:rPr>
          <w:sz w:val="20"/>
          <w:szCs w:val="20"/>
          <w:color w:val="auto"/>
        </w:rPr>
      </w:pPr>
    </w:p>
    <w:p>
      <w:pPr>
        <w:ind w:left="500"/>
        <w:spacing w:after="0"/>
        <w:tabs>
          <w:tab w:leader="none" w:pos="144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5"/>
          <w:szCs w:val="15"/>
          <w:b w:val="1"/>
          <w:bCs w:val="1"/>
          <w:color w:val="auto"/>
        </w:rPr>
        <w:t>Substitute Awards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the case of any Substitute Award, such Substitute Award shall not be counted against the number of shares reserved under the Plan.</w:t>
      </w:r>
    </w:p>
    <w:p>
      <w:pPr>
        <w:spacing w:after="0" w:line="242"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 AND AMENDMENTS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    Term.</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 xml:space="preserve">The Plan shall be effective as of the Effective Date, provided that it has been approved by the Company’s stockholders. The Plan shall terminate automatically on September 5, 2029 and may be terminated on any earlier date as provided in </w:t>
      </w:r>
      <w:r>
        <w:rPr>
          <w:rFonts w:ascii="Arial" w:cs="Arial" w:eastAsia="Arial" w:hAnsi="Arial"/>
          <w:sz w:val="18"/>
          <w:szCs w:val="18"/>
          <w:b w:val="1"/>
          <w:bCs w:val="1"/>
          <w:color w:val="auto"/>
        </w:rPr>
        <w:t>Section 5.2</w:t>
      </w:r>
      <w:r>
        <w:rPr>
          <w:rFonts w:ascii="Arial" w:cs="Arial" w:eastAsia="Arial" w:hAnsi="Arial"/>
          <w:sz w:val="18"/>
          <w:szCs w:val="18"/>
          <w:color w:val="auto"/>
        </w:rPr>
        <w:t>.</w:t>
      </w:r>
    </w:p>
    <w:p>
      <w:pPr>
        <w:spacing w:after="0" w:line="18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Amendment and Termination of the Plan.</w:t>
      </w:r>
    </w:p>
    <w:p>
      <w:pPr>
        <w:spacing w:after="0" w:line="231" w:lineRule="exact"/>
        <w:rPr>
          <w:sz w:val="20"/>
          <w:szCs w:val="20"/>
          <w:color w:val="auto"/>
        </w:rPr>
      </w:pPr>
    </w:p>
    <w:p>
      <w:pPr>
        <w:jc w:val="both"/>
        <w:ind w:firstLine="486"/>
        <w:spacing w:after="0" w:line="317" w:lineRule="auto"/>
        <w:rPr>
          <w:sz w:val="20"/>
          <w:szCs w:val="20"/>
          <w:color w:val="auto"/>
        </w:rPr>
      </w:pPr>
      <w:r>
        <w:rPr>
          <w:rFonts w:ascii="Arial" w:cs="Arial" w:eastAsia="Arial" w:hAnsi="Arial"/>
          <w:sz w:val="15"/>
          <w:szCs w:val="15"/>
          <w:color w:val="auto"/>
        </w:rPr>
        <w:t>The Board may, at any time and from time to time, amend, suspend, or terminate the Plan as to any Awards which have not been made. An amendment shall be contingent on approval of the Company’s stockholders to the extent stated by the Board, required by applicable law or required by applicable stock exchange listing requirements. No Awards shall be made after the Termination Date. The applicable terms of the Plan, and any terms and conditions applicable to Awards granted prior to the Termination Date shall survive the termination of the Plan and continue to apply to such Awards. No amendment, suspension, or termination of the Plan shall, without the consent of the Grantee, materially impair rights or obligations under any Award theretofore awarded.</w:t>
      </w:r>
    </w:p>
    <w:p>
      <w:pPr>
        <w:spacing w:after="0" w:line="15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 AND LIMITATIONS</w:t>
      </w:r>
    </w:p>
    <w:p>
      <w:pPr>
        <w:spacing w:after="0" w:line="225"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Service Providers</w:t>
      </w:r>
      <w:r>
        <w:rPr>
          <w:rFonts w:ascii="Arial" w:cs="Arial" w:eastAsia="Arial" w:hAnsi="Arial"/>
          <w:sz w:val="15"/>
          <w:szCs w:val="15"/>
          <w:color w:val="auto"/>
        </w:rPr>
        <w:t>.</w:t>
      </w:r>
    </w:p>
    <w:p>
      <w:pPr>
        <w:spacing w:after="0" w:line="225" w:lineRule="exact"/>
        <w:rPr>
          <w:sz w:val="20"/>
          <w:szCs w:val="20"/>
          <w:color w:val="auto"/>
        </w:rPr>
      </w:pPr>
    </w:p>
    <w:p>
      <w:pPr>
        <w:ind w:firstLine="486"/>
        <w:spacing w:after="0" w:line="339" w:lineRule="auto"/>
        <w:rPr>
          <w:sz w:val="20"/>
          <w:szCs w:val="20"/>
          <w:color w:val="auto"/>
        </w:rPr>
      </w:pPr>
      <w:r>
        <w:rPr>
          <w:rFonts w:ascii="Arial" w:cs="Arial" w:eastAsia="Arial" w:hAnsi="Arial"/>
          <w:sz w:val="16"/>
          <w:szCs w:val="16"/>
          <w:color w:val="auto"/>
        </w:rPr>
        <w:t xml:space="preserve">Subject to this </w:t>
      </w:r>
      <w:r>
        <w:rPr>
          <w:rFonts w:ascii="Arial" w:cs="Arial" w:eastAsia="Arial" w:hAnsi="Arial"/>
          <w:sz w:val="16"/>
          <w:szCs w:val="16"/>
          <w:b w:val="1"/>
          <w:bCs w:val="1"/>
          <w:color w:val="auto"/>
        </w:rPr>
        <w:t>Section 6.1</w:t>
      </w:r>
      <w:r>
        <w:rPr>
          <w:rFonts w:ascii="Arial" w:cs="Arial" w:eastAsia="Arial" w:hAnsi="Arial"/>
          <w:sz w:val="16"/>
          <w:szCs w:val="16"/>
          <w:color w:val="auto"/>
        </w:rPr>
        <w:t>, Awards may be made to any Service Provider, including any Service Provider who is an officer, Non-Employee Director, consultant or advisor of the Company or of any Affiliate, as the Board shall determine and designate from time to time in its discretion.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left="500"/>
        <w:spacing w:after="0"/>
        <w:tabs>
          <w:tab w:leader="none" w:pos="10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4"/>
          <w:szCs w:val="14"/>
          <w:b w:val="1"/>
          <w:bCs w:val="1"/>
          <w:color w:val="auto"/>
        </w:rPr>
        <w:t>Successive Awards</w:t>
      </w:r>
      <w:r>
        <w:rPr>
          <w:rFonts w:ascii="Arial" w:cs="Arial" w:eastAsia="Arial" w:hAnsi="Arial"/>
          <w:sz w:val="14"/>
          <w:szCs w:val="14"/>
          <w:color w:val="auto"/>
        </w:rPr>
        <w:t>.</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 eligible person may receive more than one Award, subject to such restrictions as are provided herein.</w:t>
      </w:r>
    </w:p>
    <w:p>
      <w:pPr>
        <w:spacing w:after="0" w:line="21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Stand-Alone, Additional, Tandem, and Substitute Awards</w:t>
      </w:r>
      <w:r>
        <w:rPr>
          <w:rFonts w:ascii="Arial" w:cs="Arial" w:eastAsia="Arial" w:hAnsi="Arial"/>
          <w:sz w:val="15"/>
          <w:szCs w:val="15"/>
          <w:color w:val="auto"/>
        </w:rPr>
        <w:t>.</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Section 16.13</w:t>
      </w:r>
      <w:r>
        <w:rPr>
          <w:rFonts w:ascii="Arial" w:cs="Arial" w:eastAsia="Arial" w:hAnsi="Arial"/>
          <w:sz w:val="16"/>
          <w:szCs w:val="16"/>
          <w:color w:val="auto"/>
        </w:rPr>
        <w:t>, Awards may, in the discretion of the Board,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and substitute or exchange Awards may be granted at any time. If an Award is granted in substitution or exchange for another Award, the Board shall have the right to require the surrender of such other Award in consideration for the grant of the new Award. The Board shall have the right, in its discretion, to make Awards in substitution or exchange for any other award under another plan of the Company, any Affiliate, or any business entity to be acquired by the Company or an Affiliate. In addition, Awards may be granted in lieu of cash compensation, including in lieu of cash amounts payable under other plans of the Company or any Affiliate, in which the value of Stock subject to the Award is equivalent in value to the cash compensation (for example, Restricted Stock Units or Restricted Stock).</w:t>
      </w:r>
    </w:p>
    <w:p>
      <w:pPr>
        <w:spacing w:after="0" w:line="16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Each Award shall be evidenced by an Award Agreement, in such form or forms as the Board shall from time to time determine, consistent with the terms of the Plan. Without limiting the foregoing, an Award Agreement may be provided in the form of a notice which provides that acceptance of the Award constitutes acceptance of all terms of the Plan and the notice. Award Agreements granted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19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    Option Price.</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Option Price of each Option shall be fixed by the Board and stated in the related Award Agreement. The Option Price of each Option (except those that constitute Substitute Awards) shall be at least the Fair Market Value on the Grant Date of a share of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a Grantee is a Ten Percent Stockholder as of the Grant Date, the Option Price of an Option granted to such Grantee that is intended to be an Incentive Stock Option shall be not less than 110 percent of the Fair Market Value of a share of Stock on the Grant Date. In no case shall the Option Price of any Option be less than the par value of a share of Stock.</w:t>
      </w:r>
    </w:p>
    <w:p>
      <w:pPr>
        <w:spacing w:after="0" w:line="195"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Vesting.</w:t>
      </w:r>
    </w:p>
    <w:p>
      <w:pPr>
        <w:spacing w:after="0" w:line="225"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8.3</w:t>
      </w:r>
      <w:r>
        <w:rPr>
          <w:rFonts w:ascii="Arial" w:cs="Arial" w:eastAsia="Arial" w:hAnsi="Arial"/>
          <w:sz w:val="18"/>
          <w:szCs w:val="18"/>
          <w:color w:val="auto"/>
        </w:rPr>
        <w:t xml:space="preserve"> hereof, each Option shall become exercisable at such times and under such conditions (including, without limitation, performance requirements) as shall be determined by the Board and stated in the Award Agreement.</w:t>
      </w:r>
    </w:p>
    <w:p>
      <w:pPr>
        <w:spacing w:after="0" w:line="174"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Term.</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Each Option shall terminate, and all rights to purchase shares of Stock thereunder shall cease, upon the expiration of ten (10) years from the Grant Date, or under such circumstances and on such date prior thereto as is set forth in the Plan or as may be fixed by the Board and stated in the related Award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Grantee is a Ten Percent Stockholder, an Option granted to such Grantee that is intended to be an Incentive Stock Option at the Grant Date shall not be exercisable after the expiration of five (5) years from its Grant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left="500"/>
        <w:spacing w:after="0"/>
        <w:tabs>
          <w:tab w:leader="none" w:pos="10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color w:val="auto"/>
        </w:rPr>
        <w:t>Limitations on Exercise of Option.</w:t>
      </w:r>
    </w:p>
    <w:p>
      <w:pPr>
        <w:spacing w:after="0" w:line="231" w:lineRule="exact"/>
        <w:rPr>
          <w:sz w:val="20"/>
          <w:szCs w:val="20"/>
          <w:color w:val="auto"/>
        </w:rPr>
      </w:pPr>
    </w:p>
    <w:p>
      <w:pPr>
        <w:jc w:val="both"/>
        <w:ind w:firstLine="486"/>
        <w:spacing w:after="0" w:line="331" w:lineRule="auto"/>
        <w:rPr>
          <w:sz w:val="20"/>
          <w:szCs w:val="20"/>
          <w:color w:val="auto"/>
        </w:rPr>
      </w:pPr>
      <w:r>
        <w:rPr>
          <w:rFonts w:ascii="Arial" w:cs="Arial" w:eastAsia="Arial" w:hAnsi="Arial"/>
          <w:sz w:val="16"/>
          <w:szCs w:val="16"/>
          <w:color w:val="auto"/>
        </w:rPr>
        <w:t>Notwithstanding any other provision of the Plan, in no event may any Option be exercised, in whole or in part, (i) prior to the date the Plan is approved by the stockholders of the Company as provided herein or (ii) after the occurrence of an event which results in termination of the Option.</w:t>
      </w:r>
    </w:p>
    <w:p>
      <w:pPr>
        <w:spacing w:after="0" w:line="135"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Method of Exercise.</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An Option that is exercisable may be exercised by the Grantee’s delivery of a notice of exercise to the Company, setting forth the number of shares of Stock with respect to which the Option is to be exercised, accompanied by full payment for the shares. To be effective, notice of exercise must be made in accordance with procedures established by the Company from time to time.</w:t>
      </w:r>
    </w:p>
    <w:p>
      <w:pPr>
        <w:spacing w:after="0" w:line="188"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Rights of Holders of Options.</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Unless otherwise stated in the related Award Agreement, an individual holding or exercising an Option shall have none of the rights of a stockholder (for example, the right to receive cash or dividend payments or distributions attributable to the subject shares of Stock or to direct the voting of the subject shares of Stock) until the shares of Stock covered thereby are fully paid and issued to her/him. Except as provided in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hereof or the related Award Agreement, no adjustment shall be made for dividends, distributions or other rights for which the record date is prior to the date of such issuance.</w:t>
      </w:r>
    </w:p>
    <w:p>
      <w:pPr>
        <w:spacing w:after="0" w:line="16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Delivery of Stock Certificates.</w:t>
      </w:r>
    </w:p>
    <w:p>
      <w:pPr>
        <w:spacing w:after="0" w:line="231" w:lineRule="exact"/>
        <w:rPr>
          <w:sz w:val="20"/>
          <w:szCs w:val="20"/>
          <w:color w:val="auto"/>
        </w:rPr>
      </w:pPr>
    </w:p>
    <w:p>
      <w:pPr>
        <w:jc w:val="both"/>
        <w:ind w:firstLine="486"/>
        <w:spacing w:after="0" w:line="331" w:lineRule="auto"/>
        <w:rPr>
          <w:sz w:val="20"/>
          <w:szCs w:val="20"/>
          <w:color w:val="auto"/>
        </w:rPr>
      </w:pPr>
      <w:r>
        <w:rPr>
          <w:rFonts w:ascii="Arial" w:cs="Arial" w:eastAsia="Arial" w:hAnsi="Arial"/>
          <w:sz w:val="16"/>
          <w:szCs w:val="16"/>
          <w:color w:val="auto"/>
        </w:rPr>
        <w:t>Promptly after the exercise of an Option by a Grantee and the payment in full of the Option Price, such Grantee shall be entitled, subject to any transaction fees, as required, to the issuance of a stock certificate or certificates evidencing his or her ownership of the shares of Stock subject to the Option.</w:t>
      </w:r>
    </w:p>
    <w:p>
      <w:pPr>
        <w:spacing w:after="0" w:line="135"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color w:val="auto"/>
        </w:rPr>
        <w:t>Limitations on Incentive Stock Options.</w:t>
      </w:r>
    </w:p>
    <w:p>
      <w:pPr>
        <w:spacing w:after="0" w:line="231"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An Option shall constitute an Incentive Stock Option only (i) if the Grantee of such Option is an employee of the Company or any Subsidiary of the Company; (ii) to the extent specifically provided in the related Award Agreement; and (iii) to the extent that the aggregate Fair Market Value (determined at the time the Option is granted) of the shares of Stock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spacing w:after="0" w:line="163"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APPRECIATION RIGHTS</w:t>
      </w:r>
    </w:p>
    <w:p>
      <w:pPr>
        <w:spacing w:after="0" w:line="225"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Right to Payment.</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A SAR shall confer on the Grantee a right to receive, upon exercise thereof, the excess of (i) the Fair Market Value of one share of Stock on the date of exercise over (ii) the SAR Exercise Price, as determined by the Board. The Award Agreement for a SAR (except those that constitute Substitute Awards) shall specify the SAR Exercise Price, which shall be fixed on the Grant Date as not less than the Fair Market Value of a share of Stock on that date. SARs may be granted alone or in conjunction with all or part of an Option or at any subsequent time during the term of such Option or in conjunction with all or part of any other Award. A SAR granted in tandem with an outstanding Option following the Grant Date of such Option shall have a grant price that is equal to the Option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SAR’s grant price may not be less than the Fair Market Value of a share of Stock on the Grant Date of the SAR to the extent required by Section 409A.</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left="500"/>
        <w:spacing w:after="0"/>
        <w:tabs>
          <w:tab w:leader="none" w:pos="10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Other Terms.</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Board shall determine at the Grant Date, the time or times at which and the circumstances under which a SAR may be exercised in whole or in part (including based on achievement of performance goals and/or future service requirements), the time or times at which SARs shall cease to be or become exercisable following Separation from Service or upon other conditions, the method of exercise, whether or not a SAR shall be in tandem or in combination with any other Award, and any other terms and conditions of any SAR.</w:t>
      </w:r>
    </w:p>
    <w:p>
      <w:pPr>
        <w:spacing w:after="0" w:line="19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Term of SARs.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 xml:space="preserve">The term of a SAR granted under the Plan shall be determined by the Board,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term shall not exceed ten (10) years.</w:t>
      </w:r>
    </w:p>
    <w:p>
      <w:pPr>
        <w:spacing w:after="0" w:line="180"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Payment of SAR Amount.</w:t>
      </w:r>
    </w:p>
    <w:p>
      <w:pPr>
        <w:spacing w:after="0" w:line="231"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Upon exercise of a SAR, a Grantee shall be entitled to receive payment from the Company (in cash or Stock, as determined by the Board) in an amount determined by multiplying:</w:t>
      </w:r>
    </w:p>
    <w:p>
      <w:pPr>
        <w:spacing w:after="0" w:line="186" w:lineRule="exact"/>
        <w:rPr>
          <w:sz w:val="20"/>
          <w:szCs w:val="20"/>
          <w:color w:val="auto"/>
        </w:rPr>
      </w:pPr>
    </w:p>
    <w:p>
      <w:pPr>
        <w:ind w:left="880" w:hanging="386"/>
        <w:spacing w:after="0"/>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of Stock on the date of exercise over the SAR Exercise Price; by</w:t>
      </w:r>
    </w:p>
    <w:p>
      <w:pPr>
        <w:spacing w:after="0" w:line="225" w:lineRule="exact"/>
        <w:rPr>
          <w:rFonts w:ascii="Arial" w:cs="Arial" w:eastAsia="Arial" w:hAnsi="Arial"/>
          <w:sz w:val="18"/>
          <w:szCs w:val="18"/>
          <w:color w:val="auto"/>
        </w:rPr>
      </w:pPr>
    </w:p>
    <w:p>
      <w:pPr>
        <w:ind w:left="880" w:hanging="386"/>
        <w:spacing w:after="0"/>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number of shares of Stock with respect to which the SAR is exercised.</w:t>
      </w:r>
    </w:p>
    <w:p>
      <w:pPr>
        <w:spacing w:after="0" w:line="219" w:lineRule="exact"/>
        <w:rPr>
          <w:rFonts w:ascii="Arial" w:cs="Arial" w:eastAsia="Arial" w:hAnsi="Arial"/>
          <w:sz w:val="18"/>
          <w:szCs w:val="18"/>
          <w:color w:val="auto"/>
        </w:rPr>
      </w:pPr>
    </w:p>
    <w:p>
      <w:pPr>
        <w:ind w:left="760" w:hanging="752"/>
        <w:spacing w:after="0"/>
        <w:tabs>
          <w:tab w:leader="none" w:pos="7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AND RESTRICTED STOCK UNITS</w:t>
      </w: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color w:val="auto"/>
        </w:rPr>
        <w:t>Restrictions.</w:t>
      </w:r>
    </w:p>
    <w:p>
      <w:pPr>
        <w:spacing w:after="0" w:line="2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At the time of grant, the Board may, in its sole discretion, establish a period of time (a “</w:t>
      </w:r>
      <w:r>
        <w:rPr>
          <w:rFonts w:ascii="Arial" w:cs="Arial" w:eastAsia="Arial" w:hAnsi="Arial"/>
          <w:sz w:val="18"/>
          <w:szCs w:val="18"/>
          <w:b w:val="1"/>
          <w:bCs w:val="1"/>
          <w:color w:val="auto"/>
        </w:rPr>
        <w:t>Restricted Period</w:t>
      </w:r>
      <w:r>
        <w:rPr>
          <w:rFonts w:ascii="Arial" w:cs="Arial" w:eastAsia="Arial" w:hAnsi="Arial"/>
          <w:sz w:val="18"/>
          <w:szCs w:val="18"/>
          <w:color w:val="auto"/>
        </w:rPr>
        <w:t>”) and any additional restrictions including the satisfaction of corporate or individual performance objectives applicable to an Award of Restricted Stock or Restricted Stock Units as determined by the Board. Each Award of Restricted Stock or Restricted Stock Units may be subject to a different Restricted Period and additional restrictions. Neither Restricted Stock nor Restricted Stock Units may be sold, transferred, assigned, pledged or otherwise encumbered or disposed of during the Restricted Period or prior to the satisfaction of any other applicable restrictions.</w:t>
      </w:r>
    </w:p>
    <w:p>
      <w:pPr>
        <w:spacing w:after="0" w:line="19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Restricted Stock Certificates.</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Company shall issue stock, in the name of each Grantee to whom Restricted Stock has been granted, stock certificates or other evidence of ownership representing the total number of shares of Restricted Stock granted to the Grantee, as soon as reasonably practicable after the Grant Date. The Board may provide in an Award Agreement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certificates shall bear a legend or legends that comply with the applicable securities laws and regulations and make appropriate reference to the restrictions imposed under the Plan and the Award Agreement.</w:t>
      </w:r>
    </w:p>
    <w:p>
      <w:pPr>
        <w:spacing w:after="0" w:line="19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Rights of Holders of Restricted Stock.</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 xml:space="preserve">Unless the Board otherwise provides in an Award Agreement and subject to </w:t>
      </w:r>
      <w:r>
        <w:rPr>
          <w:rFonts w:ascii="Arial" w:cs="Arial" w:eastAsia="Arial" w:hAnsi="Arial"/>
          <w:sz w:val="18"/>
          <w:szCs w:val="18"/>
          <w:b w:val="1"/>
          <w:bCs w:val="1"/>
          <w:color w:val="auto"/>
        </w:rPr>
        <w:t>Section 16.12</w:t>
      </w:r>
      <w:r>
        <w:rPr>
          <w:rFonts w:ascii="Arial" w:cs="Arial" w:eastAsia="Arial" w:hAnsi="Arial"/>
          <w:sz w:val="18"/>
          <w:szCs w:val="18"/>
          <w:color w:val="auto"/>
        </w:rPr>
        <w:t>, holders of Restricted Stock shall have rights as stockholders of the Company, including voting and dividend rights.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left="500"/>
        <w:spacing w:after="0"/>
        <w:tabs>
          <w:tab w:leader="none" w:pos="9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b w:val="1"/>
          <w:bCs w:val="1"/>
          <w:color w:val="auto"/>
        </w:rPr>
        <w:t>Rights of Holders of Restricted Stock Units.</w:t>
      </w:r>
    </w:p>
    <w:p>
      <w:pPr>
        <w:spacing w:after="0" w:line="225"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10.4.1</w:t>
      </w:r>
      <w:r>
        <w:rPr>
          <w:sz w:val="20"/>
          <w:szCs w:val="20"/>
          <w:color w:val="auto"/>
        </w:rPr>
        <w:tab/>
      </w:r>
      <w:r>
        <w:rPr>
          <w:rFonts w:ascii="Arial" w:cs="Arial" w:eastAsia="Arial" w:hAnsi="Arial"/>
          <w:sz w:val="15"/>
          <w:szCs w:val="15"/>
          <w:b w:val="1"/>
          <w:bCs w:val="1"/>
          <w:color w:val="auto"/>
        </w:rPr>
        <w:t>Settlement of Restricted Stock Units.</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Restricted Stock Units may be settled in cash or Stock, as determined by the Board and set forth in the Award Agreement. The Award Agreement shall also set forth whether the Restricted Stock Units shall be settled (i) within the time period specified for “short term deferrals” under Section 409A or (ii) otherwise within the requirements of Section 409A, in which case the Award Agreement shall specify upon which events such Restricted Stock Units shall be settled.</w:t>
      </w:r>
    </w:p>
    <w:p>
      <w:pPr>
        <w:spacing w:after="0" w:line="191" w:lineRule="exact"/>
        <w:rPr>
          <w:sz w:val="20"/>
          <w:szCs w:val="20"/>
          <w:color w:val="auto"/>
        </w:rPr>
      </w:pPr>
    </w:p>
    <w:p>
      <w:pPr>
        <w:ind w:left="980"/>
        <w:spacing w:after="0"/>
        <w:tabs>
          <w:tab w:leader="none" w:pos="1880" w:val="left"/>
        </w:tabs>
        <w:rPr>
          <w:sz w:val="20"/>
          <w:szCs w:val="20"/>
          <w:color w:val="auto"/>
        </w:rPr>
      </w:pPr>
      <w:r>
        <w:rPr>
          <w:rFonts w:ascii="Arial" w:cs="Arial" w:eastAsia="Arial" w:hAnsi="Arial"/>
          <w:sz w:val="18"/>
          <w:szCs w:val="18"/>
          <w:b w:val="1"/>
          <w:bCs w:val="1"/>
          <w:color w:val="auto"/>
        </w:rPr>
        <w:t>10.4.2</w:t>
      </w:r>
      <w:r>
        <w:rPr>
          <w:sz w:val="20"/>
          <w:szCs w:val="20"/>
          <w:color w:val="auto"/>
        </w:rPr>
        <w:tab/>
      </w:r>
      <w:r>
        <w:rPr>
          <w:rFonts w:ascii="Arial" w:cs="Arial" w:eastAsia="Arial" w:hAnsi="Arial"/>
          <w:sz w:val="15"/>
          <w:szCs w:val="15"/>
          <w:b w:val="1"/>
          <w:bCs w:val="1"/>
          <w:color w:val="auto"/>
        </w:rPr>
        <w:t>Voting and Dividend Rights.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color w:val="auto"/>
        </w:rPr>
        <w:t xml:space="preserve">Unless otherwise stated in the applicable Award Agreement and subject to </w:t>
      </w:r>
      <w:r>
        <w:rPr>
          <w:rFonts w:ascii="Arial" w:cs="Arial" w:eastAsia="Arial" w:hAnsi="Arial"/>
          <w:sz w:val="18"/>
          <w:szCs w:val="18"/>
          <w:b w:val="1"/>
          <w:bCs w:val="1"/>
          <w:color w:val="auto"/>
        </w:rPr>
        <w:t>Section 16.12</w:t>
      </w:r>
      <w:r>
        <w:rPr>
          <w:rFonts w:ascii="Arial" w:cs="Arial" w:eastAsia="Arial" w:hAnsi="Arial"/>
          <w:sz w:val="18"/>
          <w:szCs w:val="18"/>
          <w:color w:val="auto"/>
        </w:rPr>
        <w:t>, holders of Restricted Stock Units shall not have rights as stockholders of the Company, including no voting or dividend or dividend equivalents rights.</w:t>
      </w:r>
    </w:p>
    <w:p>
      <w:pPr>
        <w:spacing w:after="0" w:line="174" w:lineRule="exact"/>
        <w:rPr>
          <w:sz w:val="20"/>
          <w:szCs w:val="20"/>
          <w:color w:val="auto"/>
        </w:rPr>
      </w:pPr>
    </w:p>
    <w:p>
      <w:pPr>
        <w:ind w:left="980"/>
        <w:spacing w:after="0"/>
        <w:tabs>
          <w:tab w:leader="none" w:pos="1880" w:val="left"/>
        </w:tabs>
        <w:rPr>
          <w:sz w:val="20"/>
          <w:szCs w:val="20"/>
          <w:color w:val="auto"/>
        </w:rPr>
      </w:pPr>
      <w:r>
        <w:rPr>
          <w:rFonts w:ascii="Arial" w:cs="Arial" w:eastAsia="Arial" w:hAnsi="Arial"/>
          <w:sz w:val="18"/>
          <w:szCs w:val="18"/>
          <w:b w:val="1"/>
          <w:bCs w:val="1"/>
          <w:color w:val="auto"/>
        </w:rPr>
        <w:t>10.4.3</w:t>
      </w:r>
      <w:r>
        <w:rPr>
          <w:sz w:val="20"/>
          <w:szCs w:val="20"/>
          <w:color w:val="auto"/>
        </w:rPr>
        <w:tab/>
      </w:r>
      <w:r>
        <w:rPr>
          <w:rFonts w:ascii="Arial" w:cs="Arial" w:eastAsia="Arial" w:hAnsi="Arial"/>
          <w:sz w:val="15"/>
          <w:szCs w:val="15"/>
          <w:b w:val="1"/>
          <w:bCs w:val="1"/>
          <w:color w:val="auto"/>
        </w:rPr>
        <w:t>Creditor’s Rights.</w:t>
      </w:r>
    </w:p>
    <w:p>
      <w:pPr>
        <w:spacing w:after="0" w:line="231"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A holder of Restricted Stock Units shall have no rights other than those of a general creditor of the Company. Restricted Stock Units represent an unfunded and unsecured obligation of the Company, subject to the terms and conditions of the applicable Award Agreement.</w:t>
      </w:r>
    </w:p>
    <w:p>
      <w:pPr>
        <w:spacing w:after="0" w:line="18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Purchase of Restricted Stock.</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 xml:space="preserve">The Grantee shall be required, to the extent required by applicable law, to purchase the Restricted Stock from the Company at a Purchase Price equal to the greater of (i) the aggregate par value of the shares of Stock represented by such Restricted Stock or (ii) the Purchase Price, if any, specified in the related Award Agreement. If specified in the Award Agreement, the Purchase Price may be deemed paid by Services already rendered. The Purchase Price shall be payable in a form described in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or, in the discretion of the Board, in consideration for past Services rendered.</w:t>
      </w:r>
    </w:p>
    <w:p>
      <w:pPr>
        <w:spacing w:after="0" w:line="16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b w:val="1"/>
          <w:bCs w:val="1"/>
          <w:color w:val="auto"/>
        </w:rPr>
        <w:t>Delivery of Stock.</w:t>
      </w:r>
    </w:p>
    <w:p>
      <w:pPr>
        <w:spacing w:after="0" w:line="231"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Upon the expiration or termination of any Restricted Period and the satisfaction of any other conditions prescribed by the Board, the restrictions applicable to shares of Restricted Stock or Restricted Stock Units settled in Stock shall lapse, and, unless otherwise provided in the Award Agreement, a stock certificate for such shares shall be delivered, free of all such restrictions, to the Grantee or the Grantee’s beneficiary or estate, as the case may be.</w:t>
      </w:r>
    </w:p>
    <w:p>
      <w:pPr>
        <w:spacing w:after="0" w:line="154" w:lineRule="exact"/>
        <w:rPr>
          <w:sz w:val="20"/>
          <w:szCs w:val="20"/>
          <w:color w:val="auto"/>
        </w:rPr>
      </w:pPr>
    </w:p>
    <w:p>
      <w:pPr>
        <w:ind w:left="760" w:hanging="752"/>
        <w:spacing w:after="0"/>
        <w:tabs>
          <w:tab w:leader="none" w:pos="7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FORM OF PAYMENT FOR OPTIONS AND RESTRICTED STOCK</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  General Rule.</w:t>
      </w:r>
    </w:p>
    <w:p>
      <w:pPr>
        <w:spacing w:after="0" w:line="231"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 xml:space="preserve">Payment of the Option Price for the shares purchased pursuant to the exercise of an Option or the Purchase Price for Restricted Stock shall be made in cash or in cash equivalents acceptable to the Company, except as provided in this </w:t>
      </w:r>
      <w:r>
        <w:rPr>
          <w:rFonts w:ascii="Arial" w:cs="Arial" w:eastAsia="Arial" w:hAnsi="Arial"/>
          <w:sz w:val="18"/>
          <w:szCs w:val="18"/>
          <w:b w:val="1"/>
          <w:bCs w:val="1"/>
          <w:color w:val="auto"/>
        </w:rPr>
        <w:t>Section 11</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left="500"/>
        <w:spacing w:after="0"/>
        <w:tabs>
          <w:tab w:leader="none" w:pos="9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color w:val="auto"/>
        </w:rPr>
        <w:t>Surrender of Stock.</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To the extent the Award Agreement so provides, payment of the Option Price for shares purchased pursuant to the exercise of an Option or the Purchase Price for Restricted Stock may be made all or in part through the tender to the Company of shares of Stock, which shares shall be valued, for purposes of determining the extent to which the Option Price or Purchase Price for Restricted Stock has been paid thereby, at their Fair Market Value on the date of exercise or surrender. Notwithstanding the foregoing, in the case of an Incentive Stock Option, the right to make payment in the form of already owned shares of Stock may be authorized only at the time of grant.</w:t>
      </w:r>
    </w:p>
    <w:p>
      <w:pPr>
        <w:spacing w:after="0" w:line="195"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Cashless Exercise.</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With respect to an Option only (and not with respect to Restricted Stock), to the extent permitted by law and to the extent the Award Agreement so provides, payment of the Option Price may be made all or in part by delivery (on a form acceptable to the Company) of an irrevocable direction to a licensed securities broker acceptable to the Company to sell shares of Stock and to deliver all or part of the sales proceeds to the Company in payment of the Option Price and any withholding taxes described in </w:t>
      </w:r>
      <w:r>
        <w:rPr>
          <w:rFonts w:ascii="Arial" w:cs="Arial" w:eastAsia="Arial" w:hAnsi="Arial"/>
          <w:sz w:val="18"/>
          <w:szCs w:val="18"/>
          <w:b w:val="1"/>
          <w:bCs w:val="1"/>
          <w:color w:val="auto"/>
        </w:rPr>
        <w:t>Section 16.3</w:t>
      </w:r>
      <w:r>
        <w:rPr>
          <w:rFonts w:ascii="Arial" w:cs="Arial" w:eastAsia="Arial" w:hAnsi="Arial"/>
          <w:sz w:val="18"/>
          <w:szCs w:val="18"/>
          <w:color w:val="auto"/>
        </w:rPr>
        <w:t>.</w:t>
      </w:r>
    </w:p>
    <w:p>
      <w:pPr>
        <w:spacing w:after="0" w:line="191"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Other Forms of Payment.</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the extent the Award Agreement so provides, payment of the Option Price or the Purchase Price for Restricted Stock may be made in any other form that is consistent with applicable laws, regulations and rules, including, but not limited to, the Company’s withholding of shares of Stock otherwise due to the exercising Grantee.</w:t>
      </w:r>
    </w:p>
    <w:p>
      <w:pPr>
        <w:spacing w:after="0" w:line="188" w:lineRule="exact"/>
        <w:rPr>
          <w:sz w:val="20"/>
          <w:szCs w:val="20"/>
          <w:color w:val="auto"/>
        </w:rPr>
      </w:pPr>
    </w:p>
    <w:p>
      <w:pPr>
        <w:ind w:left="760" w:hanging="752"/>
        <w:spacing w:after="0"/>
        <w:tabs>
          <w:tab w:leader="none" w:pos="7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OTHER STOCK-BASED AWARDS</w:t>
      </w: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Grant of Other Stock-based Awards.</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Other Stock-based Awards may be granted either alone or in addition to or in conjunction with other Awards under the Plan. Other Stock-based Awards may be granted in lieu of other cash or other compensation to which a Service Provider is entitled from the Company or may be used in the settlement of amounts payable in shares of Common Stock under any other compensation plan or arrangement of the Company. Subject to the provisions of the Plan, the Committee shall have the sole and complete authority to determine the persons to whom and the time or times at which such Awards shall be made, the number of shares of Common Stock to be granted pursuant to such Awards, and all other conditions of such Awards. Unless the Committee determines otherwise, any such Award shall be confirmed by an Award Agreement, which shall contain such provisions as the Committee determines to be necessary or appropriate to carry out the intent of this Plan with respect to such Award.</w:t>
      </w:r>
    </w:p>
    <w:p>
      <w:pPr>
        <w:spacing w:after="0" w:line="166"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Terms of Other Stock-based Awards.</w:t>
      </w:r>
    </w:p>
    <w:p>
      <w:pPr>
        <w:spacing w:after="0" w:line="225" w:lineRule="exact"/>
        <w:rPr>
          <w:sz w:val="20"/>
          <w:szCs w:val="20"/>
          <w:color w:val="auto"/>
        </w:rPr>
      </w:pPr>
    </w:p>
    <w:p>
      <w:pPr>
        <w:jc w:val="both"/>
        <w:ind w:firstLine="486"/>
        <w:spacing w:after="0" w:line="339" w:lineRule="auto"/>
        <w:rPr>
          <w:sz w:val="20"/>
          <w:szCs w:val="20"/>
          <w:color w:val="auto"/>
        </w:rPr>
      </w:pPr>
      <w:r>
        <w:rPr>
          <w:rFonts w:ascii="Arial" w:cs="Arial" w:eastAsia="Arial" w:hAnsi="Arial"/>
          <w:sz w:val="16"/>
          <w:szCs w:val="16"/>
          <w:color w:val="auto"/>
        </w:rPr>
        <w:t xml:space="preserve">Any Common Stock subject to Awards made under this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may not be sold, assigned, transferred, pledged or otherwise encumbered prior to the date on which the shares are issued, or, if later, the date on which any applicable restriction, performance or deferral period lapses.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left="760" w:hanging="752"/>
        <w:spacing w:after="0"/>
        <w:tabs>
          <w:tab w:leader="none" w:pos="7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w:t>
      </w:r>
    </w:p>
    <w:p>
      <w:pPr>
        <w:spacing w:after="0" w:line="22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5"/>
          <w:szCs w:val="15"/>
          <w:b w:val="1"/>
          <w:bCs w:val="1"/>
          <w:color w:val="auto"/>
        </w:rPr>
        <w:t>General.</w:t>
      </w:r>
    </w:p>
    <w:p>
      <w:pPr>
        <w:spacing w:after="0" w:line="23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The Company shall not be required to sell or issue any shares of Stock under any Award if the sale or issuance of such shares would constitute a violation by the Grantee, any other individual exercising an Option, or the Company of any provision of any law or regulation of any governmental authority, including without limitation any federal or state securities laws or regulations. If at any time the Company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of Stock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of Stock underlying an Award, unless a registration statement under such Act is in effect with respect to the shares of Stock covered by such Award, the Company shall not be required to sell or issue such shares unless the Board has received evidence satisfactory to it that the Grantee or any other individual exercising an Option may acquire such shares pursuant to an exemption from registration under the Securities Act. Any determination in this connection by the Board shall be final, binding, and conclusive. The Company may, but shall in no event be obligated to, register any securities covered hereby pursuant to the Securities Act. The Company shall not be obligated to take any affirmative action in order to cause the exercise of an Option or the issuance of shares of Stock pursuant to the Plan to comply with any law or regulation of any governmental authority. As to any jurisdiction that expressly imposes the requirement that an Option shall not be exercisable until the shares of Stock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17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Rule 16b-3.</w:t>
      </w:r>
    </w:p>
    <w:p>
      <w:pPr>
        <w:spacing w:after="0" w:line="2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During any time when the Company has a class of equity security registered under Section 12 of the Exchange Act, it is the intent of the Company that Awards and the grant or exercise of Awards to executive officers and directors hereunder will qualify for the exemption provided by Rule 16b-3 under the Exchange Act. To the extent that any provision of the Plan or action by the Board or Committee does not comply with the requirements of Rule 16b-3, it shall be deemed inoperative to the extent permitted by law and deemed advisable by the Board, and shall not affect the validity of the Plan. In the event that Rule 16b-3 is revised or replaced, the Board may exercise its discretion to modify this Plan in any respect necessary to satisfy the requirements of, or to take advantage of any features of, the revised exemption or its replacement.</w:t>
      </w:r>
    </w:p>
    <w:p>
      <w:pPr>
        <w:spacing w:after="0" w:line="168" w:lineRule="exact"/>
        <w:rPr>
          <w:sz w:val="20"/>
          <w:szCs w:val="20"/>
          <w:color w:val="auto"/>
        </w:rPr>
      </w:pPr>
    </w:p>
    <w:p>
      <w:pPr>
        <w:ind w:left="500" w:right="6780" w:hanging="492"/>
        <w:spacing w:after="0" w:line="504" w:lineRule="auto"/>
        <w:tabs>
          <w:tab w:leader="none" w:pos="77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CHANGES IN CAPITALIZATION 14.1 Changes in Stock.</w:t>
      </w:r>
    </w:p>
    <w:p>
      <w:pPr>
        <w:spacing w:after="0" w:line="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If (i) the number of outstanding shares of Stock is increased or decreased or the shares of Stock are changed into or exchanged for a different number or kind of shares or other securities of the Company on account of any recapitalization, reclassification, stock split, reverse split, combination of shares, exchange of shares, stock dividend or other distribution payable in capital stock, or other increase or decrease in such shares effected without receipt of consideration by the Company occurring after the Effective Date or (ii) there occurs any spin-off, split-up, extraordinary cash dividend or other distribution of assets by the Company, the number and kinds of shares for which grants of Awards may be made under the Plan shall be equitably adjusted by the Company; provided that any such adjustment shall comply with Section 409A. In addition, in the event of any such increase or decrease in the number of outstanding shares or other transaction described in clause (ii) above, the number and kind of shares for which Awards are outstanding and the Option Price per share of outstanding Options and SAR Exercise Price per share of outstanding SARs shall be equitably adjusted; provided that any such adjustment shall comply with Section 409A.</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left="500"/>
        <w:spacing w:after="0"/>
        <w:tabs>
          <w:tab w:leader="none" w:pos="9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color w:val="auto"/>
        </w:rPr>
        <w:t>Effect of Certain Transactions.</w:t>
      </w:r>
    </w:p>
    <w:p>
      <w:pPr>
        <w:spacing w:after="0" w:line="225"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 xml:space="preserve">Except as otherwise provided in an Award Agreement and subject to the provisions of </w:t>
      </w:r>
      <w:r>
        <w:rPr>
          <w:rFonts w:ascii="Arial" w:cs="Arial" w:eastAsia="Arial" w:hAnsi="Arial"/>
          <w:sz w:val="16"/>
          <w:szCs w:val="16"/>
          <w:b w:val="1"/>
          <w:bCs w:val="1"/>
          <w:color w:val="auto"/>
        </w:rPr>
        <w:t>Section 14.3</w:t>
      </w:r>
      <w:r>
        <w:rPr>
          <w:rFonts w:ascii="Arial" w:cs="Arial" w:eastAsia="Arial" w:hAnsi="Arial"/>
          <w:sz w:val="16"/>
          <w:szCs w:val="16"/>
          <w:color w:val="auto"/>
        </w:rPr>
        <w:t xml:space="preserve">, in the event of a Corporate Transaction, the Plan and the Awards issued hereunder shall continue in effect in accordance with their respective terms, except that following a Corporate Transaction either (i) each outstanding Award shall be treated as provided for in the agreement entered into in connection with the Corporate Transaction or (ii) if not so provided in such agreement, each Grantee shall be entitled to receive in respect of each share of Common Stock subject to any outstanding Awards, upon exercise or payment or transfer in respect of any Award, the same number and kind of stock, securities, cash, property or other consideration that each holder of a share of Common Stock was entitled to receive in the Corporate Transaction in respect of a share of Common stock (subject to any necessary rounding to comply with Section 409A or Section 422 of the Code with respect to any Incentive Stock Option);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unless otherwise determined by the Committee, such stock, securities, cash, property or other consideration shall remain subject to all of the conditions, restrictions and performance criteria which were applicable to the Awards prior to such Corporate Transaction. Without limiting the generality of the foregoing, the treatment of outstanding Options and SARs pursuant to this </w:t>
      </w:r>
      <w:r>
        <w:rPr>
          <w:rFonts w:ascii="Arial" w:cs="Arial" w:eastAsia="Arial" w:hAnsi="Arial"/>
          <w:sz w:val="16"/>
          <w:szCs w:val="16"/>
          <w:b w:val="1"/>
          <w:bCs w:val="1"/>
          <w:color w:val="auto"/>
        </w:rPr>
        <w:t>Section 14.2</w:t>
      </w:r>
      <w:r>
        <w:rPr>
          <w:rFonts w:ascii="Arial" w:cs="Arial" w:eastAsia="Arial" w:hAnsi="Arial"/>
          <w:sz w:val="16"/>
          <w:szCs w:val="16"/>
          <w:color w:val="auto"/>
        </w:rPr>
        <w:t xml:space="preserve"> in connection with a Corporate Transaction in which the consideration paid or distributed to the Company’s stockholders is not entirely shares of common stock of the acquiring or resulting corporation may include the cancellation of outstanding Options and SARs upon consummation of the Corporate Transaction as long as, at the election of the Committee, (i) the holders of affected Options and SARs have been given a period of at least fifteen days prior to the date of the consummation of the Corporate Transaction to exercise the Options or SARs (to the extent otherwise exercisable) or (ii) the holders of the affected Options and SARs are paid (in cash or cash equivalents) in respect of each Share covered by the Option or SAR being canceled an amount equal to the excess, if any, of the per share price paid or distributed to stockholders in the Corporate Transaction (the value of any non-cash consideration to be determined by the Committee in its sole discretion) over the Option Price or SAR Exercise Price, as applicable. For avoidance of doubt, (1) the cancellation of Options and SARs pursuant to clause (ii) of the preceding sentence may be effected notwithstanding anything to the contrary contained in this Plan or any Award Agreement and (2) if the amount determined pursuant to clause (ii) of the preceding sentence is zero or less, the affected Option or SAR may be cancelled without any payment therefore. The treatment of any Award as provided in this </w:t>
      </w:r>
      <w:r>
        <w:rPr>
          <w:rFonts w:ascii="Arial" w:cs="Arial" w:eastAsia="Arial" w:hAnsi="Arial"/>
          <w:sz w:val="16"/>
          <w:szCs w:val="16"/>
          <w:b w:val="1"/>
          <w:bCs w:val="1"/>
          <w:color w:val="auto"/>
        </w:rPr>
        <w:t>Section 14.2</w:t>
      </w:r>
      <w:r>
        <w:rPr>
          <w:rFonts w:ascii="Arial" w:cs="Arial" w:eastAsia="Arial" w:hAnsi="Arial"/>
          <w:sz w:val="16"/>
          <w:szCs w:val="16"/>
          <w:color w:val="auto"/>
        </w:rPr>
        <w:t xml:space="preserve"> shall be conclusively presumed to be appropriate for purposes of </w:t>
      </w:r>
      <w:r>
        <w:rPr>
          <w:rFonts w:ascii="Arial" w:cs="Arial" w:eastAsia="Arial" w:hAnsi="Arial"/>
          <w:sz w:val="16"/>
          <w:szCs w:val="16"/>
          <w:b w:val="1"/>
          <w:bCs w:val="1"/>
          <w:color w:val="auto"/>
        </w:rPr>
        <w:t>Section 14.1</w:t>
      </w:r>
      <w:r>
        <w:rPr>
          <w:rFonts w:ascii="Arial" w:cs="Arial" w:eastAsia="Arial" w:hAnsi="Arial"/>
          <w:sz w:val="16"/>
          <w:szCs w:val="16"/>
          <w:color w:val="auto"/>
        </w:rPr>
        <w:t>.</w:t>
      </w:r>
    </w:p>
    <w:p>
      <w:pPr>
        <w:spacing w:after="0" w:line="18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Change in Control</w:t>
      </w:r>
    </w:p>
    <w:p>
      <w:pPr>
        <w:spacing w:after="0" w:line="225"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18"/>
          <w:szCs w:val="18"/>
          <w:b w:val="1"/>
          <w:bCs w:val="1"/>
          <w:color w:val="auto"/>
        </w:rPr>
        <w:t>14.3.1</w:t>
      </w:r>
      <w:r>
        <w:rPr>
          <w:sz w:val="20"/>
          <w:szCs w:val="20"/>
          <w:color w:val="auto"/>
        </w:rPr>
        <w:tab/>
      </w:r>
      <w:r>
        <w:rPr>
          <w:rFonts w:ascii="Arial" w:cs="Arial" w:eastAsia="Arial" w:hAnsi="Arial"/>
          <w:sz w:val="15"/>
          <w:szCs w:val="15"/>
          <w:b w:val="1"/>
          <w:bCs w:val="1"/>
          <w:color w:val="auto"/>
        </w:rPr>
        <w:t>Consequences of a Change in Control</w:t>
      </w:r>
    </w:p>
    <w:p>
      <w:pPr>
        <w:spacing w:after="0" w:line="23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the event of a Change in Control of the Company, the Board, in its discretion, may, at any time an Award is granted, or at any time thereafter, (i) accelerate the time period relating to the exercise or vesting of the Award; or (ii) take one or more of the following actions, which may vary among individual Grantees: (A) provide for the purchase of the Award for an amount of cash or other property that could have been received upon the exercise or vesting of the Award (less any applicable Option Price or SAR Exercise Price in the cash of Options and SARs); (B) adjust the terms of the Awards in a manner determined by the Board to reflect the Change in Control; (C) cause the Awards to be assumed, or new rights substituted therefor, by another entity, through the continuance of the Plan and the assumption of outstanding Awards, or the substitution for such Awards of comparable value covering shares of a successor corporation, with appropriate adjustments as to the number and kind of shares and exercise prices, in which event the Plan and such Awards, or the new options and rights substituted therefor, shall continue in the manner and under the terms so provided; (D) accelerate the time at which Options or SARs then outstanding may be exercised so that such Options and SARs may be exercised for a limited period of time on or before a specified date fixed by the Board, after which specified date, all unexercised Options and SARs shall terminate; or (E) make such other provision as the Board may consider equitable.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left="980"/>
        <w:spacing w:after="0"/>
        <w:tabs>
          <w:tab w:leader="none" w:pos="1920" w:val="left"/>
        </w:tabs>
        <w:rPr>
          <w:sz w:val="20"/>
          <w:szCs w:val="20"/>
          <w:color w:val="auto"/>
        </w:rPr>
      </w:pPr>
      <w:r>
        <w:rPr>
          <w:rFonts w:ascii="Arial" w:cs="Arial" w:eastAsia="Arial" w:hAnsi="Arial"/>
          <w:sz w:val="18"/>
          <w:szCs w:val="18"/>
          <w:b w:val="1"/>
          <w:bCs w:val="1"/>
          <w:color w:val="auto"/>
        </w:rPr>
        <w:t>14.3.2</w:t>
      </w:r>
      <w:r>
        <w:rPr>
          <w:sz w:val="20"/>
          <w:szCs w:val="20"/>
          <w:color w:val="auto"/>
        </w:rPr>
        <w:tab/>
      </w:r>
      <w:r>
        <w:rPr>
          <w:rFonts w:ascii="Arial" w:cs="Arial" w:eastAsia="Arial" w:hAnsi="Arial"/>
          <w:sz w:val="16"/>
          <w:szCs w:val="16"/>
          <w:b w:val="1"/>
          <w:bCs w:val="1"/>
          <w:color w:val="auto"/>
        </w:rPr>
        <w:t>Change in Control Defined</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Except as may otherwise be defined in an Award Agreement, a “</w:t>
      </w:r>
      <w:r>
        <w:rPr>
          <w:rFonts w:ascii="Arial" w:cs="Arial" w:eastAsia="Arial" w:hAnsi="Arial"/>
          <w:sz w:val="16"/>
          <w:szCs w:val="16"/>
          <w:i w:val="1"/>
          <w:iCs w:val="1"/>
          <w:color w:val="auto"/>
        </w:rPr>
        <w:t>Change in Control</w:t>
      </w:r>
      <w:r>
        <w:rPr>
          <w:rFonts w:ascii="Arial" w:cs="Arial" w:eastAsia="Arial" w:hAnsi="Arial"/>
          <w:sz w:val="16"/>
          <w:szCs w:val="16"/>
          <w:color w:val="auto"/>
        </w:rPr>
        <w:t>” shall mean the occurrence of any of the following events: (i) the acquisition, directly or indirectly, by any Person or group (within the meaning of Section 13(d)(3) of the Exchange Act) of the Beneficial Ownership of more than fifty percent of the outstanding securities of the Company; (ii) a merger or consolidation in which the Company is not the surviving entity, except for a transaction the principal purpose of which is to change the state in which the Company is incorporated; (iii) the sale, transfer or other disposition of all or substantially all of the assets of the Company; (i) a complete liquidation or dissolution of the Company; or (v) any reverse merger in which the Company is the surviving entity but in which securities possessing more than fifty percent of the total combined voting power of the Company’s outstanding securities are transferred to a Person or Persons different from the Persons holding those securities immediately prior to such merger.</w:t>
      </w:r>
    </w:p>
    <w:p>
      <w:pPr>
        <w:spacing w:after="0" w:line="17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Notwithstanding the foregoing, if it is determined that an Award hereunder is subject to the requirements of Section 409A and payable upon a Change in Control, the Company will not be deemed to have undergone a Change in Control unless the Company is deemed to have undergone a “change in control event” pursuant to the definition of such term in Section 409A.</w:t>
      </w:r>
    </w:p>
    <w:p>
      <w:pPr>
        <w:spacing w:after="0" w:line="18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5"/>
          <w:szCs w:val="15"/>
          <w:b w:val="1"/>
          <w:bCs w:val="1"/>
          <w:color w:val="auto"/>
        </w:rPr>
        <w:t>Adjustments</w:t>
      </w:r>
    </w:p>
    <w:p>
      <w:pPr>
        <w:spacing w:after="0" w:line="225" w:lineRule="exact"/>
        <w:rPr>
          <w:sz w:val="20"/>
          <w:szCs w:val="20"/>
          <w:color w:val="auto"/>
        </w:rPr>
      </w:pPr>
    </w:p>
    <w:p>
      <w:pPr>
        <w:jc w:val="both"/>
        <w:ind w:firstLine="486"/>
        <w:spacing w:after="0" w:line="310" w:lineRule="auto"/>
        <w:rPr>
          <w:sz w:val="20"/>
          <w:szCs w:val="20"/>
          <w:color w:val="auto"/>
        </w:rPr>
      </w:pPr>
      <w:r>
        <w:rPr>
          <w:rFonts w:ascii="Arial" w:cs="Arial" w:eastAsia="Arial" w:hAnsi="Arial"/>
          <w:sz w:val="16"/>
          <w:szCs w:val="16"/>
          <w:color w:val="auto"/>
        </w:rPr>
        <w:t xml:space="preserve">Adjustments under this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related to shares of Stock or securities of the Company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151" w:lineRule="exact"/>
        <w:rPr>
          <w:sz w:val="20"/>
          <w:szCs w:val="20"/>
          <w:color w:val="auto"/>
        </w:rPr>
      </w:pPr>
    </w:p>
    <w:p>
      <w:pPr>
        <w:ind w:left="760" w:hanging="752"/>
        <w:spacing w:after="0"/>
        <w:tabs>
          <w:tab w:leader="none" w:pos="7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NO LIMITATIONS ON COMPANY</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88" w:lineRule="exact"/>
        <w:rPr>
          <w:sz w:val="20"/>
          <w:szCs w:val="20"/>
          <w:color w:val="auto"/>
        </w:rPr>
      </w:pPr>
    </w:p>
    <w:p>
      <w:pPr>
        <w:ind w:left="500" w:right="3940" w:hanging="492"/>
        <w:spacing w:after="0" w:line="504" w:lineRule="auto"/>
        <w:tabs>
          <w:tab w:leader="none" w:pos="77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TERMS APPLICABLE GENERALLY TO AWARDS GRANTED UNDER THE PLAN 16.1 Disclaimer of Rights.</w:t>
      </w:r>
    </w:p>
    <w:p>
      <w:pPr>
        <w:spacing w:after="0" w:line="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No provision in the Plan or in any Award Agreement shall be construed to confer upon any individual the right to remain in the employ or service of the Company or any Affiliate, or to interfere in any way with any contractual or other right or authority of the Company either to increase or decrease the compensation or other payments to any individual at any time, or to terminate any employment or other relationship between any individual and the Company. In addition, notwithstanding anything contained in the Plan to the contrary, unless otherwise stated in the applicable Award Agreement, no Award granted under the Plan shall be affected by any change of duties or position of the Grantee, so long as such Grantee continues to be a Service Provider. The obligation of the Company to pay any benefits pursuant to this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of the Plan.</w:t>
      </w:r>
    </w:p>
    <w:p>
      <w:pPr>
        <w:spacing w:after="0" w:line="17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Nonexclusivity of the Plan.</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Neither the adoption of the Plan nor the submission of the Plan to the stockholders of the Company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including, without limitation, the granting of stock options as the Board in its discretion determines desirable.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left="500"/>
        <w:spacing w:after="0"/>
        <w:tabs>
          <w:tab w:leader="none" w:pos="9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Withholding Taxes.</w:t>
      </w:r>
    </w:p>
    <w:p>
      <w:pPr>
        <w:spacing w:after="0" w:line="231"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5"/>
          <w:szCs w:val="15"/>
          <w:color w:val="auto"/>
        </w:rPr>
        <w:t xml:space="preserve">The Company or an Affiliate, as the case may be, shall have the right to deduct from payments of any kind otherwise due to a Grantee any federal, state, or local taxes of any kind required by law to be withheld (i) with respect to the vesting of or other lapse of restrictions applicable to an Award, (ii) upon the issuance of any shares of Stock upon the exercise of an Option or SAR, or (iii) otherwise due in connection with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Company or the Affiliate, which may be withheld by the Company or the Affiliate, as the case may be, in its sole discretion, the Grantee may elect to satisfy such obligations, or the Company may require such obligations (up to maximum statutory rates) to be satisfied, in whole or in part, (i) by causing the Company or the Affiliate to withhold the number of shares of Stock otherwise issuable to the Grantee as may be necessary to satisfy such withholding obligation or (ii) by delivering to the Company or the Affiliate shares of Stock already owned by the Grantee. The shares of Stock so delivered or withheld shall have an aggregate Fair Market Value equal to such withholding obligations (up to maximum statutory rates). The Fair Market Value of the shares of Stock used to satisfy such withholding obligation shall be determined by the Company or the Affiliate as of the date that the amount of tax to be withheld is to be determined. A Grantee who has made an election pursuant to this </w:t>
      </w:r>
      <w:r>
        <w:rPr>
          <w:rFonts w:ascii="Arial" w:cs="Arial" w:eastAsia="Arial" w:hAnsi="Arial"/>
          <w:sz w:val="15"/>
          <w:szCs w:val="15"/>
          <w:b w:val="1"/>
          <w:bCs w:val="1"/>
          <w:color w:val="auto"/>
        </w:rPr>
        <w:t>Section 16.3</w:t>
      </w:r>
      <w:r>
        <w:rPr>
          <w:rFonts w:ascii="Arial" w:cs="Arial" w:eastAsia="Arial" w:hAnsi="Arial"/>
          <w:sz w:val="15"/>
          <w:szCs w:val="15"/>
          <w:color w:val="auto"/>
        </w:rPr>
        <w:t xml:space="preserve"> may satisfy his or her withholding obligation only with shares of Stock that are not subject to any repurchase, forfeiture, unfulfilled vesting, or other similar requirements.</w:t>
      </w:r>
    </w:p>
    <w:p>
      <w:pPr>
        <w:spacing w:after="0" w:line="163"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b w:val="1"/>
          <w:bCs w:val="1"/>
          <w:color w:val="auto"/>
        </w:rPr>
        <w:t>Captions.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use of captions in this Plan or any Award Agreement is for the convenience of reference only and shall not affect the meaning of any provision of the Plan or any Award Agreement.</w:t>
      </w:r>
    </w:p>
    <w:p>
      <w:pPr>
        <w:spacing w:after="0" w:line="18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5"/>
          <w:szCs w:val="15"/>
          <w:b w:val="1"/>
          <w:bCs w:val="1"/>
          <w:color w:val="auto"/>
        </w:rPr>
        <w:t>Other Provisions.</w:t>
      </w:r>
    </w:p>
    <w:p>
      <w:pPr>
        <w:spacing w:after="0" w:line="231" w:lineRule="exact"/>
        <w:rPr>
          <w:sz w:val="20"/>
          <w:szCs w:val="20"/>
          <w:color w:val="auto"/>
        </w:rPr>
      </w:pPr>
    </w:p>
    <w:p>
      <w:pPr>
        <w:jc w:val="both"/>
        <w:ind w:right="20" w:firstLine="486"/>
        <w:spacing w:after="0" w:line="331" w:lineRule="auto"/>
        <w:rPr>
          <w:sz w:val="20"/>
          <w:szCs w:val="20"/>
          <w:color w:val="auto"/>
        </w:rPr>
      </w:pPr>
      <w:r>
        <w:rPr>
          <w:rFonts w:ascii="Arial" w:cs="Arial" w:eastAsia="Arial" w:hAnsi="Arial"/>
          <w:sz w:val="16"/>
          <w:szCs w:val="16"/>
          <w:color w:val="auto"/>
        </w:rPr>
        <w:t>Each Award Agreement may contain such other terms and conditions not inconsistent with the Plan as may be determined by the Board, in its sole discretion. In the event of any conflict between the terms of an employment agreement and the Plan, the terms of the employment agreement govern.</w:t>
      </w:r>
    </w:p>
    <w:p>
      <w:pPr>
        <w:spacing w:after="0" w:line="135"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5"/>
          <w:szCs w:val="15"/>
          <w:b w:val="1"/>
          <w:bCs w:val="1"/>
          <w:color w:val="auto"/>
        </w:rPr>
        <w:t>Number and Gender.</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With respect to words used in this Plan, the singular form shall include the plural form, the masculine gender shall include the feminine gender, etc., as the context requires.</w:t>
      </w:r>
    </w:p>
    <w:p>
      <w:pPr>
        <w:spacing w:after="0" w:line="18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5"/>
          <w:szCs w:val="15"/>
          <w:b w:val="1"/>
          <w:bCs w:val="1"/>
          <w:color w:val="auto"/>
        </w:rPr>
        <w:t>Severability.</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8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5"/>
          <w:szCs w:val="15"/>
          <w:b w:val="1"/>
          <w:bCs w:val="1"/>
          <w:color w:val="auto"/>
        </w:rPr>
        <w:t>Governing Law.</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Plan shall be governed by and construed in accordance with the laws of the State of Nevada without giving effect to the principles of conflicts of law, and applicable Federal law.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left="500"/>
        <w:spacing w:after="0"/>
        <w:tabs>
          <w:tab w:leader="none" w:pos="9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5"/>
          <w:szCs w:val="15"/>
          <w:b w:val="1"/>
          <w:bCs w:val="1"/>
          <w:color w:val="auto"/>
        </w:rPr>
        <w:t>Section 409A.</w:t>
      </w:r>
    </w:p>
    <w:p>
      <w:pPr>
        <w:spacing w:after="0" w:line="23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Plan is intended to comply with Section 409A to the extent subject thereto,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applicable laws require otherwise. Notwithstanding anything to the contrary in the Plan, to the extent required to avoid accelerated taxation and tax penalties under Section 409A, amounts that would otherwise be payable and benefits that would otherwise be provided pursuant to the Plan during the six (6) month period immediately following the Grantee’s Separation from Service shall instead be paid on the first payroll date after the six-month anniversary of the Grantee’s Separation from Service (or the Grantee’s death, if earlier). Notwithstanding the foregoing, neither the Company nor the Committee shall have any obligation to take any action to prevent the assessment of any excise tax or penalty on any Grantee under Section 409A and neither the Company nor the Committee will have any liability to any Grantee for such tax or penalty.</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16.10 Separation from Service.</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Board shall determine the effect of a Separation from Service upon Awards, and such effect shall be set forth in the appropriate Award Agreement. Without limiting the foregoing, the Board may provide in the Award Agreements at the time of grant, or any time thereafter with the consent of the Grantee, the actions that will be taken upon the occurrence of a Separation from Service, including, but not limited to, accelerated vesting or termination, depending upon the circumstances surrounding the Separation from Service.</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16.11 Transferability of Awards.</w:t>
      </w:r>
    </w:p>
    <w:p>
      <w:pPr>
        <w:spacing w:after="0" w:line="225" w:lineRule="exact"/>
        <w:rPr>
          <w:sz w:val="20"/>
          <w:szCs w:val="20"/>
          <w:color w:val="auto"/>
        </w:rPr>
      </w:pPr>
    </w:p>
    <w:p>
      <w:pPr>
        <w:ind w:left="980"/>
        <w:spacing w:after="0"/>
        <w:tabs>
          <w:tab w:leader="none" w:pos="1820" w:val="left"/>
        </w:tabs>
        <w:rPr>
          <w:sz w:val="20"/>
          <w:szCs w:val="20"/>
          <w:color w:val="auto"/>
        </w:rPr>
      </w:pPr>
      <w:r>
        <w:rPr>
          <w:rFonts w:ascii="Arial" w:cs="Arial" w:eastAsia="Arial" w:hAnsi="Arial"/>
          <w:sz w:val="18"/>
          <w:szCs w:val="18"/>
          <w:b w:val="1"/>
          <w:bCs w:val="1"/>
          <w:color w:val="auto"/>
        </w:rPr>
        <w:t>16.11.1</w:t>
      </w:r>
      <w:r>
        <w:rPr>
          <w:sz w:val="20"/>
          <w:szCs w:val="20"/>
          <w:color w:val="auto"/>
        </w:rPr>
        <w:tab/>
      </w:r>
      <w:r>
        <w:rPr>
          <w:rFonts w:ascii="Arial" w:cs="Arial" w:eastAsia="Arial" w:hAnsi="Arial"/>
          <w:sz w:val="15"/>
          <w:szCs w:val="15"/>
          <w:b w:val="1"/>
          <w:bCs w:val="1"/>
          <w:color w:val="auto"/>
        </w:rPr>
        <w:t>Transfers in General.</w:t>
      </w:r>
    </w:p>
    <w:p>
      <w:pPr>
        <w:spacing w:after="0" w:line="22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color w:val="auto"/>
        </w:rPr>
        <w:t>Section 16.11.2</w:t>
      </w:r>
      <w:r>
        <w:rPr>
          <w:rFonts w:ascii="Arial" w:cs="Arial" w:eastAsia="Arial" w:hAnsi="Arial"/>
          <w:sz w:val="18"/>
          <w:szCs w:val="18"/>
          <w:color w:val="auto"/>
        </w:rPr>
        <w:t>, no Award shall be assignable or transferable by the Grantee to whom it is granted, other than by will or the laws of descent and distribution, and, during the lifetime of the Grantee, only the Grantee personally (or the Grantee’s personal representative) may exercise rights under the Plan.</w:t>
      </w:r>
    </w:p>
    <w:p>
      <w:pPr>
        <w:spacing w:after="0" w:line="186"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8"/>
          <w:szCs w:val="18"/>
          <w:b w:val="1"/>
          <w:bCs w:val="1"/>
          <w:color w:val="auto"/>
        </w:rPr>
        <w:t>16.11.2</w:t>
      </w:r>
      <w:r>
        <w:rPr>
          <w:sz w:val="20"/>
          <w:szCs w:val="20"/>
          <w:color w:val="auto"/>
        </w:rPr>
        <w:tab/>
      </w:r>
      <w:r>
        <w:rPr>
          <w:rFonts w:ascii="Arial" w:cs="Arial" w:eastAsia="Arial" w:hAnsi="Arial"/>
          <w:sz w:val="15"/>
          <w:szCs w:val="15"/>
          <w:b w:val="1"/>
          <w:bCs w:val="1"/>
          <w:color w:val="auto"/>
        </w:rPr>
        <w:t>Family Transfers.</w:t>
      </w:r>
    </w:p>
    <w:p>
      <w:pPr>
        <w:spacing w:after="0" w:line="2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If authorized in the applicable Award Agreement, a Grantee may transfer, not for value, all or part of an Award (other than Incentive Stock Options) to any Family Member. For the purpose of this </w:t>
      </w:r>
      <w:r>
        <w:rPr>
          <w:rFonts w:ascii="Arial" w:cs="Arial" w:eastAsia="Arial" w:hAnsi="Arial"/>
          <w:sz w:val="16"/>
          <w:szCs w:val="16"/>
          <w:b w:val="1"/>
          <w:bCs w:val="1"/>
          <w:color w:val="auto"/>
        </w:rPr>
        <w:t>Section 16.11.2</w:t>
      </w:r>
      <w:r>
        <w:rPr>
          <w:rFonts w:ascii="Arial" w:cs="Arial" w:eastAsia="Arial" w:hAnsi="Arial"/>
          <w:sz w:val="16"/>
          <w:szCs w:val="16"/>
          <w:color w:val="auto"/>
        </w:rPr>
        <w:t xml:space="preserve">,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w:t>
      </w:r>
      <w:r>
        <w:rPr>
          <w:rFonts w:ascii="Arial" w:cs="Arial" w:eastAsia="Arial" w:hAnsi="Arial"/>
          <w:sz w:val="16"/>
          <w:szCs w:val="16"/>
          <w:b w:val="1"/>
          <w:bCs w:val="1"/>
          <w:color w:val="auto"/>
        </w:rPr>
        <w:t>Section 16.11.2</w:t>
      </w:r>
      <w:r>
        <w:rPr>
          <w:rFonts w:ascii="Arial" w:cs="Arial" w:eastAsia="Arial" w:hAnsi="Arial"/>
          <w:sz w:val="16"/>
          <w:szCs w:val="16"/>
          <w:color w:val="auto"/>
        </w:rPr>
        <w:t xml:space="preserve">, any such Award shall continue to be subject to the same terms and conditions as were applicable immediately prior to transfer. Subsequent transfers of transferred Awards are prohibited except to Family Members of the original Grantee in accordance with this </w:t>
      </w:r>
      <w:r>
        <w:rPr>
          <w:rFonts w:ascii="Arial" w:cs="Arial" w:eastAsia="Arial" w:hAnsi="Arial"/>
          <w:sz w:val="16"/>
          <w:szCs w:val="16"/>
          <w:b w:val="1"/>
          <w:bCs w:val="1"/>
          <w:color w:val="auto"/>
        </w:rPr>
        <w:t>Section 16.11.2</w:t>
      </w:r>
      <w:r>
        <w:rPr>
          <w:rFonts w:ascii="Arial" w:cs="Arial" w:eastAsia="Arial" w:hAnsi="Arial"/>
          <w:sz w:val="16"/>
          <w:szCs w:val="16"/>
          <w:color w:val="auto"/>
        </w:rPr>
        <w:t xml:space="preserve"> or by will or the laws of descent and distribution.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left="500"/>
        <w:spacing w:after="0"/>
        <w:rPr>
          <w:sz w:val="20"/>
          <w:szCs w:val="20"/>
          <w:color w:val="auto"/>
        </w:rPr>
      </w:pPr>
      <w:r>
        <w:rPr>
          <w:rFonts w:ascii="Arial" w:cs="Arial" w:eastAsia="Arial" w:hAnsi="Arial"/>
          <w:sz w:val="18"/>
          <w:szCs w:val="18"/>
          <w:b w:val="1"/>
          <w:bCs w:val="1"/>
          <w:color w:val="auto"/>
        </w:rPr>
        <w:t>16.12 Dividends and Dividend Equivalent Rights.</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If specified in the Award Agreement, the recipient of an Award (other than Options or SARs) may be entitled to receive dividends or dividend equivalents with respect to the Common Stock or other securities covered by an Award. The terms and conditions of a dividend equivalent right may be set forth in the Award Agreement. Dividend equivalents credited to a Grantee may be reinvested in additional shares of Stock or other securities of the Company at a price per unit equal to the Fair Market Value of a share of Stock on the date that such dividend was paid to stockholders, as determined in the sole discretion of the Committee. Notwithstanding any provision herein to the contrary, in no event will dividends or dividend equivalents vest or otherwise be paid out prior to the time that the underlying Award (or portion thereof) has vested and, accordingly, will be subject to cancellation and forfeiture if such Award does not vest (including both time-based and performance-based Awards).</w:t>
      </w:r>
    </w:p>
    <w:p>
      <w:pPr>
        <w:spacing w:after="0" w:line="16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b w:val="1"/>
          <w:bCs w:val="1"/>
          <w:color w:val="auto"/>
        </w:rPr>
        <w:t>16.13 No Repricing</w:t>
      </w:r>
      <w:r>
        <w:rPr>
          <w:rFonts w:ascii="Arial" w:cs="Arial" w:eastAsia="Arial" w:hAnsi="Arial"/>
          <w:sz w:val="16"/>
          <w:szCs w:val="16"/>
          <w:color w:val="auto"/>
        </w:rPr>
        <w:t>. Subject to Section 14.1, the Committee shall not, without the approval of the stockholders of the Company, (a) authorize 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of any outstanding Option or SAR to reduce its exercise price per Share, or (b) cancel any Option or SAR in exchange for cash or another Award when the per share exercise price for such Option or SAR exceeds the Fair Market Value of the underlying shares.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approved by the Board of Directors on July 28,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by the stockholders of VistaGen Therapeutics, Inc. on [●], 2021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1095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10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143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1438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1]"/>
      <w:numFmt w:val="upperLetter"/>
      <w:start w:val="24"/>
    </w:lvl>
  </w:abstractNum>
  <w:abstractNum w:abstractNumId="2">
    <w:nsid w:val="721DA317"/>
    <w:multiLevelType w:val="hybridMultilevel"/>
    <w:lvl w:ilvl="0">
      <w:lvlJc w:val="left"/>
      <w:lvlText w:val="["/>
      <w:numFmt w:val="bullet"/>
      <w:start w:val="1"/>
    </w:lvl>
    <w:lvl w:ilvl="1">
      <w:lvlJc w:val="left"/>
      <w:lvlText w:val="%2."/>
      <w:numFmt w:val="decimal"/>
      <w:start w:val="1"/>
    </w:lvl>
  </w:abstractNum>
  <w:abstractNum w:abstractNumId="3">
    <w:nsid w:val="2443A858"/>
    <w:multiLevelType w:val="hybridMultilevel"/>
    <w:lvl w:ilvl="0">
      <w:lvlJc w:val="left"/>
      <w:lvlText w:val="["/>
      <w:numFmt w:val="bullet"/>
      <w:start w:val="1"/>
    </w:lvl>
    <w:lvl w:ilvl="1">
      <w:lvlJc w:val="left"/>
      <w:lvlText w:val="%2."/>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8"/>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8"/>
    </w:lvl>
  </w:abstractNum>
  <w:abstractNum w:abstractNumId="15">
    <w:nsid w:val="836C40E"/>
    <w:multiLevelType w:val="hybridMultilevel"/>
    <w:lvl w:ilvl="0">
      <w:lvlJc w:val="left"/>
      <w:lvlText w:val="(%1)"/>
      <w:numFmt w:val="decimal"/>
      <w:start w:val="9"/>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1."/>
      <w:numFmt w:val="decimal"/>
      <w:start w:val="3"/>
    </w:lvl>
  </w:abstractNum>
  <w:abstractNum w:abstractNumId="26">
    <w:nsid w:val="614FD4A1"/>
    <w:multiLevelType w:val="hybridMultilevel"/>
    <w:lvl w:ilvl="0">
      <w:lvlJc w:val="left"/>
      <w:lvlText w:val="(%1)"/>
      <w:numFmt w:val="lowerRoman"/>
      <w:start w:val="1"/>
    </w:lvl>
  </w:abstractNum>
  <w:abstractNum w:abstractNumId="27">
    <w:nsid w:val="419AC241"/>
    <w:multiLevelType w:val="hybridMultilevel"/>
    <w:lvl w:ilvl="0">
      <w:lvlJc w:val="left"/>
      <w:lvlText w:val="%1."/>
      <w:numFmt w:val="decimal"/>
      <w:start w:val="4"/>
    </w:lvl>
  </w:abstractNum>
  <w:abstractNum w:abstractNumId="28">
    <w:nsid w:val="5577F8E1"/>
    <w:multiLevelType w:val="hybridMultilevel"/>
    <w:lvl w:ilvl="0">
      <w:lvlJc w:val="left"/>
      <w:lvlText w:val="%1."/>
      <w:numFmt w:val="decimal"/>
      <w:start w:val="5"/>
    </w:lvl>
  </w:abstractNum>
  <w:abstractNum w:abstractNumId="29">
    <w:nsid w:val="440BADFC"/>
    <w:multiLevelType w:val="hybridMultilevel"/>
    <w:lvl w:ilvl="0">
      <w:lvlJc w:val="left"/>
      <w:lvlText w:val="%1."/>
      <w:numFmt w:val="decimal"/>
      <w:start w:val="6"/>
    </w:lvl>
  </w:abstractNum>
  <w:abstractNum w:abstractNumId="30">
    <w:nsid w:val="5072367"/>
    <w:multiLevelType w:val="hybridMultilevel"/>
    <w:lvl w:ilvl="0">
      <w:lvlJc w:val="left"/>
      <w:lvlText w:val="%1."/>
      <w:numFmt w:val="decimal"/>
      <w:start w:val="7"/>
    </w:lvl>
  </w:abstractNum>
  <w:abstractNum w:abstractNumId="31">
    <w:nsid w:val="3804823E"/>
    <w:multiLevelType w:val="hybridMultilevel"/>
    <w:lvl w:ilvl="0">
      <w:lvlJc w:val="left"/>
      <w:lvlText w:val="%1."/>
      <w:numFmt w:val="decimal"/>
      <w:start w:val="8"/>
    </w:lvl>
  </w:abstractNum>
  <w:abstractNum w:abstractNumId="32">
    <w:nsid w:val="77465F01"/>
    <w:multiLevelType w:val="hybridMultilevel"/>
    <w:lvl w:ilvl="0">
      <w:lvlJc w:val="left"/>
      <w:lvlText w:val="%1."/>
      <w:numFmt w:val="decimal"/>
      <w:start w:val="9"/>
    </w:lvl>
  </w:abstractNum>
  <w:abstractNum w:abstractNumId="33">
    <w:nsid w:val="7724C67E"/>
    <w:multiLevelType w:val="hybridMultilevel"/>
    <w:lvl w:ilvl="0">
      <w:lvlJc w:val="left"/>
      <w:lvlText w:val="%1"/>
      <w:numFmt w:val="decimal"/>
      <w:start w:val="1"/>
    </w:lvl>
    <w:lvl w:ilvl="1">
      <w:lvlJc w:val="left"/>
      <w:lvlText w:val="(%2)"/>
      <w:numFmt w:val="lowerRoman"/>
      <w:start w:val="1"/>
    </w:lvl>
  </w:abstractNum>
  <w:abstractNum w:abstractNumId="34">
    <w:nsid w:val="5C482A97"/>
    <w:multiLevelType w:val="hybridMultilevel"/>
    <w:lvl w:ilvl="0">
      <w:lvlJc w:val="left"/>
      <w:lvlText w:val="%1."/>
      <w:numFmt w:val="decimal"/>
      <w:start w:val="10"/>
    </w:lvl>
    <w:lvl w:ilvl="1">
      <w:lvlJc w:val="left"/>
      <w:lvlText w:val="%2"/>
      <w:numFmt w:val="lowerRoman"/>
      <w:start w:val="1"/>
    </w:lvl>
  </w:abstractNum>
  <w:abstractNum w:abstractNumId="35">
    <w:nsid w:val="2463B9EA"/>
    <w:multiLevelType w:val="hybridMultilevel"/>
    <w:lvl w:ilvl="0">
      <w:lvlJc w:val="left"/>
      <w:lvlText w:val="%1."/>
      <w:numFmt w:val="decimal"/>
      <w:start w:val="11"/>
    </w:lvl>
  </w:abstractNum>
  <w:abstractNum w:abstractNumId="36">
    <w:nsid w:val="5E884ADC"/>
    <w:multiLevelType w:val="hybridMultilevel"/>
    <w:lvl w:ilvl="0">
      <w:lvlJc w:val="left"/>
      <w:lvlText w:val="%1."/>
      <w:numFmt w:val="decimal"/>
      <w:start w:val="12"/>
    </w:lvl>
  </w:abstractNum>
  <w:abstractNum w:abstractNumId="37">
    <w:nsid w:val="51EAD36B"/>
    <w:multiLevelType w:val="hybridMultilevel"/>
    <w:lvl w:ilvl="0">
      <w:lvlJc w:val="left"/>
      <w:lvlText w:val="%1."/>
      <w:numFmt w:val="decimal"/>
      <w:start w:val="13"/>
    </w:lvl>
  </w:abstractNum>
  <w:abstractNum w:abstractNumId="38">
    <w:nsid w:val="2D517796"/>
    <w:multiLevelType w:val="hybridMultilevel"/>
    <w:lvl w:ilvl="0">
      <w:lvlJc w:val="left"/>
      <w:lvlText w:val="%1."/>
      <w:numFmt w:val="decimal"/>
      <w:start w:val="14"/>
    </w:lvl>
  </w:abstractNum>
  <w:abstractNum w:abstractNumId="39">
    <w:nsid w:val="580BD78F"/>
    <w:multiLevelType w:val="hybridMultilevel"/>
    <w:lvl w:ilvl="0">
      <w:lvlJc w:val="left"/>
      <w:lvlText w:val="%1."/>
      <w:numFmt w:val="decimal"/>
      <w:start w:val="15"/>
    </w:lvl>
  </w:abstractNum>
  <w:abstractNum w:abstractNumId="40">
    <w:nsid w:val="153EA43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2021-07-29T17:34:41Z</dcterms:created>
  <dcterms:modified xsi:type="dcterms:W3CDTF">2021-07-29T17:34:41Z</dcterms:modified>
</cp:coreProperties>
</file>