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800" w:type="dxa"/>
            <w:vAlign w:val="bottom"/>
          </w:tcPr>
          <w:p>
            <w:pPr>
              <w:jc w:val="right"/>
              <w:ind w:right="3612"/>
              <w:spacing w:after="0"/>
              <w:rPr>
                <w:sz w:val="20"/>
                <w:szCs w:val="20"/>
                <w:color w:val="auto"/>
              </w:rPr>
            </w:pPr>
            <w:r>
              <w:rPr>
                <w:rFonts w:ascii="Arial" w:cs="Arial" w:eastAsia="Arial" w:hAnsi="Arial"/>
                <w:sz w:val="18"/>
                <w:szCs w:val="18"/>
                <w:b w:val="1"/>
                <w:bCs w:val="1"/>
                <w:color w:val="auto"/>
              </w:rPr>
              <w:t>.</w:t>
            </w:r>
          </w:p>
        </w:tc>
      </w:tr>
      <w:tr>
        <w:trPr>
          <w:trHeight w:val="451"/>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8100" w:type="dxa"/>
            <w:vAlign w:val="bottom"/>
            <w:gridSpan w:val="6"/>
          </w:tcPr>
          <w:p>
            <w:pPr>
              <w:jc w:val="center"/>
              <w:ind w:left="317"/>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42"/>
        </w:trPr>
        <w:tc>
          <w:tcPr>
            <w:tcW w:w="240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w w:val="90"/>
              </w:rPr>
              <w:t>Nevada</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left="329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r>
      <w:tr>
        <w:trPr>
          <w:trHeight w:val="222"/>
        </w:trPr>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26, 2018, 31,057,215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60" w:type="dxa"/>
            <w:vAlign w:val="bottom"/>
            <w:gridSpan w:val="7"/>
          </w:tcPr>
          <w:p>
            <w:pPr>
              <w:ind w:left="96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48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480" w:type="dxa"/>
            <w:vAlign w:val="bottom"/>
            <w:gridSpan w:val="18"/>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18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2018 and March 31, 2018</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80" w:type="dxa"/>
            <w:vAlign w:val="bottom"/>
            <w:gridSpan w:val="13"/>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six months ended September 30,</w:t>
              </w:r>
            </w:hyperlink>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2017</w:t>
              </w:r>
            </w:hyperlink>
          </w:p>
        </w:tc>
        <w:tc>
          <w:tcPr>
            <w:tcW w:w="26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5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for the six months ended September 30, 2018 and 2017</w:t>
              </w:r>
            </w:hyperlink>
          </w:p>
        </w:tc>
        <w:tc>
          <w:tcPr>
            <w:tcW w:w="162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80" w:type="dxa"/>
            <w:vAlign w:val="bottom"/>
            <w:gridSpan w:val="13"/>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60" w:type="dxa"/>
            <w:vAlign w:val="bottom"/>
            <w:shd w:val="clear" w:color="auto" w:fill="CCEEFF"/>
          </w:tcPr>
          <w:p>
            <w:pPr>
              <w:spacing w:after="0"/>
              <w:rPr>
                <w:sz w:val="17"/>
                <w:szCs w:val="17"/>
                <w:color w:val="auto"/>
              </w:rPr>
            </w:pPr>
          </w:p>
        </w:tc>
        <w:tc>
          <w:tcPr>
            <w:tcW w:w="9540" w:type="dxa"/>
            <w:vAlign w:val="bottom"/>
            <w:gridSpan w:val="1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160" w:type="dxa"/>
            <w:vAlign w:val="bottom"/>
            <w:tcBorders>
              <w:top w:val="single" w:sz="8" w:color="CCEEFF"/>
            </w:tcBorders>
          </w:tcPr>
          <w:p>
            <w:pPr>
              <w:spacing w:after="0"/>
              <w:rPr>
                <w:sz w:val="15"/>
                <w:szCs w:val="15"/>
                <w:color w:val="auto"/>
              </w:rPr>
            </w:pPr>
          </w:p>
        </w:tc>
        <w:tc>
          <w:tcPr>
            <w:tcW w:w="1740" w:type="dxa"/>
            <w:vAlign w:val="bottom"/>
            <w:tcBorders>
              <w:top w:val="single" w:sz="8" w:color="0000EE"/>
              <w:bottom w:val="single" w:sz="8" w:color="0000EE"/>
            </w:tcBorders>
            <w:gridSpan w:val="7"/>
          </w:tcPr>
          <w:p>
            <w:pPr>
              <w:spacing w:after="0" w:line="17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Controls and Procedures</w:t>
              </w:r>
            </w:hyperlink>
          </w:p>
        </w:tc>
        <w:tc>
          <w:tcPr>
            <w:tcW w:w="4560" w:type="dxa"/>
            <w:vAlign w:val="bottom"/>
            <w:tcBorders>
              <w:top w:val="single" w:sz="8" w:color="0000EE"/>
            </w:tcBorders>
            <w:gridSpan w:val="5"/>
          </w:tcPr>
          <w:p>
            <w:pPr>
              <w:spacing w:after="0"/>
              <w:rPr>
                <w:sz w:val="15"/>
                <w:szCs w:val="15"/>
                <w:color w:val="auto"/>
              </w:rPr>
            </w:pPr>
          </w:p>
        </w:tc>
        <w:tc>
          <w:tcPr>
            <w:tcW w:w="3240" w:type="dxa"/>
            <w:vAlign w:val="bottom"/>
            <w:tcBorders>
              <w:top w:val="single" w:sz="8" w:color="CCEEFF"/>
            </w:tcBorders>
            <w:gridSpan w:val="3"/>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51"/>
        </w:trPr>
        <w:tc>
          <w:tcPr>
            <w:tcW w:w="1048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60" w:type="dxa"/>
            <w:vAlign w:val="bottom"/>
            <w:shd w:val="clear" w:color="auto" w:fill="CCEEFF"/>
          </w:tcPr>
          <w:p>
            <w:pPr>
              <w:spacing w:after="0"/>
              <w:rPr>
                <w:sz w:val="15"/>
                <w:szCs w:val="15"/>
                <w:color w:val="auto"/>
              </w:rPr>
            </w:pPr>
          </w:p>
        </w:tc>
        <w:tc>
          <w:tcPr>
            <w:tcW w:w="954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6"/>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60" w:type="dxa"/>
            <w:vAlign w:val="bottom"/>
            <w:shd w:val="clear" w:color="auto" w:fill="CCEEFF"/>
          </w:tcPr>
          <w:p>
            <w:pPr>
              <w:spacing w:after="0"/>
              <w:rPr>
                <w:sz w:val="17"/>
                <w:szCs w:val="17"/>
                <w:color w:val="auto"/>
              </w:rPr>
            </w:pPr>
          </w:p>
        </w:tc>
        <w:tc>
          <w:tcPr>
            <w:tcW w:w="9540" w:type="dxa"/>
            <w:vAlign w:val="bottom"/>
            <w:gridSpan w:val="15"/>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160" w:type="dxa"/>
            <w:vAlign w:val="bottom"/>
            <w:tcBorders>
              <w:top w:val="single" w:sz="8" w:color="CCEEFF"/>
            </w:tcBorders>
          </w:tcPr>
          <w:p>
            <w:pPr>
              <w:spacing w:after="0"/>
              <w:rPr>
                <w:sz w:val="15"/>
                <w:szCs w:val="15"/>
                <w:color w:val="auto"/>
              </w:rPr>
            </w:pPr>
          </w:p>
        </w:tc>
        <w:tc>
          <w:tcPr>
            <w:tcW w:w="42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Defaults Upon Senior Secured Securities</w:t>
              </w:r>
            </w:hyperlink>
          </w:p>
        </w:tc>
        <w:tc>
          <w:tcPr>
            <w:tcW w:w="5300" w:type="dxa"/>
            <w:vAlign w:val="bottom"/>
            <w:tcBorders>
              <w:top w:val="single" w:sz="8" w:color="CCEEFF"/>
            </w:tcBorders>
            <w:gridSpan w:val="5"/>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60" w:type="dxa"/>
            <w:vAlign w:val="bottom"/>
            <w:shd w:val="clear" w:color="auto" w:fill="CCEEFF"/>
          </w:tcPr>
          <w:p>
            <w:pPr>
              <w:spacing w:after="0"/>
              <w:rPr>
                <w:sz w:val="17"/>
                <w:szCs w:val="17"/>
                <w:color w:val="auto"/>
              </w:rPr>
            </w:pPr>
          </w:p>
        </w:tc>
        <w:tc>
          <w:tcPr>
            <w:tcW w:w="9540" w:type="dxa"/>
            <w:vAlign w:val="bottom"/>
            <w:gridSpan w:val="1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7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30" w:lineRule="exact"/>
        <w:rPr>
          <w:sz w:val="20"/>
          <w:szCs w:val="20"/>
          <w:color w:val="auto"/>
        </w:rPr>
      </w:pPr>
    </w:p>
    <w:p>
      <w:pPr>
        <w:ind w:left="180" w:right="740"/>
        <w:spacing w:after="0" w:line="254" w:lineRule="auto"/>
        <w:rPr>
          <w:sz w:val="20"/>
          <w:szCs w:val="20"/>
          <w:color w:val="auto"/>
        </w:rPr>
      </w:pPr>
      <w:r>
        <w:rPr>
          <w:rFonts w:ascii="Arial" w:cs="Arial" w:eastAsia="Arial" w:hAnsi="Arial"/>
          <w:sz w:val="18"/>
          <w:szCs w:val="18"/>
          <w:color w:val="auto"/>
        </w:rPr>
        <w:t>Prepaid expenses and other current assets Total current assets</w:t>
      </w:r>
    </w:p>
    <w:p>
      <w:pPr>
        <w:ind w:left="180" w:right="1280"/>
        <w:spacing w:after="0" w:line="352" w:lineRule="auto"/>
        <w:rPr>
          <w:sz w:val="20"/>
          <w:szCs w:val="20"/>
          <w:color w:val="auto"/>
        </w:rPr>
      </w:pPr>
      <w:r>
        <w:rPr>
          <w:rFonts w:ascii="Arial" w:cs="Arial" w:eastAsia="Arial" w:hAnsi="Arial"/>
          <w:sz w:val="15"/>
          <w:szCs w:val="15"/>
          <w:color w:val="auto"/>
        </w:rPr>
        <w:t>Property and equipment, net Security deposits and other assets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LIABILITIES AND STOCKHOLDERS’ EQUITY </w:t>
      </w:r>
      <w:r>
        <w:rPr>
          <w:rFonts w:ascii="Arial" w:cs="Arial" w:eastAsia="Arial" w:hAnsi="Arial"/>
          <w:sz w:val="18"/>
          <w:szCs w:val="18"/>
          <w:color w:val="auto"/>
        </w:rPr>
        <w:t>Current liabilities: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notes payable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September 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4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41"/>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(Unaudited)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(Note 2)</w:t>
            </w:r>
          </w:p>
        </w:tc>
      </w:tr>
      <w:tr>
        <w:trPr>
          <w:trHeight w:val="24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53"/>
        </w:trPr>
        <w:tc>
          <w:tcPr>
            <w:tcW w:w="4880" w:type="dxa"/>
            <w:vAlign w:val="bottom"/>
            <w:gridSpan w:val="2"/>
          </w:tcPr>
          <w:p>
            <w:pPr>
              <w:ind w:left="47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7,831,600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10,378,300</w:t>
            </w:r>
          </w:p>
        </w:tc>
      </w:tr>
      <w:tr>
        <w:trPr>
          <w:trHeight w:val="231"/>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648,000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644,800</w:t>
            </w:r>
          </w:p>
        </w:tc>
      </w:t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8,479,600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11,023,100</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207,400</w:t>
            </w:r>
          </w:p>
        </w:tc>
      </w:tr>
      <w:tr>
        <w:trPr>
          <w:trHeight w:val="231"/>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r>
      <w:tr>
        <w:trPr>
          <w:trHeight w:val="216"/>
        </w:trPr>
        <w:tc>
          <w:tcPr>
            <w:tcW w:w="47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11,278,300</w:t>
            </w:r>
          </w:p>
        </w:tc>
      </w:tr>
      <w:tr>
        <w:trPr>
          <w:trHeight w:val="21"/>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9"/>
        </w:trPr>
        <w:tc>
          <w:tcPr>
            <w:tcW w:w="4880" w:type="dxa"/>
            <w:vAlign w:val="bottom"/>
            <w:gridSpan w:val="2"/>
          </w:tcPr>
          <w:p>
            <w:pPr>
              <w:ind w:left="47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1,195,700</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206,300</w:t>
            </w: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-1713230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-1421765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-1147445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-821055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-546735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-272415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820" w:space="220"/>
            <w:col w:w="738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1,308,200</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418,500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3,591,800</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w w:val="97"/>
              </w:rPr>
              <w:t>Preferred stock, $0.001 par value; 10,000,000 shares authorized at September 30, 2018 and March 31,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Series A Preferred, 500,000 shares authorized, issued and outstanding at September 30, 2018 and March 31, 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w w:val="93"/>
              </w:rPr>
              <w:t>Series B Preferred; 4,000,000 shares authorized at September 30, 2018 and March 31, 2018; 1,160,240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80"/>
              <w:spacing w:after="0"/>
              <w:rPr>
                <w:sz w:val="20"/>
                <w:szCs w:val="20"/>
                <w:color w:val="auto"/>
              </w:rPr>
            </w:pPr>
            <w:r>
              <w:rPr>
                <w:rFonts w:ascii="Arial" w:cs="Arial" w:eastAsia="Arial" w:hAnsi="Arial"/>
                <w:sz w:val="18"/>
                <w:szCs w:val="18"/>
                <w:color w:val="auto"/>
              </w:rPr>
              <w:t>issued and outstanding at September 30, 2018 and March 31, 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Series C Preferred; 3,000,000 shares authorized at September 30, 2018 and March 31, 2018;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issued and outstanding at September 30, 2018 and March 31, 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w w:val="96"/>
              </w:rPr>
              <w:t>Common stock, $0.001 par value; 100,000,000 shares authorized at September 30, 2018 and March 31,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w w:val="89"/>
              </w:rPr>
              <w:t>28,676,715 and 23,068,280 shares issued and outstanding at September 30, 2018 and March 31, 2018,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28,700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176,117,900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167,401,400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Treasury stock, at cost, 135,665 shares of common stock held at September 30, 2018 and March 31,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(168,193,300)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(156,543,800)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3,989,200</w:t>
            </w:r>
          </w:p>
        </w:tc>
        <w:tc>
          <w:tcPr>
            <w:tcW w:w="280" w:type="dxa"/>
            <w:vAlign w:val="bottom"/>
            <w:tcBorders>
              <w:top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6,916,600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8,889,200</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11,278,300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and administrative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operating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Quarters Ended</w:t>
            </w:r>
          </w:p>
        </w:tc>
        <w:tc>
          <w:tcPr>
            <w:tcW w:w="180" w:type="dxa"/>
            <w:vAlign w:val="bottom"/>
          </w:tcPr>
          <w:p>
            <w:pPr>
              <w:spacing w:after="0"/>
              <w:rPr>
                <w:sz w:val="18"/>
                <w:szCs w:val="18"/>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Six Months Ended</w:t>
            </w:r>
          </w:p>
        </w:tc>
      </w:tr>
      <w:tr>
        <w:trPr>
          <w:trHeight w:val="237"/>
        </w:trPr>
        <w:tc>
          <w:tcPr>
            <w:tcW w:w="120" w:type="dxa"/>
            <w:vAlign w:val="bottom"/>
          </w:tcPr>
          <w:p>
            <w:pPr>
              <w:spacing w:after="0"/>
              <w:rPr>
                <w:sz w:val="20"/>
                <w:szCs w:val="20"/>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20"/>
                <w:szCs w:val="20"/>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September 30,</w:t>
            </w:r>
          </w:p>
        </w:tc>
      </w:tr>
      <w:tr>
        <w:trPr>
          <w:trHeight w:val="250"/>
        </w:trPr>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1"/>
                <w:szCs w:val="21"/>
                <w:color w:val="auto"/>
              </w:rPr>
            </w:pPr>
          </w:p>
        </w:tc>
      </w:tr>
      <w:tr>
        <w:trPr>
          <w:trHeight w:val="45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5,261,100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2,426,600</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8,004,800</w:t>
            </w:r>
          </w:p>
        </w:tc>
        <w:tc>
          <w:tcPr>
            <w:tcW w:w="2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3,522,800</w:t>
            </w:r>
          </w:p>
        </w:tc>
        <w:tc>
          <w:tcPr>
            <w:tcW w:w="60" w:type="dxa"/>
            <w:vAlign w:val="bottom"/>
          </w:tcPr>
          <w:p>
            <w:pPr>
              <w:spacing w:after="0"/>
              <w:rPr>
                <w:sz w:val="24"/>
                <w:szCs w:val="24"/>
                <w:color w:val="auto"/>
              </w:rPr>
            </w:pPr>
          </w:p>
        </w:tc>
      </w:tr>
      <w:tr>
        <w:trPr>
          <w:trHeight w:val="231"/>
        </w:trPr>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2,567,100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3,637,300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3,731,400</w:t>
            </w:r>
          </w:p>
        </w:tc>
        <w:tc>
          <w:tcPr>
            <w:tcW w:w="60" w:type="dxa"/>
            <w:vAlign w:val="bottom"/>
          </w:tcPr>
          <w:p>
            <w:pPr>
              <w:spacing w:after="0"/>
              <w:rPr>
                <w:sz w:val="20"/>
                <w:szCs w:val="20"/>
                <w:color w:val="auto"/>
              </w:rPr>
            </w:pPr>
          </w:p>
        </w:tc>
      </w:tr>
      <w:tr>
        <w:trPr>
          <w:trHeight w:val="223"/>
        </w:trPr>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11,642,100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7,254,200</w:t>
            </w:r>
          </w:p>
        </w:tc>
        <w:tc>
          <w:tcPr>
            <w:tcW w:w="60" w:type="dxa"/>
            <w:vAlign w:val="bottom"/>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(7,432,100)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(11,642,100)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(7,254,200)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-586740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-295275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-3175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240" w:space="720"/>
            <w:col w:w="546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(7,435,000)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(4,997,000)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(11,647,100)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(7,259,900)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(7,435,000)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(4,997,000)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(11,649,500)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(7,262,300)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(283,600)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(256,300)</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(557,100)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(503,600)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(7,718,600)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(5,253,300)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(12,206,600)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(7,765,900)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per common share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common stockholders per common share</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25,815,245</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9,892,016</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24,267,816</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9,465,459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13"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42"/>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(11,649,500)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(7,262,300)</w:t>
            </w:r>
          </w:p>
        </w:tc>
      </w:tr>
      <w:tr>
        <w:trPr>
          <w:trHeight w:val="242"/>
        </w:trPr>
        <w:tc>
          <w:tcPr>
            <w:tcW w:w="8820" w:type="dxa"/>
            <w:vAlign w:val="bottom"/>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modification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Fair value of common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207,300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common stock issued for product license and option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Fair value of warrants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173,500</w:t>
            </w:r>
          </w:p>
        </w:tc>
        <w:tc>
          <w:tcPr>
            <w:tcW w:w="140" w:type="dxa"/>
            <w:vAlign w:val="bottom"/>
          </w:tcPr>
          <w:p>
            <w:pPr>
              <w:spacing w:after="0"/>
              <w:rPr>
                <w:sz w:val="19"/>
                <w:szCs w:val="19"/>
                <w:color w:val="auto"/>
              </w:rPr>
            </w:pPr>
          </w:p>
        </w:tc>
      </w:tr>
      <w:tr>
        <w:trPr>
          <w:trHeight w:val="223"/>
        </w:trPr>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(7,063,100)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(4,009,900)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Purchases of equipment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of tenant improvements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(169,800)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4,778,700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Repayment of notes payable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(91,900)</w:t>
            </w:r>
          </w:p>
        </w:tc>
      </w:tr>
      <w:tr>
        <w:trPr>
          <w:trHeight w:val="223"/>
        </w:trPr>
        <w:tc>
          <w:tcPr>
            <w:tcW w:w="8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4,686,200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(2,546,700)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(1,156,900)</w:t>
            </w: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10,378,300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7,831,600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1,764,400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160,500</w:t>
            </w: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503,600</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an investigational prodrug candidate, is an orally bioavailable NMDAR GlyB (N-methyl-D-aspartate receptor glycine B) antagonist in development as a potential new treatment for multiple CNS indications with high unmet need, including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any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both the adjunctive treatment of MDD and NP.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MDD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While current FDA-approved antidepressants are widely used, the STAR*D study, the largest clinical trial conducted in depression to date, found that approximately two-thirds of patients with MDD do not respond to their initial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AV-101 has potential to be an oral, stand-alone first line therapy and an adjunctive therapy if successfully developed and approved. As an adjunctive therapy, we believe AV-101 has potential to both (i) augment current antidepressants approved by the FDA and serve as a monotherapy, in the current MDD drug treatment paradigm for patients with MDD who have an inadequate response to standard antidepressants, and (ii) prevent relapse of MDD and/or suicidal ideation following successful treatment with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 or as an intranasal spray formulation to treat patients with treatment-resistant MDD. We believe AV-101 may have potential to deliver fast-acting antidepressant effects as an oral therapy on an at-home basis, without the requirement for administration in a medical setting or that required the use of needles, and without causing psychological, sedative or other side effects and safety concerns associated with other fast-acting newer generation antidepressant drug candidates.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AV-101 is currently in Phase 2 clinical development in the United States for MDD. We initiated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Arial" w:cs="Arial" w:eastAsia="Arial" w:hAnsi="Arial"/>
          <w:sz w:val="16"/>
          <w:szCs w:val="16"/>
          <w:i w:val="1"/>
          <w:iCs w:val="1"/>
          <w:color w:val="auto"/>
        </w:rPr>
        <w:t>ELEVATE Study</w:t>
      </w:r>
      <w:r>
        <w:rPr>
          <w:rFonts w:ascii="Arial" w:cs="Arial" w:eastAsia="Arial" w:hAnsi="Arial"/>
          <w:sz w:val="16"/>
          <w:szCs w:val="16"/>
          <w:color w:val="auto"/>
        </w:rPr>
        <w:t>) at the end of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Journal of the 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in mid-2019.</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xml:space="preserve">) with the NIMH (the </w:t>
      </w:r>
      <w:r>
        <w:rPr>
          <w:rFonts w:ascii="Arial" w:cs="Arial" w:eastAsia="Arial" w:hAnsi="Arial"/>
          <w:sz w:val="18"/>
          <w:szCs w:val="18"/>
          <w:i w:val="1"/>
          <w:iCs w:val="1"/>
          <w:color w:val="auto"/>
        </w:rPr>
        <w:t>NIMH Study</w:t>
      </w:r>
      <w:r>
        <w:rPr>
          <w:rFonts w:ascii="Arial" w:cs="Arial" w:eastAsia="Arial" w:hAnsi="Arial"/>
          <w:sz w:val="18"/>
          <w:szCs w:val="18"/>
          <w:color w:val="auto"/>
        </w:rPr>
        <w:t>). Dr. Carlos Zarate, Jr., Chief of the NIMH’s Experimental Therapeutics &amp; Pathophysiology Branch and its Section on Neurobiology and Treatment of Mood and Anxiety Disorders, is acting as the Principal Investigator for the NIMH Study, which is focused on AV-101 monotherapy for subjects with treatment-resistant MDD and multiple biomarkers.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Suicidal Ideation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 to 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the number of U.S. citizens who die by suicide is, since 2010, higher than those who die in motor vehicle accidents. People of all genders, ages, and ethnicities can be at risk for suicide. Suicidal ideation (suicidal thoughts and behavior) is complex and there is no single cause. The NIMH attributes many different factors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8"/>
          <w:szCs w:val="18"/>
          <w:i w:val="1"/>
          <w:iCs w:val="1"/>
          <w:color w:val="auto"/>
        </w:rPr>
        <w:t>VA</w:t>
      </w:r>
      <w:r>
        <w:rPr>
          <w:rFonts w:ascii="Arial" w:cs="Arial" w:eastAsia="Arial" w:hAnsi="Arial"/>
          <w:sz w:val="18"/>
          <w:szCs w:val="18"/>
          <w:color w:val="auto"/>
        </w:rPr>
        <w:t>), the U.S. Military Veteran population is at significantly higher risk for suicide.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2018, we acquired, on a non-cash basis through the issuance of unregistered shares of our common stock, a license from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giving us the exclusive worldwide rights to develop and commercialize PH94B, a pivotal study (Phase 3) ready drug candidate administered as a nasal spray. PH94B has potential to be the first FDA-approved acute on-demand medication for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 social phobia that affects as many as 15 million American adults according to the NIMH.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SAD is commonly treated chronically with antidepressants, which have a slow onset of effect (several weeks or months) and known side effects that may make them unattractive to individuals intermittently affected by SAD.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Administered as a nasal spray, PH94B is designed to act locally on peripheral nasal chemosensory receptors that trigger rapid activation of the limbic system areas of the brain associated with SAD. In prior clinical studies, PH94B demonstrated rapid (10-15 minutes) anxiety reduction for subjects with SAD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without addictive, sedative or other adverse events. Independent studies in published literature have observed that fast-acting treatments, such as benzodiazepines and beta blockers, currently used on an off-label basis to treat SAD have been associated with addictive, sedative, and other adverse events.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clinical studies in which PH94B was observed to have rapid onset of effect on anxiety reduction as measured by the SUD and LSAS and was well-tolerated, and in light of its novel route of administration and on-demand dosing design, we believe PH94B has potential to be the first FDA-approved medication for acute on demand intermittent and long-term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October 2018, we acquired, on a non-cash basis through the issuance of unregistered shares of our common stock, a second license from Pherin giving us the exclusive worldwide rights to develop and commercialize PH10, an investigational pherine designed to be administered as a nasal spray to bind locally on nasal chemosensory receptors and trigger responses in the hypothalamus, amygdala, prefrontal cortex and hippocampus. See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additional disclosure regarding our acquisition of an exclusive license for PH10. Similar to PH94B, PH10 has been evaluated in clinical studies in which it was observed that PH10 was well-tolerated and did not circulate systemically in the blood. It is believed that PH10 may initiate nerve impulses that follow defined pathways to directly affect brain function. In a small exploratory Phase 2a study in patients with MDD, PH10 showed a large, rapid-onset antidepressant effect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psychological side effects or safety signals.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093"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2018 has been derived from our audited consolidated financial statements at that date but does not include all disclosures required by U.S. GAAP. The operating results for the three and six months ended September 30, 2018 are not necessarily indicative of the operating results to be expected for our fiscal year ending March 31, 2019, or for any other future interim or other period.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contained in this Report should be read in conjunction with our audited Consolidated Financial Statements for our fiscal year ended March 31, 2018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26, 2018.</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$168.2 million accumulated from inception (May 1998) through September 30, 2018. We expect losses and negative cash flows from operations to continue for the foreseeable future as we engage in further development of AV-101, initially as an adjunctive treatment for MDD and subsequently as a new treatment alternative for other CNS conditions, further development of PH94B and PH10, execute our drug rescue programs and pursue potential drug development and regenerative medicine opportunities.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September 30, 2018, we have financed our operations and technology acquisitions primarily through the issuance and sale of our equity and debt securities for cash proceeds of approximately $66.2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$36.1 million in non-cash settlements of certain liabilities, including liabilities for professional services rendered to us or as compensation for such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had cash and cash equivalents of $7.8 million.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Subsequently, through October 26, 2018, we received cash proceeds of approximately $2.4 million from self-placed private placements of unregistered equity securities and exercises of outstanding warrants to purchase our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xml:space="preserve">), including (i) cash proceeds of $977,500 from the self-placed private placement to accredited investors of units consisting of an aggregate of 782,000 unregistered shares of our Common Stock and warrants exercisable at least six months and one day following issuance and through February 28, 2022 to purchase 782,000 unregistered shares of our Common Stock at $1.50 per share, bringing the aggregate proceeds of the over-subscribed self-placed private offering to $5.75 million (the </w:t>
      </w:r>
      <w:r>
        <w:rPr>
          <w:rFonts w:ascii="Arial" w:cs="Arial" w:eastAsia="Arial" w:hAnsi="Arial"/>
          <w:sz w:val="16"/>
          <w:szCs w:val="16"/>
          <w:i w:val="1"/>
          <w:iCs w:val="1"/>
          <w:color w:val="auto"/>
        </w:rPr>
        <w:t>Summer 2018 Private</w:t>
      </w:r>
      <w:r>
        <w:rPr>
          <w:rFonts w:ascii="Arial" w:cs="Arial" w:eastAsia="Arial" w:hAnsi="Arial"/>
          <w:sz w:val="16"/>
          <w:szCs w:val="16"/>
          <w:color w:val="auto"/>
        </w:rPr>
        <w:t xml:space="preserve"> </w:t>
      </w:r>
      <w:r>
        <w:rPr>
          <w:rFonts w:ascii="Arial" w:cs="Arial" w:eastAsia="Arial" w:hAnsi="Arial"/>
          <w:sz w:val="16"/>
          <w:szCs w:val="16"/>
          <w:i w:val="1"/>
          <w:iCs w:val="1"/>
          <w:color w:val="auto"/>
        </w:rPr>
        <w:t>Placement</w:t>
      </w:r>
      <w:r>
        <w:rPr>
          <w:rFonts w:ascii="Arial" w:cs="Arial" w:eastAsia="Arial" w:hAnsi="Arial"/>
          <w:sz w:val="16"/>
          <w:szCs w:val="16"/>
          <w:color w:val="auto"/>
        </w:rPr>
        <w:t>), (ii) proceeds of approximately $852,000 from the self-placed private placement to accredited investors of units consisting of an aggregate of 420,939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unregistered shares of our Common Stock and four-year, immediately exercisable warrants to purchase 420,939 unregistered shares of our Common Stock at a subscription price above the closing market price per share of our Common Stock on the Nasdaq Capital Market on the effective day of each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xml:space="preserve">) and (iii) cash proceeds of approximately $581,000 from October 1, 2018 through the date of this Report from the exercise of outstanding warrants to purchase 387,300 registered shares of our Common Stock. See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additional information regarding the Summer 2018 Private Placement, Fall 2018 Private Placement and warrant exercises.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Although our cash position at September 30, 2018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we plan to complete our ELEVATE study, conduct additional clinical and nonclinical studies involving AV-101 and prepare for a pivotal Phase 3 clinical trial of PH94B and a Phase 2 clinical trial of PH10, raise substantial doubt that we can continue as a going concern, as noted above, since September 30, 2018, we have raised approximately $2.4 million of additional capital from the sale of our equity securities.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into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non-dilutive funding for development of AV-101, PH94B, PH10 or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BlueRock Agreement pursuant to which we recorded sublicense revenue in the third quarter of our fiscal year ended March 31, 2017,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stem cell research and development costs, and costs related to the application and prosecution of patents related to AV-101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 xml:space="preserve">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 license to develop and commercialize PH94B and an option to acquire a license to develop and commercialize PH10 by issuing an aggregate of 1,630,435 unregistered shares of our Common Stock having a fair market value of $2,250,000. Since, at the date of acquisition, neither product candidate has achieved regulatory approval and each will require significant additional development and expense, we have expensed the costs related to acquiring the license and option. See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the acquisition of the license for PH10 in October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is required to perform services in exchange for the award, which generally represents the scheduled vesting period. We have not granted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Six Months Ended</w:t>
            </w:r>
          </w:p>
        </w:tc>
      </w:t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r>
      <w:tr>
        <w:trPr>
          <w:trHeight w:val="250"/>
        </w:trPr>
        <w:tc>
          <w:tcPr>
            <w:tcW w:w="60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42"/>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4"/>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450,600</w:t>
            </w:r>
          </w:p>
        </w:tc>
        <w:tc>
          <w:tcPr>
            <w:tcW w:w="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328,300</w:t>
            </w:r>
          </w:p>
        </w:tc>
        <w:tc>
          <w:tcPr>
            <w:tcW w:w="140" w:type="dxa"/>
            <w:vAlign w:val="bottom"/>
            <w:shd w:val="clear" w:color="auto" w:fill="CCEEFF"/>
          </w:tcPr>
          <w:p>
            <w:pPr>
              <w:spacing w:after="0"/>
              <w:rPr>
                <w:sz w:val="19"/>
                <w:szCs w:val="19"/>
                <w:color w:val="auto"/>
              </w:rPr>
            </w:pPr>
          </w:p>
        </w:tc>
      </w:tr>
      <w:tr>
        <w:trPr>
          <w:trHeight w:val="223"/>
        </w:trPr>
        <w:tc>
          <w:tcPr>
            <w:tcW w:w="60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450,600</w:t>
            </w: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328,300</w:t>
            </w:r>
          </w:p>
        </w:tc>
        <w:tc>
          <w:tcPr>
            <w:tcW w:w="140" w:type="dxa"/>
            <w:vAlign w:val="bottom"/>
            <w:tcBorders>
              <w:top w:val="single" w:sz="8" w:color="CCEEFF"/>
            </w:tcBorders>
          </w:tcPr>
          <w:p>
            <w:pPr>
              <w:spacing w:after="0"/>
              <w:rPr>
                <w:sz w:val="19"/>
                <w:szCs w:val="19"/>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721,800</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721,800</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1,172,400</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697,600</w:t>
            </w:r>
          </w:p>
        </w:tc>
        <w:tc>
          <w:tcPr>
            <w:tcW w:w="14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August 2018, our Board approved the grant of options from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purchase an aggregate of 860,000 shares of our Common Stock at an exercise price of $1.27 per share to the independent members of our Board, our officers and our employees. We valued the options granted in August 2018 using the Black-Scholes Option Pricing Model and the following weighted average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August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Estimated term in years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2018, our Board also approved the modification of outstanding options having exercise prices over $1.56 per share and held by independent members of our Board, our officers and our employees to reduce the exercise prices thereof to $1.50 per share. We calculated the fair value of the options immediately before and after the modification using the Black-Scholes Option Pricing Model and the weighted average assumptions indicated in the table below. We immediately recognized the additional fair value attributable to vested options, $258,100, as stock compensation expense, which is included in the figures reported above. The additional fair value resulting from the modification is being expensed over the remaining vesting period of the modified options.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5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Remaining expected term in years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Dividend rate</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2912"/>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At September 30, 2018, there were stock options outstanding to purchase 6,160,338 shares of our common stock at a weighted average exercise price of $1.46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option grants made during October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loss per share, as their effect would be antidilutive. Potentially dilutive securities excluded in determining diluted net loss attributable to common stockholders per common share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9"/>
              </w:rPr>
              <w:t>Outstanding options under the Amended and Restated 2016 (formerly 2008) and 1999 Stock Incentive Plans (1999 Plan in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2017 only)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6,160,338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3,279,871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20,709,516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31,098,106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14,473,274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exchange under the terms of the October 11, 2012 Note Exchange and Purchase Agreement, as amended</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exchange under the terms of the Certificate of Designation of the Relative Rights and Preferences of the Series B 10% Convertible Preferred Stock, effective May 5, 2015</w:t>
      </w:r>
    </w:p>
    <w:p>
      <w:pPr>
        <w:ind w:left="340" w:right="2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September 30, 2018 or March 31, 2018.</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six months ended September 30, 2018, as compared to the recent accounting pronouncements described in our Form 10-K for our fiscal year ended March 31, 2018, that are of significance or potential significance to us.</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2018,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2018-07,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Nonemployee Share-Based Payment Accounting </w:t>
      </w:r>
      <w:r>
        <w:rPr>
          <w:rFonts w:ascii="Arial" w:cs="Arial" w:eastAsia="Arial" w:hAnsi="Arial"/>
          <w:sz w:val="16"/>
          <w:szCs w:val="16"/>
          <w:color w:val="auto"/>
        </w:rPr>
        <w:t>(</w:t>
      </w:r>
      <w:r>
        <w:rPr>
          <w:rFonts w:ascii="Arial" w:cs="Arial" w:eastAsia="Arial" w:hAnsi="Arial"/>
          <w:sz w:val="16"/>
          <w:szCs w:val="16"/>
          <w:i w:val="1"/>
          <w:iCs w:val="1"/>
          <w:color w:val="auto"/>
        </w:rPr>
        <w:t>ASU 2018-07</w:t>
      </w:r>
      <w:r>
        <w:rPr>
          <w:rFonts w:ascii="Arial" w:cs="Arial" w:eastAsia="Arial" w:hAnsi="Arial"/>
          <w:sz w:val="16"/>
          <w:szCs w:val="16"/>
          <w:color w:val="auto"/>
        </w:rPr>
        <w:t>). ASU 2018-07 expands the scope of Topic 718 to include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transactions for acquiring goods and services from nonemployees. Under ASU 2018-07, consistent with the accounting requirement for employee share-based payment awards, nonemployee share-based payment awards within the scope of Topic 718 are to be measured at the grant-date fair value of the equity instruments that an entity is obligated to issue when the good has been delivered or the service has been rendered and any other conditions necessary to earn the right to benefit from the instruments have been satisfied. Equity-classified nonemployee share-based payment awards are to be measured at the grant date. The definition of the term grant date is amended to generally state the date at which a grantor and a grantee reach a mutual understanding of the key terms and conditions of a share-based payment award. ASU 2018-07 specifies that Topic 718 applies to all share-based payment transactions in which a grantor acquires goods or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ASU 2018-07 is effective for public business entities for fiscal years beginning after December 15, 2018, including interim periods within that fiscal year. Early adoption is permitted, but no earlier than an entity’s adoption date of Topic 606. We expect to adopt ASU 2018-07 as of April 1, 2019, and we are evaluating the expected impact of this new guidance on our financial statements.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This standard will become effective for our fiscal year beginning April 1, 2019, with early adoption permitted. We expect to adopt the standard as of April 1, 2019, and are continuing to evaluate the expected impact of this new guidance on our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September 30, 2018 and March 31, 2018: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52"/>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AV-101 materials and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8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prepaid professional services is primarily attributable to the unexpensed portion of the fair value of securities we have issued to certain professional service providers as full or partial compensation for services. The fair value of the securities issued is being expensed ratably over the term of the related service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Property and equipment is composed of the following at September 30, 2018 and March 31, 2018: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(880,000)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(842,100)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in tenant improvements reflects recently completed construction at our South San Francisco, California offices. Under the terms of our November 2016 lease extension agreement, our landlord has provided cash reimbursement of $158,600 of such tenant improvement costs. Such reimbursement is a component of the deferred rent liability shown on our Condensed Consolidated Balance Sheet at September 30,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September 30, 2018 and March 31, 2018: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AV-101 clinical trial, development</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related expenses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495,900</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98,300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599,700</w:t>
            </w:r>
          </w:p>
        </w:tc>
        <w:tc>
          <w:tcPr>
            <w:tcW w:w="18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206,300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7. Notes Payable</w:t>
            </w: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8"/>
          </w:tcPr>
          <w:p>
            <w:pPr>
              <w:spacing w:after="0"/>
              <w:rPr>
                <w:sz w:val="20"/>
                <w:szCs w:val="20"/>
                <w:color w:val="auto"/>
              </w:rPr>
            </w:pPr>
            <w:r>
              <w:rPr>
                <w:rFonts w:ascii="Arial" w:cs="Arial" w:eastAsia="Arial" w:hAnsi="Arial"/>
                <w:sz w:val="18"/>
                <w:szCs w:val="18"/>
                <w:color w:val="auto"/>
                <w:w w:val="90"/>
              </w:rPr>
              <w:t>The following table summarizes our unsecured promissory notes at September 30, 2018 and March 31, 2018.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4"/>
                <w:szCs w:val="24"/>
                <w:color w:val="auto"/>
              </w:rPr>
            </w:pPr>
          </w:p>
        </w:tc>
        <w:tc>
          <w:tcPr>
            <w:tcW w:w="24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rPr>
              <w:t>September 30, 2018</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2"/>
              </w:rPr>
              <w:t>March 31, 2018</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6"/>
              </w:rPr>
              <w:t>Accrued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Accrued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Interest</w:t>
            </w: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6.50% and 7.15% Notes payable to insurance premium</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company (current)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115,600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8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2018, we executed a 6.50% promissory note in the principal amount of $160,500 in connection with certain insurance policy premiums. The note is payable in monthly installments of $16,500, including principal and interest, through March 2019, and had an outstanding balance of $97,300 at September 30, 2018. In February 2018, we executed a 7.15% promissory note in the principal amount of $59,700 in connection with other insurance policy premiums. That note is payable in monthly installments of $6,200, including principal and interest, through December 2018, and had an outstanding balance of $18,300 at September 30,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Through September 30, 2018, in connection with our self-placed Summer 2018 Private Placement, we accepted subscription agreements from accredited investors, pursuant to which we sold units, at a purchase price of $1.25 per unit, consisting of 3,823,000 unregistered shares of our common stock and warrants, exercisable through February 28, 2022, to purchase 3,823,000 unregistered shares of our common stock at an exercise price of $1.50 per share.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$4,778,700 in connection with these self-placed private placement transactions during the period ended September 30, 2018, and the entire amount of the proceeds was credited to stockholders’ equity. Refer to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additional sales of units in the Summer 2018 Private Placement and other private placement transactions consummated after September 30,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Issuance of Common Stock for Product License and Option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indicated in Note 1, </w:t>
      </w:r>
      <w:r>
        <w:rPr>
          <w:rFonts w:ascii="Arial" w:cs="Arial" w:eastAsia="Arial" w:hAnsi="Arial"/>
          <w:sz w:val="18"/>
          <w:szCs w:val="18"/>
          <w:i w:val="1"/>
          <w:iCs w:val="1"/>
          <w:color w:val="auto"/>
        </w:rPr>
        <w:t>Description of Business</w:t>
      </w:r>
      <w:r>
        <w:rPr>
          <w:rFonts w:ascii="Arial" w:cs="Arial" w:eastAsia="Arial" w:hAnsi="Arial"/>
          <w:sz w:val="18"/>
          <w:szCs w:val="18"/>
          <w:color w:val="auto"/>
        </w:rPr>
        <w:t xml:space="preserve">, in September 2018 we issued an aggregate of 1,640,435 shares of our unregistered common stock having a fair market value of $2,250,000, based on the $1.38 per share quoted closing market price of our common stock on the Nasdaq Capital Market, to Pherin to acquire an exclusive worldwide license to develop and commercialize PH94B and an option to acquire a similar license for PH10.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the acquisition of the license for PH10 in October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and Warrants to Professional Services Providers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June 30, 2018, we issued an aggregate of 100,000 shares of our unregistered common stock having a fair value on the date of issuance of $123,000 as full or partial compensation to an investor relations service provider and under a financial advisory agreement. During the quarter ended September 30, 2018, we issued 50,000 shares of our unregistered common stock having a fair value on the date of issuance of $68,000 as partial compensation to a corporate awareness service provider. We also issued four-year warrants to three service providers to purchase an aggregate of 288,000 unregistered shares of our common stock at an exercise price of $1.50 per share as full or partial compensation for investor relations and corporate awareness services. We valued the warrants at an aggregate fair value of $266,900 using the Black-Scholes Option Pricing Model and the following grant date weighted average assumptions: exercise price per share: $1.50; market price per share: $1.40; risk-free interest rate: 2.71%; contractual term: 4 years; volatility: 94.17%; dividend rate: 0%; deriving a value per warrant share of $0.93. The fair value of the common stock and warrants is recognized in expense ratably over the term of the underlying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During the quarter ended June 30, 2018, the holder of a warrant to purchase 5,000 registered shares of our common stock at $1.50 per share issued in our December 2017 public offering fully exercised the warrant and we received cash proceeds of $7,500. Refer to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additional warrant exercises after September 30, 2018. Following the warrant issuances in the Summer 2018 Private Placement and the warrant exercise, at September 30, 2018, we had outstanding warrants to purchase shares of our common stock at a weighted average exercise price of $2.58 per share as follows:</w:t>
      </w:r>
    </w:p>
    <w:p>
      <w:pPr>
        <w:spacing w:after="0" w:line="161"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w:t>
            </w:r>
          </w:p>
        </w:tc>
      </w:tr>
      <w:tr>
        <w:trPr>
          <w:trHeight w:val="228"/>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Exercise Price</w:t>
            </w:r>
          </w:p>
        </w:tc>
        <w:tc>
          <w:tcPr>
            <w:tcW w:w="380" w:type="dxa"/>
            <w:vAlign w:val="bottom"/>
          </w:tcPr>
          <w:p>
            <w:pPr>
              <w:spacing w:after="0"/>
              <w:rPr>
                <w:sz w:val="19"/>
                <w:szCs w:val="19"/>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Expiration</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Outstanding at</w:t>
            </w:r>
          </w:p>
        </w:tc>
      </w:tr>
      <w:tr>
        <w:trPr>
          <w:trHeight w:val="252"/>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rPr>
              <w:t>per Share</w:t>
            </w:r>
          </w:p>
        </w:tc>
        <w:tc>
          <w:tcPr>
            <w:tcW w:w="380" w:type="dxa"/>
            <w:vAlign w:val="bottom"/>
          </w:tcPr>
          <w:p>
            <w:pPr>
              <w:spacing w:after="0"/>
              <w:rPr>
                <w:sz w:val="21"/>
                <w:szCs w:val="21"/>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September 30, 2018</w:t>
            </w:r>
          </w:p>
        </w:tc>
      </w:tr>
      <w:tr>
        <w:trPr>
          <w:trHeight w:val="243"/>
        </w:trPr>
        <w:tc>
          <w:tcPr>
            <w:tcW w:w="1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11/30/2021 to 12/13/2022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14,256,000</w:t>
            </w:r>
          </w:p>
        </w:tc>
        <w:tc>
          <w:tcPr>
            <w:tcW w:w="220" w:type="dxa"/>
            <w:vAlign w:val="bottom"/>
            <w:shd w:val="clear" w:color="auto" w:fill="CCEEFF"/>
          </w:tcPr>
          <w:p>
            <w:pPr>
              <w:spacing w:after="0"/>
              <w:rPr>
                <w:sz w:val="18"/>
                <w:szCs w:val="18"/>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w:t>
            </w:r>
          </w:p>
        </w:tc>
        <w:tc>
          <w:tcPr>
            <w:tcW w:w="1860" w:type="dxa"/>
            <w:vAlign w:val="bottom"/>
            <w:gridSpan w:val="2"/>
          </w:tcPr>
          <w:p>
            <w:pPr>
              <w:jc w:val="center"/>
              <w:ind w:left="292"/>
              <w:spacing w:after="0"/>
              <w:rPr>
                <w:sz w:val="20"/>
                <w:szCs w:val="20"/>
                <w:color w:val="auto"/>
              </w:rPr>
            </w:pPr>
            <w:r>
              <w:rPr>
                <w:rFonts w:ascii="Arial" w:cs="Arial" w:eastAsia="Arial" w:hAnsi="Arial"/>
                <w:sz w:val="18"/>
                <w:szCs w:val="18"/>
                <w:color w:val="auto"/>
                <w:w w:val="91"/>
              </w:rPr>
              <w:t>3/7/2023</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1,388,931</w:t>
            </w:r>
          </w:p>
        </w:tc>
        <w:tc>
          <w:tcPr>
            <w:tcW w:w="220" w:type="dxa"/>
            <w:vAlign w:val="bottom"/>
          </w:tcPr>
          <w:p>
            <w:pPr>
              <w:spacing w:after="0"/>
              <w:rPr>
                <w:sz w:val="18"/>
                <w:szCs w:val="18"/>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4/30/2021</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523,573</w:t>
            </w:r>
          </w:p>
        </w:tc>
        <w:tc>
          <w:tcPr>
            <w:tcW w:w="220" w:type="dxa"/>
            <w:vAlign w:val="bottom"/>
            <w:shd w:val="clear" w:color="auto" w:fill="CCEEFF"/>
          </w:tcPr>
          <w:p>
            <w:pPr>
              <w:spacing w:after="0"/>
              <w:rPr>
                <w:sz w:val="18"/>
                <w:szCs w:val="18"/>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3.51</w:t>
            </w:r>
          </w:p>
        </w:tc>
        <w:tc>
          <w:tcPr>
            <w:tcW w:w="186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12/31/2021</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9/26/2019</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5.30</w:t>
            </w:r>
          </w:p>
        </w:tc>
        <w:tc>
          <w:tcPr>
            <w:tcW w:w="186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5/16/2021</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2,705,883</w:t>
            </w:r>
          </w:p>
        </w:tc>
        <w:tc>
          <w:tcPr>
            <w:tcW w:w="220" w:type="dxa"/>
            <w:vAlign w:val="bottom"/>
          </w:tcPr>
          <w:p>
            <w:pPr>
              <w:spacing w:after="0"/>
              <w:rPr>
                <w:sz w:val="18"/>
                <w:szCs w:val="18"/>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9/26/2019 to 11/30/2019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220" w:type="dxa"/>
            <w:vAlign w:val="bottom"/>
            <w:shd w:val="clear" w:color="auto" w:fill="CCEEFF"/>
          </w:tcPr>
          <w:p>
            <w:pPr>
              <w:spacing w:after="0"/>
              <w:rPr>
                <w:sz w:val="18"/>
                <w:szCs w:val="18"/>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88"/>
              </w:rPr>
              <w:t>12/11/2018 to 3/3/2023</w:t>
            </w:r>
          </w:p>
        </w:tc>
        <w:tc>
          <w:tcPr>
            <w:tcW w:w="1580" w:type="dxa"/>
            <w:vAlign w:val="bottom"/>
          </w:tcPr>
          <w:p>
            <w:pPr>
              <w:jc w:val="right"/>
              <w:spacing w:after="0"/>
              <w:rPr>
                <w:sz w:val="20"/>
                <w:szCs w:val="20"/>
                <w:color w:val="auto"/>
              </w:rPr>
            </w:pPr>
            <w:r>
              <w:rPr>
                <w:rFonts w:ascii="Arial" w:cs="Arial" w:eastAsia="Arial" w:hAnsi="Arial"/>
                <w:sz w:val="18"/>
                <w:szCs w:val="18"/>
                <w:color w:val="auto"/>
              </w:rPr>
              <w:t>1,346,931</w:t>
            </w:r>
          </w:p>
        </w:tc>
        <w:tc>
          <w:tcPr>
            <w:tcW w:w="220" w:type="dxa"/>
            <w:vAlign w:val="bottom"/>
          </w:tcPr>
          <w:p>
            <w:pPr>
              <w:spacing w:after="0"/>
              <w:rPr>
                <w:sz w:val="18"/>
                <w:szCs w:val="18"/>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3/25/2021</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18"/>
                <w:szCs w:val="18"/>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86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1/11/2020</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r>
      <w:tr>
        <w:trPr>
          <w:trHeight w:val="223"/>
        </w:trPr>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60" w:type="dxa"/>
            <w:vAlign w:val="bottom"/>
            <w:tcBorders>
              <w:bottom w:val="single" w:sz="8" w:color="CCEEFF"/>
            </w:tcBorders>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9/15/2019</w:t>
            </w:r>
          </w:p>
        </w:tc>
        <w:tc>
          <w:tcPr>
            <w:tcW w:w="3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20,709,516</w:t>
            </w:r>
          </w:p>
        </w:tc>
        <w:tc>
          <w:tcPr>
            <w:tcW w:w="220" w:type="dxa"/>
            <w:vAlign w:val="bottom"/>
          </w:tcPr>
          <w:p>
            <w:pPr>
              <w:spacing w:after="0"/>
              <w:rPr>
                <w:sz w:val="18"/>
                <w:szCs w:val="18"/>
                <w:color w:val="auto"/>
              </w:rPr>
            </w:pPr>
          </w:p>
        </w:tc>
      </w:tr>
      <w:tr>
        <w:trPr>
          <w:trHeight w:val="21"/>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warrants outstanding at September 30, 2018, 2,705,883 shares of common stock underlying the warrants exercisable at $5.30 per share issued in our May 2016 public offering, 1,388,931 shares of common stock underlying the warrants exercisable at $1.82 per share issued in our September 2017 public offering and 9,995,000 shares of common stock underlying the warrants exercisable at $1.50 per share issued in our December 2017 public offering are registered for resale by the warrant holders. The common shares issuable upon exercise of our remaining outstanding warrants are unregistered. At September 30, 2018, none of our outstanding warrants are subject to down round anti-dilution protection features and all of the outstanding warrants are exercisable by the holders only by payment in cash of the stated exercise price per share.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that we have engaged for a wide range of material aspects related to the nonclinical and clinical development and regulatory affairs associated with our efforts to develop and commercialize AV-101 for MDD, including our ELEVATE Study, PH94B, and other potential CNS indications. At September 30, 2018, CBV held approximately 3% of our outstanding Common Stock.</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July 2017, we entered into a Master Services Agreement (</w:t>
      </w:r>
      <w:r>
        <w:rPr>
          <w:rFonts w:ascii="Arial" w:cs="Arial" w:eastAsia="Arial" w:hAnsi="Arial"/>
          <w:sz w:val="15"/>
          <w:szCs w:val="15"/>
          <w:i w:val="1"/>
          <w:iCs w:val="1"/>
          <w:color w:val="auto"/>
        </w:rPr>
        <w:t>MSA</w:t>
      </w:r>
      <w:r>
        <w:rPr>
          <w:rFonts w:ascii="Arial" w:cs="Arial" w:eastAsia="Arial" w:hAnsi="Arial"/>
          <w:sz w:val="15"/>
          <w:szCs w:val="15"/>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$725,500 and $484,000 during the quarters ended September 30, 2018 and 2017, respectively, and $1,603,000 and $612,200 during the six months ended September 30, 2018 and 2017,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noted above, in September 2018, we issued an aggregate of 1,640,435 shares of our unregistered common stock having a fair market value of $2,250,000 to acquire an exclusive worldwide license to develop and commercialize PH94B and an option to acquire a similar license for PH10. The acquisition of the license and option was recorded as research and development expense in the quarter ended September 30, 2018. Additionally, we recorded a $10,000 monthly support payment to Pherin under the terms of the PH94B license agreement during the quarter ended September 30, 2018. At September 30, 2018, Pherin held approximately 5.7% of our outstanding Common Stock.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the acquisition of the license for PH10 during October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October 26, 2018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October 2018, we received aggregate cash proceeds of $977,500 in connection with our over-subscribed self-placed Summer 2018 Private Placement, bringing total cash proceeds from the Summer 2018 Private Placement to $5,756,200. Pursuant to subscription agreements from accredited investors, we sold to such investors units, at a purchase price of $1.25 per unit, consisting of an aggregate of 782,000 unregistered shares of our Common Stock and warrants, exercisable through February 28, 2022, to purchase 782,000 unregistered shares of our Common Stock at an exercise price of $1.50 per share.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 The Fall 2018 Private Placement is 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2016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October 2018, we granted to certain professional service providers and consultants options to purchase an aggregate of 250,000 shares of our Common Stock at exercise prices ranging from $1.52 per share to $2.20 per share, reflecting the quoted closing price of our Common Stock on the Nasdaq Capital Markets on the date of the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Exercises of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October 26, 2018, we received cash proceeds of approximately $581,000 from the exercise of warrants issued in our December 2017 public offering to purchase an aggregate of 387,300 registered shares of our Common Stock at $1.50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Product License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2018, we exercised our option to acquire an exclusive worldwide license to develop and commercialize PH10 and issued 925,926 shares of our unregistered Common Stock having a fair market value of $2,000,000, based on the $2.16 per share closing quoted market price of our common stock on the Nasdaq Capital Market, to Pherin under the terms of the license agreement. Following the issuance of these shares, Pherin holds approximately 8%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08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an investigational prodrug candidate, is an orally bioavailable NMDAR GlyB (N-methyl-D-aspartate receptor glycine B) antagonist in development as a potential new treatment for multiple CNS indications with high unmet need, including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any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both the adjunctive treatment of MDD and NP.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MDD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While current FDA-approved antidepressants are widely used, the STAR*D study, the largest clinical trial conducted in depression to date, found that approximately two-thirds of patients with MDD do not respond to their initial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We believe AV-101 has potential to be an oral, stand-alone first line therapy and an adjunctive therapy if successfully developed and approved. As an adjunctive therapy, we believe AV-101 has potential to both (i) augment current antidepressants approved by the FDA and displace atypical antipsychotics, such as aripiprazole, in the current MDD drug treatment paradigm for patients with MDD who have an inadequate response to standard antidepressants, and (ii) prevent relapse of MDD and/or suicidal ideation following successful treatment with ketamine hydrochloride (</w:t>
      </w:r>
      <w:r>
        <w:rPr>
          <w:rFonts w:ascii="Arial" w:cs="Arial" w:eastAsia="Arial" w:hAnsi="Arial"/>
          <w:sz w:val="18"/>
          <w:szCs w:val="18"/>
          <w:i w:val="1"/>
          <w:iCs w:val="1"/>
          <w:color w:val="auto"/>
        </w:rPr>
        <w:t>ketamine</w:t>
      </w:r>
      <w:r>
        <w:rPr>
          <w:rFonts w:ascii="Arial" w:cs="Arial" w:eastAsia="Arial" w:hAnsi="Arial"/>
          <w:sz w:val="18"/>
          <w:szCs w:val="18"/>
          <w:color w:val="auto"/>
        </w:rPr>
        <w:t>)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 or as an intranasal spray formulation to treat patients with treatment-resistant MDD. We believe AV-101 may have potential to deliver fast-acting antidepressant effects as an oral therapy on an at-home basis, without the requirement for inconvenient administration in a medical setting or the use of needles, and without causing psychological, sedative or other side effects and safety concerns associated with associated with other fast-acting newer generation antidepressant drug candidates.</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AV-101 is currently in Phase 2 clinical development in the United States for MDD. We initiated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Arial" w:cs="Arial" w:eastAsia="Arial" w:hAnsi="Arial"/>
          <w:sz w:val="16"/>
          <w:szCs w:val="16"/>
          <w:i w:val="1"/>
          <w:iCs w:val="1"/>
          <w:color w:val="auto"/>
        </w:rPr>
        <w:t>ELEVATE Study</w:t>
      </w:r>
      <w:r>
        <w:rPr>
          <w:rFonts w:ascii="Arial" w:cs="Arial" w:eastAsia="Arial" w:hAnsi="Arial"/>
          <w:sz w:val="16"/>
          <w:szCs w:val="16"/>
          <w:color w:val="auto"/>
        </w:rPr>
        <w:t>) at the end of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Journal of the 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in mid-2019.</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xml:space="preserve">) with the NIMH (the </w:t>
      </w:r>
      <w:r>
        <w:rPr>
          <w:rFonts w:ascii="Arial" w:cs="Arial" w:eastAsia="Arial" w:hAnsi="Arial"/>
          <w:sz w:val="18"/>
          <w:szCs w:val="18"/>
          <w:i w:val="1"/>
          <w:iCs w:val="1"/>
          <w:color w:val="auto"/>
        </w:rPr>
        <w:t>NIMH Study</w:t>
      </w:r>
      <w:r>
        <w:rPr>
          <w:rFonts w:ascii="Arial" w:cs="Arial" w:eastAsia="Arial" w:hAnsi="Arial"/>
          <w:sz w:val="18"/>
          <w:szCs w:val="18"/>
          <w:color w:val="auto"/>
        </w:rPr>
        <w:t>). Dr. Carlos Zarate, Jr., Chief of the NIMH’s Experimental Therapeutics &amp; Pathophysiology Branch and its Section on Neurobiology and Treatment of Mood and Anxiety Disorders, is acting as the Principal Investigator for the NIMH Study, which is focused on AV-101 monotherapy for subjects with treatment-resistant MDD and multiple biomarkers.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Suicidal Ideation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 to 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the number of U.S. citizens who die by suicide is, since 2010, higher than those who die in motor vehicle accidents. People of all genders, ages, and ethnicities can be at risk for suicide. Suicidal ideation (suicidal thoughts and behavior) is complex and there is no single cause. The NIMH attributes many different factors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8"/>
          <w:szCs w:val="18"/>
          <w:i w:val="1"/>
          <w:iCs w:val="1"/>
          <w:color w:val="auto"/>
        </w:rPr>
        <w:t>VA</w:t>
      </w:r>
      <w:r>
        <w:rPr>
          <w:rFonts w:ascii="Arial" w:cs="Arial" w:eastAsia="Arial" w:hAnsi="Arial"/>
          <w:sz w:val="18"/>
          <w:szCs w:val="18"/>
          <w:color w:val="auto"/>
        </w:rPr>
        <w:t>), the U.S. Military Veteran population is at significantly higher risk for suicide.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NP, a complex, chronic pain state affecting millions of Americans, results from problems with signals from nerves. The American Chronic Pain Association has identified various causes of NP, including tissue injury, nerve damage or disease, diabetes, infection, toxins, certain types of drugs, such as antivirals and chemotherapeutic agents, certain cancers, and even chronic alcohol intake. With NP, damaged, dysfunctional or injured nerve fibers send incorrect signals to other pain centers and impact nerve function both at the site of injury and areas around the injury. Unfortunately, many NP treatments on the market today, including prescription opioids and commonly-used antidepressants, and anticonvulsants such as gabapentin and pregabalin, have side effects including anxiety, depression, dizziness, cognitive impairment and/or sedation.</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effects of AV-101 as a potential new treatment for NP were assessed in published peer-reviewed studies involving four well-established nonclinical models of pain. In these studies, AV-101 was observed to have robust, dose-dependent anti-nociceptive effects, as measured by dose-dependent reversal of neuropathic pain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L-4-chlorokynurenine on nociception in rodents</w:t>
      </w:r>
      <w:r>
        <w:rPr>
          <w:rFonts w:ascii="Arial" w:cs="Arial" w:eastAsia="Arial" w:hAnsi="Arial"/>
          <w:sz w:val="16"/>
          <w:szCs w:val="16"/>
          <w:color w:val="auto"/>
        </w:rPr>
        <w:t>,” by lead author, Tony L. Yaksh, Ph.D., Professor in Anesthesiology at the University of California, San Diego,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Gabapentin, an anticonvulsant, has been associated with sedation and mild cognitive impairment in third party literature. Other commonly prescribed medications for NP include drugs targeting opioid receptors in the brain. Unfortunately, misuse of such drugs can lead to a significantly increased risk of addiction, and, we believe, their therapeutic utility for neuropathic pain is unclear. In September 2018, the FDA granted Fast Track designation for development of AV-101 for NP. We are planning to advance AV-101 into an exploratory Phase 2 clinical study to assess its potential as a new oral non-opioid treatment to reduce debilitating NP, especially diabetic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Parkinson’s Disease Levodopa-Induced Dyskinesia</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Parkinson's disease (</w:t>
      </w:r>
      <w:r>
        <w:rPr>
          <w:rFonts w:ascii="Arial" w:cs="Arial" w:eastAsia="Arial" w:hAnsi="Arial"/>
          <w:sz w:val="18"/>
          <w:szCs w:val="18"/>
          <w:i w:val="1"/>
          <w:iCs w:val="1"/>
          <w:color w:val="auto"/>
        </w:rPr>
        <w:t>PD</w:t>
      </w:r>
      <w:r>
        <w:rPr>
          <w:rFonts w:ascii="Arial" w:cs="Arial" w:eastAsia="Arial" w:hAnsi="Arial"/>
          <w:sz w:val="18"/>
          <w:szCs w:val="18"/>
          <w:color w:val="auto"/>
        </w:rPr>
        <w:t>) is a chronic, progressive motor disorder that causes tremors, rigidity, slowed movements and postural instability. The most commonly-prescribed treatments for PD are levodopa-based therapies. Unfortunately, abnormal involuntary movements, called dyskinesias, gradually emerge as a prominent side-effect in response to previously beneficial doses of levodopa. Parkinson’s disease levodopa-induced dyskinesia (</w:t>
      </w:r>
      <w:r>
        <w:rPr>
          <w:rFonts w:ascii="Arial" w:cs="Arial" w:eastAsia="Arial" w:hAnsi="Arial"/>
          <w:sz w:val="18"/>
          <w:szCs w:val="18"/>
          <w:i w:val="1"/>
          <w:iCs w:val="1"/>
          <w:color w:val="auto"/>
        </w:rPr>
        <w:t>PD LID</w:t>
      </w:r>
      <w:r>
        <w:rPr>
          <w:rFonts w:ascii="Arial" w:cs="Arial" w:eastAsia="Arial" w:hAnsi="Arial"/>
          <w:sz w:val="18"/>
          <w:szCs w:val="18"/>
          <w:color w:val="auto"/>
        </w:rPr>
        <w:t>) can be severely disabling, often rendering patients unable to perform routine daily tasks.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monkey model of PD, AV-101 resulted in a 30% reduction of the mean dyskinesia score associated with PD LID. Importantly, AV-101 did not reduce the anti-parkinsonian therapeutic benefit of levodopa. Moreover, the duration of levodopa response and delay to levodopa effect were not affected by treatment with AV-101. We believe AV-101 has potential to reduce troublesome dyskinesia experienced by many patients with PD as a result of their levodopa therapy, but without interfering with levodopa or causing side effects resulting from certain current PD LID treatments, such as amantadine, including hallucinations, dizziness, dry mouth, swelling of legs and feet, constipation and falls. We are planning to advance clinical development of AV-101 for PD LID in an exploratory Phase 2 clinical study as our next initiative in PD LID.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2018, we acquired, on a non-cash basis through the issuance of unregistered shares of our common stock, a license from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giving us the exclusive worldwide rights to develop and commercialize PH94B, a pivotal study (Phase 3) ready drug candidate administered as a nasal spray with potential to be the first FDA-approved on-demand medication for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PH94B is a Phase-3 ready investigational synthetic neuroactive steroid with Phase 2 clinical data in which the product was well tolerated and demonstrated a rapid onset of effect,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in SAD, a social phobia that affects as many as 15 million American adults according to the NIMH.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SAD is commonly treated chronically with antidepressants, which have a slow onset of effect (several weeks or months) and known side effects that may make them unattractive to individuals intermittently affected by SAD.</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Administered as a nasal spray, PH94B is designed to act locally on peripheral nasal chemosensory receptors to trigger rapid activation of the limbic system areas of the brain associated with SAD. In prior clinical studies, PH94B demonstrated rapid (10-15 minutes) anxiety reduction for subjects with SAD, measured by the SUD and LSAS, and was not observed to be addictive, sedative or have other adverse events. Benzodiazepines and beta blockers, which are currently used off-label to treat SAD, have been found in third party literature to have these addictive or sedative properties, and have other adverse effects when used to treat SAD.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clinical studies in which PH94B was observed to have rapid onset of effect on anxiety reduction as measured by the SUD and LSAS and was well-tolerated, and in light of its novel route of administration and on-demand dosing design, we believe PH94B has potential to be the first FDA-approved medication for acute on demand intermittent and long-term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2018, we acquired, on a non-cash basis through the issuance of unregistered shares of our common stock, a second license from Pherin giving us the exclusive worldwide rights to develop and commercialize PH10, an investigational pherine designed to be administered as a nasal spray to bind locally on nasal chemosensory receptors and trigger responses in the hypothalamus, amygdala, prefrontal cortex and hippocampus. Similar to PH94B, PH10 also has been evaluated in clinical studies in which it was well tolerated and did not circulate systemically in the blood. It is believed that PH10 may initiate nerve impulses that follow defined pathways to directly affect brain function. In a small exploratory Phase 2a study in patients with MDD, PH10 showed a rapid-onset antidepressant effect, as measured by the Hamilton Depression Rating Scale (</w:t>
      </w:r>
      <w:r>
        <w:rPr>
          <w:rFonts w:ascii="Arial" w:cs="Arial" w:eastAsia="Arial" w:hAnsi="Arial"/>
          <w:sz w:val="16"/>
          <w:szCs w:val="16"/>
          <w:i w:val="1"/>
          <w:iCs w:val="1"/>
          <w:color w:val="auto"/>
        </w:rPr>
        <w:t>HAM</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without psychological side effects or safety signals.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Report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2018, as filed with the SEC on June 26, 2018,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not yet achieved recurring revenue-generating status from any of our product candidates or technologies. Since inception,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w:t>
      </w:r>
      <w:r>
        <w:rPr>
          <w:rFonts w:ascii="Arial" w:cs="Arial" w:eastAsia="Arial" w:hAnsi="Arial"/>
          <w:sz w:val="15"/>
          <w:szCs w:val="15"/>
          <w:i w:val="1"/>
          <w:iCs w:val="1"/>
          <w:color w:val="auto"/>
        </w:rPr>
        <w:t>IP</w:t>
      </w:r>
      <w:r>
        <w:rPr>
          <w:rFonts w:ascii="Arial" w:cs="Arial" w:eastAsia="Arial" w:hAnsi="Arial"/>
          <w:sz w:val="15"/>
          <w:szCs w:val="15"/>
          <w:color w:val="auto"/>
        </w:rPr>
        <w:t>) related to our product candidates and technologies, with the corollary initiatives of recruiting and retaining personnel and raising working capital. As disclosed above, we have recently acquired the rights to develop and commercialize PH94B and PH10. As of September 30, 2018, we had an accumulated deficit of approximately $168.2 million. Our net loss for the quarters ended September 30, 2018 and 2017 was approximately $7.4 million and $5.0 million, respectively. We expect losses to continue for the foreseeable future, primarily as we continue to conduct our ELEVATE Study, pursue further clinical development of AV-101 for the adjunctive treatment of MDD, and for a range of other CNS indications, and further develop PH94B and PH10.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2018</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six months ended September 30, 2018, we continued to (i) advance nonclinical development, including manufacturing, and clinical development of AV-101 as a potential new generation antidepressant and as a potential new therapeutic alternative for several CNS indications with significant unmet need, (ii) expand the regulatory and intellectual property foundation to support broad clinical development and, ultimately, commercialization of AV-101 in the U.S. and foreign markets, (iii) expand our neuropsychiatry pipeline by acquiring an exclusive worldwide license to PH94B, a novel Phase 3-ready drug candidate for treatment of SAD, and (iv) on a limited basis, advance our stem cell technology-based drug rescue program to further expand our CNS pipeline.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conduct our ELEVATE Study during the quarter, following its on-target launch in the fourth quarter of fiscal 2018. In anticipation of successful results from the ELEVATE Study, we continue to produce additional supplies of AV-101 for potential use in Phase 3-enabling nonclinical and clinical studies of AV-101 in MDD and for nonclinical and clinical studies of AV-101 in other potential CNS indications.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our CRADA with the NIH, the NIH continues to fund, and Dr. Carlos Zarate Jr. of the NIMH continues to conduct, the NIMH Study at no cost to us other than having supplied AV-101 and placebo for use in connection with the NIMH Study.</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Pursuant to our MT CRADA with the VA and our arrangements with Baylor, Baylor commenced the Baylor Study to define a dose-response relationship between AV-101 and relevant biomarkers related to NMDA function and others possibly related to suicidal ideation in U.S. Military Veterans.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2018, we acquired, on a non-cash basis through the issuance of our common stock, a license from Pherin giving us the exclusive worldwide rights to develop and commercialize PH94B, a Phase 3-ready drug candidate designed to be administered as a nasal spray with potential to be the first FDA-approved on-demand medication for SAD, as well as an option to acquire a similar license for Pherin’s PH10. As noted above, we elected to execute our option to acquire the license for PH10 in October 2018.</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33333"/>
        </w:rPr>
        <w:t xml:space="preserve">We continue to pursue </w:t>
      </w:r>
      <w:r>
        <w:rPr>
          <w:rFonts w:ascii="Arial" w:cs="Arial" w:eastAsia="Arial" w:hAnsi="Arial"/>
          <w:sz w:val="16"/>
          <w:szCs w:val="16"/>
          <w:color w:val="0E0E0E"/>
        </w:rPr>
        <w:t>initiatives to secure a broad portfolio of patent protection for AV-101 that covers multiple CNS indications, unit dose formulations and</w:t>
      </w:r>
      <w:r>
        <w:rPr>
          <w:rFonts w:ascii="Arial" w:cs="Arial" w:eastAsia="Arial" w:hAnsi="Arial"/>
          <w:sz w:val="16"/>
          <w:szCs w:val="16"/>
          <w:color w:val="333333"/>
        </w:rPr>
        <w:t xml:space="preserve"> </w:t>
      </w:r>
      <w:r>
        <w:rPr>
          <w:rFonts w:ascii="Arial" w:cs="Arial" w:eastAsia="Arial" w:hAnsi="Arial"/>
          <w:sz w:val="16"/>
          <w:szCs w:val="16"/>
          <w:color w:val="0E0E0E"/>
        </w:rPr>
        <w:t>chemical synthesis methods. During fiscal 2018 and subsequently, we filed and have pursued several patent applications in the U.S., Europe, Japan, China and other selected countries and regions with significant commercial potential. Several of these patent applications were allowed or have been granted in the U.S. and other major pharmaceutical markets during the six months covered by this Report, including for (i) certain novel therapeutic methods for the use of AV-101, including treatment of depression, (ii) certain unit dose formulations of AV-101 for multiple CNS indications, and (iii) treatment of PD LID, as well as for the chemical synthesis of AV-101. We have also recently filed a new U.S. provisional patent application for the AV-101 patent portfolio. Based on our U.S. patent issuances or allowances to-date, we believe that counterpart patent applications related to AV-101 currently under review in other countries are likely to be granted, although there can be no assurance that all pending applications will ultimately be granted.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0E0E0E"/>
        </w:rPr>
        <w:t>We have obtained and are pursuing patent rights to the production of several types of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Summer 2018 Private Placement, we entered into self-placed private placement transactions with accredited investors, pursuant to which we sold units, at a purchase price of $1.25 per unit, consisting of an aggregate of 4,605,000 shares of our unregistered common stock and warrants expiring on February 28, 2022, which are not exercisable until at least six months and one day following issuance, to purchase an aggregate of 4,605,000 unregistered shares of our common stock at a fixed exercise price of $1.50 per share. We received aggregate cash proceeds of $5,756,200 from the Summer 2018 Private Placement. The Summer 2018 Private Placement was oversubscribed. To accommodate additional investor interest, we completed the Fall 2018 Private Placement during October 2018, during which we entered into self-placed private placement transactions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We received aggregate cash proceeds of $812,500 in connection with the Fall 2018 Private Placement and settled an outstanding professional service payable by accepting a subscription agreement in the amount of $40,000 and issuing the corresponding number of shares and warrants. During October 2018, we have also received cash proceeds of approximately $581,000 from the exercise of outstanding warrants to purchase an aggregate of 387,300 shares our common stock.</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clinical and nonclinical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September 30, 2018 and 2017 (amounts in thousands).</w:t>
      </w:r>
    </w:p>
    <w:p>
      <w:pPr>
        <w:spacing w:after="0" w:line="242"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jc w:val="right"/>
              <w:ind w:right="6672"/>
              <w:spacing w:after="0"/>
              <w:rPr>
                <w:sz w:val="20"/>
                <w:szCs w:val="20"/>
                <w:color w:val="auto"/>
              </w:rPr>
            </w:pPr>
            <w:r>
              <w:rPr>
                <w:rFonts w:ascii="Arial" w:cs="Arial" w:eastAsia="Arial" w:hAnsi="Arial"/>
                <w:sz w:val="18"/>
                <w:szCs w:val="18"/>
                <w:color w:val="auto"/>
                <w:w w:val="91"/>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jc w:val="right"/>
              <w:ind w:right="6652"/>
              <w:spacing w:after="0"/>
              <w:rPr>
                <w:sz w:val="20"/>
                <w:szCs w:val="20"/>
                <w:color w:val="auto"/>
              </w:rPr>
            </w:pPr>
            <w:r>
              <w:rPr>
                <w:rFonts w:ascii="Arial" w:cs="Arial" w:eastAsia="Arial" w:hAnsi="Arial"/>
                <w:sz w:val="18"/>
                <w:szCs w:val="18"/>
                <w:color w:val="auto"/>
                <w:w w:val="94"/>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jc w:val="right"/>
              <w:ind w:right="6652"/>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(7,435)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either the quarter ended September 30, 2018 or 2017 and we presently have no recurring revenue generating arrangements with respect to AV-101, PH94B, PH10 or other potential product candidates. While we may potentially receive payments or royalties under the BlueRock Agreement in the future in the event certain performance-based milestones and commercial sales are achieved, there can be no assurance that the BlueRock Agreement will provide revenue to us in the near term or at all.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to $5.3 million compared to $2.4 million for the quarters ended September 30, 2018 and 2017, respectively. The acquisition of the PH94B license and the PH10 option through the issuance of our common stock, which resulted in $2.25 million of noncash expense, coupled with expenses related to conducting the ELEVATE Study and various nonclinical activities, including manufacturing additional quantities of AV-101, primarily account for the increase in research and development expense. Other noncash expenses included in research and development expense, including stock compensation, depreciation and a portion of rent expense in both periods and a portion of AV-101 project expenses in the quarter ended September 30, 2018, aggregated approximately $474,000 and $592,000 for the quarters ended September 30, 2018 and 2017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PH94B license and PH10 option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VistaStem and all other projects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expense reflects the impact of salary increases and bonus payments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members of our scientific staff effective in July 2018.</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increased significantly in the quarter ended September 30, 2018 as a result of (i) the impact of new options granted to our CMO, CSO, and members of our scientific staff in early August 2018 which options were 25% vested upon grant and vest ratably until becoming fully-vested within two years thereafter, and (ii) the modification in late August 2018 of outstanding options held by our CMO, CSO and members of our scientific staff having exercise prices over $1.56 per share to reduce the exercise price to $1.50 per share. Stock compensation expense attributable to grants made subsequent to September 30, 2017 and including the $104,000 impact of the modification of exercise prices accounted for approximately $265,000 in the quarter ended September 30, 2018. Current year expense is attributable to grants made in June 2016 and thereafter, all earlier grants having become fully vested and amortized prior to the quarter ended September 30, 2018.</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Advisory Board and CNS Clinical and Regulatory Advisory Board and in connection with our acquisition of the exclusive license to PH94B.</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the quarter ended September 30, 2018, primarily reflects the costs of conducting the ELEVATE Study, including various CRO, investigator and clinical site costs. A further component is expense incurred to manufacture additional quantities of AV-101 for use in future nonclinical trials and clinical development of AV-101 for MDD and other potential CNS indications. AV-101 project expense for the quarter ended September 30, 2017 primarily reflected costs incurred to develop our currently employed more efficient and cost-effective proprietary manufacturing methods for AV-101, and to produce quantities of AV-101 in preparation for the ELEVATE Study and Baylor Study.</w:t>
      </w:r>
    </w:p>
    <w:p>
      <w:pPr>
        <w:spacing w:after="0" w:line="19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As indicated above, non-cash expense related to the acquisition of the PH94B license and PH10 option reflects the $2.25 million fair value of an aggregate of 1,630,435 unregistered shares of our common stock issued to Pherin in September 2018 under the terms of the license and option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our in-house stem cell technology-related initiatives in both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General and administrative expense decreased to approximately $2.2 million, from approximately $2.6 million for the quarters ended September 30, 2018 and 2017, respectively. Noncash expense, $792,000 in the quarter ended September 30, 2018, decreased from $1,494,000 in the quarter ended September 30, 2017 primarily due to reductions in noncash investor and public relations, professional fees and warrant modification expenses, offset by an increase in stock-based compensation, contributing significantly to the overall reduction in general and administrative expense between the periods. The following table indicates the primary components of general and administrative expense for each of the periods (amounts in thousands):</w:t>
      </w:r>
    </w:p>
    <w:p>
      <w:pPr>
        <w:spacing w:after="0" w:line="16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Insurance</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Rent and utilities</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All other expenses</w:t>
            </w:r>
          </w:p>
        </w:tc>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2"/>
                <w:szCs w:val="22"/>
                <w:color w:val="auto"/>
              </w:rPr>
            </w:pPr>
          </w:p>
        </w:tc>
        <w:tc>
          <w:tcPr>
            <w:tcW w:w="4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436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CCEEFF"/>
              <w:bottom w:val="single" w:sz="8" w:color="auto"/>
            </w:tcBorders>
          </w:tcPr>
          <w:p>
            <w:pPr>
              <w:jc w:val="right"/>
              <w:ind w:right="2872"/>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The increase in salaries and benefits primarily reflects the impact of salary increases and bonus payments granted effective July 2018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Vice President-Corporate Development (</w:t>
      </w:r>
      <w:r>
        <w:rPr>
          <w:rFonts w:ascii="Arial" w:cs="Arial" w:eastAsia="Arial" w:hAnsi="Arial"/>
          <w:sz w:val="18"/>
          <w:szCs w:val="18"/>
          <w:i w:val="1"/>
          <w:iCs w:val="1"/>
          <w:color w:val="auto"/>
        </w:rPr>
        <w:t>VP Corporate Development</w:t>
      </w:r>
      <w:r>
        <w:rPr>
          <w:rFonts w:ascii="Arial" w:cs="Arial" w:eastAsia="Arial" w:hAnsi="Arial"/>
          <w:sz w:val="18"/>
          <w:szCs w:val="18"/>
          <w:color w:val="auto"/>
        </w:rPr>
        <w:t>) and a non-officer member of our administrative staff.</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increased significantly in the quarter ended September 30, 2018 as a result of (i) the impact of new options granted to our CFO, VP Corporate Development and our general and administrative staff in early August 2018 which options were 25% vested upon grant and vest ratably until becoming fully-vested within two years thereafter, and (ii) the modification in late August 2018 of outstanding options held by our CEO, CFO, VP Corporate Development and our general and administrative staff having exercise prices over $1.56 per share to reduce the exercise price to $1.50 per share. Stock compensation expense attributable to grants made subsequent to September 30, 2017 and including the $154,000 impact of the modification of exercise prices accounted for approximately $459,000 in the quarter ended September 30, 2018. Current year expense is attributable to grants made in June 2016 and thereafter, all earlier grants having become fully vested and amortized prior to the quarter ended September 30,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Legal, accounting and other professional fees for the quarters ended September 30, 2018 and 2017 includes expense related to routine legal fees as well as the accounting expense related to the review of the financial statements for the second quarter of each fiscal year. We incurred no non-cash expense in the quarter ended September 30, 2018. In the quarter ended September 30,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quarter ended September 30, 2018, in addition to cash fees and expenses we incurred, we granted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non-cash expense of approximately $65,000. The balance of the fair value of the securities granted is recorded as a prepaid expense and is being amortized over the remaining period of the respective contracts. In the quarter ended September 30, 2017, in addition to cash fees and expenses we incurred, we granted an aggregate of 457,000 unregistered shares of our common stock to various corporate development, investor relations, market awareness and strategic business advisory service providers for their services and recognized noncash expense of $713,300, representing the fair value of the stock at the time of issuance.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3" w:name="page24"/>
    <w:bookmarkEnd w:id="23"/>
    <w:p>
      <w:pPr>
        <w:jc w:val="both"/>
        <w:spacing w:after="0" w:line="335" w:lineRule="auto"/>
        <w:rPr>
          <w:sz w:val="20"/>
          <w:szCs w:val="20"/>
          <w:color w:val="auto"/>
        </w:rPr>
      </w:pPr>
      <w:r>
        <w:rPr>
          <w:rFonts w:ascii="Arial" w:cs="Arial" w:eastAsia="Arial" w:hAnsi="Arial"/>
          <w:sz w:val="15"/>
          <w:szCs w:val="15"/>
          <w:color w:val="auto"/>
        </w:rPr>
        <w:t>In both periods, travel expense reflects costs associated with management presentations to and meetings in multiple U.S. markets, and certain international markets in 2018,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2018.</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we reduced the exercise price of 247,500 warrants issued in our spring 2017 private placement offering from a weighted average exercise price of $3.99 per share to $2.00 per share. We also issued to each of the investors in the Spring 2017 private placement additional warrants to purchase an aggregate total of 247,501 shares of common stock, with an exercise price of $2.00 per share. We recognized noncash expense of $279,700 in the quarter ended September 30, 2017 representing the increase in fair value of the warrants granted initially before and after the modification and the fair value of the additional warrants granted.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$2,900 for the quarter ended September 30, 2018 compared to $3,300 for the quarter ended September 30, 2017.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$283,600 and $256,300 for the quarters ended September 30, 2018 and 2017,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September 30, 2018 and 2017 (amounts in thousands).</w:t>
      </w:r>
    </w:p>
    <w:p>
      <w:pPr>
        <w:spacing w:after="0" w:line="219"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jc w:val="right"/>
              <w:ind w:right="2272"/>
              <w:spacing w:after="0"/>
              <w:rPr>
                <w:sz w:val="20"/>
                <w:szCs w:val="20"/>
                <w:color w:val="auto"/>
              </w:rPr>
            </w:pPr>
            <w:r>
              <w:rPr>
                <w:rFonts w:ascii="Arial" w:cs="Arial" w:eastAsia="Arial" w:hAnsi="Arial"/>
                <w:sz w:val="18"/>
                <w:szCs w:val="18"/>
                <w:color w:val="auto"/>
                <w:w w:val="91"/>
              </w:rPr>
              <w:t>Research and development</w:t>
            </w:r>
          </w:p>
        </w:tc>
        <w:tc>
          <w:tcPr>
            <w:tcW w:w="4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jc w:val="right"/>
              <w:ind w:right="2252"/>
              <w:spacing w:after="0"/>
              <w:rPr>
                <w:sz w:val="20"/>
                <w:szCs w:val="20"/>
                <w:color w:val="auto"/>
              </w:rPr>
            </w:pPr>
            <w:r>
              <w:rPr>
                <w:rFonts w:ascii="Arial" w:cs="Arial" w:eastAsia="Arial" w:hAnsi="Arial"/>
                <w:sz w:val="18"/>
                <w:szCs w:val="18"/>
                <w:color w:val="auto"/>
                <w:w w:val="94"/>
              </w:rPr>
              <w:t>General and administrative</w:t>
            </w:r>
          </w:p>
        </w:tc>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jc w:val="right"/>
              <w:ind w:right="2252"/>
              <w:spacing w:after="0"/>
              <w:rPr>
                <w:sz w:val="20"/>
                <w:szCs w:val="20"/>
                <w:color w:val="auto"/>
              </w:rPr>
            </w:pPr>
            <w:r>
              <w:rPr>
                <w:rFonts w:ascii="Arial" w:cs="Arial" w:eastAsia="Arial" w:hAnsi="Arial"/>
                <w:sz w:val="18"/>
                <w:szCs w:val="18"/>
                <w:color w:val="auto"/>
              </w:rPr>
              <w:t>Total operating expenses</w:t>
            </w:r>
          </w:p>
        </w:tc>
        <w:tc>
          <w:tcPr>
            <w:tcW w:w="4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taxes</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(11,649)</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 on Series B Preferred Stock</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44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(12,206)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00" w:type="dxa"/>
            <w:vAlign w:val="bottom"/>
            <w:vMerge w:val="restart"/>
          </w:tcPr>
          <w:p>
            <w:pPr>
              <w:jc w:val="right"/>
              <w:ind w:right="2872"/>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either period presented and we presently have no recurring revenue generating arrangements with respect to AV-101, PH94B, PH10, or other potential product candidates. While we may potentially receive additional payments and royalties under our December 2015 BlueRock Agreement in the future in the event certain performance-based milestones and commercial sales are achieved, there can be no assurance that the BlueRock Agreement will provide additional revenue to us in the near term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to $8.0 million compared to $3.5 million for the six months ended September 30, 2018 and 2017, respectively. The acquisition of the PH94B license and the PH10 option through the issuance of our common stock, which resulted in $2.25 million of noncash expense, coupled with expenses related to conducting the ELEVATE Study and various nonclinical activities, including manufacturing additional quantities of AV-101, primarily account for the increase in research and development expense. Other noncash expenses included in research and development expense, including stock compensation, depreciation and a portion of rent expense in both periods and a portion of AV-101 project expenses in the six months ended September 30, 2018, aggregated approximately $729,000 and $843,000 for the quarters ended September 30, 2018 and 2017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Pheron PH94B license and PH10 option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VistaStem and all other projects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primarily reflects the impact of salary increases and bonus payments granted to our CMO, CSO and members of our scientific staff effective in July 2018.</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t>Stock-based compensation expense increased significantly in the six months ended September 30, 2018 as a result of (i) the impact of new options granted to our CMO, CSO, and members of our scientific staff in early August 2018 which options were 25% vested upon grant and vest ratably until becoming fully-vested within two years thereafter, and (ii) the modification in late August 2018 of outstanding options held by our CMO, CSO and members of our scientific staff having exercise prices over $1.56 per share to reduce the exercise price to $1.50 per share. Stock compensation expense attributable to grants made subsequent to September 30, 2017 and including the $104,000 impact of the modification of exercise prices accounted for approximately $362,000 in the six months ended September 30, 2018. Current year expense is attributable to grants made in June 2016 and thereafter, all earlier grants having become fully vested and amortized prior to September 30, 2018.</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services rendered to us by third-parties, primarily by members of our scientific and CNS clinical and regulatory advisory boards and in connection with our acquisition of the license of PH94B.</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the six months ended September 30, 2018, primarily reflects the costs of conducting the ELEVATE Study, including various CRO, investigator and clinical site costs. A further component is expense incurred to manufacture additional quantities of AV-101 for use in future nonclinical and clinical trials of AV-101 for MDD and other potential CNS indications. AV-101 project expense for the six months ended September 30, 2017 primarily reflected costs incurred to develop our currently employed more efficient and cost-effective proprietary manufacturing methods for AV-101, and to produce quantities of AV-101 in preparation for the ELEVATE Study and Baylor/VA Study.</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indicated above, noncash expense related to the acquisition of the PH94B license and PH10 option reflects the $2.25 million fair value of an aggregate of 1,630,435 unregistered shares of our common stock issued to Pherin in September 2018 under the terms of the license and option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our in-house stem cell technology-related initiatives in both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General and administrative expense decreased modestly to approximately $3.6 million from approximately $3.7 million for the six months ended September 30, 2018 and 2017, respectively. Noncash expense components represented approximately $1,295,000 and $1,747,000 for the six months ended September 30, 2018 and 2017, respectively, noticeably reducing general and administrative expense in 2018. Such non-cash expenses included, in both periods, stock compensation expense, a portion of investor relations expense, and a portion of rent expense, and warrant modification expense in 2017. The following table indicates the primary components of general and administrative expense for each of the periods (amounts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 w:name="page27"/>
    <w:bookmarkEnd w:id="26"/>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primarily reflects the impact of salary increases and bonus payments granted effective July 2018 to our CEO, CFO, VP Corporate Development and a non-officer member of our administrative staff.</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Stock-based compensation expense increased significantly for the six months ended September 30, 2018 as a result of (i) the impact of new options granted to our CEO in February 2018 and to our CFO, VP Corporate Development and our general and administrative staff in February 2018 and August 2018, each of which were 25% vested upon grant and vest ratably until becoming fully-vested within two years thereafter, and (ii) the modification in late August 2018 of outstanding options held by our CEO, CFO, VP Corporate Development and our general and administrative staff having exercise prices over $1.56 per share to reduce the exercise price to $1.50 per share. Stock compensation expense attributable to grants made subsequent to September 30, 2017 and including the $154,000 impact of the modification of exercise prices accounted for approximately $582,000 in the six months ended September 30, 2018. Current year expense is attributable to grants made in June 2016 and thereafter, all earlier grants having become fully vested and amortized prior to the quarter ended September 30,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Legal, accounting and other professional fees for the six months ended September 30, 2018 and 2017 includes expense related to routine legal fees as well as the accounting expense related to the annual audit of the prior year’s financial statements and the review of the financial statements for the first and second quarters of the current fiscal year. In the six months ended September 30,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We incurred no noncash expense in the six months ended September 30, 2018.</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as well as market awareness,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six months ended September 30, 2018, in addition to cash fees and expenses, we granted an aggregate of 100,000 unregistered shares of our common stock to certain investor relations, market awareness and financial advisory service providers as full or partial compensation for their services and recognized noncash expense of approximately $123,000 representing the fair value of the stock at the time of issuance in the quarter ended June 30, 2018 and in the quarter ended September 30, 2018 we granted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non-cash expense of approximately $65,000. The balance of the fair value of the securities granted is recorded as a prepaid expense and is being amortized over the remaining period of the respective contracts. In the six months ended September 30, 2017, in addition to cash fees and expenses we incurred, we granted 25,000 unregistered shares of our common stock to an investor relations and awareness service provider as partial compensation for its services and recognized noncash expense of approximately $50,000 in the quarter ended June 30, 2017 representing the fair value of the stock at the time of issuance and, in the quarter ended September 30, 2017, we granted an aggregate of 457,000 unregistered shares of our common stock to various corporate development, investor relations, market awareness and business advisory service providers as compensation for their services and recognized noncash expense of $713,300, representing the fair value of the stock at the time of issuance.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jc w:val="both"/>
        <w:spacing w:after="0" w:line="335" w:lineRule="auto"/>
        <w:rPr>
          <w:sz w:val="20"/>
          <w:szCs w:val="20"/>
          <w:color w:val="auto"/>
        </w:rPr>
      </w:pPr>
      <w:r>
        <w:rPr>
          <w:rFonts w:ascii="Arial" w:cs="Arial" w:eastAsia="Arial" w:hAnsi="Arial"/>
          <w:sz w:val="15"/>
          <w:szCs w:val="15"/>
          <w:color w:val="auto"/>
        </w:rPr>
        <w:t>In both periods, travel expense reflects costs associated with management presentations to and meetings in multiple U.S. markets, and certain international markets in 2018,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2018.</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we reduced the exercise price of 247,500 warrants issued in our Spring 2017 private placement offering from a weighted average exercise price of $3.99 per share to $2.00 per share. We also issued to each of the investors in the spring 2017 private placement additional warrants to purchase an aggregate total of 247,501 shares of common stock, with an exercise price of $2.00 per share. We recognized noncash expense of $279,700 in the six months ended September 30, 2017 representing the increase in fair value of the warrants granted initially before and after the modification and the fair value of the additional warrants granted.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Interest expense totaled $5,000 for the six months ended September 30, 2018 compared to $5,700 reported for the six months ended September 30, 2017. Interest expense in both periods relates to interest paid on insurance premium financing and on a capital lease of office equipment.</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$557,100 and $503,600 for the six months ended September 30, 2018 and 2017, respectively, representing the 10% cumulative dividend payable on outstanding shares of our Series B Preferred stock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September 30, 2018, we have financed our operations and technology acquisitions primarily through the issuance and sale of our equity and debt securities for cash proceeds of approximately $66.2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$36.1 million in non-cash settlements of certain liabilities, including liabilities for professional services rendered to us or as compensation for such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had cash and cash equivalents of $7.8 million.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Subsequently, through October 26, 2018, we received cash proceeds of approximately $2.4 million from self-placed private placements of unregistered equity securities and exercises of outstanding warrants to purchase our Common Stock including (i) cash proceeds of $977,500 from the Summer 2018 Private Placement of units consisting of an aggregate of 782,000 unregistered shares of our Common Stock and warrants exercisable at least six months and one day following issuance and through February 28, 2022 to purchase 782,000 unregistered shares of our Common Stock at $1.50 per share, bringing the aggregate proceeds of the over-subscribed self-placed private offering to $5.75 million, (ii) proceeds of approximately $852,000 from the Fall 2018 Private Placement of units consisting of an aggregate of 420,939 unregistered shares of our Common Stock and four-year, immediately exercisable warrants to purchase 420,939 unregistered shares of our Common Stock, at a subscription price above the closing market price per share of our Common Stock on the Nasdaq Capital Market on the effective day of each investor’s subscription agreement and (iii) cash proceeds of approximately $581,000 from October 1, 2018 through the date of this Report from the exercise of outstanding warrants to purchase 387,300 registered shares of our Common Stock.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6"/>
          <w:szCs w:val="16"/>
          <w:color w:val="auto"/>
        </w:rPr>
        <w:t xml:space="preserve">Although our cash position at September 30, 2018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we plan to complete our ELEVATE study, conduct additional clinical and nonclinical studies involving AV-101 and prepare for a pivotal Phase 3 clinical trial of PH94B and Phase 2 clinical trial of PH10, raise substantial doubt that we can continue as a going concern, as noted above, since September 30, 2018, we have raised approximately $2.4 million of additional capital from the sale of our equity securities.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non-dilutive funding for development of AV-101, PH94B, PH10 or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240" w:type="dxa"/>
            <w:vAlign w:val="bottom"/>
          </w:tcPr>
          <w:p>
            <w:pPr>
              <w:spacing w:after="0"/>
              <w:rPr>
                <w:sz w:val="24"/>
                <w:szCs w:val="24"/>
                <w:color w:val="auto"/>
              </w:rPr>
            </w:pPr>
          </w:p>
        </w:tc>
        <w:tc>
          <w:tcPr>
            <w:tcW w:w="236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cash used in operations results primarily from the conduct of our ELEVATE Study, which commenced at the end of the fourth quarter of our fiscal year ended March 31, 2018. Contributing additionally to the increase are modest increases in employee cash compensation and benefits and an increase in various investor relations and corporate development and awareness initiatives. The increase in cash used in investing activities reflects the cost of tenant improvements at our office and laboratory facilities in South San Francisco, CA, substantially all of which were reimbursed by our landlord under the terms of our November 2016 lease extension, which reimbursement is reflected in operating activities. Cash provided by financing activities in 2018 primarily reflects the cash proceeds from our Summer 2018 Private Placement received between June 2018 and September 2018 and, in 2017, the proceeds of our September 2017 public offering, net of note and capital lease payments in both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2018 filed with the Securities and Exchange Commission on June 26, 2018,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 ..</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03" w:right="239" w:bottom="89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11" w:lineRule="exact"/>
        <w:rPr>
          <w:sz w:val="20"/>
          <w:szCs w:val="20"/>
          <w:color w:val="auto"/>
        </w:rPr>
      </w:pPr>
    </w:p>
    <w:p>
      <w:pPr>
        <w:sectPr>
          <w:pgSz w:w="11900" w:h="16838" w:orient="portrait"/>
          <w:cols w:equalWidth="0" w:num="2">
            <w:col w:w="740" w:space="320"/>
            <w:col w:w="10360"/>
          </w:cols>
          <w:pgMar w:left="240" w:top="503" w:right="239" w:bottom="890" w:gutter="0" w:footer="0" w:header="0"/>
          <w:type w:val="continuous"/>
        </w:sectPr>
      </w:pP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2018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currently have no drug products for sale and may never be able to develop and commercialize marketable drug products. Our business currently depends heavily on the successful development,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and regulatory approval before either may be commercialized and none is likely to achieve regulatory approval, if at all, until at least 2021. Any drug rescue NCE we produce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and surveillance obligations, which would require the expenditure of substantial resources beyond the proceeds we have raised to date. Of the large number of drug candidates in development in the United States, only a small percentage will successfully complete the required FDA regulatory approval process and will be commercialized. Accordingly, we cannot assure you that any of our current drug candidates or any future product candidates will be successfully developed or commercialized.</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United States until we receive approval of an NDA from the FDA, or in any foreign countries until we receive the requisite approval from such countries. Obtaining FDA approval of an NDA is a complex, lengthy, expensive and uncertain process. The FDA may refuse to permit the filing of our NDA, delay, limit or deny approval of an NDA for many reasons, including, among others:</w:t>
      </w:r>
    </w:p>
    <w:p>
      <w:pPr>
        <w:spacing w:after="0" w:line="161" w:lineRule="exact"/>
        <w:rPr>
          <w:sz w:val="20"/>
          <w:szCs w:val="20"/>
          <w:color w:val="auto"/>
        </w:rPr>
      </w:pPr>
    </w:p>
    <w:p>
      <w:pPr>
        <w:jc w:val="both"/>
        <w:ind w:left="360" w:hanging="352"/>
        <w:spacing w:after="0" w:line="306"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applicable regulatory agency may determine that there is insufficient evidence of overall effectiveness in an NDA and require additional clinical studies;</w:t>
      </w:r>
    </w:p>
    <w:p>
      <w:pPr>
        <w:spacing w:after="0" w:line="18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Certain of our product candidates, including PH94B and PH10, may be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 combination product with a drug primary mode of action generally would be reviewed and</w:t>
      </w:r>
      <w:r>
        <w:rPr>
          <w:rFonts w:ascii="Arial" w:cs="Arial" w:eastAsia="Arial" w:hAnsi="Arial"/>
          <w:sz w:val="16"/>
          <w:szCs w:val="16"/>
          <w:color w:val="auto"/>
        </w:rPr>
        <w:t xml:space="preserve"> </w:t>
      </w:r>
      <w:r>
        <w:rPr>
          <w:rFonts w:ascii="Arial" w:cs="Arial" w:eastAsia="Arial" w:hAnsi="Arial"/>
          <w:sz w:val="16"/>
          <w:szCs w:val="16"/>
          <w:color w:val="231F20"/>
        </w:rPr>
        <w:t xml:space="preserve">approved pursuant to the drug approval processes under the United States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w:t>
      </w:r>
      <w:r>
        <w:rPr>
          <w:rFonts w:ascii="Arial" w:cs="Arial" w:eastAsia="Arial" w:hAnsi="Arial"/>
          <w:sz w:val="16"/>
          <w:szCs w:val="16"/>
          <w:color w:val="231F20"/>
        </w:rPr>
        <w:t xml:space="preserve"> </w:t>
      </w:r>
      <w:r>
        <w:rPr>
          <w:rFonts w:ascii="Arial" w:cs="Arial" w:eastAsia="Arial" w:hAnsi="Arial"/>
          <w:sz w:val="16"/>
          <w:szCs w:val="16"/>
          <w:color w:val="000000"/>
        </w:rPr>
        <w:t>subject to cGMP requirements applicable to both drugs and 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890" w:gutter="0" w:footer="0" w:header="0"/>
          <w:type w:val="continuous"/>
        </w:sectPr>
      </w:pPr>
    </w:p>
    <w:bookmarkStart w:id="31" w:name="page32"/>
    <w:bookmarkEnd w:id="31"/>
    <w:p>
      <w:pPr>
        <w:jc w:val="both"/>
        <w:spacing w:after="0" w:line="256" w:lineRule="auto"/>
        <w:rPr>
          <w:sz w:val="20"/>
          <w:szCs w:val="20"/>
          <w:color w:val="auto"/>
        </w:rPr>
      </w:pPr>
      <w:r>
        <w:rPr>
          <w:rFonts w:ascii="Arial" w:cs="Arial" w:eastAsia="Arial" w:hAnsi="Arial"/>
          <w:sz w:val="18"/>
          <w:szCs w:val="18"/>
          <w:b w:val="1"/>
          <w:bCs w:val="1"/>
          <w:i w:val="1"/>
          <w:iCs w:val="1"/>
          <w:color w:val="auto"/>
        </w:rPr>
        <w:t>We have been granted Fast Track designation from the FDA for development of AV-101 for the adjunctive treatment of MDD and for the treatment of neuropathic pain. However, these designations may not actually lead to faster development or regulatory review or approval processes for AV-101. Further, there is no guarantee the FDA will grant Fast Track designation for AV-101 as a treatment option for other CNS indications or for any of our other product candidates in the future.</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FDA granted Fast Track designation for development of AV-101 for the adjunctive treatment of MDD in patients with an inadequate response to current antidepressants. In September 2018, the FDA granted Fast Track designation for development of AV-101 for the treatment of neuropathic pain. However, these FDA Fast Track designations may not lead to a faster development or regulatory review or approval process for AV-101 and the FDA may withdraw Fast Track designation of AV-101 for either or both indications if it believes that the respective designation is no longer supported by data from our clinical development programs.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AV-101 as a treatment option for other CNS indications, as well as for other product candidates. The FDA has broad discretion whether or not to grant a Fast Track designation, and even if we believe AV-101 and other product candidates may be eligible for this designation, we cannot be sure that the review or approval will compare to conventional FDA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AV-101, PH94B, PH10 and/or our other product candidates, if any, including positive results, may not be predictive of the results of later-stage clinical trials. AV-101, PH94B, PH10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With respect to our current product candidates, we have not yet completed a Phase 2 clinical trial for AV-101, and if the NIMH Study and/or our ELEVATE Study, or any future clinical study of AV-101, or if one or more of the pivotal Phase 3 clinical trials of PH94B for SAD, fail(s) to produce positive results, the development timeline and regulatory approval and commercialization prospects for AV-101 or PH94B, and, correspondingly, our business and financial prospects, could be materially adversely affected.</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AV-101 are identified during the NIMH Study, Baylor/VA Study, other investigator-sponsored clinical trials, in our clinical trials of AV-101, including our ELEVATE study, or our clinical trials of PH94B, it may adversely affect or delay our clinical development and commercialization of AV-101 or PH94B.</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AV-101 is currently being tested by the NIMH in the NIMH Study and by Baylor in the Baylor/VA Study and may be subjected to testing in the future for other CNS indications in additional investigator-sponsored clinical trials. If serious adverse events or other undesirable side effects or safety concerns, or unexpected characteristics attributable to AV-101 are observed in the NIMH Study, Baylor/VA Study, other investigator-sponsored clinical trials of AV-101, our clinical trials of AV-101, including our ELEVATE Study, or in our clinical trials of PH94B, it may adversely affect or delay our clinical development and commercialization of AV-101 or PH94B,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1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15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180"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11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180" w:lineRule="exact"/>
        <w:rPr>
          <w:rFonts w:ascii="Arial" w:cs="Arial" w:eastAsia="Arial" w:hAnsi="Arial"/>
          <w:sz w:val="16"/>
          <w:szCs w:val="16"/>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15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5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15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PH94B, PH10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will need to complete our ELEVATE Study, at least two pivotal Phase 3 clinical trials, additional toxicology and other standard nonclinical studies, as well as certain standard smaller clinical studies prior to the submission of an NDA to the FDA for AV-101 as an adjunctive treatment for MDD in patients with an inadequate response to current antidepressants, or any other CNS indication. Similarly, we will need to complete at least two pivotal Phase 3 clinical studies of PH94B prior to our submission of an NDA for PH94B as an on demand treatment for SAD. Successful completion of our nonclinical and clinical trials is a prerequisite to submitting an NDA to the FDA and, consequently, the ultimate approval required before commercial marketing of any product candidate we may develop. Except as disclosed herein, we do not know whether the NIMH Study, Baylor/VA Study, our ELEVATE Study or any of our future-planned nonclinical and clinical trials of AV-101, PH94B, PH10 or any other product candidate will be completed on schedule, if at all, as the commencement and completion of nonclinical and clinical trials can be delayed or prevented for a number of reasons, including, among others:</w:t>
      </w:r>
    </w:p>
    <w:p>
      <w:pPr>
        <w:spacing w:after="0" w:line="172" w:lineRule="exact"/>
        <w:rPr>
          <w:sz w:val="20"/>
          <w:szCs w:val="20"/>
          <w:color w:val="auto"/>
        </w:rPr>
      </w:pPr>
    </w:p>
    <w:p>
      <w:pPr>
        <w:ind w:left="3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nonclinical or clinical studies;</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8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ectPr>
          <w:pgSz w:w="11900" w:h="16880" w:orient="portrait"/>
          <w:cols w:equalWidth="0" w:num="1">
            <w:col w:w="11420"/>
          </w:cols>
          <w:pgMar w:left="240" w:top="509" w:right="239" w:bottom="0" w:gutter="0" w:footer="0" w:header="0"/>
        </w:sectPr>
      </w:pPr>
    </w:p>
    <w:bookmarkStart w:id="33" w:name="page34"/>
    <w:bookmarkEnd w:id="33"/>
    <w:p>
      <w:pPr>
        <w:ind w:left="352" w:hanging="352"/>
        <w:spacing w:after="0" w:line="268" w:lineRule="auto"/>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212" w:lineRule="exact"/>
        <w:rPr>
          <w:rFonts w:ascii="Arial" w:cs="Arial" w:eastAsia="Arial" w:hAnsi="Arial"/>
          <w:sz w:val="18"/>
          <w:szCs w:val="18"/>
          <w:color w:val="auto"/>
        </w:rPr>
      </w:pPr>
    </w:p>
    <w:p>
      <w:pPr>
        <w:ind w:left="352" w:hanging="352"/>
        <w:spacing w:after="0"/>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352" w:hanging="352"/>
        <w:spacing w:after="0" w:line="268" w:lineRule="auto"/>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47" w:right="239" w:bottom="1440" w:gutter="0" w:footer="0" w:header="0"/>
        </w:sectPr>
      </w:pPr>
    </w:p>
    <w:bookmarkStart w:id="34" w:name="page35"/>
    <w:bookmarkEnd w:id="34"/>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PH94B, PH10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of AV-101, PH94B, PH10 or other product candidates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PH94B, PH10 or other product candidates may be harmed and our ability to generate product revenue will be delayed.</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rely, and expect that we will continue to rely, on third parties to conduct our nonclinical and clinical trials of our current product candidates and will continue to do so for any other product candidates. If these third parties do not successfully carry out their contractual duties and/or meet expected deadlines, completion of our nonclinical or clinical trials and development of AV-101, PH94B, PH10 or other product candidates may be delayed and we may not be able to obtain regulatory approval for or commercialize AV-101, PH94B, PH10 or other product candidates and our business could be substantially harmed.</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and other third parties, such as CROs,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the NIMH, Baylor or other independent investigators does not relieve us of our regulatory responsibilities. We and our CROs, the NIMH, Baylor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NIMH Study, Baylor/VA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the NIMH, Baylor or the VA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currently have, nor do we plan to acquire or develop, any internal infrastructure or technical capabilities to manufacture, formulate, hold or distribute supplies of our product candidates, for use in nonclinical and clinical studies or commercial scale. As a result, with respect to our product candidates, we rely, and will continue to rely, completely on contract manufacturing organizations (</w:t>
      </w:r>
      <w:r>
        <w:rPr>
          <w:rFonts w:ascii="Arial" w:cs="Arial" w:eastAsia="Arial" w:hAnsi="Arial"/>
          <w:sz w:val="16"/>
          <w:szCs w:val="16"/>
          <w:i w:val="1"/>
          <w:iCs w:val="1"/>
          <w:color w:val="auto"/>
        </w:rPr>
        <w:t>CMO</w:t>
      </w:r>
      <w:r>
        <w:rPr>
          <w:rFonts w:ascii="Arial" w:cs="Arial" w:eastAsia="Arial" w:hAnsi="Arial"/>
          <w:sz w:val="16"/>
          <w:szCs w:val="16"/>
          <w:color w:val="auto"/>
        </w:rPr>
        <w:t>s) to manufacture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formulate, hold and distribute final drug product. The facilities used by our CMOs to manufacture AV-101 and PH94B API and AV-101 and PH94B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6" w:name="page37"/>
    <w:bookmarkEnd w:id="36"/>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AV-101 and PH94B API and finished drug product, that conforms to our specifications and the strict regulatory requirements of the FDA or applicable foreign regulatory agencies, production of sufficient supplies of our product candidates, including AV-101 and PH94B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and PH94B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AV-101 and PH94B, we do not yet have long-term supply agreements in place with our CMOs and each batch of AV-101 and PH94B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manufacturing for AV-101 and PH94B, and current and projected supply of AV-101 and PH94B API and finished drug product will be adequate to support our planned nonclinical and clinical studies of AV-101 and PH94B, no assurance can be given that unanticipated AV-101 supply shortages or CMO-related delays in the manufacture and formulation of AV-101 or PH94B API and/or finished drug product will not occur in the future.</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certain of our product candidates, including PH94B and PH10, may be considered drug-device combination products. Third-party manufacturers may not be able to comply with the regulatory requirements, known as current good manufacturing practice, or cGMP, applicable to drug/device combination products, including applicable provisions of the FDA’s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our NDA to the FDA. We do not control the manufacturing process of, and are completely dependent on, our contract manufacturing partners for compliance with cGMPs and QSRs.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PH94B, PH10 or any other product candidate in the United States, we may never receive regulatory approval to market AV-101, PH94B, PH10 or any other product candidate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AV-101, PH94B, PH10 or any other product candidate. In order to market AV-101, PH94B, PH10 or any other product candidate outside of the United States,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whether such product candidates will be considered to be a controlled substance,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will consider any of our current or future product candidate to be controlled substances, we cannot yet give any assurance that such product candidates, including AV-101, will not be regulated as controlled substances.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CMOs would be subject to initial and periodic DEA inspection. If we or our CMOs are not able to obtain or maintain any necessary DEA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ectPr>
          <w:pgSz w:w="11900" w:h="16838" w:orient="portrait"/>
          <w:cols w:equalWidth="0" w:num="1">
            <w:col w:w="11420"/>
          </w:cols>
          <w:pgMar w:left="240" w:top="563"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25" w:right="1440" w:bottom="1440" w:gutter="0" w:footer="0" w:header="0"/>
        </w:sectPr>
      </w:pPr>
    </w:p>
    <w:bookmarkStart w:id="38" w:name="page39"/>
    <w:bookmarkEnd w:id="38"/>
    <w:p>
      <w:pPr>
        <w:jc w:val="both"/>
        <w:spacing w:after="0" w:line="29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financial condition and prospects will be materially adversely affected.</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360" w:hanging="352"/>
        <w:spacing w:after="0" w:line="332"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9" w:name="page40"/>
    <w:bookmarkEnd w:id="39"/>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management is unaware of any FDA-approved oral adjunctive therapy for MDD patients with an inadequate response to standard antidepressants having the same mechanism of action and safety profile as our orally administered AV-101. However, new antidepressant products with other mechanisms of action or products approved for other indications, including the FDA-approved anesthetic ketamine hydrochloride administered intravenously,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 Management is also unaware of any FDA-approved rapid-onset, on-demand treatment for SAD having the same mechanism of action and safety profile as our PH94B.</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antidepressants, we believe our principal competitor may be Alkermes’ oral ALKS-5461. Additional potential competitors may include, but not be limited to, academic and private commercial clinics providing intravenous ketamine therapy on an off-label basis, Allergan’s intravenous rapastinel or AGN-241751, and Johnson &amp; Johnson/Janssen’s nasal spray esketamine. With respect to PH94B and current FDA-approved treatment options for SAD, competition may include, but is not limited to, certain generic antidepressants approved by the FDA for treatment of SAD and certain classes of drug used on an off-label basis for SAD, including benzodiazapines such as alprazolam, and beta blockers such as propranolol.</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we believe that a range of pharmaceutical and biotechnology companies have programs to develop small molecule drug candidates for the treatment of depression, including MDD, Parkinson’s disease levodopa-induced dyskinesia, neuropathic pain, epilepsy, and other neurological conditions and diseases, including, but not limited to, Abbott Laboratories, Acadia, Allergan, Alkermes, Aptynix, AstraZeneca, Eli Lilly, GlaxoSmithKline, IntraCellular, Johnson &amp; Johnson/Janssen, Lundbeck, Merck, Novartis, Ono, Otsuka, Pfizer,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Johnson &amp; Johnson/Janssen and a sublingual formulation of the sodium channel blocker riluzole in development by Biohaven.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MDD, and we are preparing for development of PH94B in pivotal Phase 3 studies for SAD, we may fail to pursue additional development opportunities for AV-101 or PH94B,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and PH94B, with additional limited focus on NCE drug rescue and, through a third-party collaboration, RM. As a result, we may forego or delay pursuit of opportunities with other product candidates or for other potential CNS-related indications for AV-101 and/or PH94B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360" w:hanging="352"/>
        <w:spacing w:after="0" w:line="30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360" w:hanging="352"/>
        <w:spacing w:after="0" w:line="30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360" w:hanging="352"/>
        <w:spacing w:after="0" w:line="256"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360" w:right="20" w:hanging="352"/>
        <w:spacing w:after="0" w:line="30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and PH94B,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development stage biopharmaceutical company. Although we have one drug candidate in Phase 2 development and are preparing to advance another drug candidate into pivotal Phase 3 clinical trials,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AV-101, PH94B, PH10 and/or other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jc w:val="both"/>
        <w:spacing w:after="0" w:line="323"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drug rescue NCEs using our stem cell technology, and we cannot provide any assurance that we will successfully develop and commercialize AV-101, PH94B, PH10 acquire or license additional product candidates or discover and develop drug rescue NCEs, or that, if produced, AV-101, PH94B, PH10 or any other product candidate will be successfully commercialized.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drug rescue NCEs require substantial technical, financial and human resources, whether or not any additional product candidate is acquired or licensed or NCEs are ultimately identified and produced.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PH94B, PH10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PH94B, PH10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drug rescue NCEs and no operating history with respect to the production of drug rescue NCEs, and we may never be able to produce a drug rescue NCE.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are unable to develop and commercialize AV-101, PH94B, PH10 acquire or license additional product candidates,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respect to drug rescue,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partners, including:</w:t>
      </w:r>
    </w:p>
    <w:p>
      <w:pPr>
        <w:spacing w:after="0" w:line="186"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identify potential drug rescue candidates in the public domain, obtain sufficient quantities of them, and assess them using our bioassay systems;</w:t>
      </w:r>
    </w:p>
    <w:p>
      <w:pPr>
        <w:spacing w:after="0" w:line="259" w:lineRule="exact"/>
        <w:rPr>
          <w:rFonts w:ascii="Arial" w:cs="Arial" w:eastAsia="Arial" w:hAnsi="Arial"/>
          <w:sz w:val="15"/>
          <w:szCs w:val="15"/>
          <w:color w:val="auto"/>
        </w:rPr>
      </w:pPr>
    </w:p>
    <w:p>
      <w:pPr>
        <w:ind w:left="360" w:right="20" w:hanging="352"/>
        <w:spacing w:after="0" w:line="26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sell or out-license them to partners, the resources such partners choose to dedicate to development and commercialization of any drug rescue NCEs they acquire or license from us.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do acquire additional product candidates or produce proprietary drug rescue NCEs, we can give no assurance that we will be able to develop and commercialize them as marketable drugs, on our own or in collaboration with others. Before we generate any revenues from AV-101, PH94B, PH10 additional acquired or licensed products candidates or any drug rescue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6" w:name="page47"/>
    <w:bookmarkEnd w:id="46"/>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Success of our subsidiary, VistaStem, is partly dependent on our ability to use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identify and predict, accurately and efficiently, the potential toxic and nontoxic cardiac effects of drug rescue candidates and drug rescue NCEs.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not capable of providing physiologically relevant and clinically predictive information regarding human cardiac biology, our drug rescue business will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Although not currently requiring significant investment of capital, the success of VistaStem’s drug rescue programs is highly dependent upon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will be more efficient or accurate at predicting the heart safety of new drug candidates than the testing models currently used.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VistaStem’s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drug rescue,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8" w:name="page49"/>
    <w:bookmarkEnd w:id="48"/>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$14.3 million and $10.3 million during the fiscal years ended March 31, 2018 and 2017, respectively. We incurred a net loss of approximately $11.6 million in the six months ended September 30, 2018, and, as of that date, we had an accumulated deficit of approximately $168.2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however not including the fair market value of the NIMH Study sponsored and conducted by the NIMH under our NIMH CRADA, or the Baylor/VA Study being conducted by Baylor.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PH94B, PH10 or another product candidate, or we enter into one or more development and commercialization agreements with respect to AV-101, PH94B, PH10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United States and foreign marketing approval for our product candidates;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United States and foreign jurisdictions;</w:t>
      </w:r>
    </w:p>
    <w:p>
      <w:pPr>
        <w:spacing w:after="0" w:line="248"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9" w:name="page50"/>
    <w:bookmarkEnd w:id="49"/>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2018 as well as the unaudited condensed consolidated financial statements for the quarter ended September 30, 2018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VistaStem’s stem cell technology platform. In particular, we have expended substantial resources on research and development of methods and processes relating to the production of AV-101 API, advancing AV-101 through IND-enabling preclinical development, Phase 1 clinical safety studies, and into ongoing Phase 2 clinical development, including preparation for and launch of our ELEVATE Study, as well as research and development of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and our cardiac stem cell technology for potential regenerative medicine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September 30, 2018, we had cash and cash equivalents of approximately $7.8 million. We do not believe this amount is sufficient to enable us to fund our planned operations for at least the twelve months following the issuance of the financial statements included in this Report. We expect to seek additional capital to produce additional AV-101 study material for future nonclinical and clinical studies of AV-101, conduct AV-101 Phase 3-enabling studies, conduct pivotal Phase 3 clinical studies of AV-101 in MDD, conduct AV-101 Phase 2 studies in CNS indications other than MDD, produce additional PH94B study material, conduct PH94B pivotal Phase 3 clinical trials, conduct Phase 2 clinical trials of PH10, acquire or license and conduct research and development of additional product candidates and to fund our internal operations beyond mid-2019.</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2018 or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2018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2018, we had federal and state net operating loss carryforwards of approximately $88.5 million and $63.5 million, respectively, which begin to expire in fiscal 2019.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PH94B, PH10 any drug rescue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PH94B, PH10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AV-101 and human pluripotent stem cell technology.</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Although we have issued patents relating to AV-101 and PH94B in the United States and the European Union, we cannot yet, with respect to AV-101, provide any assurances that any of our other numerous pending United States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United States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360" w:hanging="352"/>
        <w:spacing w:after="0" w:line="332"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issued patents related to AV-101, PH94B, PH10 or pending patent applications, if issued, will include claims having a scope sufficient to protect AV-101, PH94B, PH10 or any other products or product candidates, particularly considering that the compound patent to AV-101 has expired;</w:t>
      </w:r>
    </w:p>
    <w:p>
      <w:pPr>
        <w:spacing w:after="0" w:line="139" w:lineRule="exact"/>
        <w:rPr>
          <w:rFonts w:ascii="Arial" w:cs="Arial" w:eastAsia="Arial" w:hAnsi="Arial"/>
          <w:sz w:val="16"/>
          <w:szCs w:val="16"/>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6" w:name="page57"/>
    <w:bookmarkEnd w:id="56"/>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AV-101, PH94B or PH10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9" w:name="page60"/>
    <w:bookmarkEnd w:id="59"/>
    <w:p>
      <w:pPr>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non-United States product manufacturers for products covered by such intellectual property.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0" w:name="page61"/>
    <w:bookmarkEnd w:id="60"/>
    <w:p>
      <w:pPr>
        <w:jc w:val="both"/>
        <w:spacing w:after="0" w:line="268" w:lineRule="auto"/>
        <w:rPr>
          <w:sz w:val="20"/>
          <w:szCs w:val="20"/>
          <w:color w:val="auto"/>
        </w:rPr>
      </w:pPr>
      <w:r>
        <w:rPr>
          <w:rFonts w:ascii="Arial" w:cs="Arial" w:eastAsia="Arial" w:hAnsi="Arial"/>
          <w:sz w:val="18"/>
          <w:szCs w:val="18"/>
          <w:color w:val="auto"/>
        </w:rPr>
        <w:t>In the event we apply for additional United States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United States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PH94B or PH10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United States patent law could diminish the value of patents in general, thereby impairing our ability to protect our products.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United States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addition, recent United States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w:t>
      </w:r>
      <w:r>
        <w:rPr>
          <w:rFonts w:ascii="Arial" w:cs="Arial" w:eastAsia="Arial" w:hAnsi="Arial"/>
          <w:sz w:val="16"/>
          <w:szCs w:val="16"/>
          <w:color w:val="auto"/>
        </w:rPr>
        <w:t xml:space="preserve"> </w:t>
      </w:r>
      <w:r>
        <w:rPr>
          <w:rFonts w:ascii="Arial" w:cs="Arial" w:eastAsia="Arial" w:hAnsi="Arial"/>
          <w:sz w:val="16"/>
          <w:szCs w:val="16"/>
          <w:i w:val="1"/>
          <w:iCs w:val="1"/>
          <w:color w:val="auto"/>
        </w:rPr>
        <w:t>Mayo Medical Laboratories, et al. v. Prometheus Laboratories, Inc.</w:t>
      </w:r>
      <w:r>
        <w:rPr>
          <w:rFonts w:ascii="Arial" w:cs="Arial" w:eastAsia="Arial" w:hAnsi="Arial"/>
          <w:sz w:val="16"/>
          <w:szCs w:val="16"/>
          <w:color w:val="auto"/>
        </w:rPr>
        <w:t>, the Court held that several claims drawn to measuring drug metabolite levels from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United States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360" w:hanging="352"/>
        <w:spacing w:after="0" w:line="268"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3" w:name="page64"/>
    <w:bookmarkEnd w:id="63"/>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September 30, 2018; (ii) 4.0 million shares of Series B 10% Convertible Preferred stock, of which approximately 1.2 million shares remain issued and outstanding at September 30, 2018; and (iii) 3.0 million shares of Series C Convertible Preferred Stock, of which approximately 2.3 million shares are issued and outstanding at September 30, 2018.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 ..</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Subsequent to the Current Report on Form 8-K that we filed on August 14, 2018 and through the date of this Report, in self-placed private placement transactions, we sold to accredited investors units consisting of an aggregate of 782,000 unregistered shares of our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warrants exercisable at least six months and one day following issuance and through February 28, 2022 to purchase 782,000 unregistered shares of our common stock at $1.50 per share, from which we received cash proceeds of $977,500.</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October 2018, we sold to accredited investors units, at a purchase price equal to the closing quoted market price of our common stock on the Nasdaq Capital Market plus $0.15 per unit on the effective date of the investor’s subscription agreement, consisting of an aggregate of 420,939 unregistered shares of our Common Stock and four-year, immediately exercisable warrants to purchase 420,939 unregistered shares of our Common Stock at the market price per share on the effective day of the investor’s subscription agreement. We received aggregate cash proceeds of $812,500 and settled an outstanding professional service payable by accepting a subscription agreement in the amount of $40,000 and issuing the corresponding number of shares and warrants.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September 2018, we issued (i) a four-year warrant to purchase 90,000 unregistered shares of our common stock at an exercise price of $1.50 per share as partial compensation to a consultant under a financial advisory consulting agreement.</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8"/>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3.</w:t>
            </w:r>
          </w:p>
        </w:tc>
        <w:tc>
          <w:tcPr>
            <w:tcW w:w="10640" w:type="dxa"/>
            <w:vAlign w:val="bottom"/>
            <w:gridSpan w:val="4"/>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432"/>
        </w:trPr>
        <w:tc>
          <w:tcPr>
            <w:tcW w:w="800" w:type="dxa"/>
            <w:vAlign w:val="bottom"/>
            <w:gridSpan w:val="4"/>
          </w:tcPr>
          <w:p>
            <w:pPr>
              <w:spacing w:after="0"/>
              <w:rPr>
                <w:sz w:val="20"/>
                <w:szCs w:val="20"/>
                <w:color w:val="auto"/>
              </w:rPr>
            </w:pPr>
            <w:r>
              <w:rPr>
                <w:rFonts w:ascii="Arial" w:cs="Arial" w:eastAsia="Arial" w:hAnsi="Arial"/>
                <w:sz w:val="18"/>
                <w:szCs w:val="18"/>
                <w:color w:val="auto"/>
              </w:rPr>
              <w:t>None.</w:t>
            </w:r>
          </w:p>
        </w:tc>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 ..</w:t>
            </w:r>
          </w:p>
        </w:tc>
        <w:tc>
          <w:tcPr>
            <w:tcW w:w="10640" w:type="dxa"/>
            <w:vAlign w:val="bottom"/>
            <w:gridSpan w:val="4"/>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20"/>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gridSpan w:val="4"/>
          </w:tcPr>
          <w:p>
            <w:pPr>
              <w:spacing w:after="0" w:line="190" w:lineRule="exact"/>
              <w:rPr>
                <w:sz w:val="20"/>
                <w:szCs w:val="20"/>
                <w:color w:val="auto"/>
              </w:rPr>
            </w:pPr>
            <w:r>
              <w:rPr>
                <w:rFonts w:ascii="Arial" w:cs="Arial" w:eastAsia="Arial" w:hAnsi="Arial"/>
                <w:sz w:val="18"/>
                <w:szCs w:val="18"/>
                <w:b w:val="1"/>
                <w:bCs w:val="1"/>
                <w:color w:val="auto"/>
              </w:rPr>
              <w:t>Number</w:t>
            </w:r>
          </w:p>
        </w:tc>
        <w:tc>
          <w:tcPr>
            <w:tcW w:w="5160" w:type="dxa"/>
            <w:vAlign w:val="bottom"/>
          </w:tcPr>
          <w:p>
            <w:pPr>
              <w:spacing w:after="0"/>
              <w:rPr>
                <w:sz w:val="16"/>
                <w:szCs w:val="16"/>
                <w:color w:val="auto"/>
              </w:rPr>
            </w:pPr>
          </w:p>
        </w:tc>
        <w:tc>
          <w:tcPr>
            <w:tcW w:w="548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1062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w w:val="91"/>
              </w:rPr>
              <w:t>License Agreement (PH94B), by and between VistaGen Therapeutics, Inc. and Pherin Pharmaceuticals, Inc., dated September 11, 2018,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20" w:type="dxa"/>
            <w:vAlign w:val="bottom"/>
            <w:tcBorders>
              <w:top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13,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1062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w w:val="88"/>
              </w:rPr>
              <w:t>Option Agreement, by and between VistaGen Therapeutics, Inc. and Pherin Pharmaceuticals, Inc., dated September 11, 2018,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20" w:type="dxa"/>
            <w:vAlign w:val="bottom"/>
            <w:tcBorders>
              <w:top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reference from Exhibit 10.2 to the Company’s Current Report on Form 8-K filed on September 13,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1062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w w:val="91"/>
              </w:rPr>
              <w:t>License Agreement (PH10), by and between VistaGen Therapeutics, Inc. and Pherin Pharmaceuticals, Inc., dated October 24, 2018, filed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20" w:type="dxa"/>
            <w:vAlign w:val="bottom"/>
            <w:tcBorders>
              <w:top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2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Form of Fall 2018 Private Placement Subscription Agreement,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2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Form of Fall 2018 Private Placement Warrant,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0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2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w w:val="94"/>
              </w:rPr>
              <w:t>Certification of the Principal Executive Officer required by Rule 13a-14(a) under the Securities Exchange Act of 1934, as amended,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0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2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w w:val="88"/>
              </w:rPr>
              <w:t>Certification of the Principal Financial Officer required by Rule 13a-14(a) under the Securities Exchange Act of 1934, as amended, as adopted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pursuant to Section 302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380" w:hanging="1372"/>
        <w:spacing w:after="0" w:line="268" w:lineRule="auto"/>
        <w:tabs>
          <w:tab w:leader="none" w:pos="138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1" w:lineRule="exact"/>
        <w:rPr>
          <w:sz w:val="20"/>
          <w:szCs w:val="20"/>
          <w:color w:val="auto"/>
        </w:rPr>
      </w:pPr>
    </w:p>
    <w:p>
      <w:pPr>
        <w:jc w:val="center"/>
        <w:ind w:right="4720" w:firstLine="8"/>
        <w:spacing w:after="0" w:line="332" w:lineRule="auto"/>
        <w:tabs>
          <w:tab w:leader="none" w:pos="1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confidential portions of this agreement. * Confidential treatment has been requested for certain confidential portions of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6" w:name="page67"/>
    <w:bookmarkEnd w:id="6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57" w:right="4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This License Agreement (“Agreement”), effective on October 24, 2018, is by and between Pherin Pharmaceuticals, Inc., a California corporation with offices at 1014 Barbara Avenue, Mountain View, CA 94040 (“LICENSOR”), and VistaGen Therapeutics, Inc., a Nevada corporation with offices at 343 Allerton Avenue, South San Francisco, California 94080 (“LICENSEE”).</w:t>
      </w:r>
    </w:p>
    <w:p>
      <w:pPr>
        <w:spacing w:after="0" w:line="194"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WHEREAS, LICENSOR has developed an intranasal synthetic neuroactive steroid product for the treatment of depression, referred to by LICENSOR as PH10; and</w:t>
      </w:r>
    </w:p>
    <w:p>
      <w:pPr>
        <w:ind w:left="500"/>
        <w:spacing w:after="0"/>
        <w:rPr>
          <w:sz w:val="20"/>
          <w:szCs w:val="20"/>
          <w:color w:val="auto"/>
        </w:rPr>
      </w:pPr>
      <w:r>
        <w:rPr>
          <w:rFonts w:ascii="Arial" w:cs="Arial" w:eastAsia="Arial" w:hAnsi="Arial"/>
          <w:sz w:val="18"/>
          <w:szCs w:val="18"/>
          <w:color w:val="auto"/>
        </w:rPr>
        <w:t>WHEREAS, LICENSEE wishes to license rights to that product from LICENSOR on an exclusive worldwide basis; and</w:t>
      </w:r>
    </w:p>
    <w:p>
      <w:pPr>
        <w:spacing w:after="0" w:line="219"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WHEREAS, LICENSOR and LICENSEE (each separately as a “Party” and collectively as the “Parties”) desire to enter into this Agreement to set forth the licensing terms for that product.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NOW THEREFORE, intending to be legally bound, the Parties agree as follows:</w:t>
      </w:r>
    </w:p>
    <w:p>
      <w:pPr>
        <w:spacing w:after="0" w:line="21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w:t>
      </w:r>
    </w:p>
    <w:p>
      <w:pPr>
        <w:spacing w:after="0" w:line="231" w:lineRule="exact"/>
        <w:rPr>
          <w:sz w:val="20"/>
          <w:szCs w:val="20"/>
          <w:color w:val="auto"/>
        </w:rPr>
      </w:pPr>
    </w:p>
    <w:p>
      <w:pPr>
        <w:ind w:left="620" w:right="100" w:hanging="620"/>
        <w:spacing w:after="0" w:line="256"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"Affiliate(s)" means all corporations or business entities which, directly or indirectly, are controlled by, control, or are under common control with a person. For this purpose, the meaning of the word "control" means the ownership, control or holding, direct or indirect of fifty percent (50%) or more of the securities or other ownership interests representing the equity, voting stock, preferred stock, general partnership, limited partnership or limited liability company interest of such entity.</w:t>
      </w:r>
    </w:p>
    <w:p>
      <w:pPr>
        <w:spacing w:after="0" w:line="197" w:lineRule="exact"/>
        <w:rPr>
          <w:sz w:val="20"/>
          <w:szCs w:val="20"/>
          <w:color w:val="auto"/>
        </w:rPr>
      </w:pPr>
    </w:p>
    <w:p>
      <w:pPr>
        <w:ind w:left="620" w:right="40" w:hanging="620"/>
        <w:spacing w:after="0" w:line="218" w:lineRule="exact"/>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“Commercialize” or “Commercialization” means any and all activities directed to the Development (as defined below) and commercialization of Licensed Product, including pre</w:t>
      </w:r>
      <w:r>
        <w:rPr>
          <w:rFonts w:ascii="MS PGothic" w:cs="MS PGothic" w:eastAsia="MS PGothic" w:hAnsi="MS PGothic"/>
          <w:sz w:val="16"/>
          <w:szCs w:val="16"/>
          <w:color w:val="auto"/>
        </w:rPr>
        <w:t>‐</w:t>
      </w:r>
      <w:r>
        <w:rPr>
          <w:rFonts w:ascii="Arial" w:cs="Arial" w:eastAsia="Arial" w:hAnsi="Arial"/>
          <w:sz w:val="16"/>
          <w:szCs w:val="16"/>
          <w:color w:val="auto"/>
        </w:rPr>
        <w:t>launch and post</w:t>
      </w:r>
      <w:r>
        <w:rPr>
          <w:rFonts w:ascii="MS PGothic" w:cs="MS PGothic" w:eastAsia="MS PGothic" w:hAnsi="MS PGothic"/>
          <w:sz w:val="16"/>
          <w:szCs w:val="16"/>
          <w:color w:val="auto"/>
        </w:rPr>
        <w:t>‐</w:t>
      </w:r>
      <w:r>
        <w:rPr>
          <w:rFonts w:ascii="Arial" w:cs="Arial" w:eastAsia="Arial" w:hAnsi="Arial"/>
          <w:sz w:val="16"/>
          <w:szCs w:val="16"/>
          <w:color w:val="auto"/>
        </w:rPr>
        <w:t>launch marketing, promoting, distribution, retailing or selling of Licensed Product (as well as importing and exporting activities in connection therewith). When used as a verb, “Commercialize” means to engage in Commercialization.</w:t>
      </w:r>
    </w:p>
    <w:p>
      <w:pPr>
        <w:spacing w:after="0" w:line="211" w:lineRule="exact"/>
        <w:rPr>
          <w:sz w:val="20"/>
          <w:szCs w:val="20"/>
          <w:color w:val="auto"/>
        </w:rPr>
      </w:pPr>
    </w:p>
    <w:p>
      <w:pPr>
        <w:ind w:left="620" w:hanging="620"/>
        <w:spacing w:after="0" w:line="217" w:lineRule="exact"/>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“Control” or “Controlled” means the legal authority or right (whether by ownership, license or otherwise) to: (i) with respect to any molecule or material, grant ownership of or a license or sublicense to use such molecule or material; (ii) with respect to any know</w:t>
      </w:r>
      <w:r>
        <w:rPr>
          <w:rFonts w:ascii="MS PGothic" w:cs="MS PGothic" w:eastAsia="MS PGothic" w:hAnsi="MS PGothic"/>
          <w:sz w:val="16"/>
          <w:szCs w:val="16"/>
          <w:color w:val="auto"/>
        </w:rPr>
        <w:t>‐</w:t>
      </w:r>
      <w:r>
        <w:rPr>
          <w:rFonts w:ascii="Arial" w:cs="Arial" w:eastAsia="Arial" w:hAnsi="Arial"/>
          <w:sz w:val="16"/>
          <w:szCs w:val="16"/>
          <w:color w:val="auto"/>
        </w:rPr>
        <w:t>how, patents, other intellectual property, grant ownership of or a license or a sublicense under such know</w:t>
      </w:r>
      <w:r>
        <w:rPr>
          <w:rFonts w:ascii="MS PGothic" w:cs="MS PGothic" w:eastAsia="MS PGothic" w:hAnsi="MS PGothic"/>
          <w:sz w:val="16"/>
          <w:szCs w:val="16"/>
          <w:color w:val="auto"/>
        </w:rPr>
        <w:t>‐</w:t>
      </w:r>
      <w:r>
        <w:rPr>
          <w:rFonts w:ascii="Arial" w:cs="Arial" w:eastAsia="Arial" w:hAnsi="Arial"/>
          <w:sz w:val="16"/>
          <w:szCs w:val="16"/>
          <w:color w:val="auto"/>
        </w:rPr>
        <w:t>how, patents, or intellectual property; or (iii) with respect to any proprietary or trade secret information, disclose such information; in each case without breaching the terms of any agreement with, obligation to or other arrangement with a third-party, or misappropriating the proprietary or trade secret information of a third-party.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right="20" w:hanging="572"/>
        <w:spacing w:after="0" w:line="262"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620" w:right="140" w:hanging="620"/>
        <w:spacing w:after="0" w:line="298"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“Confidential Information” means, subject to the exclusions of Section 5.1, all information that has or could have commercial value or other utility in a Party’s business, or the unauthorized disclosure of which could be detrimental to the Party’s interests, including confidential information, inventions, know-how, data and materials relating to Licensed Product, and shall include without limitation research, technical, development, manufacturing, marketing, financial, personnel and other business information and plans, whether in oral, written, graphic or electronic form.</w:t>
      </w:r>
    </w:p>
    <w:p>
      <w:pPr>
        <w:spacing w:after="0" w:line="167" w:lineRule="exact"/>
        <w:rPr>
          <w:sz w:val="20"/>
          <w:szCs w:val="20"/>
          <w:color w:val="auto"/>
        </w:rPr>
      </w:pPr>
    </w:p>
    <w:p>
      <w:pPr>
        <w:ind w:left="620" w:right="120" w:hanging="620"/>
        <w:spacing w:after="0" w:line="291"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“Develop” or “Development” means any and all research and development activities for Licensed Product conducted anywhere in the Territory on and after Effective Date relating to Licensed Product, including all nonclinical, preclinical and clinical activities, testing and studies of Licensed Product, manufacturing development, process development, toxicology studies, distribution of Licensed Product for use in clinical trials (including placebos and comparators), research and development of companion diagnostics for use in connection with clinical trials of Licensed Product as well as approved Licensed Product, statistical analyses, and the preparation, filing and prosecution of any NDA and obtaining or maintaining Regulatory Approvals for Licensed Product, as well as all regulatory affairs related to any of the foregoing. When used as a verb, “Develop” means to engage in Development.</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“Effective Date” means the effective date of this Agreement as set forth in its first paragraph.</w:t>
      </w:r>
    </w:p>
    <w:p>
      <w:pPr>
        <w:spacing w:after="0" w:line="225" w:lineRule="exact"/>
        <w:rPr>
          <w:sz w:val="20"/>
          <w:szCs w:val="20"/>
          <w:color w:val="auto"/>
        </w:rPr>
      </w:pPr>
    </w:p>
    <w:p>
      <w:pPr>
        <w:ind w:left="620" w:right="60" w:hanging="620"/>
        <w:spacing w:after="0" w:line="268"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“First Commercial Sale” means the first sale of Licensed Product in the Territory by LICENSEE, its Affiliates or sublicensee, or a third-party distributor or wholesaler under contract with LICENSEE, its Affiliates or sublicensees.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color w:val="auto"/>
        </w:rPr>
        <w:t>“Field” means the treatment, prevention and diagnosis of human and veterinary diseases and conditions, including, but not limited to, depression.</w:t>
      </w:r>
    </w:p>
    <w:p>
      <w:pPr>
        <w:spacing w:after="0" w:line="225" w:lineRule="exact"/>
        <w:rPr>
          <w:sz w:val="20"/>
          <w:szCs w:val="20"/>
          <w:color w:val="auto"/>
        </w:rPr>
      </w:pPr>
    </w:p>
    <w:p>
      <w:pPr>
        <w:ind w:left="620" w:right="40" w:hanging="620"/>
        <w:spacing w:after="0" w:line="268" w:lineRule="auto"/>
        <w:tabs>
          <w:tab w:leader="none" w:pos="6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“Improvements” means any inventions or discoveries that relate to Licensed Product, its manufacture, properties and applications and that fall within the scope of the Licensed Patents and Licensed Know-How.</w:t>
      </w:r>
    </w:p>
    <w:p>
      <w:pPr>
        <w:spacing w:after="0" w:line="186" w:lineRule="exact"/>
        <w:rPr>
          <w:sz w:val="20"/>
          <w:szCs w:val="20"/>
          <w:color w:val="auto"/>
        </w:rPr>
      </w:pPr>
    </w:p>
    <w:p>
      <w:pPr>
        <w:ind w:left="660" w:right="60" w:hanging="661"/>
        <w:spacing w:after="0" w:line="218" w:lineRule="exact"/>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“Licensed Know</w:t>
      </w:r>
      <w:r>
        <w:rPr>
          <w:rFonts w:ascii="MS PGothic" w:cs="MS PGothic" w:eastAsia="MS PGothic" w:hAnsi="MS PGothic"/>
          <w:sz w:val="18"/>
          <w:szCs w:val="18"/>
          <w:color w:val="auto"/>
        </w:rPr>
        <w:t>‐</w:t>
      </w:r>
      <w:r>
        <w:rPr>
          <w:rFonts w:ascii="Arial" w:cs="Arial" w:eastAsia="Arial" w:hAnsi="Arial"/>
          <w:sz w:val="18"/>
          <w:szCs w:val="18"/>
          <w:color w:val="auto"/>
        </w:rPr>
        <w:t>How” means any and all unpatented and/or non-patentable technical data, documents, materials, samples and other information and know</w:t>
      </w:r>
      <w:r>
        <w:rPr>
          <w:rFonts w:ascii="MS PGothic" w:cs="MS PGothic" w:eastAsia="MS PGothic" w:hAnsi="MS PGothic"/>
          <w:sz w:val="18"/>
          <w:szCs w:val="18"/>
          <w:color w:val="auto"/>
        </w:rPr>
        <w:t>‐</w:t>
      </w:r>
      <w:r>
        <w:rPr>
          <w:rFonts w:ascii="Arial" w:cs="Arial" w:eastAsia="Arial" w:hAnsi="Arial"/>
          <w:sz w:val="18"/>
          <w:szCs w:val="18"/>
          <w:color w:val="auto"/>
        </w:rPr>
        <w:t>how that is Controlled by LICENSOR or any of its Affiliates as of the Effective Date or thereafter during the Term that relates to, or is otherwise reasonably necessary or reasonably useful for, the use, Development, manufacture, or Commercialization of the Product. Licensed Know-How shall not include Licensed Patents.</w:t>
      </w:r>
    </w:p>
    <w:p>
      <w:pPr>
        <w:spacing w:after="0" w:line="211" w:lineRule="exact"/>
        <w:rPr>
          <w:sz w:val="20"/>
          <w:szCs w:val="20"/>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“Licensed IP” means the Licensed Patents and Licensed Know</w:t>
      </w:r>
      <w:r>
        <w:rPr>
          <w:rFonts w:ascii="MS PGothic" w:cs="MS PGothic" w:eastAsia="MS PGothic" w:hAnsi="MS PGothic"/>
          <w:sz w:val="16"/>
          <w:szCs w:val="16"/>
          <w:color w:val="auto"/>
        </w:rPr>
        <w:t>‐</w:t>
      </w:r>
      <w:r>
        <w:rPr>
          <w:rFonts w:ascii="Arial" w:cs="Arial" w:eastAsia="Arial" w:hAnsi="Arial"/>
          <w:sz w:val="16"/>
          <w:szCs w:val="16"/>
          <w:color w:val="auto"/>
        </w:rPr>
        <w:t>How and any Improvements controlled by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1.12</w:t>
            </w:r>
          </w:p>
        </w:tc>
        <w:tc>
          <w:tcPr>
            <w:tcW w:w="10900" w:type="dxa"/>
            <w:vAlign w:val="bottom"/>
            <w:gridSpan w:val="3"/>
          </w:tcPr>
          <w:p>
            <w:pPr>
              <w:ind w:left="160"/>
              <w:spacing w:after="0"/>
              <w:rPr>
                <w:sz w:val="20"/>
                <w:szCs w:val="20"/>
                <w:color w:val="auto"/>
              </w:rPr>
            </w:pPr>
            <w:r>
              <w:rPr>
                <w:rFonts w:ascii="Arial" w:cs="Arial" w:eastAsia="Arial" w:hAnsi="Arial"/>
                <w:sz w:val="18"/>
                <w:szCs w:val="18"/>
                <w:color w:val="auto"/>
                <w:w w:val="89"/>
              </w:rPr>
              <w:t>“Licensed Patents” means any and all patents and patent applications that are Controlled by LICENSOR or any of its Affiliates as of the Effective Date</w:t>
            </w:r>
          </w:p>
        </w:tc>
      </w:tr>
      <w:tr>
        <w:trPr>
          <w:trHeight w:val="184"/>
        </w:trPr>
        <w:tc>
          <w:tcPr>
            <w:tcW w:w="500" w:type="dxa"/>
            <w:vAlign w:val="bottom"/>
          </w:tcPr>
          <w:p>
            <w:pPr>
              <w:spacing w:after="0"/>
              <w:rPr>
                <w:sz w:val="15"/>
                <w:szCs w:val="15"/>
                <w:color w:val="auto"/>
              </w:rPr>
            </w:pPr>
          </w:p>
        </w:tc>
        <w:tc>
          <w:tcPr>
            <w:tcW w:w="10900" w:type="dxa"/>
            <w:vAlign w:val="bottom"/>
            <w:gridSpan w:val="3"/>
          </w:tcPr>
          <w:p>
            <w:pPr>
              <w:ind w:left="160"/>
              <w:spacing w:after="0" w:line="184" w:lineRule="exact"/>
              <w:rPr>
                <w:sz w:val="20"/>
                <w:szCs w:val="20"/>
                <w:color w:val="auto"/>
              </w:rPr>
            </w:pPr>
            <w:r>
              <w:rPr>
                <w:rFonts w:ascii="Arial" w:cs="Arial" w:eastAsia="Arial" w:hAnsi="Arial"/>
                <w:sz w:val="18"/>
                <w:szCs w:val="18"/>
                <w:color w:val="auto"/>
                <w:w w:val="92"/>
              </w:rPr>
              <w:t>or thereafter during the Term that: (a) are set forth in Schedule 1 to this Agreement; and/or (b) claim the composition of matter of, or the method of</w:t>
            </w:r>
          </w:p>
        </w:tc>
      </w:tr>
      <w:tr>
        <w:trPr>
          <w:trHeight w:val="20"/>
        </w:trPr>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28"/>
        </w:trPr>
        <w:tc>
          <w:tcPr>
            <w:tcW w:w="500" w:type="dxa"/>
            <w:vAlign w:val="bottom"/>
          </w:tcPr>
          <w:p>
            <w:pPr>
              <w:spacing w:after="0"/>
              <w:rPr>
                <w:sz w:val="19"/>
                <w:szCs w:val="19"/>
                <w:color w:val="auto"/>
              </w:rPr>
            </w:pPr>
          </w:p>
        </w:tc>
        <w:tc>
          <w:tcPr>
            <w:tcW w:w="10900" w:type="dxa"/>
            <w:vAlign w:val="bottom"/>
            <w:gridSpan w:val="3"/>
          </w:tcPr>
          <w:p>
            <w:pPr>
              <w:ind w:left="160"/>
              <w:spacing w:after="0"/>
              <w:rPr>
                <w:sz w:val="20"/>
                <w:szCs w:val="20"/>
                <w:color w:val="auto"/>
              </w:rPr>
            </w:pPr>
            <w:r>
              <w:rPr>
                <w:rFonts w:ascii="Arial" w:cs="Arial" w:eastAsia="Arial" w:hAnsi="Arial"/>
                <w:sz w:val="18"/>
                <w:szCs w:val="18"/>
                <w:color w:val="auto"/>
                <w:w w:val="89"/>
              </w:rPr>
              <w:t>manufacturing, or using, Licensed Product; or (c) that otherwise relate to, or are reasonably necessary or reasonably useful for, the use, Development,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60"/>
              <w:spacing w:after="0"/>
              <w:rPr>
                <w:sz w:val="20"/>
                <w:szCs w:val="20"/>
                <w:color w:val="auto"/>
              </w:rPr>
            </w:pPr>
            <w:r>
              <w:rPr>
                <w:rFonts w:ascii="Arial" w:cs="Arial" w:eastAsia="Arial" w:hAnsi="Arial"/>
                <w:sz w:val="18"/>
                <w:szCs w:val="18"/>
                <w:color w:val="auto"/>
                <w:w w:val="91"/>
              </w:rPr>
              <w:t>manufacture or Commercialization of Licensed Product, including any related provisionals, divisionals, continuations, continuations-in-part, reissues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160"/>
              <w:spacing w:after="0"/>
              <w:rPr>
                <w:sz w:val="20"/>
                <w:szCs w:val="20"/>
                <w:color w:val="auto"/>
              </w:rPr>
            </w:pPr>
            <w:r>
              <w:rPr>
                <w:rFonts w:ascii="Arial" w:cs="Arial" w:eastAsia="Arial" w:hAnsi="Arial"/>
                <w:sz w:val="18"/>
                <w:szCs w:val="18"/>
                <w:color w:val="auto"/>
                <w:w w:val="95"/>
              </w:rPr>
              <w:t>and extensions, as well as all foreign patents and foreign patent counterparts, such as supplementary protection certificates, to the foregoing.</w:t>
            </w:r>
          </w:p>
        </w:tc>
      </w:tr>
      <w:tr>
        <w:trPr>
          <w:trHeight w:val="432"/>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1.13</w:t>
            </w: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88"/>
              </w:rPr>
              <w:t>“Licensed Product” means any pharmaceutical formulation for intranasal administration containing as an active ingredient pregn-4-en-20-yn-3-one.</w:t>
            </w:r>
          </w:p>
        </w:tc>
      </w:tr>
      <w:tr>
        <w:trPr>
          <w:trHeight w:val="453"/>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1.14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“NDA” means a New Drug Application for regulatory approval to market and sell Licensed Product for the acute treatment of depression that is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filed with the U.S. Food and Drug Administration (“FDA”) or the European Medicines Agency (“EMEA”).</w:t>
            </w:r>
          </w:p>
        </w:tc>
      </w:tr>
      <w:tr>
        <w:trPr>
          <w:trHeight w:val="42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1.15</w:t>
            </w: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92"/>
              </w:rPr>
              <w:t>“NDA Approval” means an NDA approved by the FDA or EMEA that is not conditioned on any other event (or if NDA Approval is conditioned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89"/>
              </w:rPr>
              <w:t>upon an event, then the occurrence of that event), provided, however, such other events shall specifically not include FDA or EMEA requirements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95"/>
              </w:rPr>
              <w:t>to conduct post marketing studies and any requirement for such post marketing studies shall not be deemed to delay the Final Approval.</w:t>
            </w:r>
          </w:p>
        </w:tc>
      </w:tr>
      <w:tr>
        <w:trPr>
          <w:trHeight w:val="42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1.16</w:t>
            </w: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91"/>
              </w:rPr>
              <w:t>“Net Sales” means the gross amount collected by LICENSEE and its Affiliates and sublicensees for arm’s length sales or other transfers of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w w:val="93"/>
              </w:rPr>
              <w:t>Licensed Product in countries in the Territory in which there is a Licensed Patent set forth in Schedule 1, to an end user or distributor of the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520"/>
              <w:spacing w:after="0"/>
              <w:rPr>
                <w:sz w:val="20"/>
                <w:szCs w:val="20"/>
                <w:color w:val="auto"/>
              </w:rPr>
            </w:pPr>
            <w:r>
              <w:rPr>
                <w:rFonts w:ascii="Arial" w:cs="Arial" w:eastAsia="Arial" w:hAnsi="Arial"/>
                <w:sz w:val="18"/>
                <w:szCs w:val="18"/>
                <w:color w:val="auto"/>
              </w:rPr>
              <w:t>Licensed Product, less the following:</w:t>
            </w:r>
          </w:p>
        </w:tc>
      </w:tr>
    </w:tbl>
    <w:p>
      <w:pPr>
        <w:spacing w:after="0" w:line="23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 and</w:t>
      </w:r>
    </w:p>
    <w:p>
      <w:pPr>
        <w:spacing w:after="0" w:line="15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separately stated on purchase orders, invoices, or other documents of sale, any taxes or other governmental charges levied on the production, sale, transportation, delivery or use of the Licensed Product which is paid by or on behalf of LICENSEE; and outbound transportation costs prepaid or allowed and costs of insurance in transit.</w:t>
      </w:r>
    </w:p>
    <w:p>
      <w:pPr>
        <w:spacing w:after="0" w:line="194"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For the avoidance of doubt, transfers of Licensed Product between any of LICENSEE, its Affiliates or sublicensees for sale by the transferee shall not be considered Net Sales.</w:t>
      </w:r>
    </w:p>
    <w:p>
      <w:pPr>
        <w:ind w:right="40"/>
        <w:spacing w:after="0" w:line="216" w:lineRule="exact"/>
        <w:rPr>
          <w:sz w:val="20"/>
          <w:szCs w:val="20"/>
          <w:color w:val="auto"/>
        </w:rPr>
      </w:pPr>
      <w:r>
        <w:rPr>
          <w:rFonts w:ascii="Arial" w:cs="Arial" w:eastAsia="Arial" w:hAnsi="Arial"/>
          <w:sz w:val="16"/>
          <w:szCs w:val="16"/>
          <w:color w:val="auto"/>
        </w:rPr>
        <w:t>Net Sales and LICENSEE’s obligation to pay royalties will be determined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starting with the first Commercial sale of such Licensed Product in such country and terminating upon the later to occur of either: (a) the expiration or other lapse in protection by the last Valid Patent Claim covering the approved Licensed Product in such country (the “End of Patent Protection”); or (b) the expiration or other lapse in protection of regulatory exclusivity covering the approved Licensed Product in such country (the “End of Regulatory Protection”) if granted and extending beyond the End of Patent Protection. Notwithstanding the status of patent or regulatory protection, Net Sales and LICENSEE’s obligation to pay royalties shall be considered as terminated upon the availability in such country of an approved generic version of the Licensed Product from an unlicensed third-party.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right="20" w:hanging="57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1.17</w:t>
            </w:r>
          </w:p>
        </w:tc>
        <w:tc>
          <w:tcPr>
            <w:tcW w:w="10500" w:type="dxa"/>
            <w:vAlign w:val="bottom"/>
          </w:tcPr>
          <w:p>
            <w:pPr>
              <w:ind w:left="180"/>
              <w:spacing w:after="0"/>
              <w:rPr>
                <w:sz w:val="20"/>
                <w:szCs w:val="20"/>
                <w:color w:val="auto"/>
              </w:rPr>
            </w:pPr>
            <w:r>
              <w:rPr>
                <w:rFonts w:ascii="Arial" w:cs="Arial" w:eastAsia="Arial" w:hAnsi="Arial"/>
                <w:sz w:val="18"/>
                <w:szCs w:val="18"/>
                <w:color w:val="auto"/>
              </w:rPr>
              <w:t>“Territory” means all countries worldwide.</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1.18</w:t>
            </w:r>
          </w:p>
        </w:tc>
        <w:tc>
          <w:tcPr>
            <w:tcW w:w="10500" w:type="dxa"/>
            <w:vAlign w:val="bottom"/>
          </w:tcPr>
          <w:p>
            <w:pPr>
              <w:ind w:left="180"/>
              <w:spacing w:after="0"/>
              <w:rPr>
                <w:sz w:val="20"/>
                <w:szCs w:val="20"/>
                <w:color w:val="auto"/>
              </w:rPr>
            </w:pPr>
            <w:r>
              <w:rPr>
                <w:rFonts w:ascii="Arial" w:cs="Arial" w:eastAsia="Arial" w:hAnsi="Arial"/>
                <w:sz w:val="18"/>
                <w:szCs w:val="18"/>
                <w:color w:val="auto"/>
                <w:w w:val="87"/>
              </w:rPr>
              <w:t>“Valid Patent Claim” means a claim of the Licensed Patents that has not lapsed or become abandoned or been declared invalid or unenforceable by</w:t>
            </w:r>
          </w:p>
        </w:tc>
      </w:tr>
      <w:tr>
        <w:trPr>
          <w:trHeight w:val="222"/>
        </w:trPr>
        <w:tc>
          <w:tcPr>
            <w:tcW w:w="880" w:type="dxa"/>
            <w:vAlign w:val="bottom"/>
          </w:tcPr>
          <w:p>
            <w:pPr>
              <w:spacing w:after="0"/>
              <w:rPr>
                <w:sz w:val="19"/>
                <w:szCs w:val="19"/>
                <w:color w:val="auto"/>
              </w:rPr>
            </w:pPr>
          </w:p>
        </w:tc>
        <w:tc>
          <w:tcPr>
            <w:tcW w:w="10500" w:type="dxa"/>
            <w:vAlign w:val="bottom"/>
          </w:tcPr>
          <w:p>
            <w:pPr>
              <w:ind w:left="180"/>
              <w:spacing w:after="0"/>
              <w:rPr>
                <w:sz w:val="20"/>
                <w:szCs w:val="20"/>
                <w:color w:val="auto"/>
              </w:rPr>
            </w:pPr>
            <w:r>
              <w:rPr>
                <w:rFonts w:ascii="Arial" w:cs="Arial" w:eastAsia="Arial" w:hAnsi="Arial"/>
                <w:sz w:val="18"/>
                <w:szCs w:val="18"/>
                <w:color w:val="auto"/>
              </w:rPr>
              <w:t>a court or agency of competent jurisdiction from which no appeal can be or is taken.</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10500" w:type="dxa"/>
            <w:vAlign w:val="bottom"/>
          </w:tcPr>
          <w:p>
            <w:pPr>
              <w:ind w:left="1000"/>
              <w:spacing w:after="0"/>
              <w:rPr>
                <w:sz w:val="20"/>
                <w:szCs w:val="20"/>
                <w:color w:val="auto"/>
              </w:rPr>
            </w:pPr>
            <w:r>
              <w:rPr>
                <w:rFonts w:ascii="Arial" w:cs="Arial" w:eastAsia="Arial" w:hAnsi="Arial"/>
                <w:sz w:val="18"/>
                <w:szCs w:val="18"/>
                <w:b w:val="1"/>
                <w:bCs w:val="1"/>
                <w:color w:val="auto"/>
              </w:rPr>
              <w:t>GRANT OF LICENSE AND ACCESS</w:t>
            </w:r>
          </w:p>
        </w:tc>
      </w:tr>
    </w:tbl>
    <w:p>
      <w:pPr>
        <w:spacing w:after="0" w:line="210" w:lineRule="exact"/>
        <w:rPr>
          <w:sz w:val="20"/>
          <w:szCs w:val="20"/>
          <w:color w:val="auto"/>
        </w:rPr>
      </w:pPr>
    </w:p>
    <w:p>
      <w:pPr>
        <w:ind w:left="620" w:hanging="620"/>
        <w:spacing w:after="0" w:line="256" w:lineRule="auto"/>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Exclusive License</w:t>
      </w:r>
      <w:r>
        <w:rPr>
          <w:rFonts w:ascii="Arial" w:cs="Arial" w:eastAsia="Arial" w:hAnsi="Arial"/>
          <w:sz w:val="18"/>
          <w:szCs w:val="18"/>
          <w:color w:val="auto"/>
        </w:rPr>
        <w:t>. LICENSOR grants LICENSEE a worldwide, exclusive license, even as to LICENSOR, with the right to sublicense,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IP to Develop, Commercialize, make, have made, import, use, offer to sell, sell and have sold Licensed Product in the Field and in the Territory. Except for permitted Collaboration Activities, LICENSOR will not Develop or Commercialize in the Territory (i) any Licensed Product, or (ii) any product for the treatment of depression.</w:t>
      </w:r>
    </w:p>
    <w:p>
      <w:pPr>
        <w:spacing w:after="0" w:line="197" w:lineRule="exact"/>
        <w:rPr>
          <w:sz w:val="20"/>
          <w:szCs w:val="20"/>
          <w:color w:val="auto"/>
        </w:rPr>
      </w:pPr>
    </w:p>
    <w:p>
      <w:pPr>
        <w:ind w:left="620" w:right="180" w:hanging="620"/>
        <w:spacing w:after="0" w:line="298" w:lineRule="auto"/>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Rights to Improvements</w:t>
      </w:r>
      <w:r>
        <w:rPr>
          <w:rFonts w:ascii="Arial" w:cs="Arial" w:eastAsia="Arial" w:hAnsi="Arial"/>
          <w:sz w:val="16"/>
          <w:szCs w:val="16"/>
          <w:color w:val="auto"/>
        </w:rPr>
        <w:t>. During the term of this Agreement, LICENSOR agrees to advise LICENSEE in writing on at least a semi-annual basis of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Improvements made by LICENSOR. Such LICENSOR Improvements shall become Licensed IP and be subject to the license right granted in Section 2.1; however, no additional royalty fees or other consideration shall be due for the use of such Improvements by LICENSEE. During the term of this Agreement, LICENSEE agrees to advise LICENSOR in writing on at least a semi-annual basis of any Improvements made by LICENSEE.</w:t>
      </w:r>
    </w:p>
    <w:p>
      <w:pPr>
        <w:spacing w:after="0" w:line="167" w:lineRule="exact"/>
        <w:rPr>
          <w:sz w:val="20"/>
          <w:szCs w:val="20"/>
          <w:color w:val="auto"/>
        </w:rPr>
      </w:pPr>
    </w:p>
    <w:p>
      <w:pPr>
        <w:ind w:left="620" w:right="80" w:hanging="620"/>
        <w:spacing w:after="0" w:line="287" w:lineRule="auto"/>
        <w:tabs>
          <w:tab w:leader="none" w:pos="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Right to Sublicense</w:t>
      </w:r>
      <w:r>
        <w:rPr>
          <w:rFonts w:ascii="Arial" w:cs="Arial" w:eastAsia="Arial" w:hAnsi="Arial"/>
          <w:sz w:val="16"/>
          <w:szCs w:val="16"/>
          <w:color w:val="auto"/>
        </w:rPr>
        <w:t>. LICENSEE will have the right to grant sublicenses under the license granted in Section 2.1 of this Agreement, through multiple</w:t>
      </w:r>
      <w:r>
        <w:rPr>
          <w:rFonts w:ascii="Arial" w:cs="Arial" w:eastAsia="Arial" w:hAnsi="Arial"/>
          <w:sz w:val="16"/>
          <w:szCs w:val="16"/>
          <w:u w:val="single" w:color="auto"/>
          <w:color w:val="auto"/>
        </w:rPr>
        <w:t xml:space="preserve"> </w:t>
      </w:r>
      <w:r>
        <w:rPr>
          <w:rFonts w:ascii="Arial" w:cs="Arial" w:eastAsia="Arial" w:hAnsi="Arial"/>
          <w:sz w:val="16"/>
          <w:szCs w:val="16"/>
          <w:color w:val="auto"/>
        </w:rPr>
        <w:t>tiers, to any Affiliate or third-party. Each sublicense of LICENSEE’s rights shall be in writing, shall be consistent with the terms and conditions hereof, and shall require the sublicensee, in granting any further sublicenses, to comply with LICENSEE’s sublicensing obligations hereunder as though such sublicensee were LICENSEE. If LICENSEE grants a sublicense to any third-party, then LICENSEE shall: (i) include in each such sublicense agreement terms that permit LICENSEE to comply with its obligations under this Agreement between LICENSOR and LICENSEE, including related to reporting sales of Licensed Product to LICENSOR; (ii) notify LICENSOR of such sublicense or amendment thereto within thirty (30) days after it becomes effective, including the identity of the sublicensee and the territory in which such rights have been sublicensed; (iii) at LICENSOR’s request, provide LICENSOR a copy of such sublicense agreement and amendment thereto (provided that LICENSEE may redact those provisions of such agreement or amendment that are unrelated to LICENSEE’s obligations under this Agreement); and (iv) use commercially reasonable efforts to enforce the terms of such sublicense agreement that relate to LICENSEE’s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1" w:name="page72"/>
    <w:bookmarkEnd w:id="71"/>
    <w:p>
      <w:pPr>
        <w:ind w:left="620" w:right="120" w:hanging="620"/>
        <w:spacing w:after="0" w:line="294" w:lineRule="auto"/>
        <w:tabs>
          <w:tab w:leader="none" w:pos="6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Supply and Manufacturing</w:t>
      </w:r>
      <w:r>
        <w:rPr>
          <w:rFonts w:ascii="Arial" w:cs="Arial" w:eastAsia="Arial" w:hAnsi="Arial"/>
          <w:sz w:val="16"/>
          <w:szCs w:val="16"/>
          <w:color w:val="auto"/>
        </w:rPr>
        <w:t>. The Parties acknowledge and agree that, as of the Effective Date, LICENSOR is not subject to any obligations with a third-party regarding its current source of Licensed Product, and that LICENSEE shall be permitted to enter into a supply agreement with any third-party manufacturer to secure supply of Licensed Product for LICENSEE directly from such third-party manufacturer. In addition, LICENSOR acknowledges that, upon execution and delivery of the Agreement, LICENSEE shall receive all right, title and interest in LICENSOR’s existing inventory of Licensed Product, whether or not vialed, and all other materials related to the manufacture, formulation and vialing of Licensed Product.</w:t>
      </w:r>
    </w:p>
    <w:p>
      <w:pPr>
        <w:spacing w:after="0" w:line="170" w:lineRule="exact"/>
        <w:rPr>
          <w:sz w:val="20"/>
          <w:szCs w:val="20"/>
          <w:color w:val="auto"/>
        </w:rPr>
      </w:pPr>
    </w:p>
    <w:p>
      <w:pPr>
        <w:ind w:left="620" w:right="180" w:hanging="620"/>
        <w:spacing w:after="0" w:line="218" w:lineRule="exact"/>
        <w:tabs>
          <w:tab w:leader="none" w:pos="6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Regulatory Matters; Right of Reference</w:t>
      </w:r>
      <w:r>
        <w:rPr>
          <w:rFonts w:ascii="Arial" w:cs="Arial" w:eastAsia="Arial" w:hAnsi="Arial"/>
          <w:sz w:val="18"/>
          <w:szCs w:val="18"/>
          <w:color w:val="auto"/>
        </w:rPr>
        <w:t>. LICENSEE shall control all regulatory interactions and decisions relating to the Licensed Product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Territory and shall hold the NDA and other regulatory approvals for the Licensed Product in the Territory. LICENSEE shall have the exclusive right to reference and use all information, know</w:t>
      </w:r>
      <w:r>
        <w:rPr>
          <w:rFonts w:ascii="MS PGothic" w:cs="MS PGothic" w:eastAsia="MS PGothic" w:hAnsi="MS PGothic"/>
          <w:sz w:val="18"/>
          <w:szCs w:val="18"/>
          <w:color w:val="auto"/>
        </w:rPr>
        <w:t>‐</w:t>
      </w:r>
      <w:r>
        <w:rPr>
          <w:rFonts w:ascii="Arial" w:cs="Arial" w:eastAsia="Arial" w:hAnsi="Arial"/>
          <w:sz w:val="18"/>
          <w:szCs w:val="18"/>
          <w:color w:val="auto"/>
        </w:rPr>
        <w:t>how, and data generated in LICENSOR’s prior and future depression clinical trials and other development activities related to Licensed Product conducted by LICENSOR prior to and following the Effective Date of the Agreement in support of regulatory filings and regulatory approvals for the Licensed Product in the Territory.</w:t>
      </w:r>
    </w:p>
    <w:p>
      <w:pPr>
        <w:spacing w:after="0" w:line="210" w:lineRule="exact"/>
        <w:rPr>
          <w:sz w:val="20"/>
          <w:szCs w:val="20"/>
          <w:color w:val="auto"/>
        </w:rPr>
      </w:pPr>
    </w:p>
    <w:p>
      <w:pPr>
        <w:ind w:left="620" w:right="40" w:hanging="620"/>
        <w:spacing w:after="0" w:line="259" w:lineRule="auto"/>
        <w:tabs>
          <w:tab w:leader="none" w:pos="6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Access to LICENSOR Employees</w:t>
      </w:r>
      <w:r>
        <w:rPr>
          <w:rFonts w:ascii="Arial" w:cs="Arial" w:eastAsia="Arial" w:hAnsi="Arial"/>
          <w:sz w:val="18"/>
          <w:szCs w:val="18"/>
          <w:color w:val="auto"/>
        </w:rPr>
        <w:t>. In order to permit the transfer of Licensed Know-How and otherwise to facilitate the development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commercialization of Licensed Product, LICENSOR agrees to permit LICENSEE reasonable access to those LICENSOR employees named as inventors of the Licensed Patents and other employees of LICENSOR who possess Licensed Know-How.</w:t>
      </w:r>
    </w:p>
    <w:p>
      <w:pPr>
        <w:spacing w:after="0" w:line="194" w:lineRule="exact"/>
        <w:rPr>
          <w:sz w:val="20"/>
          <w:szCs w:val="20"/>
          <w:color w:val="auto"/>
        </w:rPr>
      </w:pPr>
    </w:p>
    <w:p>
      <w:pPr>
        <w:ind w:left="620" w:right="300" w:hanging="620"/>
        <w:spacing w:after="0" w:line="294" w:lineRule="auto"/>
        <w:tabs>
          <w:tab w:leader="none" w:pos="6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 Upon the Effective Date, the Parties will establish a Joint Steering Committee (JSC) to provide strategic leadership for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development of Licensed Product. Dr. Louis Monti will be LICENSOR’s sole representative on the JSC. LICENSEE will share with LICENSOR, through Dr. Monti, copies of regulatory filings and study reports relating to Licensed Product as soon as practicable after they are made available to LICENSEE. For the avoidance of doubt, as between the Parties, LICENSEE will have the sole discretion and final decision-making authority on all matters considered by the JSC relating to the Development of Licensed Product.</w:t>
      </w:r>
    </w:p>
    <w:p>
      <w:pPr>
        <w:spacing w:after="0" w:line="164"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LICENSE FEE, ROYALTIES AND OTHER PAYMENTS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License Fee</w:t>
      </w:r>
      <w:r>
        <w:rPr>
          <w:rFonts w:ascii="Arial" w:cs="Arial" w:eastAsia="Arial" w:hAnsi="Arial"/>
          <w:sz w:val="15"/>
          <w:szCs w:val="15"/>
          <w:color w:val="auto"/>
        </w:rPr>
        <w:t>. In consideration of the grant of rights in Article 2 of this Agreement, as soon as practicable after the Effective Date, but no later than ten</w:t>
      </w:r>
    </w:p>
    <w:p>
      <w:pPr>
        <w:spacing w:after="0" w:line="15" w:lineRule="exact"/>
        <w:rPr>
          <w:sz w:val="20"/>
          <w:szCs w:val="20"/>
          <w:color w:val="auto"/>
        </w:rPr>
      </w:pPr>
    </w:p>
    <w:p>
      <w:pPr>
        <w:ind w:left="720" w:hanging="10"/>
        <w:spacing w:after="0" w:line="254" w:lineRule="auto"/>
        <w:tabs>
          <w:tab w:leader="none" w:pos="10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days after the Effective Date, LICENSEE will pay LICENSOR a one-time license fee of [*****], which amount shall be payable solely in unregistered shares of common stock of LICENSEE. For avoidance of doubt, the Parties agree that the number of shares of LICENSEE common stock to be issued to LICENSOR shall be determined dividing the closing price of LICENSEE’s common stock on the Nasdaq Capital Market on the trading day immediately prior to the Effective Date into [*****].</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2" w:name="page73"/>
    <w:bookmarkEnd w:id="72"/>
    <w:p>
      <w:pPr>
        <w:jc w:val="both"/>
        <w:ind w:left="620" w:right="120" w:hanging="620"/>
        <w:spacing w:after="0" w:line="259" w:lineRule="auto"/>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Royalty on Licensed Product</w:t>
      </w:r>
      <w:r>
        <w:rPr>
          <w:rFonts w:ascii="Arial" w:cs="Arial" w:eastAsia="Arial" w:hAnsi="Arial"/>
          <w:sz w:val="18"/>
          <w:szCs w:val="18"/>
          <w:color w:val="auto"/>
        </w:rPr>
        <w:t>. In consideration of the grant of rights under Article 2 of this Agreement, LICENSEE will pay LICENSOR a royalty as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percentage of Net Sales generated by Licensee and/or its Affiliates in the Territory from the Commercial sale of Licensed Product in each calendar year during the Term until the End of Patent Protection, as follows:</w:t>
      </w:r>
    </w:p>
    <w:p>
      <w:pPr>
        <w:spacing w:after="0" w:line="127" w:lineRule="exact"/>
        <w:rPr>
          <w:sz w:val="20"/>
          <w:szCs w:val="20"/>
          <w:color w:val="auto"/>
        </w:rPr>
      </w:pPr>
    </w:p>
    <w:p>
      <w:pPr>
        <w:ind w:left="1460" w:hanging="318"/>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460" w:hanging="318"/>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1460" w:hanging="318"/>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Notwithstanding the foregoing royalty rates, LICENSEE will pay LICENSOR a reduced royalty that is [*****] of the stated rates for Net Sales in any country that are made after the End of Patent Protection but before the End of Regulatory Protection. In the event that LICENSEE or an Affiliate sublicenses its rights under this Agreement to a third-party, then LICENSEE will pay LICENSOR the foregoing percentages applied to any license fees and royalties received by LICENSEE or its Affiliate on Net Sales made by such sublicensee. For the avoidance of doubt, the monthly development support payments of Section 3.3 and the development and regulatory milestone payments of Section 3.4 shall remain owed to LICENSOR in full regardless of any sublicense.</w:t>
      </w:r>
    </w:p>
    <w:p>
      <w:pPr>
        <w:spacing w:after="0" w:line="170" w:lineRule="exact"/>
        <w:rPr>
          <w:sz w:val="20"/>
          <w:szCs w:val="20"/>
          <w:color w:val="auto"/>
        </w:rPr>
      </w:pPr>
    </w:p>
    <w:p>
      <w:pPr>
        <w:ind w:left="620" w:right="200" w:hanging="620"/>
        <w:spacing w:after="0" w:line="255" w:lineRule="auto"/>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Monthly Development Support Payment</w:t>
      </w:r>
      <w:r>
        <w:rPr>
          <w:rFonts w:ascii="Arial" w:cs="Arial" w:eastAsia="Arial" w:hAnsi="Arial"/>
          <w:sz w:val="18"/>
          <w:szCs w:val="18"/>
          <w:color w:val="auto"/>
        </w:rPr>
        <w:t>. At the end of each month, for a term of the first to occur of eighteen (18) months from the Effective Date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of the Agreement, LICENSEE will pay LICENSOR a development support payment of [*****]. Notwithstanding the foregoing, these monthly support payments are not due or payable for as long as monthly support payments separately are being made by LICENSEE under the license agreement between the Parties related to PH94B. These monthly development support payments shall be creditable against royalties paid pursuant to Section 3.2.</w:t>
      </w:r>
    </w:p>
    <w:p>
      <w:pPr>
        <w:spacing w:after="0" w:line="197" w:lineRule="exact"/>
        <w:rPr>
          <w:sz w:val="20"/>
          <w:szCs w:val="20"/>
          <w:color w:val="auto"/>
        </w:rPr>
      </w:pPr>
    </w:p>
    <w:p>
      <w:pPr>
        <w:ind w:left="620" w:right="140" w:hanging="620"/>
        <w:spacing w:after="0" w:line="306" w:lineRule="auto"/>
        <w:tabs>
          <w:tab w:leader="none" w:pos="6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Development and Regulatory-Based Milestone Payments</w:t>
      </w:r>
      <w:r>
        <w:rPr>
          <w:rFonts w:ascii="Arial" w:cs="Arial" w:eastAsia="Arial" w:hAnsi="Arial"/>
          <w:sz w:val="16"/>
          <w:szCs w:val="16"/>
          <w:color w:val="auto"/>
        </w:rPr>
        <w:t>. At such time as Licensed Product of LICENSEE (or its Affiliates or sublicensees) first</w:t>
      </w:r>
      <w:r>
        <w:rPr>
          <w:rFonts w:ascii="Arial" w:cs="Arial" w:eastAsia="Arial" w:hAnsi="Arial"/>
          <w:sz w:val="16"/>
          <w:szCs w:val="16"/>
          <w:u w:val="single" w:color="auto"/>
          <w:color w:val="auto"/>
        </w:rPr>
        <w:t xml:space="preserve"> </w:t>
      </w:r>
      <w:r>
        <w:rPr>
          <w:rFonts w:ascii="Arial" w:cs="Arial" w:eastAsia="Arial" w:hAnsi="Arial"/>
          <w:sz w:val="16"/>
          <w:szCs w:val="16"/>
          <w:color w:val="auto"/>
        </w:rPr>
        <w:t>achieves NDA Approval from the FDA and/or EMEA, as described below, LICENSEE will pay to LICENSOR the milestone payment specified below. The specified milestone payment(s) shall be made within twelve (12) months after the occurrence of the milestone event.</w:t>
      </w:r>
    </w:p>
    <w:p>
      <w:pPr>
        <w:spacing w:after="0" w:line="93" w:lineRule="exact"/>
        <w:rPr>
          <w:sz w:val="20"/>
          <w:szCs w:val="20"/>
          <w:color w:val="auto"/>
        </w:rPr>
      </w:pPr>
    </w:p>
    <w:p>
      <w:pPr>
        <w:ind w:left="1460" w:hanging="1452"/>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upon the LICENSEE’s NDA Approval by the FDA; and</w:t>
      </w:r>
    </w:p>
    <w:p>
      <w:pPr>
        <w:spacing w:after="0" w:line="157" w:lineRule="exact"/>
        <w:rPr>
          <w:rFonts w:ascii="Arial" w:cs="Arial" w:eastAsia="Arial" w:hAnsi="Arial"/>
          <w:sz w:val="18"/>
          <w:szCs w:val="18"/>
          <w:color w:val="auto"/>
        </w:rPr>
      </w:pPr>
    </w:p>
    <w:p>
      <w:pPr>
        <w:ind w:left="1460" w:hanging="1452"/>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upon the LICENSEE’s NDA Approval by the EMEA.</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Mode of Payment</w:t>
      </w:r>
      <w:r>
        <w:rPr>
          <w:rFonts w:ascii="Arial" w:cs="Arial" w:eastAsia="Arial" w:hAnsi="Arial"/>
          <w:sz w:val="15"/>
          <w:szCs w:val="15"/>
          <w:color w:val="auto"/>
        </w:rPr>
        <w:t>. All royalty payments to LICENSOR hereunder shall be made on an annual basis, in connection with the annual sales report described</w:t>
      </w:r>
    </w:p>
    <w:p>
      <w:pPr>
        <w:spacing w:after="0" w:line="15" w:lineRule="exact"/>
        <w:rPr>
          <w:sz w:val="20"/>
          <w:szCs w:val="20"/>
          <w:color w:val="auto"/>
        </w:rPr>
      </w:pPr>
    </w:p>
    <w:p>
      <w:pPr>
        <w:ind w:left="620"/>
        <w:spacing w:after="0" w:line="295" w:lineRule="auto"/>
        <w:rPr>
          <w:sz w:val="20"/>
          <w:szCs w:val="20"/>
          <w:color w:val="auto"/>
        </w:rPr>
      </w:pPr>
      <w:r>
        <w:rPr>
          <w:rFonts w:ascii="Arial" w:cs="Arial" w:eastAsia="Arial" w:hAnsi="Arial"/>
          <w:sz w:val="16"/>
          <w:szCs w:val="16"/>
          <w:color w:val="auto"/>
        </w:rPr>
        <w:t>in Section 4.3, by wire transfer of United States Dollars in the requisite amount to such bank account as LICENSOR may designate by notice to LICENSEE. Payments shall be free and clear of any taxes (other than withholding and other taxes imposed on LICENSEE), fees or charges, to the extent applicable. The amount of Net Sales in any country in the Territory outside of the United States shall be converted into United States Dollars, by applying the buying rate for the applicable day of conversion as published by Wall Street Journal on the last business day of the applicable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3" w:name="page74"/>
    <w:bookmarkEnd w:id="73"/>
    <w:p>
      <w:pPr>
        <w:ind w:left="620" w:right="80" w:hanging="620"/>
        <w:spacing w:after="0" w:line="306" w:lineRule="auto"/>
        <w:tabs>
          <w:tab w:leader="none" w:pos="6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Third-Party Royalties</w:t>
      </w:r>
      <w:r>
        <w:rPr>
          <w:rFonts w:ascii="Arial" w:cs="Arial" w:eastAsia="Arial" w:hAnsi="Arial"/>
          <w:sz w:val="16"/>
          <w:szCs w:val="16"/>
          <w:color w:val="auto"/>
        </w:rPr>
        <w:t>. If LICENSEE is obligated to pay a royalty to one or more third-parties for Licensed Product, the royalty obligation of Section 3.2</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reduced by one half (1/2) of the third-party obligation effective on the date on which royalties are first due under the agreement with the third party. Notwithstanding the foregoing, in no event shall the royalty obligation under Section 3.2 be reduced below [*****].</w:t>
      </w:r>
    </w:p>
    <w:p>
      <w:pPr>
        <w:spacing w:after="0" w:line="161" w:lineRule="exact"/>
        <w:rPr>
          <w:sz w:val="20"/>
          <w:szCs w:val="20"/>
          <w:color w:val="auto"/>
        </w:rPr>
      </w:pPr>
    </w:p>
    <w:p>
      <w:pPr>
        <w:jc w:val="both"/>
        <w:ind w:left="620" w:right="520" w:hanging="620"/>
        <w:spacing w:after="0" w:line="259" w:lineRule="auto"/>
        <w:tabs>
          <w:tab w:leader="none" w:pos="6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Applicable Royalty</w:t>
      </w:r>
      <w:r>
        <w:rPr>
          <w:rFonts w:ascii="Arial" w:cs="Arial" w:eastAsia="Arial" w:hAnsi="Arial"/>
          <w:sz w:val="18"/>
          <w:szCs w:val="18"/>
          <w:color w:val="auto"/>
        </w:rPr>
        <w:t>. Only one royalty obligation shall be applicable to Licensed Product regardless of whether one or more Valid Patent Claims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regulatory exclusivity pertains. No royalty obligation shall be due under this Agreement in the event that a manufacturing sublicense is granted by LICENSEE, its Affiliates or sublicensees.</w:t>
      </w:r>
    </w:p>
    <w:p>
      <w:pPr>
        <w:spacing w:after="0" w:line="188"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OBLIGATIONS OF LICENSEE</w:t>
      </w:r>
    </w:p>
    <w:p>
      <w:pPr>
        <w:spacing w:after="0" w:line="231" w:lineRule="exact"/>
        <w:rPr>
          <w:sz w:val="20"/>
          <w:szCs w:val="20"/>
          <w:color w:val="auto"/>
        </w:rPr>
      </w:pPr>
    </w:p>
    <w:p>
      <w:pPr>
        <w:ind w:left="620" w:right="380" w:hanging="620"/>
        <w:spacing w:after="0" w:line="268"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Commercialization</w:t>
      </w:r>
      <w:r>
        <w:rPr>
          <w:rFonts w:ascii="Arial" w:cs="Arial" w:eastAsia="Arial" w:hAnsi="Arial"/>
          <w:sz w:val="18"/>
          <w:szCs w:val="18"/>
          <w:color w:val="auto"/>
        </w:rPr>
        <w:t>. LICENSEE agrees to use its reasonable best efforts to Develop and Commercialize Licensed Product in the Territory as soon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practicable, consistent with sound business practices and judgment.</w:t>
      </w:r>
    </w:p>
    <w:p>
      <w:pPr>
        <w:spacing w:after="0" w:line="186" w:lineRule="exact"/>
        <w:rPr>
          <w:sz w:val="20"/>
          <w:szCs w:val="20"/>
          <w:color w:val="auto"/>
        </w:rPr>
      </w:pPr>
    </w:p>
    <w:p>
      <w:pPr>
        <w:ind w:left="620" w:right="280" w:hanging="620"/>
        <w:spacing w:after="0" w:line="259" w:lineRule="auto"/>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Annual Progress Reports</w:t>
      </w:r>
      <w:r>
        <w:rPr>
          <w:rFonts w:ascii="Arial" w:cs="Arial" w:eastAsia="Arial" w:hAnsi="Arial"/>
          <w:sz w:val="18"/>
          <w:szCs w:val="18"/>
          <w:color w:val="auto"/>
        </w:rPr>
        <w:t>. LICENSEE shall provide LICENSOR with written annual reports within sixty (60) days after the end of each calendar year</w:t>
      </w:r>
      <w:r>
        <w:rPr>
          <w:rFonts w:ascii="Arial" w:cs="Arial" w:eastAsia="Arial" w:hAnsi="Arial"/>
          <w:sz w:val="18"/>
          <w:szCs w:val="18"/>
          <w:u w:val="single" w:color="auto"/>
          <w:color w:val="auto"/>
        </w:rPr>
        <w:t xml:space="preserve"> </w:t>
      </w:r>
      <w:r>
        <w:rPr>
          <w:rFonts w:ascii="Arial" w:cs="Arial" w:eastAsia="Arial" w:hAnsi="Arial"/>
          <w:sz w:val="18"/>
          <w:szCs w:val="18"/>
          <w:color w:val="auto"/>
        </w:rPr>
        <w:t>during the term of this Agreement to report on LICENSEE’s progress in developing and marketing Licensed Product. The obligation to submit such progress reports shall end upon the First Commercial Sale of Licensed Product.</w:t>
      </w:r>
    </w:p>
    <w:p>
      <w:pPr>
        <w:spacing w:after="0" w:line="194" w:lineRule="exact"/>
        <w:rPr>
          <w:sz w:val="20"/>
          <w:szCs w:val="20"/>
          <w:color w:val="auto"/>
        </w:rPr>
      </w:pPr>
    </w:p>
    <w:p>
      <w:pPr>
        <w:ind w:left="620" w:hanging="620"/>
        <w:spacing w:after="0" w:line="268" w:lineRule="auto"/>
        <w:tabs>
          <w:tab w:leader="none" w:pos="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Annual Sales Reports</w:t>
      </w:r>
      <w:r>
        <w:rPr>
          <w:rFonts w:ascii="Arial" w:cs="Arial" w:eastAsia="Arial" w:hAnsi="Arial"/>
          <w:sz w:val="18"/>
          <w:szCs w:val="18"/>
          <w:color w:val="auto"/>
        </w:rPr>
        <w:t>. LICENSEE shall provide LICENSOR with written annual reports within sixty (60) days after the end of each calendar year during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 of this Agreement to report on Net Sales.</w:t>
      </w:r>
    </w:p>
    <w:p>
      <w:pPr>
        <w:spacing w:after="0" w:line="186" w:lineRule="exact"/>
        <w:rPr>
          <w:sz w:val="20"/>
          <w:szCs w:val="20"/>
          <w:color w:val="auto"/>
        </w:rPr>
      </w:pPr>
    </w:p>
    <w:p>
      <w:pPr>
        <w:ind w:left="620" w:right="140" w:hanging="620"/>
        <w:spacing w:after="0" w:line="294" w:lineRule="auto"/>
        <w:tabs>
          <w:tab w:leader="none" w:pos="6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LICENSEE shall keep complete, accurate and correct records of Net Sales in sufficient and appropriate detail to determine the amount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royalties due to LICENSOR. Such records shall be available for inspection and maintained for a period of three (3) years after the payment of any such royalty. LICENSEE shall permit such books and records to be examined at a reasonable time during normal business hours by a certified public accountant chosen by LICENSOR and reasonably acceptable to LICENSEE for the purpose only of verifying the reports and payments required by this Agreement. Such examination shall be made at the expense of the LICENSOR.</w:t>
      </w:r>
    </w:p>
    <w:p>
      <w:pPr>
        <w:spacing w:after="0" w:line="170" w:lineRule="exact"/>
        <w:rPr>
          <w:sz w:val="20"/>
          <w:szCs w:val="20"/>
          <w:color w:val="auto"/>
        </w:rPr>
      </w:pPr>
    </w:p>
    <w:p>
      <w:pPr>
        <w:ind w:left="580" w:right="60" w:hanging="580"/>
        <w:spacing w:after="0" w:line="268" w:lineRule="auto"/>
        <w:tabs>
          <w:tab w:leader="none" w:pos="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LICENSEE agrees to comply with all applicable federal, state and local laws that relate to the manufacture and sale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Product.</w:t>
      </w:r>
    </w:p>
    <w:p>
      <w:pPr>
        <w:sectPr>
          <w:pgSz w:w="11900" w:h="16838" w:orient="portrait"/>
          <w:cols w:equalWidth="0" w:num="1">
            <w:col w:w="11420"/>
          </w:cols>
          <w:pgMar w:left="240" w:top="806"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200" w:lineRule="exact"/>
        <w:rPr>
          <w:sz w:val="20"/>
          <w:szCs w:val="20"/>
          <w:color w:val="auto"/>
        </w:rPr>
      </w:pPr>
    </w:p>
    <w:p>
      <w:pPr>
        <w:sectPr>
          <w:pgSz w:w="11900" w:h="16838" w:orient="portrait"/>
          <w:cols w:equalWidth="0" w:num="2">
            <w:col w:w="1040" w:space="720"/>
            <w:col w:w="9660"/>
          </w:cols>
          <w:pgMar w:left="240" w:top="806" w:right="23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w:t>
      </w:r>
    </w:p>
    <w:p>
      <w:pPr>
        <w:sectPr>
          <w:pgSz w:w="11900" w:h="16838" w:orient="portrait"/>
          <w:cols w:equalWidth="0" w:num="1">
            <w:col w:w="11420"/>
          </w:cols>
          <w:pgMar w:left="240" w:top="806" w:right="239" w:bottom="1440" w:gutter="0" w:footer="0" w:header="0"/>
          <w:type w:val="continuous"/>
        </w:sectPr>
      </w:pPr>
    </w:p>
    <w:p>
      <w:pPr>
        <w:spacing w:after="0" w:line="254" w:lineRule="exact"/>
        <w:rPr>
          <w:sz w:val="20"/>
          <w:szCs w:val="20"/>
          <w:color w:val="auto"/>
        </w:rPr>
      </w:pPr>
    </w:p>
    <w:p>
      <w:pPr>
        <w:ind w:left="580" w:right="20" w:hanging="572"/>
        <w:spacing w:after="0" w:line="262"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74" w:name="page75"/>
    <w:bookmarkEnd w:id="74"/>
    <w:p>
      <w:pPr>
        <w:ind w:left="720" w:hanging="701"/>
        <w:spacing w:after="0" w:line="298" w:lineRule="auto"/>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as expressly provided herein, the Parties agree that, for the term of this Agreement and for five (5) years thereafter,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receiving Party shall keep completely confidential and shall not publish or otherwise disclose and shall not use for any purpose except for the purposes contemplated by this Agreement any Confidential Information furnished to it by the disclosing Party pursuant to this Agreement, except to the extent that it can be established by the receiving Party by competent proof that such Confidential Information:</w:t>
      </w:r>
    </w:p>
    <w:p>
      <w:pPr>
        <w:spacing w:after="0" w:line="99" w:lineRule="exact"/>
        <w:rPr>
          <w:sz w:val="20"/>
          <w:szCs w:val="20"/>
          <w:color w:val="auto"/>
        </w:rPr>
      </w:pPr>
    </w:p>
    <w:p>
      <w:pPr>
        <w:ind w:left="1300" w:hanging="1292"/>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was already known to the receiving Party, other than under an obligation of confidentiality to the disclosing Party, at the time of disclosure;</w:t>
      </w:r>
    </w:p>
    <w:p>
      <w:pPr>
        <w:spacing w:after="0" w:line="180" w:lineRule="exact"/>
        <w:rPr>
          <w:rFonts w:ascii="Arial" w:cs="Arial" w:eastAsia="Arial" w:hAnsi="Arial"/>
          <w:sz w:val="16"/>
          <w:szCs w:val="16"/>
          <w:color w:val="auto"/>
        </w:rPr>
      </w:pPr>
    </w:p>
    <w:p>
      <w:pPr>
        <w:ind w:left="1300" w:hanging="129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157" w:lineRule="exact"/>
        <w:rPr>
          <w:rFonts w:ascii="Arial" w:cs="Arial" w:eastAsia="Arial" w:hAnsi="Arial"/>
          <w:sz w:val="18"/>
          <w:szCs w:val="18"/>
          <w:color w:val="auto"/>
        </w:rPr>
      </w:pPr>
    </w:p>
    <w:p>
      <w:pPr>
        <w:ind w:left="1300" w:right="160" w:hanging="1292"/>
        <w:spacing w:after="0" w:line="26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18" w:lineRule="exact"/>
        <w:rPr>
          <w:rFonts w:ascii="Arial" w:cs="Arial" w:eastAsia="Arial" w:hAnsi="Arial"/>
          <w:sz w:val="18"/>
          <w:szCs w:val="18"/>
          <w:color w:val="auto"/>
        </w:rPr>
      </w:pPr>
    </w:p>
    <w:p>
      <w:pPr>
        <w:ind w:left="1300" w:hanging="129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 subsequently lawfully disclosed to the receiving Party by a person other than a Party; or</w:t>
      </w:r>
    </w:p>
    <w:p>
      <w:pPr>
        <w:spacing w:after="0" w:line="157" w:lineRule="exact"/>
        <w:rPr>
          <w:rFonts w:ascii="Arial" w:cs="Arial" w:eastAsia="Arial" w:hAnsi="Arial"/>
          <w:sz w:val="18"/>
          <w:szCs w:val="18"/>
          <w:color w:val="auto"/>
        </w:rPr>
      </w:pPr>
    </w:p>
    <w:p>
      <w:pPr>
        <w:ind w:left="1300" w:hanging="129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w:t>
      </w:r>
    </w:p>
    <w:p>
      <w:pPr>
        <w:spacing w:after="0" w:line="225" w:lineRule="exact"/>
        <w:rPr>
          <w:sz w:val="20"/>
          <w:szCs w:val="20"/>
          <w:color w:val="auto"/>
        </w:rPr>
      </w:pPr>
    </w:p>
    <w:p>
      <w:pPr>
        <w:ind w:left="720" w:right="100" w:hanging="701"/>
        <w:spacing w:after="0" w:line="310" w:lineRule="auto"/>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Permitted Use and Disclosures</w:t>
      </w:r>
      <w:r>
        <w:rPr>
          <w:rFonts w:ascii="Arial" w:cs="Arial" w:eastAsia="Arial" w:hAnsi="Arial"/>
          <w:sz w:val="15"/>
          <w:szCs w:val="15"/>
          <w:color w:val="auto"/>
        </w:rPr>
        <w:t>. Each Party may use or disclose Confidential Information disclosed to it by the other Party, under substantially similar</w:t>
      </w:r>
      <w:r>
        <w:rPr>
          <w:rFonts w:ascii="Arial" w:cs="Arial" w:eastAsia="Arial" w:hAnsi="Arial"/>
          <w:sz w:val="15"/>
          <w:szCs w:val="15"/>
          <w:u w:val="single" w:color="auto"/>
          <w:color w:val="auto"/>
        </w:rPr>
        <w:t xml:space="preserve"> </w:t>
      </w:r>
      <w:r>
        <w:rPr>
          <w:rFonts w:ascii="Arial" w:cs="Arial" w:eastAsia="Arial" w:hAnsi="Arial"/>
          <w:sz w:val="15"/>
          <w:szCs w:val="15"/>
          <w:color w:val="auto"/>
        </w:rPr>
        <w:t>obligations of confidentiality, to the extent such use or disclosure is reasonably necessary in raising capital; negotiating marketing, manufacturing or product development arrangements; in connection with a potential sale of the company; defending litigation; complying with applicable governmental regulations or otherwise submitting information to tax or other governmental authorities; working with its outside accounting firm; provided, however, that if a Party is required to make any such disclosure of another Party's Confidential Information, other than pursuant to a confidentiality agreement, it will give reasonable advance notice to the latter Party of such disclosure and will use its best efforts to cooperate with the said latter Party’s attempts to secure confidential treatment of such information (including the significant financial terms of this Agreement) prior to its disclosure (whether through protective orders or otherwise) and disclose such information only to the minimum extent necessary to comply with such requirements.</w:t>
      </w:r>
    </w:p>
    <w:p>
      <w:pPr>
        <w:spacing w:after="0" w:line="15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PATENTS</w:t>
      </w:r>
    </w:p>
    <w:p>
      <w:pPr>
        <w:spacing w:after="0" w:line="231" w:lineRule="exact"/>
        <w:rPr>
          <w:sz w:val="20"/>
          <w:szCs w:val="20"/>
          <w:color w:val="auto"/>
        </w:rPr>
      </w:pPr>
    </w:p>
    <w:p>
      <w:pPr>
        <w:ind w:left="720" w:right="120" w:hanging="701"/>
        <w:spacing w:after="0" w:line="298" w:lineRule="auto"/>
        <w:tabs>
          <w:tab w:leader="none" w:pos="7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LICENSOR Licensed Patents</w:t>
      </w:r>
      <w:r>
        <w:rPr>
          <w:rFonts w:ascii="Arial" w:cs="Arial" w:eastAsia="Arial" w:hAnsi="Arial"/>
          <w:sz w:val="16"/>
          <w:szCs w:val="16"/>
          <w:color w:val="auto"/>
        </w:rPr>
        <w:t>. LICENSEE shall prepare, file, prosecute and maintain the Licensed Patents in the Territory at LICENSEE’s expense.</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LICENSEE agrees to keep LICENSOR fully advised of the status of all Licensed Patents; and will provide LICENSOR with a reasonable opportunity to comment on the preparation, filing, prosecution, maintenance, and seeking extensions of the Licensed Patents. LICENSOR agrees to cooperate with LICENSEE in such patent-related activities at LICENSEE’s reasonable request and expense.</w:t>
      </w:r>
    </w:p>
    <w:p>
      <w:pPr>
        <w:sectPr>
          <w:pgSz w:w="11900" w:h="16838" w:orient="portrait"/>
          <w:cols w:equalWidth="0" w:num="1">
            <w:col w:w="11420"/>
          </w:cols>
          <w:pgMar w:left="240" w:top="806"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7.</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w:t>
      </w:r>
    </w:p>
    <w:p>
      <w:pPr>
        <w:spacing w:after="0" w:line="200" w:lineRule="exact"/>
        <w:rPr>
          <w:sz w:val="20"/>
          <w:szCs w:val="20"/>
          <w:color w:val="auto"/>
        </w:rPr>
      </w:pPr>
    </w:p>
    <w:p>
      <w:pPr>
        <w:sectPr>
          <w:pgSz w:w="11900" w:h="16838" w:orient="portrait"/>
          <w:cols w:equalWidth="0" w:num="2">
            <w:col w:w="1040" w:space="720"/>
            <w:col w:w="9660"/>
          </w:cols>
          <w:pgMar w:left="240" w:top="806"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w:t>
      </w:r>
    </w:p>
    <w:p>
      <w:pPr>
        <w:sectPr>
          <w:pgSz w:w="11900" w:h="16838" w:orient="portrait"/>
          <w:cols w:equalWidth="0" w:num="1">
            <w:col w:w="11420"/>
          </w:cols>
          <w:pgMar w:left="240" w:top="806" w:right="239" w:bottom="1440" w:gutter="0" w:footer="0" w:header="0"/>
          <w:type w:val="continuous"/>
        </w:sectPr>
      </w:pPr>
    </w:p>
    <w:p>
      <w:pPr>
        <w:spacing w:after="0" w:line="254" w:lineRule="exact"/>
        <w:rPr>
          <w:sz w:val="20"/>
          <w:szCs w:val="20"/>
          <w:color w:val="auto"/>
        </w:rPr>
      </w:pPr>
    </w:p>
    <w:p>
      <w:pPr>
        <w:ind w:left="580" w:right="20" w:hanging="572"/>
        <w:spacing w:after="0" w:line="262"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75" w:name="page76"/>
    <w:bookmarkEnd w:id="75"/>
    <w:p>
      <w:pPr>
        <w:ind w:left="720" w:right="240" w:hanging="701"/>
        <w:spacing w:after="0" w:line="268" w:lineRule="auto"/>
        <w:tabs>
          <w:tab w:leader="none" w:pos="7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Notice of Infringement by Third Parties</w:t>
      </w:r>
      <w:r>
        <w:rPr>
          <w:rFonts w:ascii="Arial" w:cs="Arial" w:eastAsia="Arial" w:hAnsi="Arial"/>
          <w:sz w:val="18"/>
          <w:szCs w:val="18"/>
          <w:color w:val="auto"/>
        </w:rPr>
        <w:t>. In the event that any third-party infringement of any of the Licensed Patents comes to the attention of either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to this Agreement, that Party shall promptly notify the other Party.</w:t>
      </w:r>
    </w:p>
    <w:p>
      <w:pPr>
        <w:spacing w:after="0" w:line="186" w:lineRule="exact"/>
        <w:rPr>
          <w:sz w:val="20"/>
          <w:szCs w:val="20"/>
          <w:color w:val="auto"/>
        </w:rPr>
      </w:pPr>
    </w:p>
    <w:p>
      <w:pPr>
        <w:ind w:left="720" w:right="100" w:hanging="701"/>
        <w:spacing w:after="0" w:line="290" w:lineRule="auto"/>
        <w:tabs>
          <w:tab w:leader="none" w:pos="7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Actions for Infringement</w:t>
      </w:r>
      <w:r>
        <w:rPr>
          <w:rFonts w:ascii="Arial" w:cs="Arial" w:eastAsia="Arial" w:hAnsi="Arial"/>
          <w:sz w:val="16"/>
          <w:szCs w:val="16"/>
          <w:color w:val="auto"/>
        </w:rPr>
        <w:t>. If any Valid Claim of the Licensed Patents is infringed by a third party in the Territory, LICENSEE shall have the right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option, but not the obligation, to commence appropriate legal action to enjoin such infringement, at LICENSEE’s expense, against such third-party in the name of LICENSOR, its Affiliates or assignees. If LICENSEE fails to initiate such action within ninety (90) days after being notified of the infringement, LICENSOR shall have the right, but not the obligation, to undertake such action at its own expense, and LICENSEE agrees to cooperate with LICENSOR, at LICENSOR’s expense. LICENSEE shall promptly notify LICENSOR of any infringement action that it brings pursuant to this Article 7, and shall keep LICENSOR informed as to the prosecution of any action for each such infringement. In either case, the other Party may participate in such infringement action at its own expense and may be represented by counsel of its choice.</w:t>
      </w:r>
    </w:p>
    <w:p>
      <w:pPr>
        <w:spacing w:after="0" w:line="172" w:lineRule="exact"/>
        <w:rPr>
          <w:sz w:val="20"/>
          <w:szCs w:val="20"/>
          <w:color w:val="auto"/>
        </w:rPr>
      </w:pPr>
    </w:p>
    <w:p>
      <w:pPr>
        <w:ind w:left="720" w:right="20" w:hanging="701"/>
        <w:spacing w:after="0" w:line="255" w:lineRule="auto"/>
        <w:tabs>
          <w:tab w:leader="none" w:pos="7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Recovery of Damages</w:t>
      </w:r>
      <w:r>
        <w:rPr>
          <w:rFonts w:ascii="Arial" w:cs="Arial" w:eastAsia="Arial" w:hAnsi="Arial"/>
          <w:sz w:val="18"/>
          <w:szCs w:val="18"/>
          <w:color w:val="auto"/>
        </w:rPr>
        <w:t>. Any damages or awards resulting from the prosecution of such infringement claims shall be applied first, to reimburse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prosecuting party for its costs and expenses, and second to reimburse the participating party for its costs and expenses, with any balance to be shared by the Parties in proportion to their respective economic losses from such infringement. No settlement, consent judgment or other voluntary final disposition which would adversely affect the Licensed Patents may be entered into by LICENSOR without the consent of LICENSEE, which consent shall not be unreasonably withheld.</w:t>
      </w:r>
    </w:p>
    <w:p>
      <w:pPr>
        <w:spacing w:after="0" w:line="197" w:lineRule="exact"/>
        <w:rPr>
          <w:sz w:val="20"/>
          <w:szCs w:val="20"/>
          <w:color w:val="auto"/>
        </w:rPr>
      </w:pPr>
    </w:p>
    <w:p>
      <w:pPr>
        <w:ind w:left="660" w:right="80" w:hanging="661"/>
        <w:spacing w:after="0" w:line="275"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Cooperation</w:t>
      </w:r>
      <w:r>
        <w:rPr>
          <w:rFonts w:ascii="Arial" w:cs="Arial" w:eastAsia="Arial" w:hAnsi="Arial"/>
          <w:sz w:val="18"/>
          <w:szCs w:val="18"/>
          <w:color w:val="auto"/>
        </w:rPr>
        <w:t>. Each of the Parties shall cooperate with the others in respect of any claim or action relating to the Licensed Patents, such cooperation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 without limitation, making available, upon reasonable request, such of its employees, records, papers, information, samples, specimens and the like as may be reasonably requested by the other Party.</w:t>
      </w:r>
    </w:p>
    <w:p>
      <w:pPr>
        <w:spacing w:after="0" w:line="180" w:lineRule="exact"/>
        <w:rPr>
          <w:sz w:val="20"/>
          <w:szCs w:val="20"/>
          <w:color w:val="auto"/>
        </w:rPr>
      </w:pPr>
    </w:p>
    <w:p>
      <w:pPr>
        <w:ind w:left="720" w:right="20" w:hanging="701"/>
        <w:spacing w:after="0" w:line="291" w:lineRule="auto"/>
        <w:tabs>
          <w:tab w:leader="none" w:pos="7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Infringement of Third-Party Patents</w:t>
      </w:r>
      <w:r>
        <w:rPr>
          <w:rFonts w:ascii="Arial" w:cs="Arial" w:eastAsia="Arial" w:hAnsi="Arial"/>
          <w:sz w:val="16"/>
          <w:szCs w:val="16"/>
          <w:color w:val="auto"/>
        </w:rPr>
        <w:t>. In the event that either Party becomes aware that LICENSEE’s activities pursuant to the Agreement might infringe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patents of any third party, that Party shall promptly notify the other Party. In such event, the Parties agree to discuss in good faith how to respond to such potential infringement liability. Absent agreement to the contrary, LICENSEE shall have the right and option, but not the obligation, to defend against any asserted infringement challenge at its own expense and in the name of LICENSOR, its Affiliates or assignees. Neither Party has the right to accept any judgment or enter into any settlement or otherwise dispose of any infringement claim made by a third party without the prior written consent of the other Party (which consent shall not be unreasonably withheld, conditioned or delayed).</w:t>
      </w:r>
    </w:p>
    <w:p>
      <w:pPr>
        <w:spacing w:after="0" w:line="16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6"/>
          <w:szCs w:val="16"/>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8.1</w:t>
            </w:r>
          </w:p>
        </w:tc>
        <w:tc>
          <w:tcPr>
            <w:tcW w:w="10660" w:type="dxa"/>
            <w:vAlign w:val="bottom"/>
            <w:gridSpan w:val="7"/>
          </w:tcPr>
          <w:p>
            <w:pPr>
              <w:spacing w:after="0"/>
              <w:rPr>
                <w:sz w:val="20"/>
                <w:szCs w:val="20"/>
                <w:color w:val="auto"/>
              </w:rPr>
            </w:pPr>
            <w:r>
              <w:rPr>
                <w:rFonts w:ascii="Arial" w:cs="Arial" w:eastAsia="Arial" w:hAnsi="Arial"/>
                <w:sz w:val="18"/>
                <w:szCs w:val="18"/>
                <w:color w:val="auto"/>
                <w:w w:val="90"/>
              </w:rPr>
              <w:t>Authority. Each Party represents and warrants that it has the full right, power and authority to execute, deliver and perform its obligations pursuant to</w:t>
            </w:r>
          </w:p>
        </w:tc>
      </w:tr>
      <w:tr>
        <w:trPr>
          <w:trHeight w:val="20"/>
        </w:trPr>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this Agreement.</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8.2</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No Conflicts. Each Party represents and warrants that the execution, delivery and performance of this Agreement does not conflict with, or constitute a</w:t>
            </w:r>
          </w:p>
        </w:tc>
      </w:tr>
      <w:tr>
        <w:trPr>
          <w:trHeight w:val="20"/>
        </w:trPr>
        <w:tc>
          <w:tcPr>
            <w:tcW w:w="7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9"/>
              </w:rPr>
              <w:t>breach or default under any of its charter or organizational documents, any law, order, judgment or governmental rule or regulation applicable to it, or</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any material agreement, contract, commitment or instrument to which it is a party.</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8.3</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No Existing Third-Party Rights. The Parties represent and warrant that their obligations under this Agreement are not encumbered by any rights granted</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9"/>
              </w:rPr>
              <w:t>by either Party to any third parties, and that to their knowledge no third party has made any claim or asserted any right to the Licensed IP or Licensed</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Product including pending, settled or threatened litigation or regulatory challenges.</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8.4</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Continuing Representations. The representations and warranties of each Party contained in this Article 8 shall survive the execution and delivery of this</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Agreement and shall remain true and correct at all times during the term of this Agreement with the same effect as if made on and as of such later date.</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8.5</w:t>
            </w:r>
          </w:p>
        </w:tc>
        <w:tc>
          <w:tcPr>
            <w:tcW w:w="10660" w:type="dxa"/>
            <w:vAlign w:val="bottom"/>
            <w:gridSpan w:val="7"/>
          </w:tcPr>
          <w:p>
            <w:pPr>
              <w:spacing w:after="0"/>
              <w:rPr>
                <w:sz w:val="20"/>
                <w:szCs w:val="20"/>
                <w:color w:val="auto"/>
              </w:rPr>
            </w:pPr>
            <w:r>
              <w:rPr>
                <w:rFonts w:ascii="Arial" w:cs="Arial" w:eastAsia="Arial" w:hAnsi="Arial"/>
                <w:sz w:val="18"/>
                <w:szCs w:val="18"/>
                <w:color w:val="auto"/>
                <w:w w:val="92"/>
              </w:rPr>
              <w:t>Disclaimer of Warranties. LICENSOR MAKES NO REPRESENTATIONS AND EXTENDS NO WARRANTIES OR CONDITIONS OF ANY KIND,</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7"/>
              </w:rPr>
              <w:t>EITHER EXPRESS OR IMPLIED, WITH RESPECT TO LICENSED PRODUCT INCLUDING, BUT NOT LIMITED TO, WARRANTIES OF</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MERCHANTABILITY OR FITNESS FOR A PARTICULAR PURPOSE.</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8.6</w:t>
            </w:r>
          </w:p>
        </w:tc>
        <w:tc>
          <w:tcPr>
            <w:tcW w:w="10660" w:type="dxa"/>
            <w:vAlign w:val="bottom"/>
            <w:gridSpan w:val="7"/>
          </w:tcPr>
          <w:p>
            <w:pPr>
              <w:spacing w:after="0"/>
              <w:rPr>
                <w:sz w:val="20"/>
                <w:szCs w:val="20"/>
                <w:color w:val="auto"/>
              </w:rPr>
            </w:pPr>
            <w:r>
              <w:rPr>
                <w:rFonts w:ascii="Arial" w:cs="Arial" w:eastAsia="Arial" w:hAnsi="Arial"/>
                <w:sz w:val="18"/>
                <w:szCs w:val="18"/>
                <w:color w:val="auto"/>
                <w:w w:val="90"/>
              </w:rPr>
              <w:t>Patent Warranties by LICENSOR. (a) LICENSOR does not know of any United States patent or patent application, or foreign counterpart, whether or</w:t>
            </w:r>
          </w:p>
        </w:tc>
      </w:tr>
      <w:tr>
        <w:trPr>
          <w:trHeight w:val="20"/>
        </w:trPr>
        <w:tc>
          <w:tcPr>
            <w:tcW w:w="720" w:type="dxa"/>
            <w:vAlign w:val="bottom"/>
          </w:tcPr>
          <w:p>
            <w:pPr>
              <w:spacing w:after="0" w:line="20" w:lineRule="exact"/>
              <w:rPr>
                <w:sz w:val="1"/>
                <w:szCs w:val="1"/>
                <w:color w:val="auto"/>
              </w:rPr>
            </w:pPr>
          </w:p>
        </w:tc>
        <w:tc>
          <w:tcPr>
            <w:tcW w:w="2360" w:type="dxa"/>
            <w:vAlign w:val="bottom"/>
            <w:gridSpan w:val="6"/>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not owned or licensed to LICENSOR, that might be infringed by the exercise by LICENSEE of its rights to Licensed Product under this Agreement</w:t>
            </w:r>
          </w:p>
        </w:tc>
      </w:tr>
      <w:tr>
        <w:trPr>
          <w:trHeight w:val="216"/>
        </w:trPr>
        <w:tc>
          <w:tcPr>
            <w:tcW w:w="720" w:type="dxa"/>
            <w:vAlign w:val="bottom"/>
          </w:tcPr>
          <w:p>
            <w:pPr>
              <w:spacing w:after="0"/>
              <w:rPr>
                <w:sz w:val="18"/>
                <w:szCs w:val="18"/>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other than Licensed Patents. (b) LICENSOR warrants that it has obtained from the inventors of the Licensed IP valid and enforceable agreements</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assigning to LICENSOR each such inventor’s entire right, title and interest under the applicable employee intellectual property law. (c) LICENSOR</w:t>
            </w:r>
          </w:p>
        </w:tc>
      </w:tr>
    </w:tbl>
    <w:p>
      <w:pPr>
        <w:ind w:left="720" w:right="100"/>
        <w:spacing w:after="0" w:line="295" w:lineRule="auto"/>
        <w:rPr>
          <w:sz w:val="20"/>
          <w:szCs w:val="20"/>
          <w:color w:val="auto"/>
        </w:rPr>
      </w:pPr>
      <w:r>
        <w:rPr>
          <w:rFonts w:ascii="Arial" w:cs="Arial" w:eastAsia="Arial" w:hAnsi="Arial"/>
          <w:sz w:val="16"/>
          <w:szCs w:val="16"/>
          <w:color w:val="auto"/>
        </w:rPr>
        <w:t>does not know of any reason why the Licensed Patents would be unallowable, invalid or unenforceable. (d) It is expressly understood, however, that in making the conveyances and grants under this Agreement, with the exception of the foregoing provisions of this paragraph, LICENSOR makes no representations, extends no warranties, express or implied, and assumes no responsibilities whatsoever, with respect to the scope or validity of any Licensed Patents, or relating to any use of Licensed Product as being free from infringement of patents other than Licensed Patents.</w:t>
      </w:r>
    </w:p>
    <w:p>
      <w:pPr>
        <w:spacing w:after="0" w:line="16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8"/>
          <w:szCs w:val="18"/>
          <w:b w:val="1"/>
          <w:bCs w:val="1"/>
          <w:color w:val="auto"/>
        </w:rPr>
        <w:t>TERM AND TERMINATION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77" w:name="page78"/>
    <w:bookmarkEnd w:id="77"/>
    <w:p>
      <w:pPr>
        <w:ind w:left="720" w:right="40" w:hanging="701"/>
        <w:spacing w:after="0" w:line="220" w:lineRule="exact"/>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Agreement will begin on the Effective Date and expire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on the date that Net Sales end in such country. For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avoidance of doubt, following such expiration, the license in such country will be fully paid up, irrevocable and perpetual.</w:t>
      </w:r>
    </w:p>
    <w:p>
      <w:pPr>
        <w:spacing w:after="0" w:line="210" w:lineRule="exact"/>
        <w:rPr>
          <w:sz w:val="20"/>
          <w:szCs w:val="20"/>
          <w:color w:val="auto"/>
        </w:rPr>
      </w:pPr>
    </w:p>
    <w:p>
      <w:pPr>
        <w:ind w:left="720" w:right="300" w:hanging="701"/>
        <w:spacing w:after="0" w:line="268" w:lineRule="auto"/>
        <w:tabs>
          <w:tab w:leader="none" w:pos="7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Termination by LICENSEE for Convenience</w:t>
      </w:r>
      <w:r>
        <w:rPr>
          <w:rFonts w:ascii="Arial" w:cs="Arial" w:eastAsia="Arial" w:hAnsi="Arial"/>
          <w:sz w:val="18"/>
          <w:szCs w:val="18"/>
          <w:color w:val="auto"/>
        </w:rPr>
        <w:t>. LICENSEE may terminate this Agreement without cause upon one hundred eighty (180) days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LICENSOR, in the entire Territory or on a country-by-country basis.</w:t>
      </w:r>
    </w:p>
    <w:p>
      <w:pPr>
        <w:spacing w:after="0" w:line="186" w:lineRule="exact"/>
        <w:rPr>
          <w:sz w:val="20"/>
          <w:szCs w:val="20"/>
          <w:color w:val="auto"/>
        </w:rPr>
      </w:pPr>
    </w:p>
    <w:p>
      <w:pPr>
        <w:ind w:left="720" w:right="100" w:hanging="701"/>
        <w:spacing w:after="0" w:line="290" w:lineRule="auto"/>
        <w:tabs>
          <w:tab w:leader="none" w:pos="7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The failure by a Party to comply with any of the material obligations contained in this Agreement shall entitle the Party not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default to give notice to have the default cured. If such default is not cured within sixty (60) days after the receipt of such notice, or diligent steps are not taken to cure if by its nature such default could not be cured within sixty (60) days, the Party not in default shall be entitled, without prejudice to any of its other rights conferred on it by this Agreement, and in addition to any other remedies that may be available to it, to terminate this Agreement,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such right to terminate shall be stayed in the event that, during such 60 day period, the Party alleged to have been in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(i) initiated arbitration in accordance with Section 10.1, below, with respect to the alleged default, and (ii) diligently and in good faith co-operated in the prompt resolution of such arbitration proceedings.</w:t>
      </w:r>
    </w:p>
    <w:p>
      <w:pPr>
        <w:spacing w:after="0" w:line="172" w:lineRule="exact"/>
        <w:rPr>
          <w:sz w:val="20"/>
          <w:szCs w:val="20"/>
          <w:color w:val="auto"/>
        </w:rPr>
      </w:pPr>
    </w:p>
    <w:p>
      <w:pPr>
        <w:ind w:left="720" w:right="180" w:hanging="701"/>
        <w:spacing w:after="0" w:line="268" w:lineRule="auto"/>
        <w:tabs>
          <w:tab w:leader="none" w:pos="7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No Waiver</w:t>
      </w:r>
      <w:r>
        <w:rPr>
          <w:rFonts w:ascii="Arial" w:cs="Arial" w:eastAsia="Arial" w:hAnsi="Arial"/>
          <w:sz w:val="18"/>
          <w:szCs w:val="18"/>
          <w:color w:val="auto"/>
        </w:rPr>
        <w:t>. The right of a Party to terminate this Agreement, as hereinabove provided, shall not be affected in any way by its waiver or failure to take</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action with respect to any prior default.</w:t>
      </w:r>
    </w:p>
    <w:p>
      <w:pPr>
        <w:spacing w:after="0" w:line="186" w:lineRule="exact"/>
        <w:rPr>
          <w:sz w:val="20"/>
          <w:szCs w:val="20"/>
          <w:color w:val="auto"/>
        </w:rPr>
      </w:pPr>
    </w:p>
    <w:p>
      <w:pPr>
        <w:ind w:left="760" w:right="120" w:hanging="755"/>
        <w:spacing w:after="0" w:line="253" w:lineRule="auto"/>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Insolvency or Bankruptcy</w:t>
      </w:r>
      <w:r>
        <w:rPr>
          <w:rFonts w:ascii="Arial" w:cs="Arial" w:eastAsia="Arial" w:hAnsi="Arial"/>
          <w:sz w:val="18"/>
          <w:szCs w:val="18"/>
          <w:color w:val="auto"/>
        </w:rPr>
        <w:t>. Either Party may, in addition to any other remedies available under this Agreement, terminate this Agreement by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the other Party in the event the latter Party shall have become insolvent or bankrupt, or shall have an assignment for the benefit of its creditors, or there shall have been appointed a trustee or receiver of the other Party or for all or a substantial part of its property or any case or proceeding shall have been commenced or other action taken by or against the other Party in bankruptcy or seeking reorganization, liquidation, dissolution, winding-up, arrangement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90 days undismissed, unbonded and undischarged.</w:t>
      </w:r>
    </w:p>
    <w:p>
      <w:pPr>
        <w:spacing w:after="0" w:line="199" w:lineRule="exact"/>
        <w:rPr>
          <w:sz w:val="20"/>
          <w:szCs w:val="20"/>
          <w:color w:val="auto"/>
        </w:rPr>
      </w:pPr>
    </w:p>
    <w:p>
      <w:pPr>
        <w:ind w:left="720" w:right="20" w:hanging="701"/>
        <w:spacing w:after="0" w:line="287" w:lineRule="auto"/>
        <w:tabs>
          <w:tab w:leader="none" w:pos="7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Effect of Termination by LICENSEE Pursuant to Section 9.2</w:t>
      </w:r>
      <w:r>
        <w:rPr>
          <w:rFonts w:ascii="Arial" w:cs="Arial" w:eastAsia="Arial" w:hAnsi="Arial"/>
          <w:sz w:val="16"/>
          <w:szCs w:val="16"/>
          <w:color w:val="auto"/>
        </w:rPr>
        <w:t>. On termination of this Agreement by LICENSEE pursuant to Section 9.2 in any given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country, within 30 days after notice from LICENSOR and at LICENSOR’s expense, LICENSEE will, for such country: (a) transfer ownership of and rights under any regulatory filings in such country for the Licensed Product to LICENSOR, and (b) with input and direction from LICENSOR, complete all relevant activities related to such regulatory filings, including the submission of relevant notices to the relevant Regulatory Authorities, in form and substance satisfactory to LICENSOR, as required for LICENSOR to assume such ownership and rights, as applicable. Promptly after such termination, if requested by LICENSOR, LICENSEE will also (i) send letters (in form and substance satisfactory to LICENSOR) to the FDA and other Regulatory Authorities in such country indicating that any other Regulatory Documents are transferred to LICENSOR and that LICENSOR is the new owner of the Regulatory Documents as of the Effective Date, (ii) send letters to all applicable IRBs or other relevant entities and similar committees to direct product-related communications to LICENSOR commencing on the date of termination, and (iii) provide to LICENSOR a copy of such letters. LICENSEE will also grant to LICENSOR an irrevocable, fully-paid license in such country to all Improvements made by LICENSEE and its Affiliates.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8" w:name="page79"/>
    <w:bookmarkEnd w:id="78"/>
    <w:p>
      <w:pPr>
        <w:ind w:left="720" w:right="120" w:hanging="701"/>
        <w:spacing w:after="0" w:line="291" w:lineRule="auto"/>
        <w:tabs>
          <w:tab w:leader="none" w:pos="7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Limitation on Remedies</w:t>
      </w:r>
      <w:r>
        <w:rPr>
          <w:rFonts w:ascii="Arial" w:cs="Arial" w:eastAsia="Arial" w:hAnsi="Arial"/>
          <w:sz w:val="16"/>
          <w:szCs w:val="16"/>
          <w:color w:val="auto"/>
        </w:rPr>
        <w:t>. LICENSEE’s remedies for uncured material breach by LICENSOR shall be limited to (1) termination of this Agreement,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entire Territory or on a country-by-country basis, and/or (2) the right to claim damages caused by that breach solely from LICENSOR. LICENSEE waives any rights against any former officer or director of LICENSOR in their capacity as such, as of the Effective Date, and against any current or former shareholder of LICENSOR, in their capacity as such, including any current or former holder of convertible notes of LICENSOR (collectively, the “Waived Parties”). LICENSEE agrees that it will initiate no dispute resolution proceeding against the Waived Parties; and no arbitration panel appointed under Article 10 shall have the ability to make any award against the Waived Parties.</w:t>
      </w:r>
    </w:p>
    <w:p>
      <w:pPr>
        <w:spacing w:after="0" w:line="174" w:lineRule="exact"/>
        <w:rPr>
          <w:sz w:val="20"/>
          <w:szCs w:val="20"/>
          <w:color w:val="auto"/>
        </w:rPr>
      </w:pPr>
    </w:p>
    <w:p>
      <w:pPr>
        <w:ind w:left="720" w:right="80" w:hanging="701"/>
        <w:spacing w:after="0" w:line="306" w:lineRule="auto"/>
        <w:tabs>
          <w:tab w:leader="none" w:pos="7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Survival of Obligations</w:t>
      </w:r>
      <w:r>
        <w:rPr>
          <w:rFonts w:ascii="Arial" w:cs="Arial" w:eastAsia="Arial" w:hAnsi="Arial"/>
          <w:sz w:val="16"/>
          <w:szCs w:val="16"/>
          <w:color w:val="auto"/>
        </w:rPr>
        <w:t>. The termination of this Agreement shall not relieve the Parties of any obligations accruing prior to such termination, and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termination shall be without prejudice to the rights of either Party against the other, subject to the limitations of Section 9.7 above. The provisions of Sections 4.3 to 4.5, Articles 5, 7, 8, 10 and 11 shall survive any termination of this Agreement.</w:t>
      </w:r>
    </w:p>
    <w:p>
      <w:pPr>
        <w:spacing w:after="0" w:line="155"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DISPUTE RESOLUTION</w:t>
      </w:r>
    </w:p>
    <w:p>
      <w:pPr>
        <w:spacing w:after="0" w:line="231"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concerning or arising out of this Agreement or concerning the existence or validity hereof, shall be determined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procedure.</w:t>
      </w:r>
    </w:p>
    <w:p>
      <w:pPr>
        <w:spacing w:after="0" w:line="118" w:lineRule="exact"/>
        <w:rPr>
          <w:sz w:val="20"/>
          <w:szCs w:val="20"/>
          <w:color w:val="auto"/>
        </w:rPr>
      </w:pPr>
    </w:p>
    <w:p>
      <w:pPr>
        <w:ind w:right="40" w:firstLine="1305"/>
        <w:spacing w:after="0" w:line="255" w:lineRule="auto"/>
        <w:tabs>
          <w:tab w:leader="none" w:pos="15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Both Parties understand and appreciate that their long-term mutual interest will be best served by affecting a rapid and fair resolution of any claims or disputes which may arise out of services performed under this contract or from any dispute concerning the terms of this Agreement. Therefore, both Parties agree to use their best efforts to resolve all such disputes as rapidly as possible on a fair and equitable basis. Toward this end both Parties agree to develop and follow a process for presenting, rapidly assessing, and settling claims on a fair and equitable basis which takes into account the precise subject and nature of the dispute.</w:t>
      </w:r>
    </w:p>
    <w:p>
      <w:pPr>
        <w:spacing w:after="0" w:line="129" w:lineRule="exact"/>
        <w:rPr>
          <w:rFonts w:ascii="Arial" w:cs="Arial" w:eastAsia="Arial" w:hAnsi="Arial"/>
          <w:sz w:val="18"/>
          <w:szCs w:val="18"/>
          <w:color w:val="auto"/>
        </w:rPr>
      </w:pPr>
    </w:p>
    <w:p>
      <w:pPr>
        <w:ind w:firstLine="1305"/>
        <w:spacing w:after="0" w:line="298" w:lineRule="auto"/>
        <w:tabs>
          <w:tab w:leader="none" w:pos="15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dispute or claim arising under this Agreement cannot be readily resolved by the Parties pursuant to the process described above, the Parties agree to refer the matter to a panel consisting of the Chief Executive Officer (“CEO”) of each Party for review and a non-binding resolution. A copy of the terms of this Agreement, agreed upon facts (and areas of disagreement), and concise summary of the basis for each side’s contentions will be provided to both such CEOs who shall review the same, confer, and attempt to reach a mutual resolution of the issue.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79" w:name="page80"/>
    <w:bookmarkEnd w:id="79"/>
    <w:p>
      <w:pPr>
        <w:ind w:firstLine="1305"/>
        <w:spacing w:after="0" w:line="287" w:lineRule="auto"/>
        <w:tabs>
          <w:tab w:leader="none" w:pos="15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matter has not been resolved utilizing the foregoing process, and the Parties are unwilling to accept the non-binding decision of the indicated panel, either or both Parties may elect to pursue definitive resolution through binding arbitration, which the Parties agree to accept in lieu of litigation or other legally available remedies (with the exception of injunctive relief where such relief is necessary to protect a Party from irreparable harm pending the outcome of any such arbitration proceeding). Binding arbitration shall be settled in accordance with the Rules of Conciliation and Arbitration of the International Chamber of Commerce by a panel of three arbitrators chosen in accordance with said Rules. This Agreement shall be governed by and construed in accordance with the substantive laws of the State of California without regard to the conflicts of laws provision thereof. The arbitration will be held in San Francisco, California, if initiated by LICENSEE or LICENSOR. Judgment upon the award rendered may be entered in any court having jurisdiction and the Parties hereby consent to the said jurisdiction and venue, and further irrevocably waive any objection which either Party may have now or hereafter to the laying of venue of any proceedings in said courts and to any claim that such proceedings have been brought in an inconvenient forum, and further irrevocably agrees that a judgment or order in any such proceedings shall be conclusive and binding upon the Parties and may be enforced in the courts of any other jurisdiction thereof.</w:t>
      </w:r>
    </w:p>
    <w:p>
      <w:pPr>
        <w:spacing w:after="0" w:line="17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8"/>
          <w:szCs w:val="18"/>
          <w:b w:val="1"/>
          <w:bCs w:val="1"/>
          <w:color w:val="auto"/>
        </w:rPr>
        <w:t>INDEMNIFICATION</w:t>
      </w:r>
    </w:p>
    <w:p>
      <w:pPr>
        <w:spacing w:after="0" w:line="231" w:lineRule="exact"/>
        <w:rPr>
          <w:sz w:val="20"/>
          <w:szCs w:val="20"/>
          <w:color w:val="auto"/>
        </w:rPr>
      </w:pPr>
    </w:p>
    <w:p>
      <w:pPr>
        <w:ind w:left="800" w:right="100" w:hanging="796"/>
        <w:spacing w:after="0" w:line="290"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Indemnification of LICENSEE</w:t>
      </w:r>
      <w:r>
        <w:rPr>
          <w:rFonts w:ascii="Arial" w:cs="Arial" w:eastAsia="Arial" w:hAnsi="Arial"/>
          <w:sz w:val="16"/>
          <w:szCs w:val="16"/>
          <w:color w:val="auto"/>
        </w:rPr>
        <w:t>. LICENSOR shall indemnify and defend LICENSEE and its Affiliates, and the directors, officers, employees,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counsel of LICENSEE and such Affiliates, and the successors and assigns of any of the foregoing (the “LICENSEE Indemnitees”), and hold the LICENSEE Indemnitees harmless from and against any and all claims, liabilities, damages, losses, costs or expenses (including reasonable attorneys’ fees and professional fees and other expenses of litigation) (collectively, “Losses”) resulting from any claim, suit or proceeding brought by a third party against a LICENSEE Indemnitee, arising from or occurring as a result of any breach of a representation or warranty by LICENSOR or of a material obligation of LICENSOR under this Agreement or the negligence or willful misconduct of LICENSOR in connection with the performance of its obligations under this Agreement, except to the extent caused by the negligence or willful misconduct of LICENSEE.</w:t>
      </w:r>
    </w:p>
    <w:p>
      <w:pPr>
        <w:spacing w:after="0" w:line="172" w:lineRule="exact"/>
        <w:rPr>
          <w:sz w:val="20"/>
          <w:szCs w:val="20"/>
          <w:color w:val="auto"/>
        </w:rPr>
      </w:pPr>
    </w:p>
    <w:p>
      <w:pPr>
        <w:jc w:val="both"/>
        <w:ind w:left="800" w:right="80" w:hanging="796"/>
        <w:spacing w:after="0" w:line="290" w:lineRule="auto"/>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 of LICENSOR</w:t>
      </w:r>
      <w:r>
        <w:rPr>
          <w:rFonts w:ascii="Arial" w:cs="Arial" w:eastAsia="Arial" w:hAnsi="Arial"/>
          <w:sz w:val="16"/>
          <w:szCs w:val="16"/>
          <w:color w:val="auto"/>
        </w:rPr>
        <w:t>. LICENSEE shall indemnify and defend LICENSOR and its Affiliates and the directors, officers, employees,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counsel of LICENSOR and such Affiliates and the successors and assigns of any of the foregoing (the “LICENSOR Indemnitees”), and hold the LICENSOR Indemnitees harmless from and against any and all Losses resulting from any claim, suit or proceeding brought by a third party against a LICENSOR Indemnitee, arising from or occurring as a result of any breach of a representation or warranty by LICENSEE or of a material obligation of LICENSEE under this Agreement; the use, handling, storage, disposal or experimentation with Licensed Product by LICENSEE; the negligence or willful misconduct of LICENSEE in connection with the performance of its obligations under this Agreement; or the manufacture, import, use, offer for sale or sale of Licensed Product, except to the extent caused by the negligence or willful misconduct of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80" w:name="page81"/>
    <w:bookmarkEnd w:id="80"/>
    <w:p>
      <w:pPr>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Procedure</w:t>
      </w:r>
      <w:r>
        <w:rPr>
          <w:rFonts w:ascii="Arial" w:cs="Arial" w:eastAsia="Arial" w:hAnsi="Arial"/>
          <w:sz w:val="16"/>
          <w:szCs w:val="16"/>
          <w:color w:val="auto"/>
        </w:rPr>
        <w:t>. A Party (the “Indemnitee”) that intends to claim indemnification under this Article 11 shall promptly notify the other Party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“Indemnitor”) in writing of any Loss in respect of which the Indemnitee intends to claim such indemnification, and the Indemnitor shall have the right to participate in, and, to the extent the Indemnitor so desires, to assume the defense thereof with counsel mutually satisfactory to the Parties;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the Indemnitor in such proceeding. The Indemnitor shall control the defense and/or settlement of any such Loss, and the indemnity agreement in this Article 11 shall not apply to amounts paid in connection with any Loss if such payments are made without the consent of the Indemnitor, which consent shall not be withheld unreasonably. The failure to deliver written notice to the Indemnitor within a reasonable time after the commencement of any such action, if prejudicial to its ability to defend such action, shall relieve such Indemnitor of any liability to the Indemnitee under this Article 11. At the Indemnitor’s request, the Indemnitee under this Article 11, and its employees and agents, shall cooperate fully with the Indemnitor and its legal representatives in the investigation of any Loss covered by this indemnification and provide true, correct and complete information with respect thereto.</w:t>
      </w:r>
    </w:p>
    <w:p>
      <w:pPr>
        <w:spacing w:after="0" w:line="178" w:lineRule="exact"/>
        <w:rPr>
          <w:sz w:val="20"/>
          <w:szCs w:val="20"/>
          <w:color w:val="auto"/>
        </w:rPr>
      </w:pPr>
    </w:p>
    <w:p>
      <w:pPr>
        <w:ind w:left="800" w:right="140" w:hanging="796"/>
        <w:spacing w:after="0" w:line="291"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procure and maintain insurance issued by a reputable insurance company, which policy will insure against any and 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claims, liabilities, costs, fees and expenses resulting from or caused by (or claimed to be resulting from or caused by) use of the Licensed Product in the Territory, with a limit of liability per occurrence of at least an amount equal to Ten Million U.S. Dollars (US$ 10 million). It is understood that such insurance will not be construed to create a limit of LICENSEE’s liability with respect to its indemnification obligations under Section 11.2. LICENSEE will provide LICENSOR with written evidence of such insurance upon request, and will provide LICENSOR with written notice at least 30 days prior to the cancellation, non-renewal or material change in such insurance.</w:t>
      </w:r>
    </w:p>
    <w:p>
      <w:pPr>
        <w:spacing w:after="0" w:line="168"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jc w:val="both"/>
        <w:ind w:left="800" w:right="80" w:hanging="796"/>
        <w:spacing w:after="0" w:line="259"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from the performance or breach hereof shall be governed by and construed and enforced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the laws of the State of California as applied to disputes involving parties located entirely within the State and also without reference to the State’s conflicts of laws principles.</w:t>
      </w:r>
    </w:p>
    <w:p>
      <w:pPr>
        <w:spacing w:after="0" w:line="194"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Neither Party may waive or release any of its rights or interests in this Agreement except in writing. The failure of either Party to assert a right</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or to insist upon compliance with any term or condition of this Agreement shall not constitute a waiver of that right or excuse a similar subsequent failure to perform any such term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81" w:name="page82"/>
    <w:bookmarkEnd w:id="81"/>
    <w:p>
      <w:pPr>
        <w:ind w:left="800" w:right="340" w:hanging="796"/>
        <w:spacing w:after="0" w:line="256" w:lineRule="auto"/>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Assignability</w:t>
      </w:r>
      <w:r>
        <w:rPr>
          <w:rFonts w:ascii="Arial" w:cs="Arial" w:eastAsia="Arial" w:hAnsi="Arial"/>
          <w:sz w:val="18"/>
          <w:szCs w:val="18"/>
          <w:color w:val="auto"/>
        </w:rPr>
        <w:t>. Neither Party may assign its rights under this Agreement without the prior written consent of the other Party, such consent not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unreasonably withheld. Notwithstanding the foregoing, LICENSEE may assign it rights under this Agreement to a successor in connection with a merger, consolidation, spin-off or sale of all or substantially all of its assets or that portion of its business pertaining to subject matter of this Agreement, without prior written consent of LICENSOR.</w:t>
      </w:r>
    </w:p>
    <w:p>
      <w:pPr>
        <w:spacing w:after="0" w:line="197" w:lineRule="exact"/>
        <w:rPr>
          <w:sz w:val="20"/>
          <w:szCs w:val="20"/>
          <w:color w:val="auto"/>
        </w:rPr>
      </w:pPr>
    </w:p>
    <w:p>
      <w:pPr>
        <w:ind w:left="800" w:right="180" w:hanging="796"/>
        <w:spacing w:after="0" w:line="259"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shall be in writing and shall be personally delivered or sent by courier or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1400"/>
          </w:cols>
          <w:pgMar w:left="240" w:top="806"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LICENSEE: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South San Francisco, CA 94080</w:t>
      </w:r>
    </w:p>
    <w:p>
      <w:pPr>
        <w:spacing w:after="0" w:line="200" w:lineRule="exact"/>
        <w:rPr>
          <w:sz w:val="20"/>
          <w:szCs w:val="20"/>
          <w:color w:val="auto"/>
        </w:rPr>
      </w:pPr>
    </w:p>
    <w:p>
      <w:pPr>
        <w:sectPr>
          <w:pgSz w:w="11900" w:h="16838" w:orient="portrait"/>
          <w:cols w:equalWidth="0" w:num="2">
            <w:col w:w="2800" w:space="720"/>
            <w:col w:w="7880"/>
          </w:cols>
          <w:pgMar w:left="240" w:top="806" w:right="259" w:bottom="1440" w:gutter="0" w:footer="0" w:header="0"/>
          <w:type w:val="continuous"/>
        </w:sectPr>
      </w:pPr>
    </w:p>
    <w:p>
      <w:pPr>
        <w:spacing w:after="0" w:line="5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650-577-3600</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Fax: 888-482-2602</w:t>
      </w:r>
    </w:p>
    <w:p>
      <w:pPr>
        <w:spacing w:after="0" w:line="21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ATTN: Shawn Singh, Chief Executive Officer</w:t>
      </w:r>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Reid Adler, Esq.</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Law Office of Reid G. Adler, JD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4800 Hampden Lane, Suite 200</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(240)-599-1200</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Fax: (240)-599-1200</w:t>
      </w:r>
    </w:p>
    <w:p>
      <w:pPr>
        <w:sectPr>
          <w:pgSz w:w="11900" w:h="16838" w:orient="portrait"/>
          <w:cols w:equalWidth="0" w:num="1">
            <w:col w:w="11400"/>
          </w:cols>
          <w:pgMar w:left="240" w:top="806" w:right="25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LICENSOR: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Pherin Pharmaceuticals, Inc.</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PO Box 4081</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Los Altos, CA 94024</w:t>
      </w:r>
    </w:p>
    <w:p>
      <w:pPr>
        <w:spacing w:after="0" w:line="200" w:lineRule="exact"/>
        <w:rPr>
          <w:sz w:val="20"/>
          <w:szCs w:val="20"/>
          <w:color w:val="auto"/>
        </w:rPr>
      </w:pPr>
    </w:p>
    <w:p>
      <w:pPr>
        <w:sectPr>
          <w:pgSz w:w="11900" w:h="16838" w:orient="portrait"/>
          <w:cols w:equalWidth="0" w:num="2">
            <w:col w:w="2780" w:space="720"/>
            <w:col w:w="7900"/>
          </w:cols>
          <w:pgMar w:left="240" w:top="806" w:right="259" w:bottom="1440" w:gutter="0" w:footer="0" w:header="0"/>
          <w:type w:val="continuous"/>
        </w:sectPr>
      </w:pPr>
    </w:p>
    <w:p>
      <w:pPr>
        <w:spacing w:after="0" w:line="1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650-297-1484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ATTN: Dr. Louis Monti, Executive VP</w:t>
      </w:r>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Sam L. Nguyen, Esq.</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Hamilton, DeSanctis &amp; Cha, LLP</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3239 El Camino Real, Suite 220</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Palo Alto, CA 94306</w:t>
      </w:r>
    </w:p>
    <w:p>
      <w:pPr>
        <w:spacing w:after="0" w:line="21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650-565-8738</w:t>
      </w:r>
    </w:p>
    <w:p>
      <w:pPr>
        <w:sectPr>
          <w:pgSz w:w="11900" w:h="16838" w:orient="portrait"/>
          <w:cols w:equalWidth="0" w:num="1">
            <w:col w:w="11400"/>
          </w:cols>
          <w:pgMar w:left="240" w:top="80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type w:val="continuous"/>
        </w:sectPr>
      </w:pPr>
    </w:p>
    <w:bookmarkStart w:id="82" w:name="page83"/>
    <w:bookmarkEnd w:id="82"/>
    <w:p>
      <w:pPr>
        <w:ind w:left="800" w:hanging="796"/>
        <w:spacing w:after="0" w:line="309" w:lineRule="auto"/>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liable to the other for failure or delay in the performance of any of its obligations under this Agreement for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12.5 and not attributable to the negligence or willful misconduct of the Party invoking this Section 12.5. The Party affected by force majeure shall provide the other Party with full particulars thereof as soon as it becomes aware of the same (including its best estimate of the likely extent and duration of the interference with its activities), and will use reasonable efforts to overcome the difficulties created thereby and to resume performance of its obligations as soon as practicable. If the performance of any obligation under this Agreement is delayed owing to a force majeure event for any continuous period of more than six (6) months, the Parties hereto shall consult with respect to an equitable solution, including the possible termination of this Agreement.</w:t>
      </w:r>
    </w:p>
    <w:p>
      <w:pPr>
        <w:spacing w:after="0" w:line="162"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Both Parties are independent contractors under this Agreement. Nothing contained in this Agreement is intended nor is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construed so as to constitute LICENSOR or LICENSEE as partners or joint venturers with respect to this Agreement. Neither Party shall have any express or implied right or authority to assume or create any obligations on behalf of or in the name of the other Party or to bind the other Party to any other contract, agreement, or undertaking with any Third Party.</w:t>
      </w:r>
    </w:p>
    <w:p>
      <w:pPr>
        <w:spacing w:after="0" w:line="197" w:lineRule="exact"/>
        <w:rPr>
          <w:sz w:val="20"/>
          <w:szCs w:val="20"/>
          <w:color w:val="auto"/>
        </w:rPr>
      </w:pPr>
    </w:p>
    <w:p>
      <w:pPr>
        <w:ind w:left="800" w:right="300" w:hanging="796"/>
        <w:spacing w:after="0" w:line="332"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Use of Name</w:t>
      </w:r>
      <w:r>
        <w:rPr>
          <w:rFonts w:ascii="Arial" w:cs="Arial" w:eastAsia="Arial" w:hAnsi="Arial"/>
          <w:sz w:val="16"/>
          <w:szCs w:val="16"/>
          <w:color w:val="auto"/>
        </w:rPr>
        <w:t>. The Parties may disclose the existence and general natures of this Agreement, and LICENSEE may use the name of LICENSOR for</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promotional and regulatory compliance purposes, as necessary and appropriate to advance Development of Licensed Product.</w:t>
      </w:r>
    </w:p>
    <w:p>
      <w:pPr>
        <w:spacing w:after="0" w:line="139" w:lineRule="exact"/>
        <w:rPr>
          <w:sz w:val="20"/>
          <w:szCs w:val="20"/>
          <w:color w:val="auto"/>
        </w:rPr>
      </w:pPr>
    </w:p>
    <w:p>
      <w:pPr>
        <w:ind w:left="800" w:right="20" w:hanging="796"/>
        <w:spacing w:after="0" w:line="294" w:lineRule="auto"/>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u w:val="single" w:color="auto"/>
          <w:color w:val="auto"/>
        </w:rPr>
        <w:t>Trademarks</w:t>
      </w:r>
      <w:r>
        <w:rPr>
          <w:rFonts w:ascii="Arial" w:cs="Arial" w:eastAsia="Arial" w:hAnsi="Arial"/>
          <w:sz w:val="16"/>
          <w:szCs w:val="16"/>
          <w:color w:val="auto"/>
        </w:rPr>
        <w:t>. Nothing contained in this Agreement shall be construed as conferring any right to use in advertising, publicity or other promotion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activities any name, trade name, trademark or other designation of any Party (including any contraction, abbreviation or simplification of any of the foregoing). LICENSEE, its Affiliates and sublicensees shall have the right to market Licensed Product under their own labels and trademarks. LICENSEE agrees to mark and have its Affiliates and sublicensees mark all Licensed Product that they sell or distribute pursuant to this Agreement in accordance with the applicable statute or regulations in the country or countries of manufacture and sale thereof.</w:t>
      </w:r>
    </w:p>
    <w:p>
      <w:pPr>
        <w:spacing w:after="0" w:line="170" w:lineRule="exact"/>
        <w:rPr>
          <w:sz w:val="20"/>
          <w:szCs w:val="20"/>
          <w:color w:val="auto"/>
        </w:rPr>
      </w:pPr>
    </w:p>
    <w:p>
      <w:pPr>
        <w:ind w:left="800" w:right="20" w:hanging="796"/>
        <w:spacing w:after="0" w:line="254" w:lineRule="auto"/>
        <w:tabs>
          <w:tab w:leader="none" w:pos="7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becomes or is declared by a court of competent jurisdiction to be illegal, unenforceable or void,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shall continue in full force and effect without said provision, so long as the Agreement, taking into account said voided provision(s), continues to provide the Parties with the same practical economic benefits as the Agreement containing said voided provision(s) did on the date of this Agreement. If, after taking into account said voided provision(s), the Parties are unable to realize the practical economic benefit contemplated on the date of this Agreement, the Parties shall negotiate in good faith to amend this Agreement to reestablish the practical economic benefit provided the Parties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12.10</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No Implied Licenses. No rights or licenses with respect to any LICENSOR patents or know-how, other than as explicitly identified above, are</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granted or deemed granted hereunder or in connection herewith other than those rights expressly granted in this Agreement.</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12.11</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Complete Agreement. This Agreement, including Schedule 1, shall constitute the entire agreement, both written and oral, between the Parties</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0"/>
              </w:rPr>
              <w:t>with respect to the subject matter hereof, and all prior agreements respecting the subject matter hereof, either written or oral, expressed or</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implied, are merged and canceled, and are null and void and of no effect. No amendment or change hereof or addition hereto shall be effective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or binding on either of the Parties hereto unless reduced to writing and duly executed on behalf of both Parties.</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12.12</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Headings. The captions to the sections and articles in this Agreement are not a part of this Agreement but are included merely for convenience</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of reference only and shall not affect its meaning or interpretation.</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12.13</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Counterparts and Signatures. This Agreement may be executed in counterparts, or facsimile versions, each of which shall be deemed to be an</w:t>
            </w:r>
          </w:p>
        </w:tc>
      </w:tr>
      <w:tr>
        <w:trPr>
          <w:trHeight w:val="20"/>
        </w:trPr>
        <w:tc>
          <w:tcPr>
            <w:tcW w:w="13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7"/>
              </w:rPr>
              <w:t>original, and both of which together shall be deemed to be one and the same agreement. Signatures to this Agreement transmitted by facsimile</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4"/>
              </w:rPr>
              <w:t>transmission, by electronic mail in “portable document format” (“.pdf”) form, or by any other electronic means intended to preserve the</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1"/>
              </w:rPr>
              <w:t>original graphic and pictorial appearance of a document, will have the same effect as physical delivery of the paper document bearing the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original signature.</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12.14</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Binding Effect. This Agreement and the license granted herein shall be binding upon and shall inure to the benefit of LICENSOR, LICENSEE</w:t>
            </w:r>
          </w:p>
        </w:tc>
      </w:tr>
      <w:tr>
        <w:trPr>
          <w:trHeight w:val="20"/>
        </w:trPr>
        <w:tc>
          <w:tcPr>
            <w:tcW w:w="13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and their successors and permitted assigns.</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12.15</w:t>
            </w:r>
          </w:p>
        </w:tc>
        <w:tc>
          <w:tcPr>
            <w:tcW w:w="10020" w:type="dxa"/>
            <w:vAlign w:val="bottom"/>
            <w:gridSpan w:val="7"/>
          </w:tcPr>
          <w:p>
            <w:pPr>
              <w:spacing w:after="0"/>
              <w:rPr>
                <w:sz w:val="20"/>
                <w:szCs w:val="20"/>
                <w:color w:val="auto"/>
              </w:rPr>
            </w:pPr>
            <w:r>
              <w:rPr>
                <w:rFonts w:ascii="Arial" w:cs="Arial" w:eastAsia="Arial" w:hAnsi="Arial"/>
                <w:sz w:val="18"/>
                <w:szCs w:val="18"/>
                <w:color w:val="auto"/>
                <w:w w:val="91"/>
              </w:rPr>
              <w:t>Advice of Counsel and Expenses. LICENSEE and LICENSOR have each consulted with counsel of their choice regarding this Agreement,</w:t>
            </w:r>
          </w:p>
        </w:tc>
      </w:tr>
      <w:tr>
        <w:trPr>
          <w:trHeight w:val="20"/>
        </w:trPr>
        <w:tc>
          <w:tcPr>
            <w:tcW w:w="1380" w:type="dxa"/>
            <w:vAlign w:val="bottom"/>
          </w:tcPr>
          <w:p>
            <w:pPr>
              <w:spacing w:after="0" w:line="20" w:lineRule="exact"/>
              <w:rPr>
                <w:sz w:val="1"/>
                <w:szCs w:val="1"/>
                <w:color w:val="auto"/>
              </w:rPr>
            </w:pPr>
          </w:p>
        </w:tc>
        <w:tc>
          <w:tcPr>
            <w:tcW w:w="2320" w:type="dxa"/>
            <w:vAlign w:val="bottom"/>
            <w:gridSpan w:val="6"/>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6"/>
              </w:rPr>
              <w:t>and each acknowledges and agrees that this Agreement shall not be deemed to have been drafted by one party or another and will be construed</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accordingly. Except as otherwise expressly provided in this Agreement, each Party shall pay the fees and expenses of its respective attorneys</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and all other expenses and costs incurred by such Party incidental to the negotiation, preparation, execution and delivery of this Agreement.</w:t>
            </w:r>
          </w:p>
        </w:tc>
      </w:tr>
      <w:tr>
        <w:trPr>
          <w:trHeight w:val="426"/>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12.16</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Further Assurance. Each Party shall perform all further acts and execute and deliver such further documents as may be necessary or as the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other Party may reasonably require to give effect to this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84" w:name="page85"/>
    <w:bookmarkEnd w:id="84"/>
    <w:p>
      <w:pPr>
        <w:ind w:right="380" w:firstLine="648"/>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authorized representatives as of the date first above written.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VistaGen Therapeutics, Inc.</w:t>
            </w:r>
          </w:p>
        </w:tc>
        <w:tc>
          <w:tcPr>
            <w:tcW w:w="4000" w:type="dxa"/>
            <w:vAlign w:val="bottom"/>
            <w:gridSpan w:val="3"/>
          </w:tcPr>
          <w:p>
            <w:pPr>
              <w:ind w:left="1800"/>
              <w:spacing w:after="0"/>
              <w:rPr>
                <w:sz w:val="20"/>
                <w:szCs w:val="20"/>
                <w:color w:val="auto"/>
              </w:rPr>
            </w:pPr>
            <w:r>
              <w:rPr>
                <w:rFonts w:ascii="Arial" w:cs="Arial" w:eastAsia="Arial" w:hAnsi="Arial"/>
                <w:sz w:val="18"/>
                <w:szCs w:val="18"/>
                <w:b w:val="1"/>
                <w:bCs w:val="1"/>
                <w:color w:val="auto"/>
                <w:w w:val="88"/>
              </w:rPr>
              <w:t>Pherin Pharmaceuticals, Inc.</w:t>
            </w:r>
          </w:p>
        </w:tc>
      </w:tr>
      <w:tr>
        <w:trPr>
          <w:trHeight w:val="421"/>
        </w:trPr>
        <w:tc>
          <w:tcPr>
            <w:tcW w:w="3920" w:type="dxa"/>
            <w:vAlign w:val="bottom"/>
            <w:gridSpan w:val="3"/>
          </w:tcPr>
          <w:p>
            <w:pPr>
              <w:spacing w:after="0"/>
              <w:rPr>
                <w:sz w:val="20"/>
                <w:szCs w:val="20"/>
                <w:color w:val="auto"/>
              </w:rPr>
            </w:pPr>
            <w:r>
              <w:rPr>
                <w:rFonts w:ascii="Arial" w:cs="Arial" w:eastAsia="Arial" w:hAnsi="Arial"/>
                <w:sz w:val="18"/>
                <w:szCs w:val="18"/>
                <w:color w:val="auto"/>
              </w:rPr>
              <w:t>By: /s/ Shawn Singh</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rPr>
              <w:t>By: /s/ Louis Monti</w:t>
            </w: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78"/>
        </w:trPr>
        <w:tc>
          <w:tcPr>
            <w:tcW w:w="3920" w:type="dxa"/>
            <w:vAlign w:val="bottom"/>
            <w:gridSpan w:val="3"/>
          </w:tcPr>
          <w:p>
            <w:pPr>
              <w:spacing w:after="0"/>
              <w:rPr>
                <w:sz w:val="20"/>
                <w:szCs w:val="20"/>
                <w:color w:val="auto"/>
              </w:rPr>
            </w:pPr>
            <w:r>
              <w:rPr>
                <w:rFonts w:ascii="Arial" w:cs="Arial" w:eastAsia="Arial" w:hAnsi="Arial"/>
                <w:sz w:val="18"/>
                <w:szCs w:val="18"/>
                <w:color w:val="auto"/>
              </w:rPr>
              <w:t>Name: Shawn Singh</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w w:val="93"/>
              </w:rPr>
              <w:t>Name: Louis Monti, MD, PhD</w:t>
            </w:r>
          </w:p>
        </w:tc>
      </w:tr>
      <w:tr>
        <w:trPr>
          <w:trHeight w:val="486"/>
        </w:trPr>
        <w:tc>
          <w:tcPr>
            <w:tcW w:w="3920" w:type="dxa"/>
            <w:vAlign w:val="bottom"/>
            <w:gridSpan w:val="3"/>
          </w:tcPr>
          <w:p>
            <w:pPr>
              <w:spacing w:after="0"/>
              <w:rPr>
                <w:sz w:val="20"/>
                <w:szCs w:val="20"/>
                <w:color w:val="auto"/>
              </w:rPr>
            </w:pPr>
            <w:r>
              <w:rPr>
                <w:rFonts w:ascii="Arial" w:cs="Arial" w:eastAsia="Arial" w:hAnsi="Arial"/>
                <w:sz w:val="18"/>
                <w:szCs w:val="18"/>
                <w:color w:val="auto"/>
              </w:rPr>
              <w:t>Title: Chief Executive Officer</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w w:val="89"/>
              </w:rPr>
              <w:t>Title: 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Schedule 1: LICENSOR Patent Rights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Patents to which LICENSOR grants LICENSEE </w:t>
      </w:r>
      <w:r>
        <w:rPr>
          <w:rFonts w:ascii="Arial" w:cs="Arial" w:eastAsia="Arial" w:hAnsi="Arial"/>
          <w:sz w:val="18"/>
          <w:szCs w:val="18"/>
          <w:u w:val="single" w:color="auto"/>
          <w:color w:val="auto"/>
        </w:rPr>
        <w:t>exclusive</w:t>
      </w:r>
      <w:r>
        <w:rPr>
          <w:rFonts w:ascii="Arial" w:cs="Arial" w:eastAsia="Arial" w:hAnsi="Arial"/>
          <w:sz w:val="18"/>
          <w:szCs w:val="18"/>
          <w:color w:val="auto"/>
        </w:rPr>
        <w:t xml:space="preserve"> rights under 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86" w:name="page87"/>
    <w:bookmarkEnd w:id="86"/>
    <w:p>
      <w:pPr>
        <w:ind w:left="10249"/>
        <w:spacing w:after="0"/>
        <w:rPr>
          <w:sz w:val="20"/>
          <w:szCs w:val="20"/>
          <w:color w:val="auto"/>
        </w:rPr>
      </w:pPr>
      <w:r>
        <w:rPr>
          <w:rFonts w:ascii="Arial" w:cs="Arial" w:eastAsia="Arial" w:hAnsi="Arial"/>
          <w:sz w:val="16"/>
          <w:szCs w:val="16"/>
          <w:b w:val="1"/>
          <w:bCs w:val="1"/>
          <w:color w:val="auto"/>
        </w:rPr>
        <w:t>Exhibit 10.4</w:t>
      </w:r>
    </w:p>
    <w:p>
      <w:pPr>
        <w:spacing w:after="0" w:line="181" w:lineRule="exact"/>
        <w:rPr>
          <w:sz w:val="20"/>
          <w:szCs w:val="20"/>
          <w:color w:val="auto"/>
        </w:rPr>
      </w:pPr>
    </w:p>
    <w:p>
      <w:pPr>
        <w:ind w:left="3969"/>
        <w:spacing w:after="0"/>
        <w:rPr>
          <w:sz w:val="20"/>
          <w:szCs w:val="20"/>
          <w:color w:val="auto"/>
        </w:rPr>
      </w:pPr>
      <w:r>
        <w:rPr>
          <w:rFonts w:ascii="Arial" w:cs="Arial" w:eastAsia="Arial" w:hAnsi="Arial"/>
          <w:sz w:val="18"/>
          <w:szCs w:val="18"/>
          <w:b w:val="1"/>
          <w:bCs w:val="1"/>
          <w:color w:val="auto"/>
        </w:rPr>
        <w:t>SUBSCRIPTION AGREEMENT UNITS</w:t>
      </w:r>
    </w:p>
    <w:p>
      <w:pPr>
        <w:spacing w:after="0" w:line="164" w:lineRule="exact"/>
        <w:rPr>
          <w:sz w:val="20"/>
          <w:szCs w:val="20"/>
          <w:color w:val="auto"/>
        </w:rPr>
      </w:pPr>
    </w:p>
    <w:p>
      <w:pPr>
        <w:ind w:left="709"/>
        <w:spacing w:after="0"/>
        <w:rPr>
          <w:sz w:val="20"/>
          <w:szCs w:val="20"/>
          <w:color w:val="auto"/>
        </w:rPr>
      </w:pPr>
      <w:r>
        <w:rPr>
          <w:rFonts w:ascii="Arial" w:cs="Arial" w:eastAsia="Arial" w:hAnsi="Arial"/>
          <w:sz w:val="18"/>
          <w:szCs w:val="18"/>
          <w:color w:val="auto"/>
        </w:rPr>
        <w:t>TO: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709"/>
        <w:spacing w:after="0"/>
        <w:rPr>
          <w:sz w:val="20"/>
          <w:szCs w:val="20"/>
          <w:color w:val="auto"/>
        </w:rPr>
      </w:pPr>
      <w:r>
        <w:rPr>
          <w:rFonts w:ascii="Arial" w:cs="Arial" w:eastAsia="Arial" w:hAnsi="Arial"/>
          <w:sz w:val="18"/>
          <w:szCs w:val="18"/>
          <w:color w:val="auto"/>
        </w:rPr>
        <w:t>RE: Purchase of Units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107950</wp:posOffset>
            </wp:positionV>
            <wp:extent cx="7242175" cy="18649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42175" cy="1864995"/>
                    </a:xfrm>
                    <a:prstGeom prst="rect">
                      <a:avLst/>
                    </a:prstGeom>
                    <a:noFill/>
                  </pic:spPr>
                </pic:pic>
              </a:graphicData>
            </a:graphic>
          </wp:anchor>
        </w:drawing>
      </w:r>
    </w:p>
    <w:p>
      <w:pPr>
        <w:spacing w:after="0" w:line="375" w:lineRule="exact"/>
        <w:rPr>
          <w:sz w:val="20"/>
          <w:szCs w:val="20"/>
          <w:color w:val="auto"/>
        </w:rPr>
      </w:pPr>
    </w:p>
    <w:p>
      <w:pPr>
        <w:ind w:left="409"/>
        <w:spacing w:after="0"/>
        <w:rPr>
          <w:sz w:val="20"/>
          <w:szCs w:val="20"/>
          <w:color w:val="auto"/>
        </w:rPr>
      </w:pPr>
      <w:r>
        <w:rPr>
          <w:rFonts w:ascii="Arial" w:cs="Arial" w:eastAsia="Arial" w:hAnsi="Arial"/>
          <w:sz w:val="16"/>
          <w:szCs w:val="16"/>
          <w:b w:val="1"/>
          <w:bCs w:val="1"/>
          <w:color w:val="auto"/>
        </w:rPr>
        <w:t xml:space="preserve">Instructions: </w:t>
      </w:r>
      <w:r>
        <w:rPr>
          <w:rFonts w:ascii="Arial" w:cs="Arial" w:eastAsia="Arial" w:hAnsi="Arial"/>
          <w:sz w:val="16"/>
          <w:szCs w:val="16"/>
          <w:color w:val="auto"/>
        </w:rPr>
        <w:t>Complete and sign this Subscription Agreement. Please be sure to initial the appropriate “Accredited Investor” category in Box C.</w:t>
      </w:r>
    </w:p>
    <w:p>
      <w:pPr>
        <w:spacing w:after="0" w:line="187" w:lineRule="exact"/>
        <w:rPr>
          <w:sz w:val="20"/>
          <w:szCs w:val="20"/>
          <w:color w:val="auto"/>
        </w:rPr>
      </w:pPr>
    </w:p>
    <w:p>
      <w:pPr>
        <w:ind w:left="49"/>
        <w:spacing w:after="0"/>
        <w:rPr>
          <w:sz w:val="20"/>
          <w:szCs w:val="20"/>
          <w:color w:val="auto"/>
        </w:rPr>
      </w:pPr>
      <w:r>
        <w:rPr>
          <w:rFonts w:ascii="Arial" w:cs="Arial" w:eastAsia="Arial" w:hAnsi="Arial"/>
          <w:sz w:val="16"/>
          <w:szCs w:val="16"/>
          <w:color w:val="auto"/>
        </w:rPr>
        <w:t>A completed and originally executed copy of, and the other documents required to be delivered with, this Subscription Agreement, must be delivered to the</w:t>
      </w:r>
    </w:p>
    <w:p>
      <w:pPr>
        <w:spacing w:after="0" w:line="38"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following address:</w:t>
      </w:r>
    </w:p>
    <w:p>
      <w:pPr>
        <w:spacing w:after="0" w:line="15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Jerrold Dotson</w:t>
      </w:r>
    </w:p>
    <w:p>
      <w:pPr>
        <w:spacing w:after="0" w:line="1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5369" w:hanging="415"/>
        <w:spacing w:after="0"/>
        <w:tabs>
          <w:tab w:leader="none" w:pos="5369" w:val="left"/>
        </w:tabs>
        <w:numPr>
          <w:ilvl w:val="2"/>
          <w:numId w:val="53"/>
        </w:numPr>
        <w:rPr>
          <w:rFonts w:ascii="Arial" w:cs="Arial" w:eastAsia="Arial" w:hAnsi="Arial"/>
          <w:sz w:val="16"/>
          <w:szCs w:val="16"/>
          <w:color w:val="auto"/>
        </w:rPr>
      </w:pPr>
      <w:r>
        <w:rPr>
          <w:rFonts w:ascii="Arial" w:cs="Arial" w:eastAsia="Arial" w:hAnsi="Arial"/>
          <w:sz w:val="16"/>
          <w:szCs w:val="16"/>
          <w:color w:val="auto"/>
        </w:rPr>
        <w:t>577-3600</w:t>
      </w:r>
    </w:p>
    <w:p>
      <w:pPr>
        <w:spacing w:after="0" w:line="32" w:lineRule="exact"/>
        <w:rPr>
          <w:rFonts w:ascii="Arial" w:cs="Arial" w:eastAsia="Arial" w:hAnsi="Arial"/>
          <w:sz w:val="16"/>
          <w:szCs w:val="16"/>
          <w:color w:val="auto"/>
        </w:rPr>
      </w:pPr>
    </w:p>
    <w:p>
      <w:pPr>
        <w:ind w:left="4689"/>
        <w:spacing w:after="0"/>
        <w:rPr>
          <w:rFonts w:ascii="Arial" w:cs="Arial" w:eastAsia="Arial" w:hAnsi="Arial"/>
          <w:sz w:val="16"/>
          <w:szCs w:val="16"/>
          <w:color w:val="auto"/>
        </w:rPr>
      </w:pPr>
      <w:r>
        <w:rPr>
          <w:rFonts w:ascii="Arial" w:cs="Arial" w:eastAsia="Arial" w:hAnsi="Arial"/>
          <w:sz w:val="18"/>
          <w:szCs w:val="18"/>
          <w:u w:val="single" w:color="auto"/>
          <w:color w:val="0000FF"/>
        </w:rPr>
        <w:t>jdotson@vistagen.com</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jc w:val="both"/>
        <w:ind w:left="669" w:hanging="669"/>
        <w:spacing w:after="0" w:line="299" w:lineRule="auto"/>
        <w:tabs>
          <w:tab w:leader="none" w:pos="66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The undersigned (the “</w:t>
      </w:r>
      <w:r>
        <w:rPr>
          <w:rFonts w:ascii="Arial" w:cs="Arial" w:eastAsia="Arial" w:hAnsi="Arial"/>
          <w:sz w:val="16"/>
          <w:szCs w:val="16"/>
          <w:i w:val="1"/>
          <w:iCs w:val="1"/>
          <w:color w:val="auto"/>
        </w:rPr>
        <w:t>Subscriber</w:t>
      </w:r>
      <w:r>
        <w:rPr>
          <w:rFonts w:ascii="Arial" w:cs="Arial" w:eastAsia="Arial" w:hAnsi="Arial"/>
          <w:sz w:val="16"/>
          <w:szCs w:val="16"/>
          <w:color w:val="auto"/>
        </w:rPr>
        <w:t>”) hereby irrevocably subscribes for and agrees to purchase from the Company the number of units of the Company (“</w:t>
      </w:r>
      <w:r>
        <w:rPr>
          <w:rFonts w:ascii="Arial" w:cs="Arial" w:eastAsia="Arial" w:hAnsi="Arial"/>
          <w:sz w:val="16"/>
          <w:szCs w:val="16"/>
          <w:i w:val="1"/>
          <w:iCs w:val="1"/>
          <w:color w:val="auto"/>
        </w:rPr>
        <w:t>Units</w:t>
      </w:r>
      <w:r>
        <w:rPr>
          <w:rFonts w:ascii="Arial" w:cs="Arial" w:eastAsia="Arial" w:hAnsi="Arial"/>
          <w:sz w:val="16"/>
          <w:szCs w:val="16"/>
          <w:color w:val="auto"/>
        </w:rPr>
        <w:t>”) at the price and for the aggregate consideration set forth in Box A of Section 7 below (the “</w:t>
      </w:r>
      <w:r>
        <w:rPr>
          <w:rFonts w:ascii="Arial" w:cs="Arial" w:eastAsia="Arial" w:hAnsi="Arial"/>
          <w:sz w:val="16"/>
          <w:szCs w:val="16"/>
          <w:i w:val="1"/>
          <w:iCs w:val="1"/>
          <w:color w:val="auto"/>
        </w:rPr>
        <w:t>Subscription Price</w:t>
      </w:r>
      <w:r>
        <w:rPr>
          <w:rFonts w:ascii="Arial" w:cs="Arial" w:eastAsia="Arial" w:hAnsi="Arial"/>
          <w:sz w:val="16"/>
          <w:szCs w:val="16"/>
          <w:color w:val="auto"/>
        </w:rPr>
        <w:t>”). Each Unit</w:t>
      </w:r>
    </w:p>
    <w:p>
      <w:pPr>
        <w:jc w:val="both"/>
        <w:ind w:left="669"/>
        <w:spacing w:after="0" w:line="287" w:lineRule="auto"/>
        <w:rPr>
          <w:rFonts w:ascii="Arial" w:cs="Arial" w:eastAsia="Arial" w:hAnsi="Arial"/>
          <w:sz w:val="16"/>
          <w:szCs w:val="16"/>
          <w:color w:val="auto"/>
        </w:rPr>
      </w:pPr>
      <w:r>
        <w:rPr>
          <w:rFonts w:ascii="Arial" w:cs="Arial" w:eastAsia="Arial" w:hAnsi="Arial"/>
          <w:sz w:val="16"/>
          <w:szCs w:val="16"/>
          <w:color w:val="auto"/>
        </w:rPr>
        <w:t>will consist of (i) one share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(ii) an immediately exercisable warrant to purchase one (1) unregistered share of the Company’s Common Stock (the “</w:t>
      </w:r>
      <w:r>
        <w:rPr>
          <w:rFonts w:ascii="Arial" w:cs="Arial" w:eastAsia="Arial" w:hAnsi="Arial"/>
          <w:sz w:val="16"/>
          <w:szCs w:val="16"/>
          <w:i w:val="1"/>
          <w:iCs w:val="1"/>
          <w:color w:val="auto"/>
        </w:rPr>
        <w:t>Warrant Shares</w:t>
      </w:r>
      <w:r>
        <w:rPr>
          <w:rFonts w:ascii="Arial" w:cs="Arial" w:eastAsia="Arial" w:hAnsi="Arial"/>
          <w:sz w:val="16"/>
          <w:szCs w:val="16"/>
          <w:color w:val="auto"/>
        </w:rPr>
        <w:t>”) of the Company at a price equal to the closing quoted market price per share of the Company’s Common Stock on the Nasdaq Capital Market on the effective date of each Subscriber’s Subscription Agreement, which shall be defined as the date on which the Company receives Subscriber’s investment funds (the “</w:t>
      </w:r>
      <w:r>
        <w:rPr>
          <w:rFonts w:ascii="Arial" w:cs="Arial" w:eastAsia="Arial" w:hAnsi="Arial"/>
          <w:sz w:val="16"/>
          <w:szCs w:val="16"/>
          <w:i w:val="1"/>
          <w:iCs w:val="1"/>
          <w:color w:val="auto"/>
        </w:rPr>
        <w:t>Effective Date</w:t>
      </w:r>
      <w:r>
        <w:rPr>
          <w:rFonts w:ascii="Arial" w:cs="Arial" w:eastAsia="Arial" w:hAnsi="Arial"/>
          <w:sz w:val="16"/>
          <w:szCs w:val="16"/>
          <w:color w:val="auto"/>
        </w:rPr>
        <w:t>”) for a period of four (4) years following the Effective Date (each warrant to purchase shares of Common Stock, a “</w:t>
      </w:r>
      <w:r>
        <w:rPr>
          <w:rFonts w:ascii="Arial" w:cs="Arial" w:eastAsia="Arial" w:hAnsi="Arial"/>
          <w:sz w:val="16"/>
          <w:szCs w:val="16"/>
          <w:i w:val="1"/>
          <w:iCs w:val="1"/>
          <w:color w:val="auto"/>
        </w:rPr>
        <w:t>Warrant</w:t>
      </w:r>
      <w:r>
        <w:rPr>
          <w:rFonts w:ascii="Arial" w:cs="Arial" w:eastAsia="Arial" w:hAnsi="Arial"/>
          <w:sz w:val="16"/>
          <w:szCs w:val="16"/>
          <w:color w:val="auto"/>
        </w:rPr>
        <w:t>”). The Subscription Price for each Unit shall be equal to the closing quoted market price per share of the Company’s Common Stock on the Nasdaq Capital Market on the Effective Date of each Subscriber’s Subscription Agreement plus $0.15. The Subscriber acknowledges that this Subscription Agreement is subject to acceptance by the Company. The Company may also accept this Subscription Agreement in part. The Company agrees that if this Subscription Agreement is not accepted in full, any funds related to the portion of this Subscription Agreement not accepted will be promptly returned to the undersigned, without interest.</w:t>
      </w:r>
    </w:p>
    <w:p>
      <w:pPr>
        <w:spacing w:after="0" w:line="176" w:lineRule="exact"/>
        <w:rPr>
          <w:rFonts w:ascii="Arial" w:cs="Arial" w:eastAsia="Arial" w:hAnsi="Arial"/>
          <w:sz w:val="16"/>
          <w:szCs w:val="16"/>
          <w:color w:val="auto"/>
        </w:rPr>
      </w:pPr>
    </w:p>
    <w:p>
      <w:pPr>
        <w:jc w:val="both"/>
        <w:ind w:left="669" w:hanging="669"/>
        <w:spacing w:after="0" w:line="259"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Warranties and Agreements</w:t>
      </w:r>
      <w:r>
        <w:rPr>
          <w:rFonts w:ascii="Arial" w:cs="Arial" w:eastAsia="Arial" w:hAnsi="Arial"/>
          <w:sz w:val="18"/>
          <w:szCs w:val="18"/>
          <w:color w:val="auto"/>
        </w:rPr>
        <w:t>. By executing this Subscription Agreement, the Subscriber represents, warrants and covenants (on its own behalf and, if applicable, on behalf of each beneficial purchaser for whom it is contracting hereunder) to the Company (and acknowledges that the Company is relying thereon) that:</w:t>
      </w:r>
    </w:p>
    <w:p>
      <w:pPr>
        <w:spacing w:after="0" w:line="194" w:lineRule="exact"/>
        <w:rPr>
          <w:rFonts w:ascii="Arial" w:cs="Arial" w:eastAsia="Arial" w:hAnsi="Arial"/>
          <w:sz w:val="18"/>
          <w:szCs w:val="18"/>
          <w:color w:val="auto"/>
        </w:rPr>
      </w:pPr>
    </w:p>
    <w:p>
      <w:pPr>
        <w:ind w:left="1569" w:hanging="800"/>
        <w:spacing w:after="0"/>
        <w:tabs>
          <w:tab w:leader="none" w:pos="1569" w:val="left"/>
        </w:tabs>
        <w:numPr>
          <w:ilvl w:val="1"/>
          <w:numId w:val="54"/>
        </w:numPr>
        <w:rPr>
          <w:rFonts w:ascii="Arial" w:cs="Arial" w:eastAsia="Arial" w:hAnsi="Arial"/>
          <w:sz w:val="18"/>
          <w:szCs w:val="18"/>
          <w:color w:val="auto"/>
        </w:rPr>
      </w:pPr>
      <w:r>
        <w:rPr>
          <w:rFonts w:ascii="Arial" w:cs="Arial" w:eastAsia="Arial" w:hAnsi="Arial"/>
          <w:sz w:val="18"/>
          <w:szCs w:val="18"/>
          <w:color w:val="auto"/>
        </w:rPr>
        <w:t>it is authorized to consummate the purchase of the Units;</w:t>
      </w:r>
    </w:p>
    <w:p>
      <w:pPr>
        <w:spacing w:after="0" w:line="157" w:lineRule="exact"/>
        <w:rPr>
          <w:rFonts w:ascii="Arial" w:cs="Arial" w:eastAsia="Arial" w:hAnsi="Arial"/>
          <w:sz w:val="18"/>
          <w:szCs w:val="18"/>
          <w:color w:val="auto"/>
        </w:rPr>
      </w:pPr>
    </w:p>
    <w:p>
      <w:pPr>
        <w:jc w:val="both"/>
        <w:ind w:left="129" w:right="140" w:firstLine="640"/>
        <w:spacing w:after="0" w:line="319" w:lineRule="auto"/>
        <w:tabs>
          <w:tab w:leader="none" w:pos="1597" w:val="left"/>
        </w:tabs>
        <w:numPr>
          <w:ilvl w:val="1"/>
          <w:numId w:val="54"/>
        </w:numPr>
        <w:rPr>
          <w:rFonts w:ascii="Arial" w:cs="Arial" w:eastAsia="Arial" w:hAnsi="Arial"/>
          <w:sz w:val="15"/>
          <w:szCs w:val="15"/>
          <w:color w:val="auto"/>
        </w:rPr>
      </w:pPr>
      <w:r>
        <w:rPr>
          <w:rFonts w:ascii="Arial" w:cs="Arial" w:eastAsia="Arial" w:hAnsi="Arial"/>
          <w:sz w:val="15"/>
          <w:szCs w:val="15"/>
          <w:color w:val="auto"/>
        </w:rPr>
        <w:t>it understands that the shares of Common Stock, the Warrants and the Warrant Shares (collectively, the “</w:t>
      </w:r>
      <w:r>
        <w:rPr>
          <w:rFonts w:ascii="Arial" w:cs="Arial" w:eastAsia="Arial" w:hAnsi="Arial"/>
          <w:sz w:val="15"/>
          <w:szCs w:val="15"/>
          <w:i w:val="1"/>
          <w:iCs w:val="1"/>
          <w:color w:val="auto"/>
        </w:rPr>
        <w:t>Securities</w:t>
      </w:r>
      <w:r>
        <w:rPr>
          <w:rFonts w:ascii="Arial" w:cs="Arial" w:eastAsia="Arial" w:hAnsi="Arial"/>
          <w:sz w:val="15"/>
          <w:szCs w:val="15"/>
          <w:color w:val="auto"/>
        </w:rPr>
        <w:t>”) have not been and will not be registered under the Securities Act of 1933 (the “</w:t>
      </w:r>
      <w:r>
        <w:rPr>
          <w:rFonts w:ascii="Arial" w:cs="Arial" w:eastAsia="Arial" w:hAnsi="Arial"/>
          <w:sz w:val="15"/>
          <w:szCs w:val="15"/>
          <w:i w:val="1"/>
          <w:iCs w:val="1"/>
          <w:color w:val="auto"/>
        </w:rPr>
        <w:t>Securities Act</w:t>
      </w:r>
      <w:r>
        <w:rPr>
          <w:rFonts w:ascii="Arial" w:cs="Arial" w:eastAsia="Arial" w:hAnsi="Arial"/>
          <w:sz w:val="15"/>
          <w:szCs w:val="15"/>
          <w:color w:val="auto"/>
        </w:rPr>
        <w:t>”), or any applicable state securities laws, and that the offer and sale of the Units</w:t>
      </w:r>
    </w:p>
    <w:p>
      <w:pPr>
        <w:ind w:left="129" w:right="140"/>
        <w:spacing w:after="0" w:line="332" w:lineRule="auto"/>
        <w:rPr>
          <w:rFonts w:ascii="Arial" w:cs="Arial" w:eastAsia="Arial" w:hAnsi="Arial"/>
          <w:sz w:val="15"/>
          <w:szCs w:val="15"/>
          <w:color w:val="auto"/>
        </w:rPr>
      </w:pPr>
      <w:r>
        <w:rPr>
          <w:rFonts w:ascii="Arial" w:cs="Arial" w:eastAsia="Arial" w:hAnsi="Arial"/>
          <w:sz w:val="16"/>
          <w:szCs w:val="16"/>
          <w:color w:val="auto"/>
        </w:rPr>
        <w:t>and Warrants to it is being made in reliance on a private placement exemption available under Section 4(a)(2) of the Securities Act and Rule 506 of Regulation D under the Securities Act (“</w:t>
      </w:r>
      <w:r>
        <w:rPr>
          <w:rFonts w:ascii="Arial" w:cs="Arial" w:eastAsia="Arial" w:hAnsi="Arial"/>
          <w:sz w:val="16"/>
          <w:szCs w:val="16"/>
          <w:i w:val="1"/>
          <w:iCs w:val="1"/>
          <w:color w:val="auto"/>
        </w:rPr>
        <w:t>Regulation D</w:t>
      </w:r>
      <w:r>
        <w:rPr>
          <w:rFonts w:ascii="Arial" w:cs="Arial" w:eastAsia="Arial" w:hAnsi="Arial"/>
          <w:sz w:val="16"/>
          <w:szCs w:val="16"/>
          <w:color w:val="auto"/>
        </w:rPr>
        <w:t>”) to accredited investors (“</w:t>
      </w:r>
      <w:r>
        <w:rPr>
          <w:rFonts w:ascii="Arial" w:cs="Arial" w:eastAsia="Arial" w:hAnsi="Arial"/>
          <w:sz w:val="16"/>
          <w:szCs w:val="16"/>
          <w:i w:val="1"/>
          <w:iCs w:val="1"/>
          <w:color w:val="auto"/>
        </w:rPr>
        <w:t>Accredited Investors</w:t>
      </w:r>
      <w:r>
        <w:rPr>
          <w:rFonts w:ascii="Arial" w:cs="Arial" w:eastAsia="Arial" w:hAnsi="Arial"/>
          <w:sz w:val="16"/>
          <w:szCs w:val="16"/>
          <w:color w:val="auto"/>
        </w:rPr>
        <w:t>”), as defined in Rule 501(a) of Regulation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231140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9"/>
          </w:cols>
          <w:pgMar w:left="451" w:top="490" w:right="239" w:bottom="1440" w:gutter="0" w:footer="0" w:header="0"/>
        </w:sectPr>
      </w:pPr>
    </w:p>
    <w:bookmarkStart w:id="87" w:name="page88"/>
    <w:bookmarkEnd w:id="87"/>
    <w:p>
      <w:pPr>
        <w:jc w:val="both"/>
        <w:ind w:firstLine="638"/>
        <w:spacing w:after="0" w:line="318" w:lineRule="auto"/>
        <w:tabs>
          <w:tab w:leader="none" w:pos="1458" w:val="left"/>
        </w:tabs>
        <w:numPr>
          <w:ilvl w:val="0"/>
          <w:numId w:val="55"/>
        </w:numPr>
        <w:rPr>
          <w:rFonts w:ascii="Arial" w:cs="Arial" w:eastAsia="Arial" w:hAnsi="Arial"/>
          <w:sz w:val="15"/>
          <w:szCs w:val="15"/>
          <w:color w:val="auto"/>
        </w:rPr>
      </w:pPr>
      <w:r>
        <w:rPr>
          <w:rFonts w:ascii="Arial" w:cs="Arial" w:eastAsia="Arial" w:hAnsi="Arial"/>
          <w:sz w:val="15"/>
          <w:szCs w:val="15"/>
          <w:color w:val="auto"/>
        </w:rPr>
        <w:t>it has reviewed copies of any documents considered by it to be important in making an investment decision whether to purchase the Units. In addition, it has had access to such additional information, if any, concerning the Company as it has considered necessary in connection with its investment decision to acquire the Units, and it acknowledges that it has been offered the opportunity to ask questions and receive answers from management of the Company concerning the terms and conditions of the offering of the Units, and to obtain any additional information which the Company possesses or can acquire without unreasonable effort or expense that is necessary to verify the accuracy of the information contained in any documents provided to it;</w:t>
      </w:r>
    </w:p>
    <w:p>
      <w:pPr>
        <w:spacing w:after="0" w:line="86" w:lineRule="exact"/>
        <w:rPr>
          <w:rFonts w:ascii="Arial" w:cs="Arial" w:eastAsia="Arial" w:hAnsi="Arial"/>
          <w:sz w:val="15"/>
          <w:szCs w:val="15"/>
          <w:color w:val="auto"/>
        </w:rPr>
      </w:pPr>
    </w:p>
    <w:p>
      <w:pPr>
        <w:ind w:firstLine="638"/>
        <w:spacing w:after="0" w:line="268" w:lineRule="auto"/>
        <w:tabs>
          <w:tab w:leader="none" w:pos="17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18" w:lineRule="exact"/>
        <w:rPr>
          <w:rFonts w:ascii="Arial" w:cs="Arial" w:eastAsia="Arial" w:hAnsi="Arial"/>
          <w:sz w:val="18"/>
          <w:szCs w:val="18"/>
          <w:color w:val="auto"/>
        </w:rPr>
      </w:pPr>
    </w:p>
    <w:p>
      <w:pPr>
        <w:jc w:val="both"/>
        <w:ind w:right="20" w:firstLine="638"/>
        <w:spacing w:after="0" w:line="256" w:lineRule="auto"/>
        <w:tabs>
          <w:tab w:leader="none" w:pos="14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an Accredited Investor acquiring the Units for its own account or, if the Units are to be purchased for one or more accounts (“</w:t>
      </w:r>
      <w:r>
        <w:rPr>
          <w:rFonts w:ascii="Arial" w:cs="Arial" w:eastAsia="Arial" w:hAnsi="Arial"/>
          <w:sz w:val="18"/>
          <w:szCs w:val="18"/>
          <w:i w:val="1"/>
          <w:iCs w:val="1"/>
          <w:color w:val="auto"/>
        </w:rPr>
        <w:t>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with respect to whom it is exercising sole investment discretion, each such investor account is an Accredited Investor on a like basis. In each case,</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undersigned has completed the Accredited Investor Status questionnaire attached hereto to indicate under which category of Rule 501(a) the investor qualifies as an Accredited Investor;</w:t>
      </w:r>
    </w:p>
    <w:p>
      <w:pPr>
        <w:spacing w:after="0" w:line="129" w:lineRule="exact"/>
        <w:rPr>
          <w:rFonts w:ascii="Arial" w:cs="Arial" w:eastAsia="Arial" w:hAnsi="Arial"/>
          <w:sz w:val="18"/>
          <w:szCs w:val="18"/>
          <w:color w:val="auto"/>
        </w:rPr>
      </w:pPr>
    </w:p>
    <w:p>
      <w:pPr>
        <w:jc w:val="both"/>
        <w:ind w:right="20" w:firstLine="638"/>
        <w:spacing w:after="0" w:line="256" w:lineRule="auto"/>
        <w:tabs>
          <w:tab w:leader="none" w:pos="15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 may sell or otherwise dispose of any of the Units pursuant to registration thereof under the Securities Act and any applicable state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or pursuant to an exemption from such registration requirements;</w:t>
      </w:r>
    </w:p>
    <w:p>
      <w:pPr>
        <w:spacing w:after="0" w:line="129" w:lineRule="exact"/>
        <w:rPr>
          <w:rFonts w:ascii="Arial" w:cs="Arial" w:eastAsia="Arial" w:hAnsi="Arial"/>
          <w:sz w:val="18"/>
          <w:szCs w:val="18"/>
          <w:color w:val="auto"/>
        </w:rPr>
      </w:pPr>
    </w:p>
    <w:p>
      <w:pPr>
        <w:ind w:firstLine="638"/>
        <w:spacing w:after="0" w:line="332" w:lineRule="auto"/>
        <w:tabs>
          <w:tab w:leader="none" w:pos="1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71" w:lineRule="exact"/>
        <w:rPr>
          <w:rFonts w:ascii="Arial" w:cs="Arial" w:eastAsia="Arial" w:hAnsi="Arial"/>
          <w:sz w:val="16"/>
          <w:szCs w:val="16"/>
          <w:color w:val="auto"/>
        </w:rPr>
      </w:pPr>
    </w:p>
    <w:p>
      <w:pPr>
        <w:jc w:val="both"/>
        <w:ind w:right="20" w:firstLine="638"/>
        <w:spacing w:after="0" w:line="306" w:lineRule="auto"/>
        <w:tabs>
          <w:tab w:leader="none" w:pos="15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93" w:lineRule="exact"/>
        <w:rPr>
          <w:rFonts w:ascii="Arial" w:cs="Arial" w:eastAsia="Arial" w:hAnsi="Arial"/>
          <w:sz w:val="16"/>
          <w:szCs w:val="16"/>
          <w:color w:val="auto"/>
        </w:rPr>
      </w:pPr>
    </w:p>
    <w:p>
      <w:pPr>
        <w:jc w:val="both"/>
        <w:ind w:firstLine="638"/>
        <w:spacing w:after="0" w:line="294" w:lineRule="auto"/>
        <w:tabs>
          <w:tab w:leader="none" w:pos="15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Subscriber nor, to the extent it has them, any of its shareholders, members, managers, general or limited partners, directors, affiliates or executive officers (collectively with the Subscriber, the “</w:t>
      </w:r>
      <w:r>
        <w:rPr>
          <w:rFonts w:ascii="Arial" w:cs="Arial" w:eastAsia="Arial" w:hAnsi="Arial"/>
          <w:sz w:val="16"/>
          <w:szCs w:val="16"/>
          <w:i w:val="1"/>
          <w:iCs w:val="1"/>
          <w:color w:val="auto"/>
        </w:rPr>
        <w:t>Covered Persons</w:t>
      </w:r>
      <w:r>
        <w:rPr>
          <w:rFonts w:ascii="Arial" w:cs="Arial" w:eastAsia="Arial" w:hAnsi="Arial"/>
          <w:sz w:val="16"/>
          <w:szCs w:val="16"/>
          <w:color w:val="auto"/>
        </w:rPr>
        <w:t>”), are subject to any of the “Bad Actor” disqualifications described in Rule 506(d)(1)(i) to (viii) under the Securities Act (a “</w:t>
      </w:r>
      <w:r>
        <w:rPr>
          <w:rFonts w:ascii="Arial" w:cs="Arial" w:eastAsia="Arial" w:hAnsi="Arial"/>
          <w:sz w:val="16"/>
          <w:szCs w:val="16"/>
          <w:i w:val="1"/>
          <w:iCs w:val="1"/>
          <w:color w:val="auto"/>
        </w:rPr>
        <w:t>Disqualification Event</w:t>
      </w:r>
      <w:r>
        <w:rPr>
          <w:rFonts w:ascii="Arial" w:cs="Arial" w:eastAsia="Arial" w:hAnsi="Arial"/>
          <w:sz w:val="16"/>
          <w:szCs w:val="16"/>
          <w:color w:val="auto"/>
        </w:rPr>
        <w:t>”), except for a Disqualification Event covered by Rule 506(d)(2) or (d)(3). The Subscriber has exercised reasonable care to determine whether any Covered Person is subject to a Disqualification Event. The purchase of the Units by the Subscriber will not subject the Company to any Disqualification Event;</w:t>
      </w:r>
    </w:p>
    <w:p>
      <w:pPr>
        <w:spacing w:after="0" w:line="196" w:lineRule="exact"/>
        <w:rPr>
          <w:rFonts w:ascii="Arial" w:cs="Arial" w:eastAsia="Arial" w:hAnsi="Arial"/>
          <w:sz w:val="16"/>
          <w:szCs w:val="16"/>
          <w:color w:val="auto"/>
        </w:rPr>
      </w:pPr>
    </w:p>
    <w:p>
      <w:pPr>
        <w:jc w:val="both"/>
        <w:ind w:firstLine="638"/>
        <w:spacing w:after="0" w:line="293" w:lineRule="auto"/>
        <w:tabs>
          <w:tab w:leader="none" w:pos="16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Company, (B) outside the U.S. in accordance with Rule 904 of Regulation S under the Securities Act, (C) within the U.S. or to or for the account or benefit of a U.S. Person in</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accordance with an exemption from the registration requirements of the Securities Act and all applicable state securities laws, (D) in a transaction that does not require registration under the Securities Act or any applicable U.S. state securities laws or (E) 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Company a written opinion of counsel, reasonably satisfactory to the Company, prior to such sale or transfer;</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20" w:top="563" w:right="299" w:bottom="1440" w:gutter="0" w:footer="0" w:header="0"/>
        </w:sectPr>
      </w:pPr>
    </w:p>
    <w:bookmarkStart w:id="88" w:name="page89"/>
    <w:bookmarkEnd w:id="88"/>
    <w:p>
      <w:pPr>
        <w:jc w:val="both"/>
        <w:ind w:left="10" w:right="20" w:firstLine="638"/>
        <w:spacing w:after="0" w:line="298" w:lineRule="auto"/>
        <w:tabs>
          <w:tab w:leader="none" w:pos="1526" w:val="left"/>
        </w:tabs>
        <w:numPr>
          <w:ilvl w:val="1"/>
          <w:numId w:val="56"/>
        </w:numPr>
        <w:rPr>
          <w:rFonts w:ascii="Arial" w:cs="Arial" w:eastAsia="Arial" w:hAnsi="Arial"/>
          <w:sz w:val="16"/>
          <w:szCs w:val="16"/>
          <w:color w:val="auto"/>
        </w:rPr>
      </w:pPr>
      <w:r>
        <w:rPr>
          <w:rFonts w:ascii="Arial" w:cs="Arial" w:eastAsia="Arial" w:hAnsi="Arial"/>
          <w:sz w:val="16"/>
          <w:szCs w:val="16"/>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 and of the fact that the undersigned may not be able to resell the Securities except in accordance with applicable securities legislation and regulations;</w:t>
      </w:r>
    </w:p>
    <w:p>
      <w:pPr>
        <w:spacing w:after="0" w:line="99" w:lineRule="exact"/>
        <w:rPr>
          <w:rFonts w:ascii="Arial" w:cs="Arial" w:eastAsia="Arial" w:hAnsi="Arial"/>
          <w:sz w:val="16"/>
          <w:szCs w:val="16"/>
          <w:color w:val="auto"/>
        </w:rPr>
      </w:pPr>
    </w:p>
    <w:p>
      <w:pPr>
        <w:ind w:left="1390" w:hanging="809"/>
        <w:spacing w:after="0"/>
        <w:tabs>
          <w:tab w:leader="none" w:pos="13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person has made to the Subscriber any written or oral representations:</w:t>
      </w:r>
    </w:p>
    <w:p>
      <w:pPr>
        <w:spacing w:after="0" w:line="157" w:lineRule="exact"/>
        <w:rPr>
          <w:rFonts w:ascii="Arial" w:cs="Arial" w:eastAsia="Arial" w:hAnsi="Arial"/>
          <w:sz w:val="18"/>
          <w:szCs w:val="18"/>
          <w:color w:val="auto"/>
        </w:rPr>
      </w:pPr>
    </w:p>
    <w:p>
      <w:pPr>
        <w:ind w:left="2210" w:hanging="981"/>
        <w:spacing w:after="0"/>
        <w:tabs>
          <w:tab w:leader="none" w:pos="221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that any person will resell or repurchase any of the Securities;</w:t>
      </w:r>
    </w:p>
    <w:p>
      <w:pPr>
        <w:spacing w:after="0" w:line="157" w:lineRule="exact"/>
        <w:rPr>
          <w:rFonts w:ascii="Arial" w:cs="Arial" w:eastAsia="Arial" w:hAnsi="Arial"/>
          <w:sz w:val="18"/>
          <w:szCs w:val="18"/>
          <w:color w:val="auto"/>
        </w:rPr>
      </w:pPr>
    </w:p>
    <w:p>
      <w:pPr>
        <w:ind w:left="2210" w:hanging="981"/>
        <w:spacing w:after="0"/>
        <w:tabs>
          <w:tab w:leader="none" w:pos="221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that any person will refund the purchase price of the Securities; or</w:t>
      </w:r>
    </w:p>
    <w:p>
      <w:pPr>
        <w:spacing w:after="0" w:line="157" w:lineRule="exact"/>
        <w:rPr>
          <w:rFonts w:ascii="Arial" w:cs="Arial" w:eastAsia="Arial" w:hAnsi="Arial"/>
          <w:sz w:val="18"/>
          <w:szCs w:val="18"/>
          <w:color w:val="auto"/>
        </w:rPr>
      </w:pPr>
    </w:p>
    <w:p>
      <w:pPr>
        <w:ind w:left="2210" w:hanging="981"/>
        <w:spacing w:after="0"/>
        <w:tabs>
          <w:tab w:leader="none" w:pos="221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as to the future price or value of any of the Securities;</w:t>
      </w:r>
    </w:p>
    <w:p>
      <w:pPr>
        <w:spacing w:after="0" w:line="225" w:lineRule="exact"/>
        <w:rPr>
          <w:rFonts w:ascii="Arial" w:cs="Arial" w:eastAsia="Arial" w:hAnsi="Arial"/>
          <w:sz w:val="18"/>
          <w:szCs w:val="18"/>
          <w:color w:val="auto"/>
        </w:rPr>
      </w:pPr>
    </w:p>
    <w:p>
      <w:pPr>
        <w:ind w:left="10" w:firstLine="638"/>
        <w:spacing w:after="0" w:line="268" w:lineRule="auto"/>
        <w:tabs>
          <w:tab w:leader="none" w:pos="1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it understands and acknowledges that certificates representing the Shares and the Warrant Shares shall bear the following legend or another legend of substantially similar substance:</w:t>
      </w:r>
    </w:p>
    <w:p>
      <w:pPr>
        <w:spacing w:after="0" w:line="112" w:lineRule="exact"/>
        <w:rPr>
          <w:sz w:val="20"/>
          <w:szCs w:val="20"/>
          <w:color w:val="auto"/>
        </w:rPr>
      </w:pPr>
    </w:p>
    <w:p>
      <w:pPr>
        <w:jc w:val="both"/>
        <w:ind w:left="10" w:right="20" w:firstLine="648"/>
        <w:spacing w:after="0" w:line="254" w:lineRule="auto"/>
        <w:rPr>
          <w:sz w:val="20"/>
          <w:szCs w:val="20"/>
          <w:color w:val="auto"/>
        </w:rPr>
      </w:pPr>
      <w:r>
        <w:rPr>
          <w:rFonts w:ascii="Arial" w:cs="Arial" w:eastAsia="Arial" w:hAnsi="Arial"/>
          <w:sz w:val="18"/>
          <w:szCs w:val="18"/>
          <w:b w:val="1"/>
          <w:bCs w:val="1"/>
          <w:color w:val="auto"/>
        </w:rPr>
        <w:t>“THE SECURITIES REPRESENTED HEREBY HAVE NOT BEEN REGISTERED UNDER THE U.S.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OR UNDER ANY STATE SECURITIES LAWS. THE HOLDER HEREOF, BY PURCHASING THESE SECURITIES, AGREES FOR THE BENEFIT OF THE COMPANY, THAT THESE SECURITIES MAY BE OFFERED, SOLD, PLEDGED OR OTHERWISE TRANSFERRED ONLY</w:t>
      </w:r>
    </w:p>
    <w:p>
      <w:pPr>
        <w:jc w:val="both"/>
        <w:ind w:left="10" w:hanging="10"/>
        <w:spacing w:after="0" w:line="252" w:lineRule="auto"/>
        <w:tabs>
          <w:tab w:leader="none" w:pos="33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TO THE COMPANY,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SECURITIES ACT OR ANY APPLICABLE STATE SECURITIES LAWS, OR (E) PURSUANT TO AN EFFECTIVE REGISTRATION STATEMENT UNDER THE SECURITIES ACT, AND, IN THE CASE OF (C) AND (D), THE SELLER FURNISHES TO THE COMPANY A WRITTEN OPINION OF COUNSEL OF RECOGNIZED STANDING IN FORM AND SUBSTANCE SATISFACTORY TO THE COMPANY TO SUCH EFFECT.”</w:t>
      </w:r>
    </w:p>
    <w:p>
      <w:pPr>
        <w:spacing w:after="0" w:line="133" w:lineRule="exact"/>
        <w:rPr>
          <w:rFonts w:ascii="Arial" w:cs="Arial" w:eastAsia="Arial" w:hAnsi="Arial"/>
          <w:sz w:val="18"/>
          <w:szCs w:val="18"/>
          <w:b w:val="1"/>
          <w:bCs w:val="1"/>
          <w:color w:val="auto"/>
        </w:rPr>
      </w:pPr>
    </w:p>
    <w:p>
      <w:pPr>
        <w:ind w:left="10" w:right="20" w:firstLine="638"/>
        <w:spacing w:after="0" w:line="268" w:lineRule="auto"/>
        <w:tabs>
          <w:tab w:leader="none" w:pos="17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it consents to the Company making a notation on its records or giving instructions to any transfer agent of the Shares in order to implement the restrictions on transfer set forth and described herein.</w:t>
      </w:r>
    </w:p>
    <w:p>
      <w:pPr>
        <w:spacing w:after="0" w:line="118" w:lineRule="exact"/>
        <w:rPr>
          <w:rFonts w:ascii="Arial" w:cs="Arial" w:eastAsia="Arial" w:hAnsi="Arial"/>
          <w:sz w:val="18"/>
          <w:szCs w:val="18"/>
          <w:color w:val="auto"/>
        </w:rPr>
      </w:pPr>
    </w:p>
    <w:p>
      <w:pPr>
        <w:ind w:left="10" w:right="20" w:firstLine="638"/>
        <w:spacing w:after="0" w:line="268" w:lineRule="auto"/>
        <w:tabs>
          <w:tab w:leader="none" w:pos="16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office or other address of the undersigned at which the undersigned received and accepted the offer to purchase the Units is the address listed in Box B of Section 6 below.</w:t>
      </w:r>
    </w:p>
    <w:p>
      <w:pPr>
        <w:spacing w:after="0" w:line="118" w:lineRule="exact"/>
        <w:rPr>
          <w:rFonts w:ascii="Arial" w:cs="Arial" w:eastAsia="Arial" w:hAnsi="Arial"/>
          <w:sz w:val="18"/>
          <w:szCs w:val="18"/>
          <w:color w:val="auto"/>
        </w:rPr>
      </w:pPr>
    </w:p>
    <w:p>
      <w:pPr>
        <w:jc w:val="both"/>
        <w:ind w:left="10" w:firstLine="638"/>
        <w:spacing w:after="0" w:line="306" w:lineRule="auto"/>
        <w:tabs>
          <w:tab w:leader="none" w:pos="1586"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Company in filing reports, questionnaires, undertakings and other documents with respect to the issuance of the Units.</w:t>
      </w:r>
    </w:p>
    <w:p>
      <w:pPr>
        <w:spacing w:after="0" w:line="377" w:lineRule="exact"/>
        <w:rPr>
          <w:sz w:val="20"/>
          <w:szCs w:val="20"/>
          <w:color w:val="auto"/>
        </w:rPr>
      </w:pPr>
    </w:p>
    <w:p>
      <w:pPr>
        <w:jc w:val="center"/>
        <w:ind w:right="9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90"/>
          </w:cols>
          <w:pgMar w:left="410" w:top="496" w:right="299" w:bottom="1440" w:gutter="0" w:footer="0" w:header="0"/>
        </w:sectPr>
      </w:pPr>
    </w:p>
    <w:bookmarkStart w:id="89" w:name="page90"/>
    <w:bookmarkEnd w:id="89"/>
    <w:p>
      <w:pPr>
        <w:ind w:left="80" w:right="80" w:firstLine="638"/>
        <w:spacing w:after="0" w:line="268" w:lineRule="auto"/>
        <w:tabs>
          <w:tab w:leader="none" w:pos="16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subscription agreement has been duly and validly authorized, executed and delivered by and constitutes a legal, valid, binding and enforceable obligation of the Subscriber; and</w:t>
      </w:r>
    </w:p>
    <w:p>
      <w:pPr>
        <w:spacing w:after="0" w:line="118" w:lineRule="exact"/>
        <w:rPr>
          <w:rFonts w:ascii="Arial" w:cs="Arial" w:eastAsia="Arial" w:hAnsi="Arial"/>
          <w:sz w:val="18"/>
          <w:szCs w:val="18"/>
          <w:color w:val="auto"/>
        </w:rPr>
      </w:pPr>
    </w:p>
    <w:p>
      <w:pPr>
        <w:ind w:left="1660" w:hanging="942"/>
        <w:spacing w:after="0"/>
        <w:tabs>
          <w:tab w:leader="none" w:pos="16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it is not an affiliate (as defined in Rule 144 under the Securities Act) of the Company and is not acting on behalf of an affiliate of the</w:t>
      </w:r>
    </w:p>
    <w:p>
      <w:pPr>
        <w:spacing w:after="0" w:line="38"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1" w:lineRule="exact"/>
        <w:rPr>
          <w:rFonts w:ascii="Arial" w:cs="Arial" w:eastAsia="Arial" w:hAnsi="Arial"/>
          <w:sz w:val="16"/>
          <w:szCs w:val="16"/>
          <w:color w:val="auto"/>
        </w:rPr>
      </w:pPr>
    </w:p>
    <w:p>
      <w:pPr>
        <w:ind w:left="660" w:hanging="657"/>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 As a material inducement of Subscriber to enter into this Subscription Agreement and subscribe for the Units, the Company represents and warrants to Subscriber, as of the date hereof, as follows:</w:t>
      </w:r>
    </w:p>
    <w:p>
      <w:pPr>
        <w:spacing w:after="0" w:line="118" w:lineRule="exact"/>
        <w:rPr>
          <w:rFonts w:ascii="Arial" w:cs="Arial" w:eastAsia="Arial" w:hAnsi="Arial"/>
          <w:sz w:val="18"/>
          <w:szCs w:val="18"/>
          <w:color w:val="auto"/>
        </w:rPr>
      </w:pPr>
    </w:p>
    <w:p>
      <w:pPr>
        <w:jc w:val="both"/>
        <w:ind w:left="80" w:right="60" w:firstLine="638"/>
        <w:spacing w:after="0" w:line="301" w:lineRule="auto"/>
        <w:tabs>
          <w:tab w:leader="none" w:pos="1450" w:val="left"/>
        </w:tabs>
        <w:numPr>
          <w:ilvl w:val="2"/>
          <w:numId w:val="60"/>
        </w:numPr>
        <w:rPr>
          <w:rFonts w:ascii="Arial" w:cs="Arial" w:eastAsia="Arial" w:hAnsi="Arial"/>
          <w:sz w:val="15"/>
          <w:szCs w:val="15"/>
          <w:color w:val="auto"/>
        </w:rPr>
      </w:pPr>
      <w:r>
        <w:rPr>
          <w:rFonts w:ascii="Arial" w:cs="Arial" w:eastAsia="Arial" w:hAnsi="Arial"/>
          <w:sz w:val="15"/>
          <w:szCs w:val="15"/>
          <w:u w:val="single" w:color="auto"/>
          <w:color w:val="auto"/>
        </w:rPr>
        <w:t>Organization and Standing</w:t>
      </w:r>
      <w:r>
        <w:rPr>
          <w:rFonts w:ascii="Arial" w:cs="Arial" w:eastAsia="Arial" w:hAnsi="Arial"/>
          <w:sz w:val="15"/>
          <w:szCs w:val="15"/>
          <w:color w:val="auto"/>
        </w:rPr>
        <w:t>. The Company is a corporation duly organized, validly existing and in good standing under the laws of the State of Nevada, has full power to carry on its business as and where such business is now being conducted and to own, lease and operate the properties and assets now owned or operated by it, and is duly qualified to do business and is in good standing in each jurisdiction where the conduct of its business or the ownership of its properties requires such qualification, except where the failure to be so qualified would not have a Material Adverse Effect on the Company. “</w:t>
      </w:r>
      <w:r>
        <w:rPr>
          <w:rFonts w:ascii="Arial" w:cs="Arial" w:eastAsia="Arial" w:hAnsi="Arial"/>
          <w:sz w:val="15"/>
          <w:szCs w:val="15"/>
          <w:i w:val="1"/>
          <w:iCs w:val="1"/>
          <w:color w:val="auto"/>
        </w:rPr>
        <w:t>Material Adverse Effect</w:t>
      </w:r>
      <w:r>
        <w:rPr>
          <w:rFonts w:ascii="Arial" w:cs="Arial" w:eastAsia="Arial" w:hAnsi="Arial"/>
          <w:sz w:val="15"/>
          <w:szCs w:val="15"/>
          <w:color w:val="auto"/>
        </w:rPr>
        <w:t xml:space="preserve">” means any circumstance, change in, or effect on the Company that, individually or in the aggregate with any other similar circumstances, changes in, or effects on, the Company taken as a whole: (i) is, or is reasonably expected to be, materially adverse to the business, operations, assets, liabilities, employee relationships, customer or supplier relationships, prospects, results of operations or the condition (financial or otherwise) of the Company taken as a whole, or (ii) is reasonably expected to adversely affect the ability of the Company to operate or conduct the Company’s business in the manner in which it is currently operated or conducted or proposed to be operated or conducted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none of the following shall be deemed in and of themselves, either alone or in combination, to constitute, and none of the following shall be taken into account in determining whether there has been or will be, a Material Adverse Effect: (A) any change, event, state of facts or development generally affecting the general political, economic or business conditions of the United States, (B) any change, event, state of facts or development generally affecting the industry in which the Company operates, (C) any change, event, state of facts or development arising from or relating to compliance with the terms of this Subscription Agreement,</w:t>
      </w:r>
    </w:p>
    <w:p>
      <w:pPr>
        <w:spacing w:after="0" w:line="3" w:lineRule="exact"/>
        <w:rPr>
          <w:rFonts w:ascii="Arial" w:cs="Arial" w:eastAsia="Arial" w:hAnsi="Arial"/>
          <w:sz w:val="15"/>
          <w:szCs w:val="15"/>
          <w:color w:val="auto"/>
        </w:rPr>
      </w:pPr>
    </w:p>
    <w:p>
      <w:pPr>
        <w:jc w:val="both"/>
        <w:ind w:left="80" w:right="60" w:hanging="10"/>
        <w:spacing w:after="0" w:line="302" w:lineRule="auto"/>
        <w:tabs>
          <w:tab w:leader="none" w:pos="389" w:val="left"/>
        </w:tabs>
        <w:numPr>
          <w:ilvl w:val="1"/>
          <w:numId w:val="60"/>
        </w:numPr>
        <w:rPr>
          <w:rFonts w:ascii="Arial" w:cs="Arial" w:eastAsia="Arial" w:hAnsi="Arial"/>
          <w:sz w:val="16"/>
          <w:szCs w:val="16"/>
          <w:color w:val="auto"/>
        </w:rPr>
      </w:pPr>
      <w:r>
        <w:rPr>
          <w:rFonts w:ascii="Arial" w:cs="Arial" w:eastAsia="Arial" w:hAnsi="Arial"/>
          <w:sz w:val="16"/>
          <w:szCs w:val="16"/>
          <w:color w:val="auto"/>
        </w:rPr>
        <w:t>acts of war (whether or not declared), the commencement, continuation or escalation of a war, acts of armed hostility, sabotage or terrorism or other international or national calamity or any material worsening of such conditions, (E) changes in laws or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after date hereof or in interpretations thereof, or (F) any matter disclosed in this Subscription Agreement (including the schedules hereto).</w:t>
      </w:r>
    </w:p>
    <w:p>
      <w:pPr>
        <w:spacing w:after="0" w:line="95" w:lineRule="exact"/>
        <w:rPr>
          <w:rFonts w:ascii="Arial" w:cs="Arial" w:eastAsia="Arial" w:hAnsi="Arial"/>
          <w:sz w:val="16"/>
          <w:szCs w:val="16"/>
          <w:color w:val="auto"/>
        </w:rPr>
      </w:pPr>
    </w:p>
    <w:p>
      <w:pPr>
        <w:jc w:val="both"/>
        <w:ind w:left="80" w:right="80" w:firstLine="638"/>
        <w:spacing w:after="0" w:line="294" w:lineRule="auto"/>
        <w:tabs>
          <w:tab w:leader="none" w:pos="1618"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Board of Directors of the Company has duly authorized the execution, delivery and performance of this Subscription Agreement by the Company, and the consummation of the transactions contemplated hereby. This Subscription Agreement has been (or upon delivery will be) duly executed by the Company when delivered in accordance with the terms hereof, and will constitute, assuming due authorization and execution and delivery by each of the parties thereto, a valid and binding obligation of the Company enforceable against the Company in accordance with its terms. The Securities, when issued, will be validly issued, fully-paid and non-assessable.</w:t>
      </w:r>
    </w:p>
    <w:p>
      <w:pPr>
        <w:spacing w:after="0" w:line="102" w:lineRule="exact"/>
        <w:rPr>
          <w:rFonts w:ascii="Arial" w:cs="Arial" w:eastAsia="Arial" w:hAnsi="Arial"/>
          <w:sz w:val="16"/>
          <w:szCs w:val="16"/>
          <w:color w:val="auto"/>
        </w:rPr>
      </w:pPr>
    </w:p>
    <w:p>
      <w:pPr>
        <w:jc w:val="both"/>
        <w:ind w:left="80" w:right="80" w:firstLine="638"/>
        <w:spacing w:after="0" w:line="287" w:lineRule="auto"/>
        <w:tabs>
          <w:tab w:leader="none" w:pos="1460"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the Agreement and Securities and the consummation of the transactions contemplated by this Agreement and the Securities,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w:t>
      </w:r>
    </w:p>
    <w:p>
      <w:pPr>
        <w:spacing w:after="0" w:line="3" w:lineRule="exact"/>
        <w:rPr>
          <w:rFonts w:ascii="Arial" w:cs="Arial" w:eastAsia="Arial" w:hAnsi="Arial"/>
          <w:sz w:val="16"/>
          <w:szCs w:val="16"/>
          <w:color w:val="auto"/>
        </w:rPr>
      </w:pPr>
    </w:p>
    <w:p>
      <w:pPr>
        <w:jc w:val="both"/>
        <w:ind w:left="80" w:right="80"/>
        <w:spacing w:after="0" w:line="253" w:lineRule="auto"/>
        <w:rPr>
          <w:rFonts w:ascii="Arial" w:cs="Arial" w:eastAsia="Arial" w:hAnsi="Arial"/>
          <w:sz w:val="16"/>
          <w:szCs w:val="16"/>
          <w:color w:val="auto"/>
        </w:rPr>
      </w:pPr>
      <w:r>
        <w:rPr>
          <w:rFonts w:ascii="Arial" w:cs="Arial" w:eastAsia="Arial" w:hAnsi="Arial"/>
          <w:sz w:val="18"/>
          <w:szCs w:val="18"/>
          <w:color w:val="auto"/>
        </w:rPr>
        <w:t>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w:t>
      </w:r>
    </w:p>
    <w:p>
      <w:pPr>
        <w:ind w:left="80"/>
        <w:spacing w:after="0"/>
        <w:rPr>
          <w:rFonts w:ascii="Arial" w:cs="Arial" w:eastAsia="Arial" w:hAnsi="Arial"/>
          <w:sz w:val="16"/>
          <w:szCs w:val="16"/>
          <w:color w:val="auto"/>
        </w:rPr>
      </w:pPr>
      <w:r>
        <w:rPr>
          <w:rFonts w:ascii="Arial" w:cs="Arial" w:eastAsia="Arial" w:hAnsi="Arial"/>
          <w:sz w:val="18"/>
          <w:szCs w:val="18"/>
          <w:color w:val="auto"/>
        </w:rPr>
        <w:t>(iii) for any such conflicts, breaches, or defaults or any liens, charges, or encumbrances which would not have a Material Adverse Effect.</w:t>
      </w: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40" w:top="590" w:right="239" w:bottom="1440" w:gutter="0" w:footer="0" w:header="0"/>
        </w:sectPr>
      </w:pPr>
    </w:p>
    <w:bookmarkStart w:id="90" w:name="page91"/>
    <w:bookmarkEnd w:id="90"/>
    <w:p>
      <w:pPr>
        <w:ind w:left="80" w:right="80" w:firstLine="638"/>
        <w:spacing w:after="0" w:line="332" w:lineRule="auto"/>
        <w:tabs>
          <w:tab w:leader="none" w:pos="1632"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The Company represents that it has not paid, and shall not pay, any commissions or other remuneration, directly or indirectly, to any third party for the sale of the Securities. There are no brokers or other fees due with respect to the sale of the Securities.</w:t>
      </w:r>
    </w:p>
    <w:p>
      <w:pPr>
        <w:spacing w:after="0" w:line="71" w:lineRule="exact"/>
        <w:rPr>
          <w:rFonts w:ascii="Arial" w:cs="Arial" w:eastAsia="Arial" w:hAnsi="Arial"/>
          <w:sz w:val="16"/>
          <w:szCs w:val="16"/>
          <w:color w:val="auto"/>
        </w:rPr>
      </w:pPr>
    </w:p>
    <w:p>
      <w:pPr>
        <w:jc w:val="both"/>
        <w:ind w:left="80" w:right="60" w:firstLine="638"/>
        <w:spacing w:after="0" w:line="256" w:lineRule="auto"/>
        <w:tabs>
          <w:tab w:leader="none" w:pos="1568"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Material Disclosure</w:t>
      </w:r>
      <w:r>
        <w:rPr>
          <w:rFonts w:ascii="Arial" w:cs="Arial" w:eastAsia="Arial" w:hAnsi="Arial"/>
          <w:sz w:val="18"/>
          <w:szCs w:val="18"/>
          <w:color w:val="auto"/>
        </w:rPr>
        <w:t>. No representation, warranty or statement contained in this Section 3 or any disclosure furnished by the Company pursuant to this Agreement or pursuant to its filings with the Securities and Exchange Commission contains or will contain at closing hereunder any untrue statement of material fact or omits or will omit at such closing to state a material fact necessary to make the statements therein, in light of the circumstances under which they were made, not misleading.</w:t>
      </w:r>
    </w:p>
    <w:p>
      <w:pPr>
        <w:spacing w:after="0" w:line="129" w:lineRule="exact"/>
        <w:rPr>
          <w:rFonts w:ascii="Arial" w:cs="Arial" w:eastAsia="Arial" w:hAnsi="Arial"/>
          <w:sz w:val="18"/>
          <w:szCs w:val="18"/>
          <w:color w:val="auto"/>
        </w:rPr>
      </w:pPr>
    </w:p>
    <w:p>
      <w:pPr>
        <w:ind w:left="660" w:hanging="657"/>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Conditions to Closing.</w:t>
      </w:r>
    </w:p>
    <w:p>
      <w:pPr>
        <w:spacing w:after="0" w:line="157" w:lineRule="exact"/>
        <w:rPr>
          <w:rFonts w:ascii="Arial" w:cs="Arial" w:eastAsia="Arial" w:hAnsi="Arial"/>
          <w:sz w:val="18"/>
          <w:szCs w:val="18"/>
          <w:color w:val="auto"/>
        </w:rPr>
      </w:pPr>
    </w:p>
    <w:p>
      <w:pPr>
        <w:ind w:left="80" w:right="740" w:firstLine="638"/>
        <w:spacing w:after="0" w:line="268" w:lineRule="auto"/>
        <w:tabs>
          <w:tab w:leader="none" w:pos="14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Company’s obligation to issue and sell the Units to Subscribers is subject to the fulfillment (or waiver by the Company) of the following conditions:</w:t>
      </w:r>
    </w:p>
    <w:p>
      <w:pPr>
        <w:spacing w:after="0" w:line="118" w:lineRule="exact"/>
        <w:rPr>
          <w:rFonts w:ascii="Arial" w:cs="Arial" w:eastAsia="Arial" w:hAnsi="Arial"/>
          <w:sz w:val="18"/>
          <w:szCs w:val="18"/>
          <w:color w:val="auto"/>
        </w:rPr>
      </w:pPr>
    </w:p>
    <w:p>
      <w:pPr>
        <w:ind w:left="80" w:right="80" w:firstLine="1287"/>
        <w:spacing w:after="0" w:line="332" w:lineRule="auto"/>
        <w:tabs>
          <w:tab w:leader="none" w:pos="1849" w:val="left"/>
        </w:tabs>
        <w:numPr>
          <w:ilvl w:val="2"/>
          <w:numId w:val="6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Subscribers in this Subscription Agreement shall be true and correct in all material respects when made, and shall be true and correct in all material respects upon issuance of the Units;</w:t>
      </w:r>
    </w:p>
    <w:p>
      <w:pPr>
        <w:spacing w:after="0" w:line="71" w:lineRule="exact"/>
        <w:rPr>
          <w:rFonts w:ascii="Arial" w:cs="Arial" w:eastAsia="Arial" w:hAnsi="Arial"/>
          <w:sz w:val="16"/>
          <w:szCs w:val="16"/>
          <w:color w:val="auto"/>
        </w:rPr>
      </w:pPr>
    </w:p>
    <w:p>
      <w:pPr>
        <w:ind w:left="80" w:right="80" w:firstLine="1287"/>
        <w:spacing w:after="0" w:line="268" w:lineRule="auto"/>
        <w:tabs>
          <w:tab w:leader="none" w:pos="212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Accredited Investor Questionnaire</w:t>
      </w:r>
      <w:r>
        <w:rPr>
          <w:rFonts w:ascii="Arial" w:cs="Arial" w:eastAsia="Arial" w:hAnsi="Arial"/>
          <w:sz w:val="18"/>
          <w:szCs w:val="18"/>
          <w:color w:val="auto"/>
        </w:rPr>
        <w:t>. All Subscribers shall have completed and delivered to the Company the Accredited Investor section of the Subscriber’s signature page attached hereto; and</w:t>
      </w:r>
    </w:p>
    <w:p>
      <w:pPr>
        <w:spacing w:after="0" w:line="118" w:lineRule="exact"/>
        <w:rPr>
          <w:rFonts w:ascii="Arial" w:cs="Arial" w:eastAsia="Arial" w:hAnsi="Arial"/>
          <w:sz w:val="18"/>
          <w:szCs w:val="18"/>
          <w:color w:val="auto"/>
        </w:rPr>
      </w:pPr>
    </w:p>
    <w:p>
      <w:pPr>
        <w:jc w:val="both"/>
        <w:ind w:left="80" w:right="80" w:firstLine="1287"/>
        <w:spacing w:after="0" w:line="259" w:lineRule="auto"/>
        <w:tabs>
          <w:tab w:leader="none" w:pos="2335"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Approval of Subscribers</w:t>
      </w:r>
      <w:r>
        <w:rPr>
          <w:rFonts w:ascii="Arial" w:cs="Arial" w:eastAsia="Arial" w:hAnsi="Arial"/>
          <w:sz w:val="18"/>
          <w:szCs w:val="18"/>
          <w:color w:val="auto"/>
        </w:rPr>
        <w:t>. The Company, in its reasonable discretion, shall have approved the participation and amount of participation of any Subscribers who are either individuals that are non-United States citizens or are entities domiciled in any jurisdiction other than the United States.</w:t>
      </w:r>
    </w:p>
    <w:p>
      <w:pPr>
        <w:spacing w:after="0" w:line="126" w:lineRule="exact"/>
        <w:rPr>
          <w:rFonts w:ascii="Arial" w:cs="Arial" w:eastAsia="Arial" w:hAnsi="Arial"/>
          <w:sz w:val="18"/>
          <w:szCs w:val="18"/>
          <w:color w:val="auto"/>
        </w:rPr>
      </w:pPr>
    </w:p>
    <w:p>
      <w:pPr>
        <w:ind w:left="1400" w:hanging="682"/>
        <w:spacing w:after="0"/>
        <w:tabs>
          <w:tab w:leader="none" w:pos="14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Subscriber’s obligation to purchase the Units is subject to the fulfillment (or waiver by such Subscriber) of the following conditions:</w:t>
      </w:r>
    </w:p>
    <w:p>
      <w:pPr>
        <w:spacing w:after="0" w:line="180" w:lineRule="exact"/>
        <w:rPr>
          <w:rFonts w:ascii="Arial" w:cs="Arial" w:eastAsia="Arial" w:hAnsi="Arial"/>
          <w:sz w:val="16"/>
          <w:szCs w:val="16"/>
          <w:color w:val="auto"/>
        </w:rPr>
      </w:pPr>
    </w:p>
    <w:p>
      <w:pPr>
        <w:ind w:left="80" w:right="80" w:firstLine="1287"/>
        <w:spacing w:after="0" w:line="268" w:lineRule="auto"/>
        <w:tabs>
          <w:tab w:leader="none" w:pos="1903"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Subscription Agreement shall be true and correct when made, and shall be true and correct in all material respects upon issuance of the Units; and</w:t>
      </w:r>
    </w:p>
    <w:p>
      <w:pPr>
        <w:spacing w:after="0" w:line="118" w:lineRule="exact"/>
        <w:rPr>
          <w:rFonts w:ascii="Arial" w:cs="Arial" w:eastAsia="Arial" w:hAnsi="Arial"/>
          <w:sz w:val="18"/>
          <w:szCs w:val="18"/>
          <w:color w:val="auto"/>
        </w:rPr>
      </w:pPr>
    </w:p>
    <w:p>
      <w:pPr>
        <w:jc w:val="both"/>
        <w:ind w:left="80" w:right="60" w:firstLine="1287"/>
        <w:spacing w:after="0" w:line="256" w:lineRule="auto"/>
        <w:tabs>
          <w:tab w:leader="none" w:pos="2097"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shall have obtained all permits and qualifications required under federal and/or state law and/or foreign law for the offer and sale of the Units, or shall have the availability of exemptions therefrom. Upon sale of the Units, the Company shall file a Form D with the United States Securities and Exchange Commission in a timely manner as well as any “blue sky” filings required by the states in which Subscribers are located.</w:t>
      </w:r>
    </w:p>
    <w:p>
      <w:pPr>
        <w:spacing w:after="0" w:line="129" w:lineRule="exact"/>
        <w:rPr>
          <w:rFonts w:ascii="Arial" w:cs="Arial" w:eastAsia="Arial" w:hAnsi="Arial"/>
          <w:sz w:val="18"/>
          <w:szCs w:val="18"/>
          <w:color w:val="auto"/>
        </w:rPr>
      </w:pPr>
    </w:p>
    <w:p>
      <w:pPr>
        <w:ind w:left="660" w:hanging="657"/>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Subscriber understands and agrees that the Company will cause any necessary restrictive legends to be placed upon any instruments(s)</w:t>
      </w:r>
    </w:p>
    <w:p>
      <w:pPr>
        <w:spacing w:after="0" w:line="59" w:lineRule="exact"/>
        <w:rPr>
          <w:rFonts w:ascii="Arial" w:cs="Arial" w:eastAsia="Arial" w:hAnsi="Arial"/>
          <w:sz w:val="16"/>
          <w:szCs w:val="16"/>
          <w:color w:val="auto"/>
        </w:rPr>
      </w:pPr>
    </w:p>
    <w:p>
      <w:pPr>
        <w:ind w:left="660"/>
        <w:spacing w:after="0" w:line="268" w:lineRule="auto"/>
        <w:rPr>
          <w:rFonts w:ascii="Arial" w:cs="Arial" w:eastAsia="Arial" w:hAnsi="Arial"/>
          <w:sz w:val="16"/>
          <w:szCs w:val="16"/>
          <w:color w:val="auto"/>
        </w:rPr>
      </w:pPr>
      <w:r>
        <w:rPr>
          <w:rFonts w:ascii="Arial" w:cs="Arial" w:eastAsia="Arial" w:hAnsi="Arial"/>
          <w:sz w:val="18"/>
          <w:szCs w:val="18"/>
          <w:color w:val="auto"/>
        </w:rPr>
        <w:t>evidencing ownership of the Units, together with any other legend that may be required by federal or state securities laws or deemed necessary or desirable by the Company.</w:t>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40" w:top="563" w:right="239" w:bottom="1440" w:gutter="0" w:footer="0" w:header="0"/>
        </w:sectPr>
      </w:pPr>
    </w:p>
    <w:bookmarkStart w:id="91" w:name="page92"/>
    <w:bookmarkEnd w:id="91"/>
    <w:p>
      <w:pPr>
        <w:ind w:left="660" w:hanging="65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57" w:lineRule="exact"/>
        <w:rPr>
          <w:rFonts w:ascii="Arial" w:cs="Arial" w:eastAsia="Arial" w:hAnsi="Arial"/>
          <w:sz w:val="18"/>
          <w:szCs w:val="18"/>
          <w:color w:val="auto"/>
        </w:rPr>
      </w:pPr>
    </w:p>
    <w:p>
      <w:pPr>
        <w:jc w:val="both"/>
        <w:ind w:left="80" w:firstLine="638"/>
        <w:spacing w:after="0" w:line="290" w:lineRule="auto"/>
        <w:tabs>
          <w:tab w:leader="none" w:pos="1777"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Subscriber covenants and agrees that it will keep confidential and will not disclose or divulge any confidential or proprietary information that such Subscriber may obtain from the Company pursuant to financial statements, reports, and other materials submitted by the Company to such Subscriber in connection with this Subscription Agreement, or as a result of discussions with or inquiry made to the Company, unless such information is known, or until such information becomes known, to the public through no action by Subscriber;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Subscriber may disclose such information to its attorneys, accountants, consultants, assignees or transferees and other professionals to the extent necessary in connection with his or her investment in the Company so long as any such professional to whom such information is disclosed is made aware of Subscriber’s obligations hereunder and such professional agrees to be likewise bound as though such professional were a party hereto.</w:t>
      </w:r>
    </w:p>
    <w:p>
      <w:pPr>
        <w:spacing w:after="0" w:line="104" w:lineRule="exact"/>
        <w:rPr>
          <w:rFonts w:ascii="Arial" w:cs="Arial" w:eastAsia="Arial" w:hAnsi="Arial"/>
          <w:sz w:val="16"/>
          <w:szCs w:val="16"/>
          <w:color w:val="auto"/>
        </w:rPr>
      </w:pPr>
    </w:p>
    <w:p>
      <w:pPr>
        <w:jc w:val="both"/>
        <w:ind w:left="80" w:right="20" w:firstLine="638"/>
        <w:spacing w:after="0" w:line="306" w:lineRule="auto"/>
        <w:tabs>
          <w:tab w:leader="none" w:pos="154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covenants, representations and warranties contained in this Subscription Agreement shall be binding on Subscriber’s and the Company’s heirs and legal representatives and shall inure to the benefit of the respective successors and assigns of the Company. The rights and obligations of this Subscription Agreement may not be assigned by any party without the prior written consent of the other party.</w:t>
      </w:r>
    </w:p>
    <w:p>
      <w:pPr>
        <w:spacing w:after="0" w:line="87" w:lineRule="exact"/>
        <w:rPr>
          <w:rFonts w:ascii="Arial" w:cs="Arial" w:eastAsia="Arial" w:hAnsi="Arial"/>
          <w:sz w:val="16"/>
          <w:szCs w:val="16"/>
          <w:color w:val="auto"/>
        </w:rPr>
      </w:pPr>
    </w:p>
    <w:p>
      <w:pPr>
        <w:ind w:left="80" w:right="20" w:firstLine="638"/>
        <w:spacing w:after="0" w:line="275" w:lineRule="auto"/>
        <w:tabs>
          <w:tab w:leader="none" w:pos="161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but all of which together shall constitute one and the same instrument.</w:t>
      </w:r>
    </w:p>
    <w:p>
      <w:pPr>
        <w:spacing w:after="0" w:line="106" w:lineRule="exact"/>
        <w:rPr>
          <w:rFonts w:ascii="Arial" w:cs="Arial" w:eastAsia="Arial" w:hAnsi="Arial"/>
          <w:sz w:val="18"/>
          <w:szCs w:val="18"/>
          <w:color w:val="auto"/>
        </w:rPr>
      </w:pPr>
    </w:p>
    <w:p>
      <w:pPr>
        <w:jc w:val="both"/>
        <w:ind w:left="80" w:right="20" w:firstLine="638"/>
        <w:spacing w:after="0" w:line="262" w:lineRule="auto"/>
        <w:tabs>
          <w:tab w:leader="none" w:pos="167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Execution by Facsimile</w:t>
      </w:r>
      <w:r>
        <w:rPr>
          <w:rFonts w:ascii="Arial" w:cs="Arial" w:eastAsia="Arial" w:hAnsi="Arial"/>
          <w:sz w:val="18"/>
          <w:szCs w:val="18"/>
          <w:b w:val="1"/>
          <w:bCs w:val="1"/>
          <w:color w:val="auto"/>
        </w:rPr>
        <w:t>.</w:t>
      </w:r>
      <w:r>
        <w:rPr>
          <w:rFonts w:ascii="Arial" w:cs="Arial" w:eastAsia="Arial" w:hAnsi="Arial"/>
          <w:sz w:val="18"/>
          <w:szCs w:val="18"/>
          <w:color w:val="auto"/>
        </w:rPr>
        <w:t xml:space="preserve"> Execution and delivery of this Agreement by facsimile transmission (including the delivery of documents in Adobe PDF format) shall constitute execution and delivery of this Agreement for all purposes, with the same force and effect as execution and delivery of an original manually signed copy hereof.</w:t>
      </w:r>
    </w:p>
    <w:p>
      <w:pPr>
        <w:spacing w:after="0" w:line="124" w:lineRule="exact"/>
        <w:rPr>
          <w:rFonts w:ascii="Arial" w:cs="Arial" w:eastAsia="Arial" w:hAnsi="Arial"/>
          <w:sz w:val="18"/>
          <w:szCs w:val="18"/>
          <w:color w:val="auto"/>
        </w:rPr>
      </w:pPr>
    </w:p>
    <w:p>
      <w:pPr>
        <w:jc w:val="both"/>
        <w:ind w:left="80" w:firstLine="638"/>
        <w:spacing w:after="0" w:line="286" w:lineRule="auto"/>
        <w:tabs>
          <w:tab w:leader="none" w:pos="164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Subscription Agreement shall be governed by and construed in accordance with the laws of the State of California applicable to contracts to be wholly performed within such state and without regard to conflicts of laws provisions. THE PARTIES HERETO EACH HEREBY IRREVOCABLY AND UNCONDITIONALLY SUBMIT TO THE EXCLUSIVE JURISDICTION OF THE STATE AND FEDERAL COURTS SITTING IN THE CITY OF SOUTH SAN FRANCISCO, COUNTY OF SAN MATEO. THE PARTIES HERETO EACH AGREE THAT ALL ACTIONS OR PROCEEDINGS ARISING OUT OF OR RELATING TO THIS SUBSCRIPTION AGREEMENT AND/OR THE OFFERING DOCUMENTS OR THE TRANSACTIONS CONTEMPLATED THEREBY MUST BE LITIGATED EXCLUSIVELY IN ANY SUCH STATE OR FEDERAL COURT THAT SITS IN THE CITY OF SOUTH SAN FRANCISCO, COUNTY OF SAN MATEO, AND ACCORDINGLY, THE PARTIES EACH IRREVOCABLY WAIVE ANY OBJECTION WHICH IT MAY NOW OR HEREAFTER HAVE TO THE LAYING OF THE VENUE OF ANY SUCH LITIGATION IN ANY SUCH COURT. Each of Subscriber and Company hereby irrevocably waive and agree not to assert, by way of motion, as a defense, or otherwise, in every suit, action or other proceeding arising out of or based on this Subscription Agreement and brought in any such court, any claim that Subscriber or the Company is not subject personally to the jurisdiction of the above named courts, that Subscriber’s or the Company’s property, as applicable, is exempt or immune from attachment or execution, that the suit, action or proceeding is brought in an inconvenient forum or that the venue of the suit, action or proceeding is improper.</w:t>
      </w:r>
    </w:p>
    <w:p>
      <w:pPr>
        <w:spacing w:after="0" w:line="326" w:lineRule="exact"/>
        <w:rPr>
          <w:rFonts w:ascii="Arial" w:cs="Arial" w:eastAsia="Arial" w:hAnsi="Arial"/>
          <w:sz w:val="16"/>
          <w:szCs w:val="16"/>
          <w:color w:val="auto"/>
        </w:rPr>
      </w:pPr>
    </w:p>
    <w:p>
      <w:pPr>
        <w:jc w:val="both"/>
        <w:ind w:left="80" w:firstLine="638"/>
        <w:spacing w:after="0" w:line="298" w:lineRule="auto"/>
        <w:tabs>
          <w:tab w:leader="none" w:pos="150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hereunder shall be in writing and shall be delivered by certified or registered mail (first class postage pre-paid),guaranteed overnight delivery, or facsimile transmission if such transmission is confirmed by delivery by certified or registered mail (first class postage pre-paid) or guaranteed overnight delivery, to the following addresses and facsimile numbers (or to such other addresses or facsimile numbers which such party shall subsequently designate in writing to the other party):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40" w:top="563" w:right="299" w:bottom="1440" w:gutter="0" w:footer="0" w:header="0"/>
        </w:sectPr>
      </w:pPr>
    </w:p>
    <w:bookmarkStart w:id="92" w:name="page93"/>
    <w:bookmarkEnd w:id="92"/>
    <w:p>
      <w:pPr>
        <w:ind w:left="680" w:hanging="481"/>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the Company, to the address first set forth above.</w:t>
      </w:r>
    </w:p>
    <w:p>
      <w:pPr>
        <w:spacing w:after="0" w:line="157" w:lineRule="exact"/>
        <w:rPr>
          <w:rFonts w:ascii="Arial" w:cs="Arial" w:eastAsia="Arial" w:hAnsi="Arial"/>
          <w:sz w:val="18"/>
          <w:szCs w:val="18"/>
          <w:color w:val="auto"/>
        </w:rPr>
      </w:pPr>
    </w:p>
    <w:p>
      <w:pPr>
        <w:ind w:left="680" w:hanging="481"/>
        <w:spacing w:after="0"/>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to Subscriber to the address set forth next to its name on the signature page 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93" w:name="page94"/>
    <w:bookmarkEnd w:id="93"/>
    <w:p>
      <w:pPr>
        <w:ind w:left="320" w:hanging="317"/>
        <w:spacing w:after="0"/>
        <w:tabs>
          <w:tab w:leader="none" w:pos="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PARTICULARS</w:t>
      </w:r>
    </w:p>
    <w:p>
      <w:pPr>
        <w:spacing w:after="0" w:line="3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INFORMATION IN RESPONSE TO THIS SECTION WILL BE KEPT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461645</wp:posOffset>
            </wp:positionV>
            <wp:extent cx="7272020" cy="6388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72020" cy="63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BOX A</w:t>
      </w:r>
    </w:p>
    <w:p>
      <w:pPr>
        <w:spacing w:after="0" w:line="36"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Particulars of Purchase of Units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 of Units subscribed for:</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Subscription Price ($ X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153035</wp:posOffset>
            </wp:positionV>
            <wp:extent cx="7272020" cy="259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72020" cy="2593975"/>
                    </a:xfrm>
                    <a:prstGeom prst="rect">
                      <a:avLst/>
                    </a:prstGeom>
                    <a:noFill/>
                  </pic:spPr>
                </pic:pic>
              </a:graphicData>
            </a:graphic>
          </wp:anchor>
        </w:drawing>
      </w:r>
    </w:p>
    <w:p>
      <w:pPr>
        <w:spacing w:after="0" w:line="24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BOX B</w:t>
      </w:r>
    </w:p>
    <w:p>
      <w:pPr>
        <w:spacing w:after="0" w:line="36" w:lineRule="exact"/>
        <w:rPr>
          <w:sz w:val="20"/>
          <w:szCs w:val="20"/>
          <w:color w:val="auto"/>
        </w:rPr>
      </w:pPr>
    </w:p>
    <w:p>
      <w:pPr>
        <w:jc w:val="both"/>
        <w:ind w:left="80"/>
        <w:spacing w:after="0" w:line="262" w:lineRule="auto"/>
        <w:rPr>
          <w:sz w:val="20"/>
          <w:szCs w:val="20"/>
          <w:color w:val="auto"/>
        </w:rPr>
      </w:pPr>
      <w:r>
        <w:rPr>
          <w:rFonts w:ascii="Arial" w:cs="Arial" w:eastAsia="Arial" w:hAnsi="Arial"/>
          <w:sz w:val="18"/>
          <w:szCs w:val="18"/>
          <w:b w:val="1"/>
          <w:bCs w:val="1"/>
          <w:color w:val="auto"/>
        </w:rPr>
        <w:t xml:space="preserve">Subscriber Information </w:t>
      </w:r>
      <w:r>
        <w:rPr>
          <w:rFonts w:ascii="Arial" w:cs="Arial" w:eastAsia="Arial" w:hAnsi="Arial"/>
          <w:sz w:val="18"/>
          <w:szCs w:val="18"/>
          <w:color w:val="auto"/>
        </w:rPr>
        <w:t>For individual subscribers this address should be Subscriber’s primary legal residence. For entities other than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please provide address information for the entity’s primary place of business. Information regarding a joint subscriber should also be included.</w:t>
      </w:r>
    </w:p>
    <w:p>
      <w:pPr>
        <w:spacing w:after="0" w:line="3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Address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Address (2)</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City and State</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Zip Code</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Contact Name</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Alternate Contact</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Phone No.</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Fax No. / E-mail Address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ID # or Social Security #</w:t>
      </w:r>
    </w:p>
    <w:p>
      <w:pPr>
        <w:spacing w:after="0" w:line="25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340" w:top="490" w:right="77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40005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95" w:name="page96"/>
    <w:bookmarkEnd w:id="95"/>
    <w:p>
      <w:pPr>
        <w:jc w:val="center"/>
        <w:ind w:right="-17"/>
        <w:spacing w:after="0"/>
        <w:rPr>
          <w:sz w:val="20"/>
          <w:szCs w:val="20"/>
          <w:color w:val="auto"/>
        </w:rPr>
      </w:pPr>
      <w:r>
        <w:rPr>
          <w:rFonts w:ascii="Arial" w:cs="Arial" w:eastAsia="Arial" w:hAnsi="Arial"/>
          <w:sz w:val="18"/>
          <w:szCs w:val="18"/>
          <w:b w:val="1"/>
          <w:bCs w:val="1"/>
          <w:u w:val="single" w:color="auto"/>
          <w:color w:val="auto"/>
        </w:rPr>
        <w:t>BOX C</w:t>
      </w:r>
    </w:p>
    <w:p>
      <w:pPr>
        <w:spacing w:after="0" w:line="158"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u w:val="single" w:color="auto"/>
          <w:color w:val="auto"/>
        </w:rPr>
        <w:t>Accredited Investor Status</w:t>
      </w:r>
    </w:p>
    <w:p>
      <w:pPr>
        <w:spacing w:after="0" w:line="164" w:lineRule="exact"/>
        <w:rPr>
          <w:sz w:val="20"/>
          <w:szCs w:val="20"/>
          <w:color w:val="auto"/>
        </w:rPr>
      </w:pPr>
    </w:p>
    <w:p>
      <w:pPr>
        <w:ind w:left="158" w:right="120"/>
        <w:spacing w:after="0" w:line="268" w:lineRule="auto"/>
        <w:rPr>
          <w:sz w:val="20"/>
          <w:szCs w:val="20"/>
          <w:color w:val="auto"/>
        </w:rPr>
      </w:pPr>
      <w:r>
        <w:rPr>
          <w:rFonts w:ascii="Arial" w:cs="Arial" w:eastAsia="Arial" w:hAnsi="Arial"/>
          <w:sz w:val="18"/>
          <w:szCs w:val="18"/>
          <w:color w:val="auto"/>
        </w:rPr>
        <w:t xml:space="preserve">The Subscriber represents and warrants that it is an “accredited investor”, as defined in Rule 501(a) under the Securities Act, by virtue of satisfying one or more of the categories indicated below </w:t>
      </w:r>
      <w:r>
        <w:rPr>
          <w:rFonts w:ascii="Arial" w:cs="Arial" w:eastAsia="Arial" w:hAnsi="Arial"/>
          <w:sz w:val="18"/>
          <w:szCs w:val="18"/>
          <w:b w:val="1"/>
          <w:bCs w:val="1"/>
          <w:color w:val="auto"/>
        </w:rPr>
        <w:t>(please write your initials on the line next to each applicable category)</w:t>
      </w:r>
      <w:r>
        <w:rPr>
          <w:rFonts w:ascii="Arial" w:cs="Arial" w:eastAsia="Arial" w:hAnsi="Arial"/>
          <w:sz w:val="18"/>
          <w:szCs w:val="18"/>
          <w:color w:val="auto"/>
        </w:rPr>
        <w:t>:</w:t>
      </w:r>
    </w:p>
    <w:p>
      <w:pPr>
        <w:spacing w:after="0" w:line="200" w:lineRule="exact"/>
        <w:rPr>
          <w:sz w:val="20"/>
          <w:szCs w:val="20"/>
          <w:color w:val="auto"/>
        </w:rPr>
      </w:pPr>
    </w:p>
    <w:p>
      <w:pPr>
        <w:spacing w:after="0" w:line="351" w:lineRule="exact"/>
        <w:rPr>
          <w:sz w:val="20"/>
          <w:szCs w:val="20"/>
          <w:color w:val="auto"/>
        </w:rPr>
      </w:pPr>
    </w:p>
    <w:p>
      <w:pPr>
        <w:ind w:left="198" w:hanging="198"/>
        <w:spacing w:after="0"/>
        <w:tabs>
          <w:tab w:leader="none" w:pos="198"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Category 1.</w:t>
      </w:r>
      <w:r>
        <w:rPr>
          <w:rFonts w:ascii="Arial" w:cs="Arial" w:eastAsia="Arial" w:hAnsi="Arial"/>
          <w:sz w:val="15"/>
          <w:szCs w:val="15"/>
          <w:color w:val="auto"/>
        </w:rPr>
        <w:t>A bank, as defined in section 3(a)(2) of the Securities Act.</w:t>
      </w:r>
    </w:p>
    <w:p>
      <w:pPr>
        <w:spacing w:after="0" w:line="23" w:lineRule="exact"/>
        <w:rPr>
          <w:sz w:val="20"/>
          <w:szCs w:val="20"/>
          <w:color w:val="auto"/>
        </w:rPr>
      </w:pPr>
    </w:p>
    <w:p>
      <w:pPr>
        <w:ind w:left="1818"/>
        <w:spacing w:after="0" w:line="246" w:lineRule="auto"/>
        <w:rPr>
          <w:sz w:val="20"/>
          <w:szCs w:val="20"/>
          <w:color w:val="auto"/>
        </w:rPr>
      </w:pPr>
      <w:r>
        <w:rPr>
          <w:rFonts w:ascii="Arial" w:cs="Arial" w:eastAsia="Arial" w:hAnsi="Arial"/>
          <w:sz w:val="18"/>
          <w:szCs w:val="18"/>
          <w:color w:val="auto"/>
        </w:rPr>
        <w:t>A savings and loan association or other institution, as defined in section 3(a)(5)(A) of the Securities Act, whether acting in its individual or fiduciary capacity.</w:t>
      </w:r>
    </w:p>
    <w:p>
      <w:pPr>
        <w:ind w:left="1818" w:right="500"/>
        <w:spacing w:after="0" w:line="250" w:lineRule="auto"/>
        <w:rPr>
          <w:sz w:val="20"/>
          <w:szCs w:val="20"/>
          <w:color w:val="auto"/>
        </w:rPr>
      </w:pPr>
      <w:r>
        <w:rPr>
          <w:rFonts w:ascii="Arial" w:cs="Arial" w:eastAsia="Arial" w:hAnsi="Arial"/>
          <w:sz w:val="18"/>
          <w:szCs w:val="18"/>
          <w:color w:val="auto"/>
        </w:rPr>
        <w:t>A broker or dealer registered pursuant to section 15 of the Securities Exchange Act of 1934. An insurance company as defined in section 2(a)(13) of the Securities Act.</w:t>
      </w:r>
    </w:p>
    <w:p>
      <w:pPr>
        <w:spacing w:after="0" w:line="1" w:lineRule="exact"/>
        <w:rPr>
          <w:sz w:val="20"/>
          <w:szCs w:val="20"/>
          <w:color w:val="auto"/>
        </w:rPr>
      </w:pPr>
    </w:p>
    <w:p>
      <w:pPr>
        <w:ind w:left="1818" w:right="280"/>
        <w:spacing w:after="0" w:line="250" w:lineRule="auto"/>
        <w:rPr>
          <w:sz w:val="20"/>
          <w:szCs w:val="20"/>
          <w:color w:val="auto"/>
        </w:rPr>
      </w:pPr>
      <w:r>
        <w:rPr>
          <w:rFonts w:ascii="Arial" w:cs="Arial" w:eastAsia="Arial" w:hAnsi="Arial"/>
          <w:sz w:val="18"/>
          <w:szCs w:val="18"/>
          <w:color w:val="auto"/>
        </w:rPr>
        <w:t>An investment company registered under the Investment Corporation Act of 1940 or a business development company as defined in section 2(a)(48) of that Act.</w:t>
      </w:r>
    </w:p>
    <w:p>
      <w:pPr>
        <w:spacing w:after="0" w:line="1" w:lineRule="exact"/>
        <w:rPr>
          <w:sz w:val="20"/>
          <w:szCs w:val="20"/>
          <w:color w:val="auto"/>
        </w:rPr>
      </w:pPr>
    </w:p>
    <w:p>
      <w:pPr>
        <w:ind w:left="1818" w:right="100"/>
        <w:spacing w:after="0" w:line="250" w:lineRule="auto"/>
        <w:rPr>
          <w:sz w:val="20"/>
          <w:szCs w:val="20"/>
          <w:color w:val="auto"/>
        </w:rPr>
      </w:pPr>
      <w:r>
        <w:rPr>
          <w:rFonts w:ascii="Arial" w:cs="Arial" w:eastAsia="Arial" w:hAnsi="Arial"/>
          <w:sz w:val="18"/>
          <w:szCs w:val="18"/>
          <w:color w:val="auto"/>
        </w:rPr>
        <w:t>A Small Business Investment Corporation licensed by the U.S. Small Business Administration under section 301(c) or (d) of the Small Business Investment Act of 1958.</w:t>
      </w:r>
    </w:p>
    <w:p>
      <w:pPr>
        <w:spacing w:after="0" w:line="1" w:lineRule="exact"/>
        <w:rPr>
          <w:sz w:val="20"/>
          <w:szCs w:val="20"/>
          <w:color w:val="auto"/>
        </w:rPr>
      </w:pPr>
    </w:p>
    <w:p>
      <w:pPr>
        <w:ind w:left="1818" w:right="580"/>
        <w:spacing w:after="0" w:line="281" w:lineRule="auto"/>
        <w:rPr>
          <w:sz w:val="20"/>
          <w:szCs w:val="20"/>
          <w:color w:val="auto"/>
        </w:rPr>
      </w:pPr>
      <w:r>
        <w:rPr>
          <w:rFonts w:ascii="Arial" w:cs="Arial" w:eastAsia="Arial" w:hAnsi="Arial"/>
          <w:sz w:val="16"/>
          <w:szCs w:val="16"/>
          <w:color w:val="auto"/>
        </w:rPr>
        <w:t>A plan established and maintained by a state, its political subdivisions, or any agency or instrumentality of a state or its political subdivisions, for the benefit of its employees, if such plan has total assets in excess of $5,000,000.</w:t>
      </w:r>
    </w:p>
    <w:p>
      <w:pPr>
        <w:spacing w:after="0" w:line="1" w:lineRule="exact"/>
        <w:rPr>
          <w:sz w:val="20"/>
          <w:szCs w:val="20"/>
          <w:color w:val="auto"/>
        </w:rPr>
      </w:pPr>
    </w:p>
    <w:p>
      <w:pPr>
        <w:ind w:left="1818" w:right="140"/>
        <w:spacing w:after="0" w:line="281" w:lineRule="auto"/>
        <w:rPr>
          <w:sz w:val="20"/>
          <w:szCs w:val="20"/>
          <w:color w:val="auto"/>
        </w:rPr>
      </w:pPr>
      <w:r>
        <w:rPr>
          <w:rFonts w:ascii="Arial" w:cs="Arial" w:eastAsia="Arial" w:hAnsi="Arial"/>
          <w:sz w:val="16"/>
          <w:szCs w:val="16"/>
          <w:color w:val="auto"/>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3" w:lineRule="exact"/>
        <w:rPr>
          <w:sz w:val="20"/>
          <w:szCs w:val="20"/>
          <w:color w:val="auto"/>
        </w:rPr>
      </w:pPr>
    </w:p>
    <w:p>
      <w:pPr>
        <w:ind w:left="198" w:hanging="192"/>
        <w:spacing w:after="0"/>
        <w:tabs>
          <w:tab w:leader="none" w:pos="198"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Category 2.</w:t>
      </w:r>
      <w:r>
        <w:rPr>
          <w:rFonts w:ascii="Arial" w:cs="Arial" w:eastAsia="Arial" w:hAnsi="Arial"/>
          <w:sz w:val="15"/>
          <w:szCs w:val="15"/>
          <w:color w:val="auto"/>
        </w:rPr>
        <w:t>Any private business development company as defined in section 202(a)(22) of the Investment Advisers Act of 1940.</w:t>
      </w:r>
    </w:p>
    <w:p>
      <w:pPr>
        <w:spacing w:after="0" w:line="16" w:lineRule="exact"/>
        <w:rPr>
          <w:rFonts w:ascii="MS PGothic" w:cs="MS PGothic" w:eastAsia="MS PGothic" w:hAnsi="MS PGothic"/>
          <w:sz w:val="18"/>
          <w:szCs w:val="18"/>
          <w:color w:val="auto"/>
        </w:rPr>
      </w:pPr>
    </w:p>
    <w:p>
      <w:pPr>
        <w:ind w:left="1818" w:right="140" w:hanging="1812"/>
        <w:spacing w:after="0" w:line="276" w:lineRule="auto"/>
        <w:tabs>
          <w:tab w:leader="none" w:pos="211"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Category 3.</w:t>
      </w:r>
      <w:r>
        <w:rPr>
          <w:rFonts w:ascii="Arial" w:cs="Arial" w:eastAsia="Arial" w:hAnsi="Arial"/>
          <w:sz w:val="16"/>
          <w:szCs w:val="16"/>
          <w:color w:val="auto"/>
        </w:rPr>
        <w:t>An organization described in Section 501(c)(3) of the Internal Revenue Code, a corporation, a Massachusetts or similar business trust, or a partnership, not formed for the specific purpose of acquiring the Securities, with total assets in excess of $5,000,000.</w:t>
      </w:r>
    </w:p>
    <w:p>
      <w:pPr>
        <w:spacing w:after="0" w:line="1" w:lineRule="exact"/>
        <w:rPr>
          <w:rFonts w:ascii="MS PGothic" w:cs="MS PGothic" w:eastAsia="MS PGothic" w:hAnsi="MS PGothic"/>
          <w:sz w:val="18"/>
          <w:szCs w:val="18"/>
          <w:color w:val="auto"/>
        </w:rPr>
      </w:pPr>
    </w:p>
    <w:p>
      <w:pPr>
        <w:ind w:left="198" w:hanging="192"/>
        <w:spacing w:after="0"/>
        <w:tabs>
          <w:tab w:leader="none" w:pos="198"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Category 4.</w:t>
      </w:r>
      <w:r>
        <w:rPr>
          <w:rFonts w:ascii="Arial" w:cs="Arial" w:eastAsia="Arial" w:hAnsi="Arial"/>
          <w:sz w:val="16"/>
          <w:szCs w:val="16"/>
          <w:color w:val="auto"/>
        </w:rPr>
        <w:t>A director or executive officer of the Company.</w:t>
      </w:r>
    </w:p>
    <w:p>
      <w:pPr>
        <w:spacing w:after="0" w:line="16" w:lineRule="exact"/>
        <w:rPr>
          <w:rFonts w:ascii="MS PGothic" w:cs="MS PGothic" w:eastAsia="MS PGothic" w:hAnsi="MS PGothic"/>
          <w:sz w:val="18"/>
          <w:szCs w:val="18"/>
          <w:color w:val="auto"/>
        </w:rPr>
      </w:pPr>
    </w:p>
    <w:p>
      <w:pPr>
        <w:ind w:left="198" w:hanging="192"/>
        <w:spacing w:after="0"/>
        <w:tabs>
          <w:tab w:leader="none" w:pos="198"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Category 5.</w:t>
      </w:r>
      <w:r>
        <w:rPr>
          <w:rFonts w:ascii="Arial" w:cs="Arial" w:eastAsia="Arial" w:hAnsi="Arial"/>
          <w:sz w:val="15"/>
          <w:szCs w:val="15"/>
          <w:color w:val="auto"/>
        </w:rPr>
        <w:t>A natural person whose individual net worth, or joint net worth with that person’s spouse, at the time of this purchase exceeds</w:t>
      </w:r>
    </w:p>
    <w:p>
      <w:pPr>
        <w:spacing w:after="0" w:line="9" w:lineRule="exact"/>
        <w:rPr>
          <w:sz w:val="20"/>
          <w:szCs w:val="20"/>
          <w:color w:val="auto"/>
        </w:rPr>
      </w:pPr>
    </w:p>
    <w:p>
      <w:pPr>
        <w:ind w:left="1818"/>
        <w:spacing w:after="0"/>
        <w:rPr>
          <w:sz w:val="20"/>
          <w:szCs w:val="20"/>
          <w:color w:val="auto"/>
        </w:rPr>
      </w:pPr>
      <w:r>
        <w:rPr>
          <w:rFonts w:ascii="Arial" w:cs="Arial" w:eastAsia="Arial" w:hAnsi="Arial"/>
          <w:sz w:val="18"/>
          <w:szCs w:val="18"/>
          <w:color w:val="auto"/>
        </w:rPr>
        <w:t>$1,000,000, excluding the value of the person’s primary residence, if any.</w:t>
      </w:r>
    </w:p>
    <w:p>
      <w:pPr>
        <w:spacing w:after="0" w:line="1" w:lineRule="exact"/>
        <w:rPr>
          <w:sz w:val="20"/>
          <w:szCs w:val="20"/>
          <w:color w:val="auto"/>
        </w:rPr>
      </w:pPr>
    </w:p>
    <w:p>
      <w:pPr>
        <w:ind w:left="1818" w:right="100" w:hanging="1812"/>
        <w:spacing w:after="0" w:line="250" w:lineRule="auto"/>
        <w:tabs>
          <w:tab w:leader="none" w:pos="211"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Category 6.A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 w:lineRule="exact"/>
        <w:rPr>
          <w:rFonts w:ascii="MS PGothic" w:cs="MS PGothic" w:eastAsia="MS PGothic" w:hAnsi="MS PGothic"/>
          <w:sz w:val="18"/>
          <w:szCs w:val="18"/>
          <w:color w:val="auto"/>
        </w:rPr>
      </w:pPr>
    </w:p>
    <w:p>
      <w:pPr>
        <w:ind w:left="1818" w:right="360" w:hanging="1812"/>
        <w:spacing w:after="0" w:line="281" w:lineRule="auto"/>
        <w:tabs>
          <w:tab w:leader="none" w:pos="211"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Category 7.</w:t>
      </w:r>
      <w:r>
        <w:rPr>
          <w:rFonts w:ascii="Arial" w:cs="Arial" w:eastAsia="Arial" w:hAnsi="Arial"/>
          <w:sz w:val="16"/>
          <w:szCs w:val="16"/>
          <w:color w:val="auto"/>
        </w:rPr>
        <w:t>A trust, with total assets in excess of $5,000,000, not formed for the specific purpose of acquiring the Securities, whose purchase is directed by a sophisticated person as described in Rule 506(b)(2)(ii) of Regulation D under the U.S. Securities Act.</w:t>
      </w:r>
    </w:p>
    <w:p>
      <w:pPr>
        <w:spacing w:after="0" w:line="1" w:lineRule="exact"/>
        <w:rPr>
          <w:rFonts w:ascii="MS PGothic" w:cs="MS PGothic" w:eastAsia="MS PGothic" w:hAnsi="MS PGothic"/>
          <w:sz w:val="18"/>
          <w:szCs w:val="18"/>
          <w:color w:val="auto"/>
        </w:rPr>
      </w:pPr>
    </w:p>
    <w:p>
      <w:pPr>
        <w:ind w:left="198" w:hanging="192"/>
        <w:spacing w:after="0"/>
        <w:tabs>
          <w:tab w:leader="none" w:pos="198"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Category 8.</w:t>
      </w:r>
      <w:r>
        <w:rPr>
          <w:rFonts w:ascii="Arial" w:cs="Arial" w:eastAsia="Arial" w:hAnsi="Arial"/>
          <w:sz w:val="16"/>
          <w:szCs w:val="16"/>
          <w:color w:val="auto"/>
        </w:rPr>
        <w:t>An entity in which each of the equity owners is an accredited investor.</w:t>
      </w:r>
    </w:p>
    <w:p>
      <w:pPr>
        <w:spacing w:after="0" w:line="200" w:lineRule="exact"/>
        <w:rPr>
          <w:sz w:val="20"/>
          <w:szCs w:val="20"/>
          <w:color w:val="auto"/>
        </w:rPr>
      </w:pPr>
    </w:p>
    <w:p>
      <w:pPr>
        <w:spacing w:after="0" w:line="383"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8"/>
          </w:cols>
          <w:pgMar w:left="262" w:top="557" w:right="259" w:bottom="1440" w:gutter="0" w:footer="0" w:header="0"/>
        </w:sectPr>
      </w:pPr>
    </w:p>
    <w:bookmarkStart w:id="96" w:name="page97"/>
    <w:bookmarkEnd w:id="96"/>
    <w:p>
      <w:pPr>
        <w:spacing w:after="0" w:line="275" w:lineRule="auto"/>
        <w:rPr>
          <w:sz w:val="20"/>
          <w:szCs w:val="20"/>
          <w:color w:val="auto"/>
        </w:rPr>
      </w:pPr>
      <w:r>
        <w:rPr>
          <w:rFonts w:ascii="Arial" w:cs="Arial" w:eastAsia="Arial" w:hAnsi="Arial"/>
          <w:sz w:val="18"/>
          <w:szCs w:val="18"/>
          <w:color w:val="auto"/>
        </w:rPr>
        <w:t xml:space="preserve">IN WITNESS WHEREOF, </w:t>
      </w:r>
      <w:r>
        <w:rPr>
          <w:rFonts w:ascii="Arial" w:cs="Arial" w:eastAsia="Arial" w:hAnsi="Arial"/>
          <w:sz w:val="18"/>
          <w:szCs w:val="18"/>
          <w:b w:val="1"/>
          <w:bCs w:val="1"/>
          <w:color w:val="auto"/>
        </w:rPr>
        <w:t>the Company has executed this Subscription Agreement as of the date first written on the Subscriber Signature Page</w:t>
      </w:r>
      <w:r>
        <w:rPr>
          <w:rFonts w:ascii="Arial" w:cs="Arial" w:eastAsia="Arial" w:hAnsi="Arial"/>
          <w:sz w:val="18"/>
          <w:szCs w:val="18"/>
          <w:color w:val="auto"/>
        </w:rPr>
        <w:t xml:space="preserve"> </w:t>
      </w:r>
      <w:r>
        <w:rPr>
          <w:rFonts w:ascii="Arial" w:cs="Arial" w:eastAsia="Arial" w:hAnsi="Arial"/>
          <w:sz w:val="18"/>
          <w:szCs w:val="18"/>
          <w:b w:val="1"/>
          <w:bCs w:val="1"/>
          <w:color w:val="auto"/>
        </w:rPr>
        <w:t>following.</w:t>
      </w:r>
    </w:p>
    <w:p>
      <w:pPr>
        <w:spacing w:after="0" w:line="32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19685</wp:posOffset>
            </wp:positionV>
            <wp:extent cx="24955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Shawn K. Singh</w:t>
      </w:r>
    </w:p>
    <w:p>
      <w:pPr>
        <w:spacing w:after="0" w:line="15"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[SUBSCRIBER SIGNATURE PAGE FOLLOWS]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420" w:top="490" w:right="8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2"/>
              </w:rPr>
              <w:t>SUBSCRIBER SIGNATURE PAGE TO SUBSCRIPTION AGREEMENT</w:t>
            </w:r>
          </w:p>
        </w:tc>
        <w:tc>
          <w:tcPr>
            <w:tcW w:w="780" w:type="dxa"/>
            <w:vAlign w:val="bottom"/>
            <w:gridSpan w:val="2"/>
          </w:tcPr>
          <w:p>
            <w:pPr>
              <w:spacing w:after="0"/>
              <w:rPr>
                <w:sz w:val="17"/>
                <w:szCs w:val="17"/>
                <w:color w:val="auto"/>
              </w:rPr>
            </w:pPr>
          </w:p>
        </w:tc>
      </w:tr>
      <w:tr>
        <w:trPr>
          <w:trHeight w:val="660"/>
        </w:trPr>
        <w:tc>
          <w:tcPr>
            <w:tcW w:w="2740" w:type="dxa"/>
            <w:vAlign w:val="bottom"/>
            <w:gridSpan w:val="6"/>
          </w:tcPr>
          <w:p>
            <w:pPr>
              <w:spacing w:after="0"/>
              <w:rPr>
                <w:sz w:val="20"/>
                <w:szCs w:val="20"/>
                <w:color w:val="auto"/>
              </w:rPr>
            </w:pPr>
            <w:r>
              <w:rPr>
                <w:rFonts w:ascii="Arial" w:cs="Arial" w:eastAsia="Arial" w:hAnsi="Arial"/>
                <w:sz w:val="18"/>
                <w:szCs w:val="18"/>
                <w:b w:val="1"/>
                <w:bCs w:val="1"/>
                <w:color w:val="auto"/>
              </w:rPr>
              <w:t>AGREED AND SUBSCRIBED</w:t>
            </w:r>
          </w:p>
        </w:tc>
        <w:tc>
          <w:tcPr>
            <w:tcW w:w="240" w:type="dxa"/>
            <w:vAlign w:val="bottom"/>
          </w:tcPr>
          <w:p>
            <w:pPr>
              <w:spacing w:after="0"/>
              <w:rPr>
                <w:sz w:val="24"/>
                <w:szCs w:val="24"/>
                <w:color w:val="auto"/>
              </w:rPr>
            </w:pPr>
          </w:p>
        </w:tc>
        <w:tc>
          <w:tcPr>
            <w:tcW w:w="5820" w:type="dxa"/>
            <w:vAlign w:val="bottom"/>
            <w:gridSpan w:val="8"/>
          </w:tcPr>
          <w:p>
            <w:pPr>
              <w:ind w:left="2260"/>
              <w:spacing w:after="0"/>
              <w:rPr>
                <w:sz w:val="20"/>
                <w:szCs w:val="20"/>
                <w:color w:val="auto"/>
              </w:rPr>
            </w:pPr>
            <w:r>
              <w:rPr>
                <w:rFonts w:ascii="Arial" w:cs="Arial" w:eastAsia="Arial" w:hAnsi="Arial"/>
                <w:sz w:val="18"/>
                <w:szCs w:val="18"/>
                <w:b w:val="1"/>
                <w:bCs w:val="1"/>
                <w:color w:val="auto"/>
              </w:rPr>
              <w:t>AGREED AND SUBSCRIBED</w:t>
            </w:r>
          </w:p>
        </w:tc>
      </w:tr>
      <w:tr>
        <w:trPr>
          <w:trHeight w:val="222"/>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20" w:type="dxa"/>
            <w:vAlign w:val="bottom"/>
            <w:gridSpan w:val="8"/>
          </w:tcPr>
          <w:p>
            <w:pPr>
              <w:ind w:left="2260"/>
              <w:spacing w:after="0"/>
              <w:rPr>
                <w:sz w:val="20"/>
                <w:szCs w:val="20"/>
                <w:color w:val="auto"/>
              </w:rPr>
            </w:pPr>
            <w:r>
              <w:rPr>
                <w:rFonts w:ascii="Arial" w:cs="Arial" w:eastAsia="Arial" w:hAnsi="Arial"/>
                <w:sz w:val="18"/>
                <w:szCs w:val="18"/>
                <w:b w:val="1"/>
                <w:bCs w:val="1"/>
                <w:i w:val="1"/>
                <w:iCs w:val="1"/>
                <w:color w:val="auto"/>
                <w:w w:val="92"/>
              </w:rPr>
              <w:t>SIGNATURE OF JOINT SUBSCRIBER (if any)</w:t>
            </w:r>
          </w:p>
        </w:tc>
      </w:tr>
      <w:tr>
        <w:trPr>
          <w:trHeight w:val="542"/>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This   day of</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2018</w:t>
            </w:r>
          </w:p>
        </w:tc>
        <w:tc>
          <w:tcPr>
            <w:tcW w:w="240" w:type="dxa"/>
            <w:vAlign w:val="bottom"/>
          </w:tcPr>
          <w:p>
            <w:pPr>
              <w:spacing w:after="0"/>
              <w:rPr>
                <w:sz w:val="24"/>
                <w:szCs w:val="24"/>
                <w:color w:val="auto"/>
              </w:rPr>
            </w:pPr>
          </w:p>
        </w:tc>
        <w:tc>
          <w:tcPr>
            <w:tcW w:w="2940" w:type="dxa"/>
            <w:vAlign w:val="bottom"/>
            <w:gridSpan w:val="3"/>
          </w:tcPr>
          <w:p>
            <w:pPr>
              <w:ind w:left="2260"/>
              <w:spacing w:after="0"/>
              <w:rPr>
                <w:sz w:val="20"/>
                <w:szCs w:val="20"/>
                <w:color w:val="auto"/>
              </w:rPr>
            </w:pPr>
            <w:r>
              <w:rPr>
                <w:rFonts w:ascii="Arial" w:cs="Arial" w:eastAsia="Arial" w:hAnsi="Arial"/>
                <w:sz w:val="18"/>
                <w:szCs w:val="18"/>
                <w:b w:val="1"/>
                <w:bCs w:val="1"/>
                <w:color w:val="auto"/>
              </w:rPr>
              <w:t>This</w:t>
            </w:r>
          </w:p>
        </w:tc>
        <w:tc>
          <w:tcPr>
            <w:tcW w:w="600" w:type="dxa"/>
            <w:vAlign w:val="bottom"/>
          </w:tcPr>
          <w:p>
            <w:pPr>
              <w:ind w:left="60"/>
              <w:spacing w:after="0"/>
              <w:rPr>
                <w:sz w:val="20"/>
                <w:szCs w:val="20"/>
                <w:color w:val="auto"/>
              </w:rPr>
            </w:pPr>
            <w:r>
              <w:rPr>
                <w:rFonts w:ascii="Arial" w:cs="Arial" w:eastAsia="Arial" w:hAnsi="Arial"/>
                <w:sz w:val="18"/>
                <w:szCs w:val="18"/>
                <w:b w:val="1"/>
                <w:bCs w:val="1"/>
                <w:color w:val="auto"/>
                <w:w w:val="98"/>
              </w:rPr>
              <w:t>day of</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 2018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22"/>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3"/>
          </w:tcPr>
          <w:p>
            <w:pPr>
              <w:ind w:left="2260"/>
              <w:spacing w:after="0"/>
              <w:rPr>
                <w:sz w:val="20"/>
                <w:szCs w:val="20"/>
                <w:color w:val="auto"/>
              </w:rPr>
            </w:pPr>
            <w:r>
              <w:rPr>
                <w:rFonts w:ascii="Arial" w:cs="Arial" w:eastAsia="Arial" w:hAnsi="Arial"/>
                <w:sz w:val="18"/>
                <w:szCs w:val="18"/>
                <w:b w:val="1"/>
                <w:bCs w:val="1"/>
                <w:color w:val="auto"/>
              </w:rPr>
              <w:t>Name:</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8"/>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Title (if any):</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4"/>
          </w:tcPr>
          <w:p>
            <w:pPr>
              <w:ind w:left="2260"/>
              <w:spacing w:after="0"/>
              <w:rPr>
                <w:sz w:val="20"/>
                <w:szCs w:val="20"/>
                <w:color w:val="auto"/>
              </w:rPr>
            </w:pPr>
            <w:r>
              <w:rPr>
                <w:rFonts w:ascii="Arial" w:cs="Arial" w:eastAsia="Arial" w:hAnsi="Arial"/>
                <w:sz w:val="18"/>
                <w:szCs w:val="18"/>
                <w:b w:val="1"/>
                <w:bCs w:val="1"/>
                <w:color w:val="auto"/>
              </w:rPr>
              <w:t>Title (if any):</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344170</wp:posOffset>
            </wp:positionV>
            <wp:extent cx="1672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387350</wp:posOffset>
            </wp:positionV>
            <wp:extent cx="1672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9879"/>
          </w:cols>
          <w:pgMar w:left="580" w:top="4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Subscriber Name (Typed or Printed)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Subscriber Name (Typed or Printed)</w:t>
      </w:r>
    </w:p>
    <w:p>
      <w:pPr>
        <w:spacing w:after="0" w:line="200" w:lineRule="exact"/>
        <w:rPr>
          <w:sz w:val="20"/>
          <w:szCs w:val="20"/>
          <w:color w:val="auto"/>
        </w:rPr>
      </w:pPr>
    </w:p>
    <w:p>
      <w:pPr>
        <w:sectPr>
          <w:pgSz w:w="11900" w:h="16838" w:orient="portrait"/>
          <w:cols w:equalWidth="0" w:num="2">
            <w:col w:w="4520" w:space="720"/>
            <w:col w:w="4639"/>
          </w:cols>
          <w:pgMar w:left="580" w:top="473" w:right="1440" w:bottom="1440" w:gutter="0" w:footer="0" w:header="0"/>
          <w:type w:val="continuous"/>
        </w:sect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25400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79"/>
          </w:cols>
          <w:pgMar w:left="580" w:top="473" w:right="1440"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THIS WARRANT AND THE SHARES PURCHASABLE HEREUNDER ARE SUBJECT TO RESTRICTIONS ON TRANSFER CONTAINED IN THAT CERTAIN SUBSCRIPTION AGREEMENT EFFECTIVE OCTOBER __, 2018, WHICH RESTRICTIONS ON TRANSFER ARE INCORPORATED HEREIN BY REFERENCE.</w:t>
      </w:r>
    </w:p>
    <w:p>
      <w:pPr>
        <w:spacing w:after="0" w:line="127"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Dated: October __, 2018</w:t>
      </w:r>
      <w:r>
        <w:rPr>
          <w:sz w:val="20"/>
          <w:szCs w:val="20"/>
          <w:color w:val="auto"/>
        </w:rPr>
        <w:tab/>
      </w:r>
      <w:r>
        <w:rPr>
          <w:rFonts w:ascii="Arial" w:cs="Arial" w:eastAsia="Arial" w:hAnsi="Arial"/>
          <w:sz w:val="15"/>
          <w:szCs w:val="15"/>
          <w:b w:val="1"/>
          <w:bCs w:val="1"/>
          <w:i w:val="1"/>
          <w:iCs w:val="1"/>
          <w:color w:val="auto"/>
        </w:rPr>
        <w:t>Warrant Number: CSW-___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certifies that _____________, or his/her/its permitted assigns (each a “</w:t>
      </w:r>
      <w:r>
        <w:rPr>
          <w:rFonts w:ascii="Arial" w:cs="Arial" w:eastAsia="Arial" w:hAnsi="Arial"/>
          <w:sz w:val="16"/>
          <w:szCs w:val="16"/>
          <w:i w:val="1"/>
          <w:iCs w:val="1"/>
          <w:color w:val="auto"/>
        </w:rPr>
        <w:t>Holder</w:t>
      </w:r>
      <w:r>
        <w:rPr>
          <w:rFonts w:ascii="Arial" w:cs="Arial" w:eastAsia="Arial" w:hAnsi="Arial"/>
          <w:sz w:val="16"/>
          <w:szCs w:val="16"/>
          <w:color w:val="auto"/>
        </w:rPr>
        <w:t>”), for value received, is entitled to purchase, at an exercise price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equal to $____ per share (the “</w:t>
      </w:r>
      <w:r>
        <w:rPr>
          <w:rFonts w:ascii="Arial" w:cs="Arial" w:eastAsia="Arial" w:hAnsi="Arial"/>
          <w:sz w:val="16"/>
          <w:szCs w:val="16"/>
          <w:i w:val="1"/>
          <w:iCs w:val="1"/>
          <w:color w:val="auto"/>
        </w:rPr>
        <w:t>Exercise Price</w:t>
      </w:r>
      <w:r>
        <w:rPr>
          <w:rFonts w:ascii="Arial" w:cs="Arial" w:eastAsia="Arial" w:hAnsi="Arial"/>
          <w:sz w:val="16"/>
          <w:szCs w:val="16"/>
          <w:color w:val="auto"/>
        </w:rPr>
        <w:t>”) from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up to 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 shares of fully paid and nonassessable shares of the Company’s Common Stock, $0.001 par value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51"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6"/>
          <w:szCs w:val="16"/>
          <w:color w:val="auto"/>
        </w:rPr>
        <w:t>This Warrant shall be exercisable at any time from time to time on or after the date hereof (such date being referred to herein as the “</w:t>
      </w:r>
      <w:r>
        <w:rPr>
          <w:rFonts w:ascii="Arial" w:cs="Arial" w:eastAsia="Arial" w:hAnsi="Arial"/>
          <w:sz w:val="16"/>
          <w:szCs w:val="16"/>
          <w:i w:val="1"/>
          <w:iCs w:val="1"/>
          <w:color w:val="auto"/>
        </w:rPr>
        <w:t>Initial</w:t>
      </w:r>
      <w:r>
        <w:rPr>
          <w:rFonts w:ascii="Arial" w:cs="Arial" w:eastAsia="Arial" w:hAnsi="Arial"/>
          <w:sz w:val="16"/>
          <w:szCs w:val="16"/>
          <w:color w:val="auto"/>
        </w:rPr>
        <w:t xml:space="preserve"> </w:t>
      </w:r>
      <w:r>
        <w:rPr>
          <w:rFonts w:ascii="Arial" w:cs="Arial" w:eastAsia="Arial" w:hAnsi="Arial"/>
          <w:sz w:val="16"/>
          <w:szCs w:val="16"/>
          <w:i w:val="1"/>
          <w:iCs w:val="1"/>
          <w:color w:val="auto"/>
        </w:rPr>
        <w:t>Exercise Date</w:t>
      </w:r>
      <w:r>
        <w:rPr>
          <w:rFonts w:ascii="Arial" w:cs="Arial" w:eastAsia="Arial" w:hAnsi="Arial"/>
          <w:sz w:val="16"/>
          <w:szCs w:val="16"/>
          <w:color w:val="auto"/>
        </w:rPr>
        <w:t>”) up to and including 5:00 p.m. (Pacific Time) October __, 2022, the four-year anniversary of the Initial Exercise Date.</w:t>
      </w:r>
    </w:p>
    <w:p>
      <w:pPr>
        <w:spacing w:after="0" w:line="72" w:lineRule="exact"/>
        <w:rPr>
          <w:sz w:val="20"/>
          <w:szCs w:val="20"/>
          <w:color w:val="auto"/>
        </w:rPr>
      </w:pPr>
    </w:p>
    <w:p>
      <w:pPr>
        <w:jc w:val="both"/>
        <w:ind w:firstLine="1305"/>
        <w:spacing w:after="0" w:line="255" w:lineRule="auto"/>
        <w:tabs>
          <w:tab w:leader="none" w:pos="192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by certified or official bank check or by wire transfer to an account designated by the Company.</w:t>
      </w:r>
    </w:p>
    <w:p>
      <w:pPr>
        <w:spacing w:after="0" w:line="196" w:lineRule="exact"/>
        <w:rPr>
          <w:rFonts w:ascii="Arial" w:cs="Arial" w:eastAsia="Arial" w:hAnsi="Arial"/>
          <w:sz w:val="18"/>
          <w:szCs w:val="18"/>
          <w:color w:val="auto"/>
        </w:rPr>
      </w:pPr>
    </w:p>
    <w:p>
      <w:pPr>
        <w:jc w:val="both"/>
        <w:ind w:firstLine="1305"/>
        <w:spacing w:after="0" w:line="254" w:lineRule="auto"/>
        <w:tabs>
          <w:tab w:leader="none" w:pos="202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Shares to be Fully Paid; Reservation of Shares</w:t>
      </w:r>
      <w:r>
        <w:rPr>
          <w:rFonts w:ascii="Arial" w:cs="Arial" w:eastAsia="Arial" w:hAnsi="Arial"/>
          <w:sz w:val="18"/>
          <w:szCs w:val="18"/>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both"/>
        <w:ind w:firstLine="1305"/>
        <w:spacing w:after="0" w:line="294" w:lineRule="auto"/>
        <w:tabs>
          <w:tab w:leader="none" w:pos="202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Adjustment of Exercise Price and Number of Shares</w:t>
      </w:r>
      <w:r>
        <w:rPr>
          <w:rFonts w:ascii="Arial" w:cs="Arial" w:eastAsia="Arial" w:hAnsi="Arial"/>
          <w:sz w:val="16"/>
          <w:szCs w:val="16"/>
          <w:color w:val="auto"/>
        </w:rPr>
        <w:t>. The Exercise Price and the number of shares purchasable upon the exercise of this Warrant shall be subject to adjustment from time to time upon the occurrence of certain events described in this Section 3.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102"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130"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Reclassification</w:t>
      </w:r>
      <w:r>
        <w:rPr>
          <w:rFonts w:ascii="Arial" w:cs="Arial" w:eastAsia="Arial" w:hAnsi="Arial"/>
          <w:sz w:val="16"/>
          <w:szCs w:val="16"/>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106" w:lineRule="exact"/>
        <w:rPr>
          <w:sz w:val="20"/>
          <w:szCs w:val="20"/>
          <w:color w:val="auto"/>
        </w:rPr>
      </w:pPr>
    </w:p>
    <w:p>
      <w:pPr>
        <w:jc w:val="both"/>
        <w:ind w:firstLine="1945"/>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02"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Other Notices</w:t>
      </w:r>
      <w:r>
        <w:rPr>
          <w:rFonts w:ascii="Arial" w:cs="Arial" w:eastAsia="Arial" w:hAnsi="Arial"/>
          <w:sz w:val="16"/>
          <w:szCs w:val="16"/>
          <w:color w:val="auto"/>
        </w:rPr>
        <w:t>. If at any time:</w:t>
      </w:r>
    </w:p>
    <w:p>
      <w:pPr>
        <w:spacing w:after="0" w:line="158" w:lineRule="exact"/>
        <w:rPr>
          <w:sz w:val="20"/>
          <w:szCs w:val="20"/>
          <w:color w:val="auto"/>
        </w:rPr>
      </w:pPr>
    </w:p>
    <w:p>
      <w:pPr>
        <w:ind w:left="3500" w:hanging="737"/>
        <w:spacing w:after="0"/>
        <w:tabs>
          <w:tab w:leader="none" w:pos="3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Common Stock;</w:t>
      </w:r>
    </w:p>
    <w:p>
      <w:pPr>
        <w:spacing w:after="0" w:line="157" w:lineRule="exact"/>
        <w:rPr>
          <w:rFonts w:ascii="Arial" w:cs="Arial" w:eastAsia="Arial" w:hAnsi="Arial"/>
          <w:sz w:val="18"/>
          <w:szCs w:val="18"/>
          <w:color w:val="auto"/>
        </w:rPr>
      </w:pPr>
    </w:p>
    <w:p>
      <w:pPr>
        <w:ind w:left="3500" w:hanging="737"/>
        <w:spacing w:after="0"/>
        <w:tabs>
          <w:tab w:leader="none" w:pos="3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shall be a Change of Control; or</w:t>
      </w:r>
    </w:p>
    <w:p>
      <w:pPr>
        <w:spacing w:after="0" w:line="157" w:lineRule="exact"/>
        <w:rPr>
          <w:rFonts w:ascii="Arial" w:cs="Arial" w:eastAsia="Arial" w:hAnsi="Arial"/>
          <w:sz w:val="18"/>
          <w:szCs w:val="18"/>
          <w:color w:val="auto"/>
        </w:rPr>
      </w:pPr>
    </w:p>
    <w:p>
      <w:pPr>
        <w:ind w:left="3500" w:hanging="737"/>
        <w:spacing w:after="0"/>
        <w:tabs>
          <w:tab w:leader="none" w:pos="3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0" w:name="page101"/>
    <w:bookmarkEnd w:id="100"/>
    <w:p>
      <w:pPr>
        <w:jc w:val="both"/>
        <w:spacing w:after="0" w:line="284" w:lineRule="auto"/>
        <w:rPr>
          <w:sz w:val="20"/>
          <w:szCs w:val="20"/>
          <w:color w:val="auto"/>
        </w:rPr>
      </w:pPr>
      <w:r>
        <w:rPr>
          <w:rFonts w:ascii="Arial" w:cs="Arial" w:eastAsia="Arial" w:hAnsi="Arial"/>
          <w:sz w:val="16"/>
          <w:szCs w:val="16"/>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w:t>
      </w:r>
    </w:p>
    <w:p>
      <w:pPr>
        <w:spacing w:after="0" w:line="1" w:lineRule="exact"/>
        <w:rPr>
          <w:sz w:val="20"/>
          <w:szCs w:val="20"/>
          <w:color w:val="auto"/>
        </w:rPr>
      </w:pPr>
    </w:p>
    <w:p>
      <w:pPr>
        <w:jc w:val="both"/>
        <w:ind w:firstLine="8"/>
        <w:spacing w:after="0" w:line="252" w:lineRule="auto"/>
        <w:tabs>
          <w:tab w:leader="none" w:pos="25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any such Change of Control or dissolution, liquidation, or winding-up,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or conversion, as the case may be.</w:t>
      </w:r>
    </w:p>
    <w:p>
      <w:pPr>
        <w:spacing w:after="0" w:line="134" w:lineRule="exact"/>
        <w:rPr>
          <w:rFonts w:ascii="Arial" w:cs="Arial" w:eastAsia="Arial" w:hAnsi="Arial"/>
          <w:sz w:val="18"/>
          <w:szCs w:val="18"/>
          <w:color w:val="auto"/>
        </w:rPr>
      </w:pPr>
    </w:p>
    <w:p>
      <w:pPr>
        <w:jc w:val="both"/>
        <w:ind w:firstLine="1305"/>
        <w:spacing w:after="0" w:line="256" w:lineRule="auto"/>
        <w:tabs>
          <w:tab w:leader="none" w:pos="198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Voting or Dividend Rights</w:t>
      </w:r>
      <w:r>
        <w:rPr>
          <w:rFonts w:ascii="Arial" w:cs="Arial" w:eastAsia="Arial" w:hAnsi="Arial"/>
          <w:sz w:val="18"/>
          <w:szCs w:val="18"/>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129" w:lineRule="exact"/>
        <w:rPr>
          <w:rFonts w:ascii="Arial" w:cs="Arial" w:eastAsia="Arial" w:hAnsi="Arial"/>
          <w:sz w:val="18"/>
          <w:szCs w:val="18"/>
          <w:color w:val="auto"/>
        </w:rPr>
      </w:pPr>
    </w:p>
    <w:p>
      <w:pPr>
        <w:jc w:val="both"/>
        <w:ind w:firstLine="1305"/>
        <w:spacing w:after="0" w:line="290" w:lineRule="auto"/>
        <w:tabs>
          <w:tab w:leader="none" w:pos="2036"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Warrants Transferable</w:t>
      </w:r>
      <w:r>
        <w:rPr>
          <w:rFonts w:ascii="Arial" w:cs="Arial" w:eastAsia="Arial" w:hAnsi="Arial"/>
          <w:sz w:val="16"/>
          <w:szCs w:val="16"/>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104" w:lineRule="exact"/>
        <w:rPr>
          <w:rFonts w:ascii="Arial" w:cs="Arial" w:eastAsia="Arial" w:hAnsi="Arial"/>
          <w:sz w:val="16"/>
          <w:szCs w:val="16"/>
          <w:color w:val="auto"/>
        </w:rPr>
      </w:pPr>
    </w:p>
    <w:p>
      <w:pPr>
        <w:jc w:val="both"/>
        <w:ind w:firstLine="1305"/>
        <w:spacing w:after="0" w:line="256" w:lineRule="auto"/>
        <w:tabs>
          <w:tab w:leader="none" w:pos="204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Lost Warrants</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129" w:lineRule="exact"/>
        <w:rPr>
          <w:rFonts w:ascii="Arial" w:cs="Arial" w:eastAsia="Arial" w:hAnsi="Arial"/>
          <w:sz w:val="18"/>
          <w:szCs w:val="18"/>
          <w:color w:val="auto"/>
        </w:rPr>
      </w:pPr>
    </w:p>
    <w:p>
      <w:pPr>
        <w:jc w:val="both"/>
        <w:ind w:firstLine="1305"/>
        <w:spacing w:after="0" w:line="306" w:lineRule="auto"/>
        <w:tabs>
          <w:tab w:leader="none" w:pos="200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affected in accordance with this Section 7 shall be binding upon the Company and the Holder.</w:t>
      </w:r>
    </w:p>
    <w:p>
      <w:pPr>
        <w:spacing w:after="0" w:line="93" w:lineRule="exact"/>
        <w:rPr>
          <w:rFonts w:ascii="Arial" w:cs="Arial" w:eastAsia="Arial" w:hAnsi="Arial"/>
          <w:sz w:val="16"/>
          <w:szCs w:val="16"/>
          <w:color w:val="auto"/>
        </w:rPr>
      </w:pPr>
    </w:p>
    <w:p>
      <w:pPr>
        <w:jc w:val="both"/>
        <w:ind w:firstLine="1305"/>
        <w:spacing w:after="0" w:line="259" w:lineRule="auto"/>
        <w:tabs>
          <w:tab w:leader="none" w:pos="219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126" w:lineRule="exact"/>
        <w:rPr>
          <w:rFonts w:ascii="Arial" w:cs="Arial" w:eastAsia="Arial" w:hAnsi="Arial"/>
          <w:sz w:val="18"/>
          <w:szCs w:val="18"/>
          <w:color w:val="auto"/>
        </w:rPr>
      </w:pPr>
    </w:p>
    <w:p>
      <w:pPr>
        <w:jc w:val="both"/>
        <w:ind w:firstLine="1305"/>
        <w:spacing w:after="0" w:line="291" w:lineRule="auto"/>
        <w:tabs>
          <w:tab w:leader="none" w:pos="198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Titles and Subtitles; Governing Law; Venue</w:t>
      </w:r>
      <w:r>
        <w:rPr>
          <w:rFonts w:ascii="Arial" w:cs="Arial" w:eastAsia="Arial" w:hAnsi="Arial"/>
          <w:sz w:val="16"/>
          <w:szCs w:val="16"/>
          <w:color w:val="auto"/>
        </w:rPr>
        <w:t>. The titles and subtitles used in this Warrant are used for convenience only and are not to be considered in construing or interpreting this Warrant. This Warrant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p>
    <w:p>
      <w:pPr>
        <w:spacing w:after="0" w:line="106" w:lineRule="exact"/>
        <w:rPr>
          <w:rFonts w:ascii="Arial" w:cs="Arial" w:eastAsia="Arial" w:hAnsi="Arial"/>
          <w:sz w:val="16"/>
          <w:szCs w:val="16"/>
          <w:color w:val="auto"/>
        </w:rPr>
      </w:pPr>
    </w:p>
    <w:p>
      <w:pPr>
        <w:ind w:firstLine="1305"/>
        <w:spacing w:after="0" w:line="268" w:lineRule="auto"/>
        <w:tabs>
          <w:tab w:leader="none" w:pos="216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Definition of Warrant Shares</w:t>
      </w:r>
      <w:r>
        <w:rPr>
          <w:rFonts w:ascii="Arial" w:cs="Arial" w:eastAsia="Arial" w:hAnsi="Arial"/>
          <w:sz w:val="18"/>
          <w:szCs w:val="18"/>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6"/>
          <w:szCs w:val="16"/>
          <w:color w:val="auto"/>
        </w:rPr>
        <w:t>IN WITNESS WHEREOF, the Company has caused this Warrant to be duly executed by its officers, thereunto duly authorized as of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-13970</wp:posOffset>
            </wp:positionV>
            <wp:extent cx="17837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5"/>
          <w:szCs w:val="15"/>
          <w:color w:val="auto"/>
        </w:rPr>
        <w:t>The undersigned, the holder of a right to purchase shares of Common Stock of VistaGen Therapeutics, Inc. (the “</w:t>
      </w:r>
      <w:r>
        <w:rPr>
          <w:rFonts w:ascii="Arial" w:cs="Arial" w:eastAsia="Arial" w:hAnsi="Arial"/>
          <w:sz w:val="15"/>
          <w:szCs w:val="15"/>
          <w:i w:val="1"/>
          <w:iCs w:val="1"/>
          <w:color w:val="auto"/>
        </w:rPr>
        <w:t>Company</w:t>
      </w:r>
      <w:r>
        <w:rPr>
          <w:rFonts w:ascii="Arial" w:cs="Arial" w:eastAsia="Arial" w:hAnsi="Arial"/>
          <w:sz w:val="15"/>
          <w:szCs w:val="15"/>
          <w:color w:val="auto"/>
        </w:rPr>
        <w:t>”) pursuant to that certain Warrant to Purchase Common Stock of VistaGen Therapeutics, Inc. Number CSW-___ (the “Warrant”), dated as of October __, 2018 hereby irrevocably elects to exercise the purchase right represented by such Warrant for, and to purchase thereunder, __________________________ (_________) shares of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and herewith makes payment of ________________________ Dollars ($__________) therefor in cash.</w:t>
      </w:r>
    </w:p>
    <w:p>
      <w:pPr>
        <w:spacing w:after="0" w:line="21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the Unit Subscription Agreement, effective as of October __, 2018, by and among the Company and the 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-13970</wp:posOffset>
            </wp:positionV>
            <wp:extent cx="13938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-17780</wp:posOffset>
            </wp:positionV>
            <wp:extent cx="13379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-17780</wp:posOffset>
            </wp:positionV>
            <wp:extent cx="14490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undersigned hereby acknowledges that as of the date hereof, __________________ (___________) shares of Common Stock remain subject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right of purchase in favor of _____________ pursuant to that certain Warrant to Purchase Common Stock of VistaGen Therapeutics, Inc., number CSW-___ dated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__,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-13970</wp:posOffset>
            </wp:positionV>
            <wp:extent cx="15049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spacing w:after="0" w:line="2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-13970</wp:posOffset>
            </wp:positionV>
            <wp:extent cx="13379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15049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4" w:name="page105"/>
    <w:bookmarkEnd w:id="104"/>
    <w:p>
      <w:pPr>
        <w:jc w:val="center"/>
        <w:ind w:right="-239"/>
        <w:spacing w:after="0"/>
        <w:rPr>
          <w:sz w:val="20"/>
          <w:szCs w:val="20"/>
          <w:color w:val="auto"/>
        </w:rPr>
      </w:pPr>
      <w:r>
        <w:rPr>
          <w:rFonts w:ascii="Arial" w:cs="Arial" w:eastAsia="Arial" w:hAnsi="Arial"/>
          <w:sz w:val="18"/>
          <w:szCs w:val="18"/>
          <w:b w:val="1"/>
          <w:bCs w:val="1"/>
          <w:color w:val="auto"/>
        </w:rPr>
        <w:t>Warrant Receipt</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___________, does hereby acknowledge receipt of Warrant Number CSW-___ dated, October __, 2018, representing ____________ (_____)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Common Stock Warrants of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Receipt as of the date set forth below.</w:t>
      </w:r>
    </w:p>
    <w:p>
      <w:pPr>
        <w:sectPr>
          <w:pgSz w:w="11900" w:h="16838" w:orient="portrait"/>
          <w:cols w:equalWidth="0" w:num="1">
            <w:col w:w="11200"/>
          </w:cols>
          <w:pgMar w:left="240" w:top="34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Common Stock Warrants</w:t>
      </w:r>
    </w:p>
    <w:p>
      <w:pPr>
        <w:spacing w:after="0" w:line="200" w:lineRule="exact"/>
        <w:rPr>
          <w:sz w:val="20"/>
          <w:szCs w:val="20"/>
          <w:color w:val="auto"/>
        </w:rPr>
      </w:pPr>
    </w:p>
    <w:p>
      <w:pPr>
        <w:sectPr>
          <w:pgSz w:w="11900" w:h="16838" w:orient="portrait"/>
          <w:cols w:equalWidth="0" w:num="2">
            <w:col w:w="1880" w:space="720"/>
            <w:col w:w="8600"/>
          </w:cols>
          <w:pgMar w:left="240" w:top="341" w:right="4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Warrant Number: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CSW-___</w:t>
      </w:r>
    </w:p>
    <w:p>
      <w:pPr>
        <w:spacing w:after="0" w:line="200" w:lineRule="exact"/>
        <w:rPr>
          <w:sz w:val="20"/>
          <w:szCs w:val="20"/>
          <w:color w:val="auto"/>
        </w:rPr>
      </w:pPr>
    </w:p>
    <w:p>
      <w:pPr>
        <w:sectPr>
          <w:pgSz w:w="11900" w:h="16838" w:orient="portrait"/>
          <w:cols w:equalWidth="0" w:num="2">
            <w:col w:w="1880" w:space="720"/>
            <w:col w:w="8600"/>
          </w:cols>
          <w:pgMar w:left="240" w:top="341"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_______</w:t>
      </w:r>
    </w:p>
    <w:p>
      <w:pPr>
        <w:spacing w:after="0" w:line="200" w:lineRule="exact"/>
        <w:rPr>
          <w:sz w:val="20"/>
          <w:szCs w:val="20"/>
          <w:color w:val="auto"/>
        </w:rPr>
      </w:pPr>
    </w:p>
    <w:p>
      <w:pPr>
        <w:sectPr>
          <w:pgSz w:w="11900" w:h="16838" w:orient="portrait"/>
          <w:cols w:equalWidth="0" w:num="2">
            <w:col w:w="1880" w:space="720"/>
            <w:col w:w="8600"/>
          </w:cols>
          <w:pgMar w:left="240" w:top="341" w:right="45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6985</wp:posOffset>
            </wp:positionV>
            <wp:extent cx="11703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170305" cy="8890"/>
                    </a:xfrm>
                    <a:prstGeom prst="rect">
                      <a:avLst/>
                    </a:prstGeom>
                    <a:noFill/>
                  </pic:spPr>
                </pic:pic>
              </a:graphicData>
            </a:graphic>
          </wp:anchor>
        </w:drawing>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6985</wp:posOffset>
            </wp:positionV>
            <wp:extent cx="12261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29, 2018</w:t>
      </w:r>
      <w:r>
        <w:rPr>
          <w:sz w:val="20"/>
          <w:szCs w:val="20"/>
          <w:color w:val="auto"/>
        </w:rPr>
        <w:tab/>
      </w:r>
      <w:r>
        <w:rPr>
          <w:rFonts w:ascii="Arial" w:cs="Arial" w:eastAsia="Arial" w:hAnsi="Arial"/>
          <w:sz w:val="16"/>
          <w:szCs w:val="16"/>
          <w:color w:val="auto"/>
        </w:rPr>
        <w:t>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29, 2018</w:t>
      </w:r>
      <w:r>
        <w:rPr>
          <w:sz w:val="20"/>
          <w:szCs w:val="20"/>
          <w:color w:val="auto"/>
        </w:rPr>
        <w:tab/>
      </w:r>
      <w:r>
        <w:rPr>
          <w:rFonts w:ascii="Arial" w:cs="Arial" w:eastAsia="Arial" w:hAnsi="Arial"/>
          <w:sz w:val="16"/>
          <w:szCs w:val="16"/>
          <w:color w:val="auto"/>
        </w:rPr>
        <w:t>By: /s/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2018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32"/>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0"/>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lowerLetter"/>
      <w:start w:val="3"/>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650"/>
    </w:lvl>
  </w:abstractNum>
  <w:abstractNum w:abstractNumId="53">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4">
    <w:nsid w:val="25A70BF7"/>
    <w:multiLevelType w:val="hybridMultilevel"/>
    <w:lvl w:ilvl="0">
      <w:lvlJc w:val="left"/>
      <w:lvlText w:val="(%1)"/>
      <w:numFmt w:val="lowerLetter"/>
      <w:start w:val="3"/>
    </w:lvl>
  </w:abstractNum>
  <w:abstractNum w:abstractNumId="55">
    <w:nsid w:val="1DBABF00"/>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56">
    <w:nsid w:val="4AD084E9"/>
    <w:multiLevelType w:val="hybridMultilevel"/>
    <w:lvl w:ilvl="0">
      <w:lvlJc w:val="left"/>
      <w:lvlText w:val="(%1)"/>
      <w:numFmt w:val="lowerLetter"/>
      <w:start w:val="12"/>
    </w:lvl>
    <w:lvl w:ilvl="1">
      <w:lvlJc w:val="left"/>
      <w:lvlText w:val="(%2)"/>
      <w:numFmt w:val="lowerLetter"/>
      <w:start w:val="12"/>
    </w:lvl>
    <w:lvl w:ilvl="2">
      <w:lvlJc w:val="left"/>
      <w:lvlText w:val="(%3)"/>
      <w:numFmt w:val="lowerRoman"/>
      <w:start w:val="1"/>
    </w:lvl>
  </w:abstractNum>
  <w:abstractNum w:abstractNumId="57">
    <w:nsid w:val="1F48EAA1"/>
    <w:multiLevelType w:val="hybridMultilevel"/>
    <w:lvl w:ilvl="0">
      <w:lvlJc w:val="left"/>
      <w:lvlText w:val="(%1)"/>
      <w:numFmt w:val="upperLetter"/>
      <w:start w:val="1"/>
    </w:lvl>
    <w:lvl w:ilvl="1">
      <w:lvlJc w:val="left"/>
      <w:lvlText w:val="(%2)"/>
      <w:numFmt w:val="lowerLetter"/>
      <w:start w:val="14"/>
    </w:lvl>
  </w:abstractNum>
  <w:abstractNum w:abstractNumId="58">
    <w:nsid w:val="1381823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7"/>
    </w:lvl>
  </w:abstractNum>
  <w:abstractNum w:abstractNumId="59">
    <w:nsid w:val="5DB70AE5"/>
    <w:multiLevelType w:val="hybridMultilevel"/>
    <w:lvl w:ilvl="0">
      <w:lvlJc w:val="left"/>
      <w:lvlText w:val="%1."/>
      <w:numFmt w:val="decimal"/>
      <w:start w:val="3"/>
    </w:lvl>
    <w:lvl w:ilvl="1">
      <w:lvlJc w:val="left"/>
      <w:lvlText w:val="(%2)"/>
      <w:numFmt w:val="upperLetter"/>
      <w:start w:val="3"/>
    </w:lvl>
    <w:lvl w:ilvl="2">
      <w:lvlJc w:val="left"/>
      <w:lvlText w:val="(%3)"/>
      <w:numFmt w:val="lowerLetter"/>
      <w:start w:val="1"/>
    </w:lvl>
  </w:abstractNum>
  <w:abstractNum w:abstractNumId="60">
    <w:nsid w:val="100F8FC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61">
    <w:nsid w:val="6590700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
    <w:nsid w:val="5F5E7FD0"/>
    <w:multiLevelType w:val="hybridMultilevel"/>
    <w:lvl w:ilvl="0">
      <w:lvlJc w:val="left"/>
      <w:lvlText w:val="%1."/>
      <w:numFmt w:val="decimal"/>
      <w:start w:val="6"/>
    </w:lvl>
    <w:lvl w:ilvl="1">
      <w:lvlJc w:val="left"/>
      <w:lvlText w:val="(%2)"/>
      <w:numFmt w:val="lowerLetter"/>
      <w:start w:val="1"/>
    </w:lvl>
  </w:abstractNum>
  <w:abstractNum w:abstractNumId="64">
    <w:nsid w:val="98A3148"/>
    <w:multiLevelType w:val="hybridMultilevel"/>
    <w:lvl w:ilvl="0">
      <w:lvlJc w:val="left"/>
      <w:lvlText w:val="(%1)"/>
      <w:numFmt w:val="lowerRoman"/>
      <w:start w:val="1"/>
    </w:lvl>
  </w:abstractNum>
  <w:abstractNum w:abstractNumId="65">
    <w:nsid w:val="799D0247"/>
    <w:multiLevelType w:val="hybridMultilevel"/>
    <w:lvl w:ilvl="0">
      <w:lvlJc w:val="left"/>
      <w:lvlText w:val="%1."/>
      <w:numFmt w:val="decimal"/>
      <w:start w:val="7"/>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lowerLetter"/>
      <w:start w:val="2"/>
    </w:lvl>
    <w:lvl w:ilvl="1">
      <w:lvlJc w:val="left"/>
      <w:lvlText w:val="%2."/>
      <w:numFmt w:val="decimal"/>
      <w:start w:val="4"/>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86" Type="http://schemas.openxmlformats.org/officeDocument/2006/relationships/hyperlink" Target="http://www.sec.gov/Archives/edgar/data/1411685/000165495418010158/ex10-1.htm" TargetMode="External"/><Relationship Id="rId87" Type="http://schemas.openxmlformats.org/officeDocument/2006/relationships/hyperlink" Target="http://www.sec.gov/Archives/edgar/data/1411685/00016549541801015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2020-01-12T00:55:44Z</dcterms:created>
  <dcterms:modified xsi:type="dcterms:W3CDTF">2020-01-12T00:55:44Z</dcterms:modified>
</cp:coreProperties>
</file>