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0001411685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Arial" w:cs="Arial" w:eastAsia="Arial" w:hAnsi="Arial"/>
                <w:sz w:val="22"/>
                <w:szCs w:val="22"/>
                <w:color w:val="auto"/>
              </w:rPr>
              <w:t>Excaliber Enterprises, Ltd.</w:t>
            </w:r>
          </w:p>
        </w:tc>
        <w:tc>
          <w:tcPr>
            <w:tcW w:w="1300" w:type="dxa"/>
            <w:vAlign w:val="bottom"/>
            <w:vMerge w:val="restart"/>
          </w:tcPr>
          <w:p>
            <w:pPr>
              <w:ind w:left="1140"/>
              <w:spacing w:after="0"/>
              <w:rPr>
                <w:sz w:val="20"/>
                <w:szCs w:val="20"/>
                <w:color w:val="auto"/>
              </w:rPr>
            </w:pPr>
            <w:r>
              <w:rPr>
                <w:rFonts w:ascii="Arial" w:cs="Arial" w:eastAsia="Arial" w:hAnsi="Arial"/>
                <w:sz w:val="22"/>
                <w:szCs w:val="22"/>
                <w:color w:val="auto"/>
                <w:w w:val="95"/>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4"/>
              </w:rPr>
              <w:t>VistaGen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NEVADA</w:t>
            </w: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4"/>
              </w:rPr>
              <w:t>VistaGen Therapeutics, Inc.</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4"/>
          </w:tcPr>
          <w:p>
            <w:pPr>
              <w:ind w:left="40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1580" w:type="dxa"/>
            <w:vAlign w:val="bottom"/>
            <w:gridSpan w:val="2"/>
          </w:tcPr>
          <w:p>
            <w:pPr>
              <w:spacing w:after="0"/>
              <w:rPr>
                <w:sz w:val="20"/>
                <w:szCs w:val="20"/>
                <w:color w:val="auto"/>
              </w:rPr>
            </w:pPr>
            <w:r>
              <w:rPr>
                <w:rFonts w:ascii="Arial" w:cs="Arial" w:eastAsia="Arial" w:hAnsi="Arial"/>
                <w:sz w:val="22"/>
                <w:szCs w:val="22"/>
                <w:color w:val="auto"/>
              </w:rPr>
              <w:t>CALIFORNIA</w:t>
            </w:r>
          </w:p>
        </w:tc>
        <w:tc>
          <w:tcPr>
            <w:tcW w:w="9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22"/>
                <w:szCs w:val="22"/>
                <w:color w:val="auto"/>
              </w:rPr>
              <w:t>94080</w:t>
            </w:r>
          </w:p>
        </w:tc>
        <w:tc>
          <w:tcPr>
            <w:tcW w:w="2660" w:type="dxa"/>
            <w:vAlign w:val="bottom"/>
            <w:gridSpan w:val="2"/>
          </w:tcPr>
          <w:p>
            <w:pPr>
              <w:ind w:left="1200"/>
              <w:spacing w:after="0"/>
              <w:rPr>
                <w:sz w:val="20"/>
                <w:szCs w:val="20"/>
                <w:color w:val="auto"/>
              </w:rPr>
            </w:pPr>
            <w:r>
              <w:rPr>
                <w:rFonts w:ascii="Arial" w:cs="Arial" w:eastAsia="Arial" w:hAnsi="Arial"/>
                <w:sz w:val="22"/>
                <w:szCs w:val="22"/>
                <w:color w:val="auto"/>
              </w:rPr>
              <w:t>650-577-3600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Singh</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Shawn</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K.</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94080</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Dotson</w:t>
            </w:r>
          </w:p>
        </w:tc>
        <w:tc>
          <w:tcPr>
            <w:tcW w:w="76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Jerrold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D.</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gridSpan w:val="3"/>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343 Allerton Avenue</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4"/>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2760" w:type="dxa"/>
            <w:vAlign w:val="bottom"/>
            <w:gridSpan w:val="4"/>
          </w:tcPr>
          <w:p>
            <w:pPr>
              <w:jc w:val="center"/>
              <w:ind w:left="1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South San Francisco</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Arial" w:cs="Arial" w:eastAsia="Arial" w:hAnsi="Arial"/>
                <w:sz w:val="22"/>
                <w:szCs w:val="22"/>
                <w:color w:val="auto"/>
              </w:rPr>
              <w:t>94080</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X Executive Officer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Snodgrass</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H.</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Ralph</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Avenue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Saxe</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Jon</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Avenue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Underdown</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Brian</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Avenue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Gin</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Jerry</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B.</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Smith</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McPartland</w:t>
            </w:r>
          </w:p>
        </w:tc>
        <w:tc>
          <w:tcPr>
            <w:tcW w:w="180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343 Allerton Ave.</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Cunningham</w:t>
            </w:r>
          </w:p>
        </w:tc>
        <w:tc>
          <w:tcPr>
            <w:tcW w:w="840" w:type="dxa"/>
            <w:vAlign w:val="bottom"/>
          </w:tcPr>
          <w:p>
            <w:pPr>
              <w:ind w:left="260"/>
              <w:spacing w:after="0"/>
              <w:rPr>
                <w:sz w:val="20"/>
                <w:szCs w:val="20"/>
                <w:color w:val="auto"/>
              </w:rPr>
            </w:pPr>
            <w:r>
              <w:rPr>
                <w:rFonts w:ascii="Arial" w:cs="Arial" w:eastAsia="Arial" w:hAnsi="Arial"/>
                <w:sz w:val="22"/>
                <w:szCs w:val="22"/>
                <w:color w:val="auto"/>
              </w:rPr>
              <w:t>Ann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K.</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343 Allerton Ave.</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18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2580" w:type="dxa"/>
            <w:vAlign w:val="bottom"/>
            <w:gridSpan w:val="2"/>
          </w:tcPr>
          <w:p>
            <w:pPr>
              <w:ind w:left="520"/>
              <w:spacing w:after="0"/>
              <w:rPr>
                <w:sz w:val="20"/>
                <w:szCs w:val="20"/>
                <w:color w:val="auto"/>
              </w:rPr>
            </w:pPr>
            <w:r>
              <w:rPr>
                <w:rFonts w:ascii="Arial" w:cs="Arial" w:eastAsia="Arial" w:hAnsi="Arial"/>
                <w:sz w:val="22"/>
                <w:szCs w:val="22"/>
                <w:color w:val="auto"/>
              </w:rPr>
              <w:t>Section 3(c)(1)</w:t>
            </w:r>
          </w:p>
        </w:tc>
        <w:tc>
          <w:tcPr>
            <w:tcW w:w="2060" w:type="dxa"/>
            <w:vAlign w:val="bottom"/>
          </w:tcPr>
          <w:p>
            <w:pPr>
              <w:ind w:left="120"/>
              <w:spacing w:after="0"/>
              <w:rPr>
                <w:sz w:val="20"/>
                <w:szCs w:val="20"/>
                <w:color w:val="auto"/>
              </w:rPr>
            </w:pPr>
            <w:r>
              <w:rPr>
                <w:rFonts w:ascii="Arial" w:cs="Arial" w:eastAsia="Arial" w:hAnsi="Arial"/>
                <w:sz w:val="22"/>
                <w:szCs w:val="22"/>
                <w:color w:val="auto"/>
              </w:rPr>
              <w:t>Section 3(c)(9)</w:t>
            </w: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2580" w:type="dxa"/>
            <w:vAlign w:val="bottom"/>
            <w:gridSpan w:val="2"/>
            <w:vMerge w:val="restart"/>
          </w:tcPr>
          <w:p>
            <w:pPr>
              <w:ind w:left="520"/>
              <w:spacing w:after="0"/>
              <w:rPr>
                <w:sz w:val="20"/>
                <w:szCs w:val="20"/>
                <w:color w:val="auto"/>
              </w:rPr>
            </w:pPr>
            <w:r>
              <w:rPr>
                <w:rFonts w:ascii="Arial" w:cs="Arial" w:eastAsia="Arial" w:hAnsi="Arial"/>
                <w:sz w:val="22"/>
                <w:szCs w:val="22"/>
                <w:color w:val="auto"/>
              </w:rPr>
              <w:t>Section 3(c)(2)</w:t>
            </w:r>
          </w:p>
        </w:tc>
        <w:tc>
          <w:tcPr>
            <w:tcW w:w="2060" w:type="dxa"/>
            <w:vAlign w:val="bottom"/>
            <w:vMerge w:val="restart"/>
          </w:tcPr>
          <w:p>
            <w:pPr>
              <w:ind w:left="12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81"/>
        </w:trPr>
        <w:tc>
          <w:tcPr>
            <w:tcW w:w="418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2580" w:type="dxa"/>
            <w:vAlign w:val="bottom"/>
            <w:gridSpan w:val="2"/>
            <w:vMerge w:val="continue"/>
          </w:tcPr>
          <w:p>
            <w:pPr>
              <w:spacing w:after="0"/>
              <w:rPr>
                <w:sz w:val="7"/>
                <w:szCs w:val="7"/>
                <w:color w:val="auto"/>
              </w:rPr>
            </w:pP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80" w:type="dxa"/>
            <w:vAlign w:val="bottom"/>
            <w:vMerge w:val="continue"/>
          </w:tcPr>
          <w:p>
            <w:pPr>
              <w:spacing w:after="0"/>
              <w:rPr>
                <w:sz w:val="18"/>
                <w:szCs w:val="18"/>
                <w:color w:val="auto"/>
              </w:rPr>
            </w:pPr>
          </w:p>
        </w:tc>
        <w:tc>
          <w:tcPr>
            <w:tcW w:w="2580" w:type="dxa"/>
            <w:vAlign w:val="bottom"/>
            <w:gridSpan w:val="2"/>
            <w:vMerge w:val="restart"/>
          </w:tcPr>
          <w:p>
            <w:pPr>
              <w:ind w:left="520"/>
              <w:spacing w:after="0"/>
              <w:rPr>
                <w:sz w:val="20"/>
                <w:szCs w:val="20"/>
                <w:color w:val="auto"/>
              </w:rPr>
            </w:pPr>
            <w:r>
              <w:rPr>
                <w:rFonts w:ascii="Arial" w:cs="Arial" w:eastAsia="Arial" w:hAnsi="Arial"/>
                <w:sz w:val="22"/>
                <w:szCs w:val="22"/>
                <w:color w:val="auto"/>
              </w:rPr>
              <w:t>Section 3(c)(3)</w:t>
            </w:r>
          </w:p>
        </w:tc>
        <w:tc>
          <w:tcPr>
            <w:tcW w:w="2060" w:type="dxa"/>
            <w:vAlign w:val="bottom"/>
            <w:vMerge w:val="restart"/>
          </w:tcPr>
          <w:p>
            <w:pPr>
              <w:ind w:left="14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162"/>
        </w:trPr>
        <w:tc>
          <w:tcPr>
            <w:tcW w:w="4180" w:type="dxa"/>
            <w:vAlign w:val="bottom"/>
            <w:vMerge w:val="restart"/>
          </w:tcPr>
          <w:p>
            <w:pPr>
              <w:ind w:left="140"/>
              <w:spacing w:after="0"/>
              <w:rPr>
                <w:sz w:val="20"/>
                <w:szCs w:val="20"/>
                <w:color w:val="auto"/>
              </w:rPr>
            </w:pPr>
            <w:r>
              <w:rPr>
                <w:rFonts w:ascii="Arial" w:cs="Arial" w:eastAsia="Arial" w:hAnsi="Arial"/>
                <w:sz w:val="22"/>
                <w:szCs w:val="22"/>
                <w:color w:val="auto"/>
              </w:rPr>
              <w:t>X Rule 506(b)</w:t>
            </w:r>
          </w:p>
        </w:tc>
        <w:tc>
          <w:tcPr>
            <w:tcW w:w="258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80" w:type="dxa"/>
            <w:vAlign w:val="bottom"/>
            <w:vMerge w:val="continue"/>
          </w:tcPr>
          <w:p>
            <w:pPr>
              <w:spacing w:after="0"/>
              <w:rPr>
                <w:sz w:val="11"/>
                <w:szCs w:val="11"/>
                <w:color w:val="auto"/>
              </w:rPr>
            </w:pPr>
          </w:p>
        </w:tc>
        <w:tc>
          <w:tcPr>
            <w:tcW w:w="2580" w:type="dxa"/>
            <w:vAlign w:val="bottom"/>
            <w:gridSpan w:val="2"/>
            <w:vMerge w:val="restart"/>
          </w:tcPr>
          <w:p>
            <w:pPr>
              <w:ind w:left="520"/>
              <w:spacing w:after="0"/>
              <w:rPr>
                <w:sz w:val="20"/>
                <w:szCs w:val="20"/>
                <w:color w:val="auto"/>
              </w:rPr>
            </w:pPr>
            <w:r>
              <w:rPr>
                <w:rFonts w:ascii="Arial" w:cs="Arial" w:eastAsia="Arial" w:hAnsi="Arial"/>
                <w:sz w:val="22"/>
                <w:szCs w:val="22"/>
                <w:color w:val="auto"/>
              </w:rPr>
              <w:t>Section 3(c)(4)</w:t>
            </w:r>
          </w:p>
        </w:tc>
        <w:tc>
          <w:tcPr>
            <w:tcW w:w="2060" w:type="dxa"/>
            <w:vAlign w:val="bottom"/>
            <w:vMerge w:val="restart"/>
          </w:tcPr>
          <w:p>
            <w:pPr>
              <w:ind w:left="12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2580" w:type="dxa"/>
            <w:vAlign w:val="bottom"/>
            <w:gridSpan w:val="2"/>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80" w:type="dxa"/>
            <w:vAlign w:val="bottom"/>
          </w:tcPr>
          <w:p>
            <w:pPr>
              <w:ind w:left="360"/>
              <w:spacing w:after="0"/>
              <w:rPr>
                <w:sz w:val="20"/>
                <w:szCs w:val="20"/>
                <w:color w:val="auto"/>
              </w:rPr>
            </w:pPr>
            <w:r>
              <w:rPr>
                <w:rFonts w:ascii="Arial" w:cs="Arial" w:eastAsia="Arial" w:hAnsi="Arial"/>
                <w:sz w:val="22"/>
                <w:szCs w:val="22"/>
                <w:color w:val="auto"/>
              </w:rPr>
              <w:t>Securities Act Section 4(a)(5)</w:t>
            </w:r>
          </w:p>
        </w:tc>
        <w:tc>
          <w:tcPr>
            <w:tcW w:w="2580" w:type="dxa"/>
            <w:vAlign w:val="bottom"/>
            <w:gridSpan w:val="2"/>
          </w:tcPr>
          <w:p>
            <w:pPr>
              <w:ind w:left="520"/>
              <w:spacing w:after="0"/>
              <w:rPr>
                <w:sz w:val="20"/>
                <w:szCs w:val="20"/>
                <w:color w:val="auto"/>
              </w:rPr>
            </w:pPr>
            <w:r>
              <w:rPr>
                <w:rFonts w:ascii="Arial" w:cs="Arial" w:eastAsia="Arial" w:hAnsi="Arial"/>
                <w:sz w:val="22"/>
                <w:szCs w:val="22"/>
                <w:color w:val="auto"/>
              </w:rPr>
              <w:t>Section 3(c)(5)</w:t>
            </w:r>
          </w:p>
        </w:tc>
        <w:tc>
          <w:tcPr>
            <w:tcW w:w="2060" w:type="dxa"/>
            <w:vAlign w:val="bottom"/>
          </w:tcPr>
          <w:p>
            <w:pPr>
              <w:ind w:left="12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ind w:left="520"/>
              <w:spacing w:after="0"/>
              <w:rPr>
                <w:sz w:val="20"/>
                <w:szCs w:val="20"/>
                <w:color w:val="auto"/>
              </w:rPr>
            </w:pPr>
            <w:r>
              <w:rPr>
                <w:rFonts w:ascii="Arial" w:cs="Arial" w:eastAsia="Arial" w:hAnsi="Arial"/>
                <w:sz w:val="22"/>
                <w:szCs w:val="22"/>
                <w:color w:val="auto"/>
              </w:rPr>
              <w:t>Section 3(c)(6)</w:t>
            </w:r>
          </w:p>
        </w:tc>
        <w:tc>
          <w:tcPr>
            <w:tcW w:w="2060" w:type="dxa"/>
            <w:vAlign w:val="bottom"/>
          </w:tcPr>
          <w:p>
            <w:pPr>
              <w:ind w:left="12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ind w:left="460"/>
              <w:spacing w:after="0"/>
              <w:rPr>
                <w:sz w:val="20"/>
                <w:szCs w:val="20"/>
                <w:color w:val="auto"/>
              </w:rPr>
            </w:pPr>
            <w:r>
              <w:rPr>
                <w:rFonts w:ascii="Arial" w:cs="Arial" w:eastAsia="Arial" w:hAnsi="Arial"/>
                <w:sz w:val="22"/>
                <w:szCs w:val="22"/>
                <w:color w:val="auto"/>
              </w:rPr>
              <w:t>Section 3(c)(7)</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2020-01-24</w:t>
            </w:r>
          </w:p>
        </w:tc>
        <w:tc>
          <w:tcPr>
            <w:tcW w:w="2580" w:type="dxa"/>
            <w:vAlign w:val="bottom"/>
            <w:gridSpan w:val="2"/>
          </w:tcPr>
          <w:p>
            <w:pPr>
              <w:ind w:left="140"/>
              <w:spacing w:after="0"/>
              <w:rPr>
                <w:sz w:val="20"/>
                <w:szCs w:val="20"/>
                <w:color w:val="auto"/>
              </w:rPr>
            </w:pPr>
            <w:r>
              <w:rPr>
                <w:rFonts w:ascii="Arial" w:cs="Arial" w:eastAsia="Arial" w:hAnsi="Arial"/>
                <w:sz w:val="22"/>
                <w:szCs w:val="22"/>
                <w:color w:val="auto"/>
              </w:rPr>
              <w:t>First Sale Yet to Occur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80" w:type="dxa"/>
            <w:vAlign w:val="bottom"/>
          </w:tcPr>
          <w:p>
            <w:pPr>
              <w:ind w:left="100"/>
              <w:spacing w:after="0"/>
              <w:rPr>
                <w:sz w:val="20"/>
                <w:szCs w:val="20"/>
                <w:color w:val="auto"/>
              </w:rPr>
            </w:pPr>
            <w:r>
              <w:rPr>
                <w:rFonts w:ascii="Arial" w:cs="Arial" w:eastAsia="Arial" w:hAnsi="Arial"/>
                <w:sz w:val="22"/>
                <w:szCs w:val="22"/>
                <w:color w:val="auto"/>
              </w:rPr>
              <w:t>Yes X No</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260"/>
              <w:spacing w:after="0"/>
              <w:rPr>
                <w:sz w:val="20"/>
                <w:szCs w:val="20"/>
                <w:color w:val="auto"/>
              </w:rPr>
            </w:pPr>
            <w:r>
              <w:rPr>
                <w:rFonts w:ascii="Arial" w:cs="Arial" w:eastAsia="Arial" w:hAnsi="Arial"/>
                <w:sz w:val="22"/>
                <w:szCs w:val="22"/>
                <w:color w:val="auto"/>
              </w:rPr>
              <w:t>Equity</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4"/>
              </w:rPr>
              <w:t>X Option, Warrant or Other Right to Acquire Another Security</w:t>
            </w: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gridSpan w:val="2"/>
            <w:vMerge w:val="restart"/>
          </w:tcPr>
          <w:p>
            <w:pPr>
              <w:ind w:left="2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500" w:type="dxa"/>
            <w:vAlign w:val="bottom"/>
          </w:tcPr>
          <w:p>
            <w:pPr>
              <w:spacing w:after="0"/>
              <w:rPr>
                <w:sz w:val="13"/>
                <w:szCs w:val="13"/>
                <w:color w:val="auto"/>
              </w:rPr>
            </w:pPr>
          </w:p>
        </w:tc>
        <w:tc>
          <w:tcPr>
            <w:tcW w:w="3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$250,000 USD</w:t>
      </w:r>
    </w:p>
    <w:p>
      <w:pPr>
        <w:sectPr>
          <w:pgSz w:w="11900" w:h="16838" w:orient="portrait"/>
          <w:cols w:equalWidth="0" w:num="1">
            <w:col w:w="11280"/>
          </w:cols>
          <w:pgMar w:left="240" w:top="118" w:right="379" w:bottom="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2060"/>
          </w:cols>
          <w:pgMar w:left="240" w:top="118" w:right="3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$2,750,000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$2,750,000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Represents the aggregate gross proceeds from investors in connection with Issuer's registered direct offering of common stock and concurrent private placement of warrants, which were issued to investors for a single purchase price.</w:t>
      </w:r>
    </w:p>
    <w:p>
      <w:pPr>
        <w:sectPr>
          <w:pgSz w:w="11900" w:h="16838" w:orient="portrait"/>
          <w:cols w:equalWidth="0" w:num="1">
            <w:col w:w="11280"/>
          </w:cols>
          <w:pgMar w:left="240" w:top="118" w:right="379" w:bottom="0" w:gutter="0" w:footer="0" w:header="0"/>
          <w:type w:val="continuous"/>
        </w:sectPr>
      </w:pPr>
    </w:p>
    <w:bookmarkStart w:id="4" w:name="page5"/>
    <w:bookmarkEnd w:id="4"/>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1" w:lineRule="exact"/>
        <w:rPr>
          <w:sz w:val="20"/>
          <w:szCs w:val="20"/>
          <w:color w:val="auto"/>
        </w:rPr>
      </w:pPr>
    </w:p>
    <w:p>
      <w:pPr>
        <w:ind w:left="300" w:right="60"/>
        <w:spacing w:after="0" w:line="328" w:lineRule="auto"/>
        <w:rPr>
          <w:sz w:val="20"/>
          <w:szCs w:val="20"/>
          <w:color w:val="auto"/>
        </w:rPr>
      </w:pPr>
      <w:r>
        <w:rPr>
          <w:rFonts w:ascii="Arial" w:cs="Arial" w:eastAsia="Arial" w:hAnsi="Arial"/>
          <w:sz w:val="19"/>
          <w:szCs w:val="19"/>
          <w:color w:val="auto"/>
        </w:rPr>
        <w:t>Regardless of whether securities in the offering have been or may be sold to persons who do not qualify as accredited investors, enter the total number of investors who already have invested in the offering:</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11"/>
          <w:szCs w:val="1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-264795</wp:posOffset>
            </wp:positionV>
            <wp:extent cx="870585"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70585"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77470</wp:posOffset>
            </wp:positionV>
            <wp:extent cx="870585"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70585" cy="26543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11"/>
          <w:szCs w:val="11"/>
          <w:color w:val="auto"/>
        </w:rPr>
        <w:t>3</w:t>
      </w:r>
    </w:p>
    <w:p>
      <w:pPr>
        <w:spacing w:after="0" w:line="776" w:lineRule="exact"/>
        <w:rPr>
          <w:sz w:val="20"/>
          <w:szCs w:val="20"/>
          <w:color w:val="auto"/>
        </w:rPr>
      </w:pPr>
    </w:p>
    <w:p>
      <w:pPr>
        <w:sectPr>
          <w:pgSz w:w="11900" w:h="16852" w:orient="portrait"/>
          <w:cols w:equalWidth="0" w:num="2">
            <w:col w:w="9560" w:space="440"/>
            <w:col w:w="1420"/>
          </w:cols>
          <w:pgMar w:left="240" w:top="118" w:right="239" w:bottom="0" w:gutter="0" w:footer="0" w:header="0"/>
        </w:sectPr>
      </w:pPr>
    </w:p>
    <w:p>
      <w:pPr>
        <w:spacing w:after="0" w:line="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06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560" w:type="dxa"/>
            <w:vAlign w:val="bottom"/>
            <w:tcBorders>
              <w:top w:val="single" w:sz="8" w:color="2C2C2C"/>
              <w:bottom w:val="single" w:sz="8" w:color="808080"/>
            </w:tcBorders>
          </w:tcPr>
          <w:p>
            <w:pPr>
              <w:ind w:left="10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4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0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VistaGen Therapeutics, Inc.</w:t>
            </w:r>
          </w:p>
        </w:tc>
        <w:tc>
          <w:tcPr>
            <w:tcW w:w="2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Jerrold D. Dotson</w:t>
            </w:r>
          </w:p>
        </w:tc>
        <w:tc>
          <w:tcPr>
            <w:tcW w:w="4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Jerrold D. Dotson</w:t>
            </w:r>
          </w:p>
        </w:tc>
        <w:tc>
          <w:tcPr>
            <w:tcW w:w="20" w:type="dxa"/>
            <w:vAlign w:val="bottom"/>
          </w:tcPr>
          <w:p>
            <w:pPr>
              <w:spacing w:after="0"/>
              <w:rPr>
                <w:sz w:val="22"/>
                <w:szCs w:val="22"/>
                <w:color w:val="auto"/>
              </w:rPr>
            </w:pPr>
          </w:p>
        </w:tc>
        <w:tc>
          <w:tcPr>
            <w:tcW w:w="25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40" w:type="dxa"/>
            <w:vAlign w:val="bottom"/>
            <w:tcBorders>
              <w:top w:val="single" w:sz="8" w:color="2C2C2C"/>
              <w:bottom w:val="single" w:sz="8" w:color="808080"/>
            </w:tcBorders>
          </w:tcPr>
          <w:p>
            <w:pPr>
              <w:jc w:val="right"/>
              <w:ind w:right="192"/>
              <w:spacing w:after="0"/>
              <w:rPr>
                <w:sz w:val="20"/>
                <w:szCs w:val="20"/>
                <w:color w:val="auto"/>
              </w:rPr>
            </w:pPr>
            <w:r>
              <w:rPr>
                <w:rFonts w:ascii="Arial" w:cs="Arial" w:eastAsia="Arial" w:hAnsi="Arial"/>
                <w:sz w:val="22"/>
                <w:szCs w:val="22"/>
                <w:color w:val="auto"/>
                <w:w w:val="90"/>
              </w:rPr>
              <w:t>2020-01-31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480" w:firstLine="8"/>
        <w:spacing w:after="0" w:line="328" w:lineRule="auto"/>
        <w:tabs>
          <w:tab w:leader="none" w:pos="162" w:val="left"/>
        </w:tabs>
        <w:numPr>
          <w:ilvl w:val="0"/>
          <w:numId w:val="1"/>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w:t>
      </w:r>
    </w:p>
    <w:p>
      <w:pPr>
        <w:sectPr>
          <w:pgSz w:w="11900" w:h="16852" w:orient="portrait"/>
          <w:cols w:equalWidth="0" w:num="1">
            <w:col w:w="11420"/>
          </w:cols>
          <w:pgMar w:left="240" w:top="118" w:right="239" w:bottom="0" w:gutter="0" w:footer="0" w:header="0"/>
          <w:type w:val="continuous"/>
        </w:sectPr>
      </w:pPr>
    </w:p>
    <w:bookmarkStart w:id="5" w:name="page6"/>
    <w:bookmarkEnd w:id="5"/>
    <w:p>
      <w:pPr>
        <w:spacing w:after="0" w:line="238" w:lineRule="auto"/>
        <w:rPr>
          <w:sz w:val="20"/>
          <w:szCs w:val="20"/>
          <w:color w:val="auto"/>
        </w:rPr>
      </w:pPr>
      <w:r>
        <w:rPr>
          <w:rFonts w:ascii="Arial" w:cs="Arial" w:eastAsia="Arial" w:hAnsi="Arial"/>
          <w:sz w:val="22"/>
          <w:szCs w:val="22"/>
          <w:color w:val="auto"/>
        </w:rPr>
        <w:t>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10"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2020-01-31T16:27:01Z</dcterms:created>
  <dcterms:modified xsi:type="dcterms:W3CDTF">2020-01-31T16:27:01Z</dcterms:modified>
</cp:coreProperties>
</file>