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Proxy Statement Pursuant to Section </w:t>
      </w:r>
      <w:r>
        <w:rPr>
          <w:rFonts w:ascii="Times New Roman" w:cs="Times New Roman" w:eastAsia="Times New Roman" w:hAnsi="Times New Roman"/>
          <w:sz w:val="21"/>
          <w:szCs w:val="21"/>
          <w:b w:val="1"/>
          <w:bCs w:val="1"/>
          <w:color w:val="auto"/>
        </w:rPr>
        <w:t>14(a)</w:t>
      </w:r>
    </w:p>
    <w:p>
      <w:pPr>
        <w:spacing w:after="0" w:line="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20" w:right="4439" w:firstLine="6"/>
        <w:spacing w:after="0" w:line="257" w:lineRule="exact"/>
        <w:tabs>
          <w:tab w:leader="none" w:pos="39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SEC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14a-12</w:t>
      </w:r>
    </w:p>
    <w:p>
      <w:pPr>
        <w:spacing w:after="0" w:line="35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6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50"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sz w:val="24"/>
          <w:szCs w:val="24"/>
          <w:color w:val="auto"/>
        </w:rPr>
      </w:pPr>
    </w:p>
    <w:p>
      <w:pPr>
        <w:ind w:left="400" w:hanging="374"/>
        <w:spacing w:after="0"/>
        <w:tabs>
          <w:tab w:leader="none" w:pos="4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9" w:lineRule="exact"/>
        <w:rPr>
          <w:rFonts w:ascii="MS PGothic" w:cs="MS PGothic" w:eastAsia="MS PGothic" w:hAnsi="MS PGothic"/>
          <w:sz w:val="18"/>
          <w:szCs w:val="18"/>
          <w:color w:val="auto"/>
        </w:rPr>
      </w:pPr>
    </w:p>
    <w:p>
      <w:pPr>
        <w:ind w:left="400" w:hanging="374"/>
        <w:spacing w:after="0"/>
        <w:tabs>
          <w:tab w:leader="none" w:pos="4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740410</wp:posOffset>
            </wp:positionV>
            <wp:extent cx="2134235"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8293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(650) 577-3600</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16,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 of Vistagen Therapeutics, Inc. (</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This past year has been an important year of progress for Vistagen. The Company made progress in its work to develop novel therapies for individuals impacted by psychiatric and neurological disorders. At the core of this work is the Company’s unwavering commitment to delivering innovative solutions to significant unmet mental health needs in communities across the globe.</w:t>
      </w:r>
    </w:p>
    <w:p>
      <w:pPr>
        <w:spacing w:after="0" w:line="21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Since our last annual meeting of stockholders, Vistagen reported topline results from its PALISADE-2 Phase 3 clinical trial of fasedienol, the Company's investigational neuroactive pherine nasal spray currently in Phase 3 clinical development in the United States for the acute treatment of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The Company also initiated the next PALISADE Phase 3 clinical development study of fasedienol, PALISADE-3, and advanced pherine development programs involving itruvone for major depressive disorder and hormone-free PH80 for menopausal hot flashes. With this continued progress and a diverse non-systemic, neurocircuitry-focused pherine pipeline, we believe Vistagen is on track to continue to develop and commercialize differentiated neuroscience therapies to improve patients' lives. Looking ahead, we are excited about opportunities in progress and on the horizon. We are committed to our focused strategy to advance these clinical programs in order to serve unmet patient needs and deliver stockholder value.</w:t>
      </w:r>
    </w:p>
    <w:p>
      <w:pPr>
        <w:spacing w:after="0" w:line="21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 xml:space="preserve">With this backdrop in mind, I am pleased to invite you to the Company’s upcoming 2024 Annual Meeting of Stockholders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 xml:space="preserve">), which we will hold virtually at 9:00 a.m. Pacific Daylight Time on Monday, August 26, 2024. The accompanying proxy statement (the </w:t>
      </w:r>
      <w:r>
        <w:rPr>
          <w:rFonts w:ascii="Times New Roman" w:cs="Times New Roman" w:eastAsia="Times New Roman" w:hAnsi="Times New Roman"/>
          <w:sz w:val="18"/>
          <w:szCs w:val="18"/>
          <w:i w:val="1"/>
          <w:iCs w:val="1"/>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w:t>
      </w:r>
      <w:r>
        <w:rPr>
          <w:rFonts w:ascii="Times New Roman" w:cs="Times New Roman" w:eastAsia="Times New Roman" w:hAnsi="Times New Roman"/>
          <w:sz w:val="18"/>
          <w:szCs w:val="18"/>
          <w:color w:val="auto"/>
        </w:rPr>
        <w:t>) details information regarding the Annual Meeting, including a description of the proposals to be considered by stockholders at the Meeting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for submitting your vote.</w:t>
      </w:r>
    </w:p>
    <w:p>
      <w:pPr>
        <w:spacing w:after="0" w:line="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To conserve environmental resources and prevent unnecessary corporate expense, we are using the “Notice and Access” method of providing proxy materials to you via the Internet pursuant to the regulations promulgated by the U.S.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xml:space="preserve">). We believe this process will provide you with a safe, convenient and efficient way to access your proxy materials and vote your shares. On or about July 17, 2024, we will mail to our stockholders a one-page Notice of Internet Availability of Proxy Materials (the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containing instructions on how to access the Proxy Statement and vote electronically via the Internet or by telephone. The Notice will also contain instructions on how to receive a paper copy of your proxy materials. In addition to the Proxy Statement, we have also included a copy of our Annual Report on Form 10-K for our fiscal year ended March 31, 2024, filed with the SEC on June 11, 2024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which we encourage you to read. It includes our audited financial statements and provides important information about our business.</w:t>
      </w:r>
    </w:p>
    <w:p>
      <w:pPr>
        <w:spacing w:after="0" w:line="21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b w:val="1"/>
          <w:bCs w:val="1"/>
          <w:color w:val="auto"/>
        </w:rPr>
        <w:t>Your vote is very important to us. Whether or not you plan to attend the Annual Meeting virtually, please carefully review the Proxy Statement and then cast your vote by Internet, telephone or postal mail as promptly as possible so that your shares will be voted at the Meeting. Please refer to the Notice for instructions on submitting your vote</w:t>
      </w:r>
      <w:r>
        <w:rPr>
          <w:rFonts w:ascii="Times New Roman" w:cs="Times New Roman" w:eastAsia="Times New Roman" w:hAnsi="Times New Roman"/>
          <w:sz w:val="18"/>
          <w:szCs w:val="18"/>
          <w:color w:val="auto"/>
        </w:rPr>
        <w:t>. Our Board of Directors has approved the proposals set forth in the Proxy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we recommend that you vote in favor of each such proposal.</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continued support of Vistagen. We look forward to your participation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188595</wp:posOffset>
            </wp:positionV>
            <wp:extent cx="659765" cy="986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765" cy="986155"/>
                    </a:xfrm>
                    <a:prstGeom prst="rect">
                      <a:avLst/>
                    </a:prstGeom>
                    <a:noFill/>
                  </pic:spPr>
                </pic:pic>
              </a:graphicData>
            </a:graphic>
          </wp:anchor>
        </w:drawing>
      </w:r>
    </w:p>
    <w:p>
      <w:pPr>
        <w:spacing w:after="0" w:line="2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Margaret M. FitzPatrick, M.A.</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Margaret M. FitzPatrick, M.A.</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Board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740410</wp:posOffset>
            </wp:positionV>
            <wp:extent cx="2134235"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8293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(650) 577-3600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2024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Virtually on Monday, August 26, 2024 at 9:00 am Pacific Daylight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are pleased to invite you to virtually attend the 2024 Annual Meeting of Stockholders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 xml:space="preserve">) of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The Annual Meeting will be a virtual-format meeting, held exclusively via the Internet on Monday, August 26, 2024, at 9:00 am Pacific Daylight Time, for the following purposes:</w:t>
      </w:r>
    </w:p>
    <w:p>
      <w:pPr>
        <w:spacing w:after="0" w:line="216" w:lineRule="exact"/>
        <w:rPr>
          <w:sz w:val="20"/>
          <w:szCs w:val="20"/>
          <w:color w:val="auto"/>
        </w:rPr>
      </w:pPr>
    </w:p>
    <w:p>
      <w:pPr>
        <w:ind w:left="1180" w:right="20" w:hanging="398"/>
        <w:spacing w:after="0" w:line="237" w:lineRule="auto"/>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(7) directors to our Board of Directors, each to serve until our next annual meeting of stockholders, or until her or his respective successor is elected and qualified;</w:t>
      </w:r>
    </w:p>
    <w:p>
      <w:pPr>
        <w:spacing w:after="0" w:line="291"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paid to our Named Executive Officers (</w:t>
      </w:r>
      <w:r>
        <w:rPr>
          <w:rFonts w:ascii="Times New Roman" w:cs="Times New Roman" w:eastAsia="Times New Roman" w:hAnsi="Times New Roman"/>
          <w:sz w:val="18"/>
          <w:szCs w:val="18"/>
          <w:i w:val="1"/>
          <w:iCs w:val="1"/>
          <w:color w:val="auto"/>
        </w:rPr>
        <w:t>NEOs</w:t>
      </w:r>
      <w:r>
        <w:rPr>
          <w:rFonts w:ascii="Times New Roman" w:cs="Times New Roman" w:eastAsia="Times New Roman" w:hAnsi="Times New Roman"/>
          <w:sz w:val="18"/>
          <w:szCs w:val="18"/>
          <w:color w:val="auto"/>
        </w:rPr>
        <w:t>);</w:t>
      </w:r>
    </w:p>
    <w:p>
      <w:pPr>
        <w:spacing w:after="0" w:line="335" w:lineRule="exact"/>
        <w:rPr>
          <w:rFonts w:ascii="Times New Roman" w:cs="Times New Roman" w:eastAsia="Times New Roman" w:hAnsi="Times New Roman"/>
          <w:sz w:val="18"/>
          <w:szCs w:val="18"/>
          <w:color w:val="auto"/>
        </w:rPr>
      </w:pPr>
    </w:p>
    <w:p>
      <w:pPr>
        <w:ind w:left="1180" w:right="20" w:hanging="398"/>
        <w:spacing w:after="0" w:line="282" w:lineRule="auto"/>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our fiscal year ending March 31, 2025; and</w:t>
      </w:r>
    </w:p>
    <w:p>
      <w:pPr>
        <w:spacing w:after="0" w:line="256" w:lineRule="exact"/>
        <w:rPr>
          <w:rFonts w:ascii="Times New Roman" w:cs="Times New Roman" w:eastAsia="Times New Roman" w:hAnsi="Times New Roman"/>
          <w:sz w:val="18"/>
          <w:szCs w:val="18"/>
          <w:color w:val="auto"/>
        </w:rPr>
      </w:pPr>
    </w:p>
    <w:p>
      <w:pPr>
        <w:ind w:left="1180" w:right="20" w:hanging="398"/>
        <w:spacing w:after="0" w:line="237" w:lineRule="auto"/>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upon such other matters, if any, as may properly come before the Annual Meeting or any adjournment or postponement of the Meeting.</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These matters are more fully discussed in the attached proxy statement (the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elected to provide access to our proxy materials primarily electronically via the Internet, pursuant to the “Notice and Access” method regulations promulgated by the U.S.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xml:space="preserve">). We believe this method is efficient, expedites our stockholders’ safe receipt of proxy materials, conserves natural resources, and significantly reduces the Company’s overall cost for the Annual Meeting. On or about July 17, 2024, we began mailing a one-page Notice of Internet Availability of Proxy Materials (the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xml:space="preserve">) to each of our stockholders entitled to notice of and to vote at the Annual Meeting. The Notice contains instructions for accessing the Proxy Statement and our Annual Report on Form 10-K for our fiscal year ended March 31, 2024, filed with the SEC on June 11, 2024 (the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xml:space="preserve">), via the Internet, as well as Annual Meeting voting instructions. The Notice also includes instructions on how you can receive a paper copy of your proxy materials. </w:t>
      </w:r>
      <w:r>
        <w:rPr>
          <w:rFonts w:ascii="Times New Roman" w:cs="Times New Roman" w:eastAsia="Times New Roman" w:hAnsi="Times New Roman"/>
          <w:sz w:val="18"/>
          <w:szCs w:val="18"/>
          <w:b w:val="1"/>
          <w:bCs w:val="1"/>
          <w:color w:val="auto"/>
        </w:rPr>
        <w:t>The Proxy Statement and the Annual Report are both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available on the Internet at: </w:t>
      </w:r>
      <w:r>
        <w:rPr>
          <w:rFonts w:ascii="Times New Roman" w:cs="Times New Roman" w:eastAsia="Times New Roman" w:hAnsi="Times New Roman"/>
          <w:sz w:val="18"/>
          <w:szCs w:val="18"/>
          <w:b w:val="1"/>
          <w:bCs w:val="1"/>
          <w:u w:val="single" w:color="auto"/>
          <w:color w:val="auto"/>
        </w:rPr>
        <w:t>www.envisionreports.com/VTGN</w:t>
      </w:r>
    </w:p>
    <w:p>
      <w:pPr>
        <w:spacing w:after="0" w:line="17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The record date for the determination of stockholders entitled to notice of and to vote at the Annual Meeting or any adjournments or postponements thereof has been fixed as the close of business on July 5, 2024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Only holders of record of our common stock at the close of business on the Record Date are entitled to notice of and to vote at the Annual Meeting. A complete list of these stockholders will be available for examination by any of our stockholders for purposes pertaining to the Annual Meeting by sending an email to </w:t>
      </w:r>
      <w:r>
        <w:rPr>
          <w:rFonts w:ascii="Times New Roman" w:cs="Times New Roman" w:eastAsia="Times New Roman" w:hAnsi="Times New Roman"/>
          <w:sz w:val="18"/>
          <w:szCs w:val="18"/>
          <w:u w:val="single" w:color="auto"/>
          <w:color w:val="auto"/>
        </w:rPr>
        <w:t>corp.secretary@vistagen.com</w:t>
      </w:r>
      <w:r>
        <w:rPr>
          <w:rFonts w:ascii="Times New Roman" w:cs="Times New Roman" w:eastAsia="Times New Roman" w:hAnsi="Times New Roman"/>
          <w:sz w:val="18"/>
          <w:szCs w:val="18"/>
          <w:color w:val="auto"/>
        </w:rPr>
        <w:t xml:space="preserve"> stating the purpose of the request and providing proof of ownership of our common stock. This list will also be available for examination by stockholders of record during the webcast of the Annual Meeting at: </w:t>
      </w:r>
      <w:r>
        <w:rPr>
          <w:rFonts w:ascii="Times New Roman" w:cs="Times New Roman" w:eastAsia="Times New Roman" w:hAnsi="Times New Roman"/>
          <w:sz w:val="18"/>
          <w:szCs w:val="18"/>
          <w:u w:val="single" w:color="auto"/>
          <w:color w:val="auto"/>
        </w:rPr>
        <w:t>https://meetnow.global/MFHSZ94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are entitled to virtually attend and vote at the Annual Meeting online only if you were a stockholder as of the close of business on the Record Date or hold a valid proxy for the Annual Meeting. If you are a stockholder of record, your ownership as of the Record Date will be verified prior to admittance into the Annual Meeting. If you are not a stockholder of record but hold shares through a broker, trustee or nominee, you must provide proof of beneficial ownership as of the Record Date, such as an account statement or similar evidence of ownership, to virtually attend and vote at the Annual Meeting. Further information about how to attend the Annual Meeting, vote your shares online during the Meeting and submit questions during the Meeting is included in the Proxy Statement. For instructions on how to vote your shares, please refer to the instructions on the Notice of Internet Availability of Proxy Materials you received by postal mail, the section titled “</w:t>
      </w: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beginning on page 3 of the Proxy Statement or, if you requested to receive printed proxy materials, your enclosed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40575" cy="1440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14401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YOUR VOTES ARE IMPORTANT</w:t>
      </w:r>
    </w:p>
    <w:p>
      <w:pPr>
        <w:spacing w:after="0" w:line="225" w:lineRule="exact"/>
        <w:rPr>
          <w:sz w:val="20"/>
          <w:szCs w:val="20"/>
          <w:color w:val="auto"/>
        </w:rPr>
      </w:pPr>
    </w:p>
    <w:p>
      <w:pPr>
        <w:jc w:val="both"/>
        <w:ind w:left="240" w:right="3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All stockholders are cordially invited to attend the Annual Meeting virtually. However, to ensure your representation at the Annual Meeting, you are urged to vote by Internet, telephone or postal mail in advance of the Meeting, as promptly as possible. Submitting your votes in advance of the Annual Meeting assures that a quorum will be present at the Meeting and will avoid the Company from incurring additional expense for duplicate proxy solicitations. By following the procedures described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3 of the attached Proxy Statement, any stockholder attending the Annual Meeting virtually may vote at the Meeting, even if he or she has returned a proxy prior to the Meeting.</w:t>
      </w:r>
    </w:p>
    <w:p>
      <w:pPr>
        <w:spacing w:after="0" w:line="200" w:lineRule="exact"/>
        <w:rPr>
          <w:sz w:val="20"/>
          <w:szCs w:val="20"/>
          <w:color w:val="auto"/>
        </w:rPr>
      </w:pPr>
    </w:p>
    <w:p>
      <w:pPr>
        <w:spacing w:after="0" w:line="3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to us. Whether or not you expect to attend the Annual Meeting virtually, we urge you to vote your shares in advance of the Meeting, as promptly as possible, online via the Internet, by telephone or by postal mail so that your shares may be represented and voted at the Meeting. </w:t>
      </w:r>
      <w:r>
        <w:rPr>
          <w:rFonts w:ascii="Times New Roman" w:cs="Times New Roman" w:eastAsia="Times New Roman" w:hAnsi="Times New Roman"/>
          <w:sz w:val="18"/>
          <w:szCs w:val="18"/>
          <w:color w:val="auto"/>
        </w:rPr>
        <w:t>If your shares are held in the name of a bank, broker, brokerage firm or other fiduciary, please follow the instructions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instruction card furnished by the record holder.</w:t>
      </w:r>
    </w:p>
    <w:p>
      <w:pPr>
        <w:spacing w:after="0" w:line="17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of the director nominees identified in Proposal No. 1, and "FOR" Proposal Nos. 2 and 3, all of which are described in detail in the Proxy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ANNUAL REPORT AND THE PROXY STATEMENT ARE AVAILABLE ONLINE VIA</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THE INTERNET AT: </w:t>
      </w:r>
      <w:r>
        <w:rPr>
          <w:rFonts w:ascii="Times New Roman" w:cs="Times New Roman" w:eastAsia="Times New Roman" w:hAnsi="Times New Roman"/>
          <w:sz w:val="18"/>
          <w:szCs w:val="18"/>
          <w:b w:val="1"/>
          <w:bCs w:val="1"/>
          <w:u w:val="single" w:color="auto"/>
          <w:color w:val="auto"/>
        </w:rPr>
        <w:t>www.envisionreports.com/VTGN</w:t>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Jessica R. Haskell, J.D.</w:t>
      </w:r>
    </w:p>
    <w:p>
      <w:pPr>
        <w:spacing w:after="0" w:line="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Jessica R. Haskell, J.D.</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Vice President, Associate General Counsel and Corporate Secretary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740410</wp:posOffset>
            </wp:positionV>
            <wp:extent cx="213423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8293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(650) 577-3600</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14" w:lineRule="exact"/>
        <w:rPr>
          <w:sz w:val="20"/>
          <w:szCs w:val="20"/>
          <w:color w:val="auto"/>
        </w:rPr>
      </w:pPr>
    </w:p>
    <w:p>
      <w:pPr>
        <w:jc w:val="both"/>
        <w:ind w:firstLine="486"/>
        <w:spacing w:after="0" w:line="232" w:lineRule="auto"/>
        <w:rPr>
          <w:sz w:val="20"/>
          <w:szCs w:val="20"/>
          <w:color w:val="auto"/>
        </w:rPr>
      </w:pPr>
      <w:r>
        <w:rPr>
          <w:rFonts w:ascii="Times New Roman" w:cs="Times New Roman" w:eastAsia="Times New Roman" w:hAnsi="Times New Roman"/>
          <w:sz w:val="18"/>
          <w:szCs w:val="18"/>
          <w:color w:val="auto"/>
        </w:rPr>
        <w:t xml:space="preserve">The enclosed proxy is solicited on behalf of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xml:space="preserve">) of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our</w:t>
      </w:r>
      <w:r>
        <w:rPr>
          <w:rFonts w:ascii="Times New Roman" w:cs="Times New Roman" w:eastAsia="Times New Roman" w:hAnsi="Times New Roman"/>
          <w:sz w:val="18"/>
          <w:szCs w:val="18"/>
          <w:color w:val="auto"/>
        </w:rPr>
        <w:t>), for use at the Company’s 2024 Annual Meeting of Stockholders (the</w:t>
      </w:r>
      <w:r>
        <w:rPr>
          <w:rFonts w:ascii="Times New Roman" w:cs="Times New Roman" w:eastAsia="Times New Roman" w:hAnsi="Times New Roman"/>
          <w:sz w:val="18"/>
          <w:szCs w:val="18"/>
          <w:i w:val="1"/>
          <w:iCs w:val="1"/>
          <w:color w:val="auto"/>
        </w:rPr>
        <w:t xml:space="preserve"> Annual Meeting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i w:val="1"/>
          <w:iCs w:val="1"/>
          <w:color w:val="auto"/>
        </w:rPr>
        <w:t xml:space="preserve"> Meeting</w:t>
      </w:r>
      <w:r>
        <w:rPr>
          <w:rFonts w:ascii="Times New Roman" w:cs="Times New Roman" w:eastAsia="Times New Roman" w:hAnsi="Times New Roman"/>
          <w:sz w:val="18"/>
          <w:szCs w:val="18"/>
          <w:color w:val="auto"/>
        </w:rPr>
        <w:t>). The Annual Meeting will take 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virtual meeting format on Monday, August 26, 2024, at 9:00 am Pacific Daylight Time, and will be held exclusively via the Internet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https://meetnow.global/MFHSZ94</w:t>
      </w:r>
    </w:p>
    <w:p>
      <w:pPr>
        <w:spacing w:after="0" w:line="178" w:lineRule="exact"/>
        <w:rPr>
          <w:sz w:val="20"/>
          <w:szCs w:val="20"/>
          <w:color w:val="auto"/>
        </w:rPr>
      </w:pPr>
    </w:p>
    <w:p>
      <w:pPr>
        <w:jc w:val="both"/>
        <w:ind w:firstLine="486"/>
        <w:spacing w:after="0" w:line="229" w:lineRule="auto"/>
        <w:rPr>
          <w:sz w:val="20"/>
          <w:szCs w:val="20"/>
          <w:color w:val="auto"/>
        </w:rPr>
      </w:pPr>
      <w:r>
        <w:rPr>
          <w:rFonts w:ascii="Times New Roman" w:cs="Times New Roman" w:eastAsia="Times New Roman" w:hAnsi="Times New Roman"/>
          <w:sz w:val="18"/>
          <w:szCs w:val="18"/>
          <w:color w:val="auto"/>
        </w:rPr>
        <w:t>We have elected to provide access to the proxy materials for the Annual Meeting primarily over the Internet in accordance with the U.S. Securities and Exchange Commission’s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xml:space="preserve">) “Notice and Access” rules. On or about July 17, 2024, we began mailing a one-page Notice of Internet Availability of Proxy Materials (the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to each of our stockholders entitled to notice of and to vote at the Annual Meeting. The Notice contains instructions for accessing this Proxy Statement, our Annual Report on Form 10-K for our fiscal year ended March 31, 2024, filed with the SEC on June 11, 2024 (</w:t>
      </w:r>
      <w:r>
        <w:rPr>
          <w:rFonts w:ascii="Times New Roman" w:cs="Times New Roman" w:eastAsia="Times New Roman" w:hAnsi="Times New Roman"/>
          <w:sz w:val="18"/>
          <w:szCs w:val="18"/>
          <w:i w:val="1"/>
          <w:i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and Annual Meeting voting instructions. The Notice also includes instructions on how you can receive a paper copy of your proxy materials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postal mail. </w:t>
      </w:r>
      <w:r>
        <w:rPr>
          <w:rFonts w:ascii="Times New Roman" w:cs="Times New Roman" w:eastAsia="Times New Roman" w:hAnsi="Times New Roman"/>
          <w:sz w:val="18"/>
          <w:szCs w:val="18"/>
          <w:b w:val="1"/>
          <w:bCs w:val="1"/>
          <w:color w:val="auto"/>
        </w:rPr>
        <w:t>This Proxy Statement and the Annual Report are available on the Internet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b w:val="1"/>
          <w:bCs w:val="1"/>
          <w:u w:val="single" w:color="auto"/>
          <w:color w:val="auto"/>
        </w:rPr>
        <w:t>www.envisionreports.com/VTGN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Record Date and Shares</w:t>
            </w:r>
          </w:p>
        </w:tc>
        <w:tc>
          <w:tcPr>
            <w:tcW w:w="882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Each of the specific proposals to be considered and acted upon at the Annual Meeting is described in this Proxy</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8820" w:type="dxa"/>
            <w:vAlign w:val="bottom"/>
            <w:gridSpan w:val="5"/>
            <w:shd w:val="clear" w:color="auto" w:fill="CCEEFF"/>
          </w:tcPr>
          <w:p>
            <w:pPr>
              <w:ind w:left="540"/>
              <w:spacing w:after="0" w:line="184" w:lineRule="exact"/>
              <w:rPr>
                <w:sz w:val="20"/>
                <w:szCs w:val="20"/>
                <w:color w:val="auto"/>
              </w:rPr>
            </w:pPr>
            <w:r>
              <w:rPr>
                <w:rFonts w:ascii="Times New Roman" w:cs="Times New Roman" w:eastAsia="Times New Roman" w:hAnsi="Times New Roman"/>
                <w:sz w:val="18"/>
                <w:szCs w:val="18"/>
                <w:color w:val="auto"/>
              </w:rPr>
              <w:t xml:space="preserve">Statement. Only holders of our common stock as of the close of business on July 5, 2024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are</w:t>
            </w: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spacing w:after="0"/>
              <w:rPr>
                <w:sz w:val="20"/>
                <w:szCs w:val="20"/>
                <w:color w:val="auto"/>
              </w:rPr>
            </w:pPr>
          </w:p>
        </w:tc>
        <w:tc>
          <w:tcPr>
            <w:tcW w:w="882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entitled to notice of and to vote at the Annual Meeting.</w:t>
            </w:r>
          </w:p>
        </w:tc>
        <w:tc>
          <w:tcPr>
            <w:tcW w:w="0" w:type="dxa"/>
            <w:vAlign w:val="bottom"/>
          </w:tcPr>
          <w:p>
            <w:pPr>
              <w:spacing w:after="0"/>
              <w:rPr>
                <w:sz w:val="1"/>
                <w:szCs w:val="1"/>
                <w:color w:val="auto"/>
              </w:rPr>
            </w:pPr>
          </w:p>
        </w:tc>
      </w:tr>
      <w:tr>
        <w:trPr>
          <w:trHeight w:val="341"/>
        </w:trPr>
        <w:tc>
          <w:tcPr>
            <w:tcW w:w="2420" w:type="dxa"/>
            <w:vAlign w:val="bottom"/>
            <w:shd w:val="clear" w:color="auto" w:fill="CCEEFF"/>
          </w:tcPr>
          <w:p>
            <w:pPr>
              <w:spacing w:after="0"/>
              <w:rPr>
                <w:sz w:val="24"/>
                <w:szCs w:val="24"/>
                <w:color w:val="auto"/>
              </w:rPr>
            </w:pPr>
          </w:p>
        </w:tc>
        <w:tc>
          <w:tcPr>
            <w:tcW w:w="882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On the Record Date, there were 27,055,107 shares of our common stock, par value $0.001 per share, outstanding.</w:t>
            </w: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spacing w:after="0"/>
              <w:rPr>
                <w:sz w:val="20"/>
                <w:szCs w:val="20"/>
                <w:color w:val="auto"/>
              </w:rPr>
            </w:pPr>
          </w:p>
        </w:tc>
        <w:tc>
          <w:tcPr>
            <w:tcW w:w="882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Each holder of common stock is entitled to one vote for each share held as of the Record Date.</w:t>
            </w:r>
          </w:p>
        </w:tc>
        <w:tc>
          <w:tcPr>
            <w:tcW w:w="0" w:type="dxa"/>
            <w:vAlign w:val="bottom"/>
          </w:tcPr>
          <w:p>
            <w:pPr>
              <w:spacing w:after="0"/>
              <w:rPr>
                <w:sz w:val="1"/>
                <w:szCs w:val="1"/>
                <w:color w:val="auto"/>
              </w:rPr>
            </w:pPr>
          </w:p>
        </w:tc>
      </w:tr>
      <w:tr>
        <w:trPr>
          <w:trHeight w:val="41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Quorum</w:t>
            </w:r>
          </w:p>
        </w:tc>
        <w:tc>
          <w:tcPr>
            <w:tcW w:w="882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The holders of more than one-third (1/3) of the shares entitled to vote as of the Record Date must be represented</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8820" w:type="dxa"/>
            <w:vAlign w:val="bottom"/>
            <w:gridSpan w:val="5"/>
          </w:tcPr>
          <w:p>
            <w:pPr>
              <w:ind w:left="540"/>
              <w:spacing w:after="0" w:line="181" w:lineRule="exact"/>
              <w:rPr>
                <w:sz w:val="20"/>
                <w:szCs w:val="20"/>
                <w:color w:val="auto"/>
              </w:rPr>
            </w:pPr>
            <w:r>
              <w:rPr>
                <w:rFonts w:ascii="Times New Roman" w:cs="Times New Roman" w:eastAsia="Times New Roman" w:hAnsi="Times New Roman"/>
                <w:sz w:val="18"/>
                <w:szCs w:val="18"/>
                <w:color w:val="auto"/>
              </w:rPr>
              <w:t>at the Annual Meeting, either in person or by properly executed proxy, to achieve a quorum for the Meeting. If a</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8820" w:type="dxa"/>
            <w:vAlign w:val="bottom"/>
            <w:gridSpan w:val="5"/>
          </w:tcPr>
          <w:p>
            <w:pPr>
              <w:ind w:left="540"/>
              <w:spacing w:after="0" w:line="176" w:lineRule="exact"/>
              <w:rPr>
                <w:sz w:val="20"/>
                <w:szCs w:val="20"/>
                <w:color w:val="auto"/>
              </w:rPr>
            </w:pPr>
            <w:r>
              <w:rPr>
                <w:rFonts w:ascii="Times New Roman" w:cs="Times New Roman" w:eastAsia="Times New Roman" w:hAnsi="Times New Roman"/>
                <w:sz w:val="18"/>
                <w:szCs w:val="18"/>
                <w:color w:val="auto"/>
              </w:rPr>
              <w:t>quorum is not present at the scheduled time of the Annual Meeting, either the Chair of the Meeting or the</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8820" w:type="dxa"/>
            <w:vAlign w:val="bottom"/>
            <w:gridSpan w:val="5"/>
          </w:tcPr>
          <w:p>
            <w:pPr>
              <w:ind w:left="540"/>
              <w:spacing w:after="0" w:line="184" w:lineRule="exact"/>
              <w:rPr>
                <w:sz w:val="20"/>
                <w:szCs w:val="20"/>
                <w:color w:val="auto"/>
              </w:rPr>
            </w:pPr>
            <w:r>
              <w:rPr>
                <w:rFonts w:ascii="Times New Roman" w:cs="Times New Roman" w:eastAsia="Times New Roman" w:hAnsi="Times New Roman"/>
                <w:sz w:val="18"/>
                <w:szCs w:val="18"/>
                <w:color w:val="auto"/>
              </w:rPr>
              <w:t>stockholders who are present may adjourn the Meeting until a quorum is present. If necessary, the time and place</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8820" w:type="dxa"/>
            <w:vAlign w:val="bottom"/>
            <w:gridSpan w:val="5"/>
          </w:tcPr>
          <w:p>
            <w:pPr>
              <w:ind w:left="540"/>
              <w:spacing w:after="0" w:line="181" w:lineRule="exact"/>
              <w:rPr>
                <w:sz w:val="20"/>
                <w:szCs w:val="20"/>
                <w:color w:val="auto"/>
              </w:rPr>
            </w:pPr>
            <w:r>
              <w:rPr>
                <w:rFonts w:ascii="Times New Roman" w:cs="Times New Roman" w:eastAsia="Times New Roman" w:hAnsi="Times New Roman"/>
                <w:sz w:val="18"/>
                <w:szCs w:val="18"/>
                <w:color w:val="auto"/>
              </w:rPr>
              <w:t>of the adjourned Annual Meeting will be announced at the time the adjournment is taken, and no other notice will</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882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be given. An adjournment will have no effect on the business that may be conducted at the Annual Meeting.</w:t>
            </w:r>
          </w:p>
        </w:tc>
        <w:tc>
          <w:tcPr>
            <w:tcW w:w="0" w:type="dxa"/>
            <w:vAlign w:val="bottom"/>
          </w:tcPr>
          <w:p>
            <w:pPr>
              <w:spacing w:after="0"/>
              <w:rPr>
                <w:sz w:val="1"/>
                <w:szCs w:val="1"/>
                <w:color w:val="auto"/>
              </w:rPr>
            </w:pPr>
          </w:p>
        </w:tc>
      </w:tr>
      <w:tr>
        <w:trPr>
          <w:trHeight w:val="225"/>
        </w:trPr>
        <w:tc>
          <w:tcPr>
            <w:tcW w:w="24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Stockholder List</w:t>
            </w:r>
          </w:p>
        </w:tc>
        <w:tc>
          <w:tcPr>
            <w:tcW w:w="8820" w:type="dxa"/>
            <w:vAlign w:val="bottom"/>
            <w:gridSpan w:val="5"/>
            <w:shd w:val="clear" w:color="auto" w:fill="CCEEFF"/>
          </w:tcPr>
          <w:p>
            <w:pPr>
              <w:ind w:left="540"/>
              <w:spacing w:after="0" w:line="184" w:lineRule="exact"/>
              <w:rPr>
                <w:sz w:val="20"/>
                <w:szCs w:val="20"/>
                <w:color w:val="auto"/>
              </w:rPr>
            </w:pPr>
            <w:r>
              <w:rPr>
                <w:rFonts w:ascii="Times New Roman" w:cs="Times New Roman" w:eastAsia="Times New Roman" w:hAnsi="Times New Roman"/>
                <w:sz w:val="18"/>
                <w:szCs w:val="18"/>
                <w:color w:val="auto"/>
              </w:rPr>
              <w:t>A list of registered stockholders as of the close of business on the Record Date will be open for examination by</w:t>
            </w:r>
          </w:p>
        </w:tc>
        <w:tc>
          <w:tcPr>
            <w:tcW w:w="0" w:type="dxa"/>
            <w:vAlign w:val="bottom"/>
          </w:tcPr>
          <w:p>
            <w:pPr>
              <w:spacing w:after="0"/>
              <w:rPr>
                <w:sz w:val="1"/>
                <w:szCs w:val="1"/>
                <w:color w:val="auto"/>
              </w:rPr>
            </w:pPr>
          </w:p>
        </w:tc>
      </w:tr>
      <w:tr>
        <w:trPr>
          <w:trHeight w:val="180"/>
        </w:trPr>
        <w:tc>
          <w:tcPr>
            <w:tcW w:w="2420" w:type="dxa"/>
            <w:vAlign w:val="bottom"/>
            <w:shd w:val="clear" w:color="auto" w:fill="CCEEFF"/>
          </w:tcPr>
          <w:p>
            <w:pPr>
              <w:spacing w:after="0"/>
              <w:rPr>
                <w:sz w:val="15"/>
                <w:szCs w:val="15"/>
                <w:color w:val="auto"/>
              </w:rPr>
            </w:pPr>
          </w:p>
        </w:tc>
        <w:tc>
          <w:tcPr>
            <w:tcW w:w="8820" w:type="dxa"/>
            <w:vAlign w:val="bottom"/>
            <w:gridSpan w:val="5"/>
            <w:shd w:val="clear" w:color="auto" w:fill="CCEEFF"/>
          </w:tcPr>
          <w:p>
            <w:pPr>
              <w:ind w:left="540"/>
              <w:spacing w:after="0" w:line="181" w:lineRule="exact"/>
              <w:rPr>
                <w:sz w:val="20"/>
                <w:szCs w:val="20"/>
                <w:color w:val="auto"/>
              </w:rPr>
            </w:pPr>
            <w:r>
              <w:rPr>
                <w:rFonts w:ascii="Times New Roman" w:cs="Times New Roman" w:eastAsia="Times New Roman" w:hAnsi="Times New Roman"/>
                <w:sz w:val="18"/>
                <w:szCs w:val="18"/>
                <w:color w:val="auto"/>
              </w:rPr>
              <w:t>any stockholder for a period of ten days prior to the Annual Meeting for a purpose pertaining to the Meeting by</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spacing w:after="0"/>
              <w:rPr>
                <w:sz w:val="16"/>
                <w:szCs w:val="16"/>
                <w:color w:val="auto"/>
              </w:rPr>
            </w:pPr>
          </w:p>
        </w:tc>
        <w:tc>
          <w:tcPr>
            <w:tcW w:w="8820" w:type="dxa"/>
            <w:vAlign w:val="bottom"/>
            <w:gridSpan w:val="5"/>
            <w:shd w:val="clear" w:color="auto" w:fill="CCEEFF"/>
          </w:tcPr>
          <w:p>
            <w:pPr>
              <w:ind w:left="540"/>
              <w:spacing w:after="0" w:line="189" w:lineRule="exact"/>
              <w:rPr>
                <w:sz w:val="20"/>
                <w:szCs w:val="20"/>
                <w:color w:val="auto"/>
              </w:rPr>
            </w:pPr>
            <w:r>
              <w:rPr>
                <w:rFonts w:ascii="Times New Roman" w:cs="Times New Roman" w:eastAsia="Times New Roman" w:hAnsi="Times New Roman"/>
                <w:sz w:val="18"/>
                <w:szCs w:val="18"/>
                <w:color w:val="auto"/>
              </w:rPr>
              <w:t>sending an email to corp.secretary@vistagen.com, stating the purpose of the request and providing proof of</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560" w:type="dxa"/>
            <w:vAlign w:val="bottom"/>
            <w:gridSpan w:val="2"/>
            <w:vMerge w:val="restart"/>
            <w:shd w:val="clear" w:color="auto" w:fill="CCEEFF"/>
          </w:tcPr>
          <w:p>
            <w:pPr>
              <w:ind w:left="40"/>
              <w:spacing w:after="0" w:line="170" w:lineRule="exact"/>
              <w:rPr>
                <w:sz w:val="20"/>
                <w:szCs w:val="20"/>
                <w:color w:val="auto"/>
              </w:rPr>
            </w:pPr>
            <w:r>
              <w:rPr>
                <w:rFonts w:ascii="Times New Roman" w:cs="Times New Roman" w:eastAsia="Times New Roman" w:hAnsi="Times New Roman"/>
                <w:sz w:val="18"/>
                <w:szCs w:val="18"/>
                <w:color w:val="auto"/>
              </w:rPr>
              <w:t>be available for examination by stockholders of record during</w:t>
            </w:r>
          </w:p>
        </w:tc>
        <w:tc>
          <w:tcPr>
            <w:tcW w:w="0" w:type="dxa"/>
            <w:vAlign w:val="bottom"/>
          </w:tcPr>
          <w:p>
            <w:pPr>
              <w:spacing w:after="0" w:line="20" w:lineRule="exact"/>
              <w:rPr>
                <w:sz w:val="1"/>
                <w:szCs w:val="1"/>
                <w:color w:val="auto"/>
              </w:rPr>
            </w:pPr>
          </w:p>
        </w:tc>
      </w:tr>
      <w:tr>
        <w:trPr>
          <w:trHeight w:val="151"/>
        </w:trPr>
        <w:tc>
          <w:tcPr>
            <w:tcW w:w="2420" w:type="dxa"/>
            <w:vAlign w:val="bottom"/>
            <w:shd w:val="clear" w:color="auto" w:fill="CCEEFF"/>
          </w:tcPr>
          <w:p>
            <w:pPr>
              <w:spacing w:after="0"/>
              <w:rPr>
                <w:sz w:val="13"/>
                <w:szCs w:val="13"/>
                <w:color w:val="auto"/>
              </w:rPr>
            </w:pPr>
          </w:p>
        </w:tc>
        <w:tc>
          <w:tcPr>
            <w:tcW w:w="4260" w:type="dxa"/>
            <w:vAlign w:val="bottom"/>
            <w:gridSpan w:val="3"/>
            <w:shd w:val="clear" w:color="auto" w:fill="CCEEFF"/>
          </w:tcPr>
          <w:p>
            <w:pPr>
              <w:ind w:left="540"/>
              <w:spacing w:after="0" w:line="150" w:lineRule="exact"/>
              <w:rPr>
                <w:sz w:val="20"/>
                <w:szCs w:val="20"/>
                <w:color w:val="auto"/>
              </w:rPr>
            </w:pPr>
            <w:r>
              <w:rPr>
                <w:rFonts w:ascii="Times New Roman" w:cs="Times New Roman" w:eastAsia="Times New Roman" w:hAnsi="Times New Roman"/>
                <w:sz w:val="17"/>
                <w:szCs w:val="17"/>
                <w:color w:val="auto"/>
              </w:rPr>
              <w:t>ownership of our common stock. This list will also</w:t>
            </w:r>
          </w:p>
        </w:tc>
        <w:tc>
          <w:tcPr>
            <w:tcW w:w="45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spacing w:after="0"/>
              <w:rPr>
                <w:sz w:val="16"/>
                <w:szCs w:val="16"/>
                <w:color w:val="auto"/>
              </w:rPr>
            </w:pPr>
          </w:p>
        </w:tc>
        <w:tc>
          <w:tcPr>
            <w:tcW w:w="8820" w:type="dxa"/>
            <w:vAlign w:val="bottom"/>
            <w:gridSpan w:val="5"/>
            <w:shd w:val="clear" w:color="auto" w:fill="CCEEFF"/>
          </w:tcPr>
          <w:p>
            <w:pPr>
              <w:ind w:left="540"/>
              <w:spacing w:after="0" w:line="194" w:lineRule="exact"/>
              <w:rPr>
                <w:sz w:val="20"/>
                <w:szCs w:val="20"/>
                <w:color w:val="auto"/>
              </w:rPr>
            </w:pPr>
            <w:r>
              <w:rPr>
                <w:rFonts w:ascii="Times New Roman" w:cs="Times New Roman" w:eastAsia="Times New Roman" w:hAnsi="Times New Roman"/>
                <w:sz w:val="18"/>
                <w:szCs w:val="18"/>
                <w:color w:val="auto"/>
              </w:rPr>
              <w:t>the Annual Meeting webcast at: https://meetnow.global/MFHSZ94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Attendance at Virtual Annual</w:t>
            </w:r>
          </w:p>
        </w:tc>
        <w:tc>
          <w:tcPr>
            <w:tcW w:w="8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We will host the Annual Meeting live and only online, via Internet webcast. You may attend the Annual Meeting</w:t>
            </w: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Meeting</w:t>
            </w:r>
          </w:p>
        </w:tc>
        <w:tc>
          <w:tcPr>
            <w:tcW w:w="82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auto"/>
              </w:rPr>
              <w:t>virtually by visiting the following web address: https://meetnow.global/MFHSZ94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960" w:type="dxa"/>
            <w:vAlign w:val="bottom"/>
          </w:tcPr>
          <w:p>
            <w:pPr>
              <w:spacing w:after="0"/>
              <w:rPr>
                <w:sz w:val="24"/>
                <w:szCs w:val="24"/>
                <w:color w:val="auto"/>
              </w:rPr>
            </w:pPr>
          </w:p>
        </w:tc>
        <w:tc>
          <w:tcPr>
            <w:tcW w:w="8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Annual Meeting webcast will start at 9:00 am Pacific Daylight Time, on Monday, August 26, 2024.</w:t>
            </w:r>
          </w:p>
        </w:tc>
        <w:tc>
          <w:tcPr>
            <w:tcW w:w="0" w:type="dxa"/>
            <w:vAlign w:val="bottom"/>
          </w:tcPr>
          <w:p>
            <w:pPr>
              <w:spacing w:after="0"/>
              <w:rPr>
                <w:sz w:val="1"/>
                <w:szCs w:val="1"/>
                <w:color w:val="auto"/>
              </w:rPr>
            </w:pPr>
          </w:p>
        </w:tc>
      </w:tr>
      <w:tr>
        <w:trPr>
          <w:trHeight w:val="297"/>
        </w:trPr>
        <w:tc>
          <w:tcPr>
            <w:tcW w:w="2960" w:type="dxa"/>
            <w:vAlign w:val="bottom"/>
          </w:tcPr>
          <w:p>
            <w:pPr>
              <w:spacing w:after="0"/>
              <w:rPr>
                <w:sz w:val="24"/>
                <w:szCs w:val="24"/>
                <w:color w:val="auto"/>
              </w:rPr>
            </w:pPr>
          </w:p>
        </w:tc>
        <w:tc>
          <w:tcPr>
            <w:tcW w:w="82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To attend the Annual Meeting virtually please go to https://meetnow.global/MFHSZ94. You have the option to log</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02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If you are a stockholder of</w:t>
            </w:r>
          </w:p>
        </w:tc>
        <w:tc>
          <w:tcPr>
            <w:tcW w:w="0" w:type="dxa"/>
            <w:vAlign w:val="bottom"/>
          </w:tcPr>
          <w:p>
            <w:pPr>
              <w:spacing w:after="0" w:line="20" w:lineRule="exact"/>
              <w:rPr>
                <w:sz w:val="1"/>
                <w:szCs w:val="1"/>
                <w:color w:val="auto"/>
              </w:rPr>
            </w:pPr>
          </w:p>
        </w:tc>
      </w:tr>
      <w:tr>
        <w:trPr>
          <w:trHeight w:val="155"/>
        </w:trPr>
        <w:tc>
          <w:tcPr>
            <w:tcW w:w="2960" w:type="dxa"/>
            <w:vAlign w:val="bottom"/>
          </w:tcPr>
          <w:p>
            <w:pPr>
              <w:spacing w:after="0"/>
              <w:rPr>
                <w:sz w:val="13"/>
                <w:szCs w:val="13"/>
                <w:color w:val="auto"/>
              </w:rPr>
            </w:pPr>
          </w:p>
        </w:tc>
        <w:tc>
          <w:tcPr>
            <w:tcW w:w="6260" w:type="dxa"/>
            <w:vAlign w:val="bottom"/>
            <w:gridSpan w:val="7"/>
          </w:tcPr>
          <w:p>
            <w:pPr>
              <w:spacing w:after="0" w:line="156" w:lineRule="exact"/>
              <w:rPr>
                <w:sz w:val="20"/>
                <w:szCs w:val="20"/>
                <w:color w:val="auto"/>
              </w:rPr>
            </w:pPr>
            <w:r>
              <w:rPr>
                <w:rFonts w:ascii="Times New Roman" w:cs="Times New Roman" w:eastAsia="Times New Roman" w:hAnsi="Times New Roman"/>
                <w:sz w:val="18"/>
                <w:szCs w:val="18"/>
                <w:color w:val="auto"/>
              </w:rPr>
              <w:t>in to the Annual Meeting as a “stockholder” with a control number or as a “guest.”</w:t>
            </w:r>
          </w:p>
        </w:tc>
        <w:tc>
          <w:tcPr>
            <w:tcW w:w="2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82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record (i.e., if you hold your shares through Computershare, our registrar and transfer agent), you may log in to</w:t>
            </w: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6"/>
                <w:szCs w:val="16"/>
                <w:color w:val="auto"/>
              </w:rPr>
            </w:pPr>
          </w:p>
        </w:tc>
        <w:tc>
          <w:tcPr>
            <w:tcW w:w="828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the Annual Meeting as a stockholder using the control number which can be found on your Notice and proxy</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828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card. If you are not a stockholder of record (i.e. if you do not hold your shares through Computershare), but hold</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82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shares through an intermediary, such as a bank or broker, trustee or nominee (sometimes referred to as holding in</w:t>
            </w: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6"/>
                <w:szCs w:val="16"/>
                <w:color w:val="auto"/>
              </w:rPr>
            </w:pPr>
          </w:p>
        </w:tc>
        <w:tc>
          <w:tcPr>
            <w:tcW w:w="828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“street name”), you may attend the Annual Meeting as “guest” by entering your name and email address. As a</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828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guest, you will have access to the Annual Meeting materials and will be able to ask questions during the Annual</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8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Meeting, but you will not be able to vote during the Meeting.</w:t>
            </w:r>
          </w:p>
        </w:tc>
        <w:tc>
          <w:tcPr>
            <w:tcW w:w="0" w:type="dxa"/>
            <w:vAlign w:val="bottom"/>
          </w:tcPr>
          <w:p>
            <w:pPr>
              <w:spacing w:after="0"/>
              <w:rPr>
                <w:sz w:val="1"/>
                <w:szCs w:val="1"/>
                <w:color w:val="auto"/>
              </w:rPr>
            </w:pPr>
          </w:p>
        </w:tc>
      </w:tr>
      <w:tr>
        <w:trPr>
          <w:trHeight w:val="306"/>
        </w:trPr>
        <w:tc>
          <w:tcPr>
            <w:tcW w:w="2960" w:type="dxa"/>
            <w:vAlign w:val="bottom"/>
          </w:tcPr>
          <w:p>
            <w:pPr>
              <w:spacing w:after="0"/>
              <w:rPr>
                <w:sz w:val="24"/>
                <w:szCs w:val="24"/>
                <w:color w:val="auto"/>
              </w:rPr>
            </w:pPr>
          </w:p>
        </w:tc>
        <w:tc>
          <w:tcPr>
            <w:tcW w:w="8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and you desire to vote during the</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82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Annual Meeting, you must register in advance to virtually attend the Meeting virtually as a stockholder. To</w:t>
            </w: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6"/>
                <w:szCs w:val="16"/>
                <w:color w:val="auto"/>
              </w:rPr>
            </w:pPr>
          </w:p>
        </w:tc>
        <w:tc>
          <w:tcPr>
            <w:tcW w:w="828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register to attend the Annual Meeting virtually as a stockholder, you must provide proof of beneficial ownership</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828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as of the Record Date, such as an account statement, legal proxy from your broker, or similar evidence of</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82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ownership along with your name and email address to Computershare. Requests for Annual Meeting registration</w:t>
            </w: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6"/>
                <w:szCs w:val="16"/>
                <w:color w:val="auto"/>
              </w:rPr>
            </w:pPr>
          </w:p>
        </w:tc>
        <w:tc>
          <w:tcPr>
            <w:tcW w:w="828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of beneficial owners must be labeled as “Legal Proxy” and be received no later than 5:00 p.m., Eastern Daylight</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828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Time, on August 19, 2024. You will receive confirmation of your Annual Meeting registration by email after</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82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Computershare receives your registration materials. Requests for registration should be directed by email to</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82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auto"/>
              </w:rPr>
              <w:t>legalproxy@computershare.com or by mail to Computershare, Vistagen Therapeutics, Inc. Legal Proxy, P.O. Box</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60" w:type="dxa"/>
            <w:vAlign w:val="bottom"/>
          </w:tcPr>
          <w:p>
            <w:pPr>
              <w:spacing w:after="0"/>
              <w:rPr>
                <w:sz w:val="13"/>
                <w:szCs w:val="13"/>
                <w:color w:val="auto"/>
              </w:rPr>
            </w:pPr>
          </w:p>
        </w:tc>
        <w:tc>
          <w:tcPr>
            <w:tcW w:w="8280" w:type="dxa"/>
            <w:vAlign w:val="bottom"/>
            <w:gridSpan w:val="8"/>
          </w:tcPr>
          <w:p>
            <w:pPr>
              <w:spacing w:after="0" w:line="150" w:lineRule="exact"/>
              <w:rPr>
                <w:sz w:val="20"/>
                <w:szCs w:val="20"/>
                <w:color w:val="auto"/>
              </w:rPr>
            </w:pPr>
            <w:r>
              <w:rPr>
                <w:rFonts w:ascii="Times New Roman" w:cs="Times New Roman" w:eastAsia="Times New Roman" w:hAnsi="Times New Roman"/>
                <w:sz w:val="17"/>
                <w:szCs w:val="17"/>
                <w:color w:val="auto"/>
              </w:rPr>
              <w:t>43001, Providence, RI 02940-3001. You will receive a confirmation email from Computershare of your Annual</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8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Meeting registration and will receive a control number to enter the Meeting as a stockholder.</w:t>
            </w:r>
          </w:p>
        </w:tc>
        <w:tc>
          <w:tcPr>
            <w:tcW w:w="0" w:type="dxa"/>
            <w:vAlign w:val="bottom"/>
          </w:tcPr>
          <w:p>
            <w:pPr>
              <w:spacing w:after="0"/>
              <w:rPr>
                <w:sz w:val="1"/>
                <w:szCs w:val="1"/>
                <w:color w:val="auto"/>
              </w:rPr>
            </w:pPr>
          </w:p>
        </w:tc>
      </w:tr>
      <w:tr>
        <w:trPr>
          <w:trHeight w:val="306"/>
        </w:trPr>
        <w:tc>
          <w:tcPr>
            <w:tcW w:w="2960" w:type="dxa"/>
            <w:vAlign w:val="bottom"/>
          </w:tcPr>
          <w:p>
            <w:pPr>
              <w:spacing w:after="0"/>
              <w:rPr>
                <w:sz w:val="24"/>
                <w:szCs w:val="24"/>
                <w:color w:val="auto"/>
              </w:rPr>
            </w:pPr>
          </w:p>
        </w:tc>
        <w:tc>
          <w:tcPr>
            <w:tcW w:w="8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Whether you attend the Annual Meeting virtually as a stockholder or as a guest, please allow yourself ample time</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8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 the online check-in procedures.</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Questions at the Annual Meeting</w:t>
            </w:r>
          </w:p>
        </w:tc>
        <w:tc>
          <w:tcPr>
            <w:tcW w:w="8280" w:type="dxa"/>
            <w:vAlign w:val="bottom"/>
            <w:gridSpan w:val="8"/>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If you wish to submit a question during the Annual Meeting, you may log in online, and ask a question on our</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spacing w:after="0"/>
              <w:rPr>
                <w:sz w:val="16"/>
                <w:szCs w:val="16"/>
                <w:color w:val="auto"/>
              </w:rPr>
            </w:pPr>
          </w:p>
        </w:tc>
        <w:tc>
          <w:tcPr>
            <w:tcW w:w="828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virtual Annual Meeting platform at: https://meetnow.global/MFHSZ94</w:t>
            </w:r>
          </w:p>
        </w:tc>
        <w:tc>
          <w:tcPr>
            <w:tcW w:w="0" w:type="dxa"/>
            <w:vAlign w:val="bottom"/>
          </w:tcPr>
          <w:p>
            <w:pPr>
              <w:spacing w:after="0"/>
              <w:rPr>
                <w:sz w:val="1"/>
                <w:szCs w:val="1"/>
                <w:color w:val="auto"/>
              </w:rPr>
            </w:pPr>
          </w:p>
        </w:tc>
      </w:tr>
      <w:tr>
        <w:trPr>
          <w:trHeight w:val="20"/>
        </w:trPr>
        <w:tc>
          <w:tcPr>
            <w:tcW w:w="2960" w:type="dxa"/>
            <w:vAlign w:val="bottom"/>
            <w:shd w:val="clear" w:color="auto" w:fill="CCEEFF"/>
          </w:tcPr>
          <w:p>
            <w:pPr>
              <w:spacing w:after="0" w:line="20" w:lineRule="exact"/>
              <w:rPr>
                <w:sz w:val="1"/>
                <w:szCs w:val="1"/>
                <w:color w:val="auto"/>
              </w:rPr>
            </w:pPr>
          </w:p>
        </w:tc>
        <w:tc>
          <w:tcPr>
            <w:tcW w:w="2640" w:type="dxa"/>
            <w:vAlign w:val="bottom"/>
            <w:gridSpan w:val="2"/>
            <w:shd w:val="clear" w:color="auto" w:fill="CCEEFF"/>
          </w:tcPr>
          <w:p>
            <w:pPr>
              <w:spacing w:after="0" w:line="20" w:lineRule="exact"/>
              <w:rPr>
                <w:sz w:val="1"/>
                <w:szCs w:val="1"/>
                <w:color w:val="auto"/>
              </w:rPr>
            </w:pPr>
          </w:p>
        </w:tc>
        <w:tc>
          <w:tcPr>
            <w:tcW w:w="2460" w:type="dxa"/>
            <w:vAlign w:val="bottom"/>
            <w:gridSpan w:val="3"/>
            <w:shd w:val="clear" w:color="auto" w:fill="000000"/>
          </w:tcPr>
          <w:p>
            <w:pPr>
              <w:spacing w:after="0" w:line="20" w:lineRule="exact"/>
              <w:rPr>
                <w:sz w:val="1"/>
                <w:szCs w:val="1"/>
                <w:color w:val="auto"/>
              </w:rPr>
            </w:pPr>
          </w:p>
        </w:tc>
        <w:tc>
          <w:tcPr>
            <w:tcW w:w="3180" w:type="dxa"/>
            <w:vAlign w:val="bottom"/>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960" w:type="dxa"/>
            <w:vAlign w:val="bottom"/>
            <w:shd w:val="clear" w:color="auto" w:fill="CCEEFF"/>
          </w:tcPr>
          <w:p>
            <w:pPr>
              <w:spacing w:after="0"/>
              <w:rPr>
                <w:sz w:val="24"/>
                <w:szCs w:val="24"/>
                <w:color w:val="auto"/>
              </w:rPr>
            </w:pPr>
          </w:p>
        </w:tc>
        <w:tc>
          <w:tcPr>
            <w:tcW w:w="8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Our Annual Meeting will be governed by our Rules of Conduct which will be available on the virtual Meeting</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spacing w:after="0"/>
              <w:rPr>
                <w:sz w:val="15"/>
                <w:szCs w:val="15"/>
                <w:color w:val="auto"/>
              </w:rPr>
            </w:pPr>
          </w:p>
        </w:tc>
        <w:tc>
          <w:tcPr>
            <w:tcW w:w="8280" w:type="dxa"/>
            <w:vAlign w:val="bottom"/>
            <w:gridSpan w:val="8"/>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platform during the Meeting. The Rules of Conduct will address the ability of stockholders to ask questions</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spacing w:after="0"/>
              <w:rPr>
                <w:sz w:val="15"/>
                <w:szCs w:val="15"/>
                <w:color w:val="auto"/>
              </w:rPr>
            </w:pPr>
          </w:p>
        </w:tc>
        <w:tc>
          <w:tcPr>
            <w:tcW w:w="82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during the Annual Meeting, including rules on permissible topics, and rules for how questions and comments will</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19"/>
                <w:szCs w:val="19"/>
                <w:color w:val="auto"/>
              </w:rPr>
            </w:pPr>
          </w:p>
        </w:tc>
        <w:tc>
          <w:tcPr>
            <w:tcW w:w="8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be recognized and disclosed to Meeting participants.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 w:name="page7"/>
    <w:bookmarkEnd w:id="6"/>
    <w:p>
      <w:pPr>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Voting</w:t>
      </w:r>
      <w:r>
        <w:rPr>
          <w:sz w:val="20"/>
          <w:szCs w:val="20"/>
          <w:color w:val="auto"/>
        </w:rPr>
        <w:tab/>
      </w:r>
      <w:r>
        <w:rPr>
          <w:rFonts w:ascii="Times New Roman" w:cs="Times New Roman" w:eastAsia="Times New Roman" w:hAnsi="Times New Roman"/>
          <w:sz w:val="18"/>
          <w:szCs w:val="18"/>
          <w:color w:val="auto"/>
        </w:rPr>
        <w:t>There are four (4) ways a stockholder of record can vote:</w:t>
      </w:r>
    </w:p>
    <w:p>
      <w:pPr>
        <w:spacing w:after="0" w:line="146" w:lineRule="exact"/>
        <w:rPr>
          <w:sz w:val="20"/>
          <w:szCs w:val="20"/>
          <w:color w:val="auto"/>
        </w:rPr>
      </w:pPr>
    </w:p>
    <w:p>
      <w:pPr>
        <w:ind w:left="2940" w:firstLine="9"/>
        <w:spacing w:after="0" w:line="253" w:lineRule="auto"/>
        <w:tabs>
          <w:tab w:leader="none" w:pos="31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If you are a stockholder as of the Record Date, you may vote over the Internet by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provided in the Notice.</w:t>
      </w:r>
    </w:p>
    <w:p>
      <w:pPr>
        <w:spacing w:after="0" w:line="103" w:lineRule="exact"/>
        <w:rPr>
          <w:rFonts w:ascii="Times New Roman" w:cs="Times New Roman" w:eastAsia="Times New Roman" w:hAnsi="Times New Roman"/>
          <w:sz w:val="18"/>
          <w:szCs w:val="18"/>
          <w:color w:val="auto"/>
        </w:rPr>
      </w:pPr>
    </w:p>
    <w:p>
      <w:pPr>
        <w:ind w:left="2940" w:firstLine="9"/>
        <w:spacing w:after="0" w:line="253" w:lineRule="auto"/>
        <w:tabs>
          <w:tab w:leader="none" w:pos="31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If you are a stockholder as of the Record Date, you may vote by telephone by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in the Notice.</w:t>
      </w:r>
    </w:p>
    <w:p>
      <w:pPr>
        <w:spacing w:after="0" w:line="103" w:lineRule="exact"/>
        <w:rPr>
          <w:rFonts w:ascii="Times New Roman" w:cs="Times New Roman" w:eastAsia="Times New Roman" w:hAnsi="Times New Roman"/>
          <w:sz w:val="18"/>
          <w:szCs w:val="18"/>
          <w:color w:val="auto"/>
        </w:rPr>
      </w:pPr>
    </w:p>
    <w:p>
      <w:pPr>
        <w:ind w:left="2940" w:firstLine="9"/>
        <w:spacing w:after="0" w:line="253" w:lineRule="auto"/>
        <w:tabs>
          <w:tab w:leader="none" w:pos="31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requested printed copies of proxy materials and are a stockholder as of the Record Date,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vote by mailing your proxy as described in the proxy materials.</w:t>
      </w:r>
    </w:p>
    <w:p>
      <w:pPr>
        <w:spacing w:after="0" w:line="103" w:lineRule="exact"/>
        <w:rPr>
          <w:rFonts w:ascii="Times New Roman" w:cs="Times New Roman" w:eastAsia="Times New Roman" w:hAnsi="Times New Roman"/>
          <w:sz w:val="18"/>
          <w:szCs w:val="18"/>
          <w:color w:val="auto"/>
        </w:rPr>
      </w:pPr>
    </w:p>
    <w:p>
      <w:pPr>
        <w:ind w:left="2940" w:firstLine="9"/>
        <w:spacing w:after="0" w:line="253" w:lineRule="auto"/>
        <w:tabs>
          <w:tab w:leader="none" w:pos="31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During the Annual Meeting</w:t>
      </w:r>
      <w:r>
        <w:rPr>
          <w:rFonts w:ascii="Times New Roman" w:cs="Times New Roman" w:eastAsia="Times New Roman" w:hAnsi="Times New Roman"/>
          <w:sz w:val="18"/>
          <w:szCs w:val="18"/>
          <w:color w:val="auto"/>
        </w:rPr>
        <w:t>: The Annual Meeting will be held exclusively virtually via the Internet, and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only be accessed at: </w:t>
      </w:r>
      <w:r>
        <w:rPr>
          <w:rFonts w:ascii="Times New Roman" w:cs="Times New Roman" w:eastAsia="Times New Roman" w:hAnsi="Times New Roman"/>
          <w:sz w:val="18"/>
          <w:szCs w:val="18"/>
          <w:u w:val="single" w:color="auto"/>
          <w:color w:val="auto"/>
        </w:rPr>
        <w:t>https://meetnow.global/MFHSZ94</w:t>
      </w:r>
    </w:p>
    <w:p>
      <w:pPr>
        <w:spacing w:after="0" w:line="10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Subject to the provisions applicable to other than holders of record as outlined above in the section entitled</w:t>
      </w:r>
    </w:p>
    <w:p>
      <w:pPr>
        <w:spacing w:after="0" w:line="2" w:lineRule="exact"/>
        <w:rPr>
          <w:sz w:val="20"/>
          <w:szCs w:val="20"/>
          <w:color w:val="auto"/>
        </w:rPr>
      </w:pPr>
    </w:p>
    <w:p>
      <w:pPr>
        <w:jc w:val="both"/>
        <w:ind w:left="2940"/>
        <w:spacing w:after="0" w:line="208" w:lineRule="auto"/>
        <w:rPr>
          <w:sz w:val="20"/>
          <w:szCs w:val="20"/>
          <w:color w:val="auto"/>
        </w:rPr>
      </w:pPr>
      <w:r>
        <w:rPr>
          <w:rFonts w:ascii="Times New Roman" w:cs="Times New Roman" w:eastAsia="Times New Roman" w:hAnsi="Times New Roman"/>
          <w:sz w:val="18"/>
          <w:szCs w:val="18"/>
          <w:color w:val="auto"/>
        </w:rPr>
        <w:t>“Attendance at Annual Meeting,” if you are a stockholder as of the Record Date, you will have the ability to attend the Annual Meeting and vote online during the Meeting. Submitting a proxy will not prevent a stockholder from attending the Annual Meeting virtually, revoking an earlier-submitted proxy in accordance with the process</w:t>
      </w:r>
    </w:p>
    <w:p>
      <w:pPr>
        <w:spacing w:after="0" w:line="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outlined below and voting online during the Meeting.</w:t>
      </w:r>
    </w:p>
    <w:p>
      <w:pPr>
        <w:spacing w:after="0" w:line="11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In order to be counted, proxies submitted by telephone or via the Internet must be received by 11:59 p.m., Eastern</w:t>
      </w:r>
    </w:p>
    <w:p>
      <w:pPr>
        <w:spacing w:after="0" w:line="2" w:lineRule="exact"/>
        <w:rPr>
          <w:sz w:val="20"/>
          <w:szCs w:val="20"/>
          <w:color w:val="auto"/>
        </w:rPr>
      </w:pPr>
    </w:p>
    <w:p>
      <w:pPr>
        <w:ind w:left="2940"/>
        <w:spacing w:after="0" w:line="226" w:lineRule="auto"/>
        <w:rPr>
          <w:sz w:val="20"/>
          <w:szCs w:val="20"/>
          <w:color w:val="auto"/>
        </w:rPr>
      </w:pPr>
      <w:r>
        <w:rPr>
          <w:rFonts w:ascii="Times New Roman" w:cs="Times New Roman" w:eastAsia="Times New Roman" w:hAnsi="Times New Roman"/>
          <w:sz w:val="18"/>
          <w:szCs w:val="18"/>
          <w:color w:val="auto"/>
        </w:rPr>
        <w:t>Daylight Time, on August 25, 2024. Proxies submitted by U.S. mail must be received before the start of the Annual Meeting. If you hold your shares through a bank or broker, please follow their voting instructions.</w:t>
      </w:r>
    </w:p>
    <w:p>
      <w:pPr>
        <w:spacing w:after="0" w:line="207"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Required Vote for Approval and</w:t>
      </w:r>
      <w:r>
        <w:rPr>
          <w:sz w:val="20"/>
          <w:szCs w:val="20"/>
          <w:color w:val="auto"/>
        </w:rPr>
        <w:tab/>
      </w:r>
      <w:r>
        <w:rPr>
          <w:rFonts w:ascii="Times New Roman" w:cs="Times New Roman" w:eastAsia="Times New Roman" w:hAnsi="Times New Roman"/>
          <w:sz w:val="18"/>
          <w:szCs w:val="18"/>
          <w:i w:val="1"/>
          <w:iCs w:val="1"/>
          <w:color w:val="auto"/>
        </w:rPr>
        <w:t>Proposal No. 1: Election of Directors</w:t>
      </w:r>
      <w:r>
        <w:rPr>
          <w:rFonts w:ascii="Times New Roman" w:cs="Times New Roman" w:eastAsia="Times New Roman" w:hAnsi="Times New Roman"/>
          <w:sz w:val="18"/>
          <w:szCs w:val="18"/>
          <w:color w:val="auto"/>
        </w:rPr>
        <w:t>. Directors are elected by a plurality vote of the votes cast, either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32320" cy="396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968750"/>
                    </a:xfrm>
                    <a:prstGeom prst="rect">
                      <a:avLst/>
                    </a:prstGeom>
                    <a:noFill/>
                  </pic:spPr>
                </pic:pic>
              </a:graphicData>
            </a:graphic>
          </wp:anchor>
        </w:drawing>
      </w:r>
    </w:p>
    <w:p>
      <w:pPr>
        <w:jc w:val="both"/>
        <w:ind w:left="2940" w:hanging="2942"/>
        <w:spacing w:after="0" w:line="208" w:lineRule="auto"/>
        <w:tabs>
          <w:tab w:leader="none" w:pos="2920" w:val="left"/>
        </w:tabs>
        <w:rPr>
          <w:sz w:val="20"/>
          <w:szCs w:val="20"/>
          <w:color w:val="auto"/>
        </w:rPr>
      </w:pPr>
      <w:r>
        <w:rPr>
          <w:rFonts w:ascii="Times New Roman" w:cs="Times New Roman" w:eastAsia="Times New Roman" w:hAnsi="Times New Roman"/>
          <w:sz w:val="18"/>
          <w:szCs w:val="18"/>
          <w:b w:val="1"/>
          <w:bCs w:val="1"/>
          <w:color w:val="auto"/>
        </w:rPr>
        <w:t>Board Recommendation</w:t>
      </w:r>
      <w:r>
        <w:rPr>
          <w:sz w:val="20"/>
          <w:szCs w:val="20"/>
          <w:color w:val="auto"/>
        </w:rPr>
        <w:tab/>
      </w:r>
      <w:r>
        <w:rPr>
          <w:rFonts w:ascii="Times New Roman" w:cs="Times New Roman" w:eastAsia="Times New Roman" w:hAnsi="Times New Roman"/>
          <w:sz w:val="18"/>
          <w:szCs w:val="18"/>
          <w:color w:val="auto"/>
        </w:rPr>
        <w:t>or represented by proxy, and entitled to vote at the Annual Meeting. The seven (7) director nominees who receive the greatest number of “FOR” votes cast at the Annual Meeting by the shares present, either in person or by proxy, and entitled to vote will be elected to serve on our Board of Directors until our next annual meeting of</w:t>
      </w:r>
    </w:p>
    <w:p>
      <w:pPr>
        <w:spacing w:after="0" w:line="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stockholders, or until her or his successor is duly elected and qualified.</w:t>
      </w:r>
    </w:p>
    <w:p>
      <w:pPr>
        <w:spacing w:after="0" w:line="12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Our Board unanimously recommends a vote “FOR” the election of each of our seven director nominees, all of</w:t>
      </w:r>
    </w:p>
    <w:p>
      <w:pPr>
        <w:spacing w:after="0" w:line="2" w:lineRule="exact"/>
        <w:rPr>
          <w:sz w:val="20"/>
          <w:szCs w:val="20"/>
          <w:color w:val="auto"/>
        </w:rPr>
      </w:pPr>
    </w:p>
    <w:p>
      <w:pPr>
        <w:jc w:val="both"/>
        <w:ind w:left="2940"/>
        <w:spacing w:after="0" w:line="226" w:lineRule="auto"/>
        <w:rPr>
          <w:sz w:val="20"/>
          <w:szCs w:val="20"/>
          <w:color w:val="auto"/>
        </w:rPr>
      </w:pPr>
      <w:r>
        <w:rPr>
          <w:rFonts w:ascii="Times New Roman" w:cs="Times New Roman" w:eastAsia="Times New Roman" w:hAnsi="Times New Roman"/>
          <w:sz w:val="18"/>
          <w:szCs w:val="18"/>
          <w:color w:val="auto"/>
        </w:rPr>
        <w:t>whom currently serve on our Board of Directors. Unless otherwise instructed or unless authority to vote is withheld, shares represented by executed proxies will be voted “FOR” the election of each of the seven nominees.</w:t>
      </w:r>
    </w:p>
    <w:p>
      <w:pPr>
        <w:spacing w:after="0" w:line="26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i w:val="1"/>
          <w:iCs w:val="1"/>
          <w:color w:val="auto"/>
        </w:rPr>
        <w:t>Proposal No. 2: Approval, on a Non-Binding Advisory Basis, of the Compensation Paid to our Named Executive</w:t>
      </w:r>
    </w:p>
    <w:p>
      <w:pPr>
        <w:spacing w:after="0" w:line="4" w:lineRule="exact"/>
        <w:rPr>
          <w:sz w:val="20"/>
          <w:szCs w:val="20"/>
          <w:color w:val="auto"/>
        </w:rPr>
      </w:pPr>
    </w:p>
    <w:p>
      <w:pPr>
        <w:jc w:val="both"/>
        <w:ind w:left="2940"/>
        <w:spacing w:after="0" w:line="208" w:lineRule="auto"/>
        <w:rPr>
          <w:sz w:val="20"/>
          <w:szCs w:val="20"/>
          <w:color w:val="auto"/>
        </w:rPr>
      </w:pPr>
      <w:r>
        <w:rPr>
          <w:rFonts w:ascii="Times New Roman" w:cs="Times New Roman" w:eastAsia="Times New Roman" w:hAnsi="Times New Roman"/>
          <w:sz w:val="18"/>
          <w:szCs w:val="18"/>
          <w:i w:val="1"/>
          <w:iCs w:val="1"/>
          <w:color w:val="auto"/>
        </w:rPr>
        <w:t>Officers</w:t>
      </w:r>
      <w:r>
        <w:rPr>
          <w:rFonts w:ascii="Times New Roman" w:cs="Times New Roman" w:eastAsia="Times New Roman" w:hAnsi="Times New Roman"/>
          <w:sz w:val="18"/>
          <w:szCs w:val="18"/>
          <w:color w:val="auto"/>
        </w:rPr>
        <w:t>. This proposal calls for a non-binding, advisory vote regarding the compensation paid to our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w:t>
      </w:r>
      <w:r>
        <w:rPr>
          <w:rFonts w:ascii="Times New Roman" w:cs="Times New Roman" w:eastAsia="Times New Roman" w:hAnsi="Times New Roman"/>
          <w:sz w:val="18"/>
          <w:szCs w:val="18"/>
          <w:i w:val="1"/>
          <w:iCs w:val="1"/>
          <w:color w:val="auto"/>
        </w:rPr>
        <w:t>NEOs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Say-on-Pay</w:t>
      </w:r>
      <w:r>
        <w:rPr>
          <w:rFonts w:ascii="Times New Roman" w:cs="Times New Roman" w:eastAsia="Times New Roman" w:hAnsi="Times New Roman"/>
          <w:sz w:val="18"/>
          <w:szCs w:val="18"/>
          <w:color w:val="auto"/>
        </w:rPr>
        <w:t>). Accordingly, there is no required vote that would constitute approval of this proposal. However, our Board, including the Compensation Committee of our Board, values the opinions of</w:t>
      </w:r>
    </w:p>
    <w:p>
      <w:pPr>
        <w:spacing w:after="0" w:line="2" w:lineRule="exact"/>
        <w:rPr>
          <w:sz w:val="20"/>
          <w:szCs w:val="20"/>
          <w:color w:val="auto"/>
        </w:rPr>
      </w:pPr>
    </w:p>
    <w:p>
      <w:pPr>
        <w:jc w:val="both"/>
        <w:ind w:left="2940"/>
        <w:spacing w:after="0" w:line="218" w:lineRule="auto"/>
        <w:rPr>
          <w:sz w:val="20"/>
          <w:szCs w:val="20"/>
          <w:color w:val="auto"/>
        </w:rPr>
      </w:pPr>
      <w:r>
        <w:rPr>
          <w:rFonts w:ascii="Times New Roman" w:cs="Times New Roman" w:eastAsia="Times New Roman" w:hAnsi="Times New Roman"/>
          <w:sz w:val="18"/>
          <w:szCs w:val="18"/>
          <w:color w:val="auto"/>
        </w:rPr>
        <w:t>our stockholders and will consider the result of the vote when making future decisions regarding our executive compensation policies and practices. The affirmative “FOR” vote of a majority of the votes cast, in person or by proxy, excluding abstentions, is required to approve this non-binding, advisory proposal.</w:t>
      </w:r>
    </w:p>
    <w:p>
      <w:pPr>
        <w:spacing w:after="0" w:line="131" w:lineRule="exact"/>
        <w:rPr>
          <w:sz w:val="20"/>
          <w:szCs w:val="20"/>
          <w:color w:val="auto"/>
        </w:rPr>
      </w:pPr>
    </w:p>
    <w:p>
      <w:pPr>
        <w:jc w:val="both"/>
        <w:ind w:left="2940"/>
        <w:spacing w:after="0" w:line="222" w:lineRule="auto"/>
        <w:rPr>
          <w:sz w:val="20"/>
          <w:szCs w:val="20"/>
          <w:color w:val="auto"/>
        </w:rPr>
      </w:pPr>
      <w:r>
        <w:rPr>
          <w:rFonts w:ascii="Times New Roman" w:cs="Times New Roman" w:eastAsia="Times New Roman" w:hAnsi="Times New Roman"/>
          <w:sz w:val="18"/>
          <w:szCs w:val="18"/>
          <w:color w:val="auto"/>
        </w:rPr>
        <w:t>Our Board unanimously recommends a vote “FOR” this proposal. Unless otherwise instructed or unless authority to vote is withheld, shares represented by executed proxies will be voted “FOR” the approval of this non-binding,</w:t>
      </w:r>
    </w:p>
    <w:p>
      <w:pPr>
        <w:spacing w:after="0" w:line="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advisory proposal.</w:t>
      </w:r>
    </w:p>
    <w:p>
      <w:pPr>
        <w:spacing w:after="0" w:line="23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i w:val="1"/>
          <w:iCs w:val="1"/>
          <w:color w:val="auto"/>
        </w:rPr>
        <w:t>Proposal No. 3: Ratification of Appointment of our Independent Registered Public Accounting Firm</w:t>
      </w:r>
      <w:r>
        <w:rPr>
          <w:rFonts w:ascii="Times New Roman" w:cs="Times New Roman" w:eastAsia="Times New Roman" w:hAnsi="Times New Roman"/>
          <w:sz w:val="18"/>
          <w:szCs w:val="18"/>
          <w:color w:val="auto"/>
        </w:rPr>
        <w:t>. This</w:t>
      </w:r>
    </w:p>
    <w:p>
      <w:pPr>
        <w:spacing w:after="0" w:line="4" w:lineRule="exact"/>
        <w:rPr>
          <w:sz w:val="20"/>
          <w:szCs w:val="20"/>
          <w:color w:val="auto"/>
        </w:rPr>
      </w:pPr>
    </w:p>
    <w:p>
      <w:pPr>
        <w:jc w:val="both"/>
        <w:ind w:left="2940"/>
        <w:spacing w:after="0" w:line="208" w:lineRule="auto"/>
        <w:rPr>
          <w:sz w:val="20"/>
          <w:szCs w:val="20"/>
          <w:color w:val="auto"/>
        </w:rPr>
      </w:pPr>
      <w:r>
        <w:rPr>
          <w:rFonts w:ascii="Times New Roman" w:cs="Times New Roman" w:eastAsia="Times New Roman" w:hAnsi="Times New Roman"/>
          <w:sz w:val="18"/>
          <w:szCs w:val="18"/>
          <w:color w:val="auto"/>
        </w:rPr>
        <w:t>proposal requests stockholders to ratify the appointment of KPMG LLP as our independent registered public accounting firm for our current fiscal year ending March 31, 2025. The affirmative “FOR” vote of a majority of the votes cast, either in person or by proxy at the Annual Meeting, excluding abstentions, is required for the</w:t>
      </w:r>
    </w:p>
    <w:p>
      <w:pPr>
        <w:spacing w:after="0" w:line="2" w:lineRule="exact"/>
        <w:rPr>
          <w:sz w:val="20"/>
          <w:szCs w:val="20"/>
          <w:color w:val="auto"/>
        </w:rPr>
      </w:pPr>
    </w:p>
    <w:p>
      <w:pPr>
        <w:jc w:val="both"/>
        <w:ind w:left="2940"/>
        <w:spacing w:after="0" w:line="226" w:lineRule="auto"/>
        <w:rPr>
          <w:sz w:val="20"/>
          <w:szCs w:val="20"/>
          <w:color w:val="auto"/>
        </w:rPr>
      </w:pPr>
      <w:r>
        <w:rPr>
          <w:rFonts w:ascii="Times New Roman" w:cs="Times New Roman" w:eastAsia="Times New Roman" w:hAnsi="Times New Roman"/>
          <w:sz w:val="18"/>
          <w:szCs w:val="18"/>
          <w:color w:val="auto"/>
        </w:rPr>
        <w:t>ratification of the selection of KPMG LLP as our independent registered public accounting firm for our current fiscal year ending March 31, 2025.</w:t>
      </w:r>
    </w:p>
    <w:p>
      <w:pPr>
        <w:spacing w:after="0" w:line="130" w:lineRule="exact"/>
        <w:rPr>
          <w:sz w:val="20"/>
          <w:szCs w:val="20"/>
          <w:color w:val="auto"/>
        </w:rPr>
      </w:pPr>
    </w:p>
    <w:p>
      <w:pPr>
        <w:jc w:val="both"/>
        <w:ind w:left="2940"/>
        <w:spacing w:after="0" w:line="216" w:lineRule="auto"/>
        <w:rPr>
          <w:sz w:val="20"/>
          <w:szCs w:val="20"/>
          <w:color w:val="auto"/>
        </w:rPr>
      </w:pPr>
      <w:r>
        <w:rPr>
          <w:rFonts w:ascii="Times New Roman" w:cs="Times New Roman" w:eastAsia="Times New Roman" w:hAnsi="Times New Roman"/>
          <w:sz w:val="18"/>
          <w:szCs w:val="18"/>
          <w:color w:val="auto"/>
        </w:rPr>
        <w:t>Our Board unanimously recommends a vote “FOR” this proposal. Unless otherwise instructed or unless authority to vote is withheld, shares represented by executed proxies will be voted “FOR” the ratification of the selection of KPMG LLP as our independent registered public accounting firm for our current fiscal year ending March 31,</w:t>
      </w:r>
    </w:p>
    <w:p>
      <w:pPr>
        <w:spacing w:after="0" w:line="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41"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Abstentions and Broker Non-</w:t>
            </w: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 votes will be tabulated by the inspector of election appointed for the Annual Meeting, who will separately</w:t>
            </w: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Votes</w:t>
            </w:r>
          </w:p>
        </w:tc>
        <w:tc>
          <w:tcPr>
            <w:tcW w:w="86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tabulate affirmative and negative votes, abstentions and broker non-votes. An abstention (or a vote to</w:t>
            </w:r>
          </w:p>
        </w:tc>
      </w:tr>
      <w:tr>
        <w:trPr>
          <w:trHeight w:val="184"/>
        </w:trPr>
        <w:tc>
          <w:tcPr>
            <w:tcW w:w="2620" w:type="dxa"/>
            <w:vAlign w:val="bottom"/>
          </w:tcPr>
          <w:p>
            <w:pPr>
              <w:spacing w:after="0"/>
              <w:rPr>
                <w:sz w:val="16"/>
                <w:szCs w:val="16"/>
                <w:color w:val="auto"/>
              </w:rPr>
            </w:pPr>
          </w:p>
        </w:tc>
        <w:tc>
          <w:tcPr>
            <w:tcW w:w="86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“WITHHOLD” for purposes of the election of directors) is the voluntary act of not voting by a stockholder who is</w:t>
            </w:r>
          </w:p>
        </w:tc>
      </w:tr>
      <w:tr>
        <w:trPr>
          <w:trHeight w:val="180"/>
        </w:trPr>
        <w:tc>
          <w:tcPr>
            <w:tcW w:w="2620" w:type="dxa"/>
            <w:vAlign w:val="bottom"/>
          </w:tcPr>
          <w:p>
            <w:pPr>
              <w:spacing w:after="0"/>
              <w:rPr>
                <w:sz w:val="15"/>
                <w:szCs w:val="15"/>
                <w:color w:val="auto"/>
              </w:rPr>
            </w:pPr>
          </w:p>
        </w:tc>
        <w:tc>
          <w:tcPr>
            <w:tcW w:w="862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present at a meeting and entitled to vote. A broker “non-vote” occurs when a broker nominee holding shares for a</w:t>
            </w:r>
          </w:p>
        </w:tc>
      </w:tr>
      <w:tr>
        <w:trPr>
          <w:trHeight w:val="176"/>
        </w:trPr>
        <w:tc>
          <w:tcPr>
            <w:tcW w:w="2620" w:type="dxa"/>
            <w:vAlign w:val="bottom"/>
          </w:tcPr>
          <w:p>
            <w:pPr>
              <w:spacing w:after="0"/>
              <w:rPr>
                <w:sz w:val="15"/>
                <w:szCs w:val="15"/>
                <w:color w:val="auto"/>
              </w:rPr>
            </w:pPr>
          </w:p>
        </w:tc>
        <w:tc>
          <w:tcPr>
            <w:tcW w:w="86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beneficial owner does not vote on a particular proposal because the nominee does not have discretionary power</w:t>
            </w:r>
          </w:p>
        </w:tc>
      </w:tr>
      <w:tr>
        <w:trPr>
          <w:trHeight w:val="184"/>
        </w:trPr>
        <w:tc>
          <w:tcPr>
            <w:tcW w:w="2620" w:type="dxa"/>
            <w:vAlign w:val="bottom"/>
          </w:tcPr>
          <w:p>
            <w:pPr>
              <w:spacing w:after="0"/>
              <w:rPr>
                <w:sz w:val="16"/>
                <w:szCs w:val="16"/>
                <w:color w:val="auto"/>
              </w:rPr>
            </w:pPr>
          </w:p>
        </w:tc>
        <w:tc>
          <w:tcPr>
            <w:tcW w:w="86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for that particular item and has not received instructions from the beneficial owner. If you hold your shares in</w:t>
            </w:r>
          </w:p>
        </w:tc>
      </w:tr>
      <w:tr>
        <w:trPr>
          <w:trHeight w:val="180"/>
        </w:trPr>
        <w:tc>
          <w:tcPr>
            <w:tcW w:w="2620" w:type="dxa"/>
            <w:vAlign w:val="bottom"/>
          </w:tcPr>
          <w:p>
            <w:pPr>
              <w:spacing w:after="0"/>
              <w:rPr>
                <w:sz w:val="15"/>
                <w:szCs w:val="15"/>
                <w:color w:val="auto"/>
              </w:rPr>
            </w:pPr>
          </w:p>
        </w:tc>
        <w:tc>
          <w:tcPr>
            <w:tcW w:w="862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“street name” through a broker, brokerage firm or other nominee, your broker, brokerage firm or nominee may not</w:t>
            </w:r>
          </w:p>
        </w:tc>
      </w:tr>
      <w:tr>
        <w:trPr>
          <w:trHeight w:val="176"/>
        </w:trPr>
        <w:tc>
          <w:tcPr>
            <w:tcW w:w="2620" w:type="dxa"/>
            <w:vAlign w:val="bottom"/>
          </w:tcPr>
          <w:p>
            <w:pPr>
              <w:spacing w:after="0"/>
              <w:rPr>
                <w:sz w:val="15"/>
                <w:szCs w:val="15"/>
                <w:color w:val="auto"/>
              </w:rPr>
            </w:pPr>
          </w:p>
        </w:tc>
        <w:tc>
          <w:tcPr>
            <w:tcW w:w="86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be permitted to exercise voting discretion with respect to some of the matters to be acted upon. If you do not give</w:t>
            </w:r>
          </w:p>
        </w:tc>
      </w:tr>
      <w:tr>
        <w:trPr>
          <w:trHeight w:val="184"/>
        </w:trPr>
        <w:tc>
          <w:tcPr>
            <w:tcW w:w="2620" w:type="dxa"/>
            <w:vAlign w:val="bottom"/>
          </w:tcPr>
          <w:p>
            <w:pPr>
              <w:spacing w:after="0"/>
              <w:rPr>
                <w:sz w:val="16"/>
                <w:szCs w:val="16"/>
                <w:color w:val="auto"/>
              </w:rPr>
            </w:pPr>
          </w:p>
        </w:tc>
        <w:tc>
          <w:tcPr>
            <w:tcW w:w="86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your broker, brokerage firm or nominee specific instructions regarding such matters, your proxy will be deemed a</w:t>
            </w:r>
          </w:p>
        </w:tc>
      </w:tr>
      <w:tr>
        <w:trPr>
          <w:trHeight w:val="234"/>
        </w:trPr>
        <w:tc>
          <w:tcPr>
            <w:tcW w:w="2620" w:type="dxa"/>
            <w:vAlign w:val="bottom"/>
          </w:tcPr>
          <w:p>
            <w:pPr>
              <w:spacing w:after="0"/>
              <w:rPr>
                <w:sz w:val="20"/>
                <w:szCs w:val="20"/>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“broker non-vote.”</w:t>
            </w:r>
          </w:p>
        </w:tc>
      </w:tr>
      <w:tr>
        <w:trPr>
          <w:trHeight w:val="306"/>
        </w:trPr>
        <w:tc>
          <w:tcPr>
            <w:tcW w:w="2620" w:type="dxa"/>
            <w:vAlign w:val="bottom"/>
          </w:tcPr>
          <w:p>
            <w:pPr>
              <w:spacing w:after="0"/>
              <w:rPr>
                <w:sz w:val="24"/>
                <w:szCs w:val="24"/>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noted above, the seven (7) director nominees identified under Proposal No. 1 who receive the most “FOR”</w:t>
            </w:r>
          </w:p>
        </w:tc>
      </w:tr>
      <w:tr>
        <w:trPr>
          <w:trHeight w:val="180"/>
        </w:trPr>
        <w:tc>
          <w:tcPr>
            <w:tcW w:w="2620" w:type="dxa"/>
            <w:vAlign w:val="bottom"/>
          </w:tcPr>
          <w:p>
            <w:pPr>
              <w:spacing w:after="0"/>
              <w:rPr>
                <w:sz w:val="15"/>
                <w:szCs w:val="15"/>
                <w:color w:val="auto"/>
              </w:rPr>
            </w:pPr>
          </w:p>
        </w:tc>
        <w:tc>
          <w:tcPr>
            <w:tcW w:w="862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votes at the Annual Meeting will be elected to serve on our Board of Directors until our next annual meeting of</w:t>
            </w:r>
          </w:p>
        </w:tc>
      </w:tr>
      <w:tr>
        <w:trPr>
          <w:trHeight w:val="176"/>
        </w:trPr>
        <w:tc>
          <w:tcPr>
            <w:tcW w:w="2620" w:type="dxa"/>
            <w:vAlign w:val="bottom"/>
          </w:tcPr>
          <w:p>
            <w:pPr>
              <w:spacing w:after="0"/>
              <w:rPr>
                <w:sz w:val="15"/>
                <w:szCs w:val="15"/>
                <w:color w:val="auto"/>
              </w:rPr>
            </w:pPr>
          </w:p>
        </w:tc>
        <w:tc>
          <w:tcPr>
            <w:tcW w:w="86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stockholders, or until her or his successor is duly elected and qualified. As such, we expect that votes marked</w:t>
            </w:r>
          </w:p>
        </w:tc>
      </w:tr>
      <w:tr>
        <w:trPr>
          <w:trHeight w:val="234"/>
        </w:trPr>
        <w:tc>
          <w:tcPr>
            <w:tcW w:w="2620" w:type="dxa"/>
            <w:vAlign w:val="bottom"/>
          </w:tcPr>
          <w:p>
            <w:pPr>
              <w:spacing w:after="0"/>
              <w:rPr>
                <w:sz w:val="20"/>
                <w:szCs w:val="20"/>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“WITHHOLD” and broker non-votes will have no effect on the outcome of Proposal No. 1.</w:t>
            </w:r>
          </w:p>
        </w:tc>
      </w:tr>
      <w:tr>
        <w:trPr>
          <w:trHeight w:val="306"/>
        </w:trPr>
        <w:tc>
          <w:tcPr>
            <w:tcW w:w="2620" w:type="dxa"/>
            <w:vAlign w:val="bottom"/>
          </w:tcPr>
          <w:p>
            <w:pPr>
              <w:spacing w:after="0"/>
              <w:rPr>
                <w:sz w:val="24"/>
                <w:szCs w:val="24"/>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Under Nevada law and our Second Amended and Restated Bylaws, as amended (our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Proposal Nos. 2</w:t>
            </w:r>
          </w:p>
        </w:tc>
      </w:tr>
      <w:tr>
        <w:trPr>
          <w:trHeight w:val="184"/>
        </w:trPr>
        <w:tc>
          <w:tcPr>
            <w:tcW w:w="2620" w:type="dxa"/>
            <w:vAlign w:val="bottom"/>
          </w:tcPr>
          <w:p>
            <w:pPr>
              <w:spacing w:after="0"/>
              <w:rPr>
                <w:sz w:val="16"/>
                <w:szCs w:val="16"/>
                <w:color w:val="auto"/>
              </w:rPr>
            </w:pPr>
          </w:p>
        </w:tc>
        <w:tc>
          <w:tcPr>
            <w:tcW w:w="86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3 will each be determined by the vote of the holders of a majority of the votes cast by those present at the</w:t>
            </w:r>
          </w:p>
        </w:tc>
      </w:tr>
      <w:tr>
        <w:trPr>
          <w:trHeight w:val="180"/>
        </w:trPr>
        <w:tc>
          <w:tcPr>
            <w:tcW w:w="2620" w:type="dxa"/>
            <w:vAlign w:val="bottom"/>
          </w:tcPr>
          <w:p>
            <w:pPr>
              <w:spacing w:after="0"/>
              <w:rPr>
                <w:sz w:val="15"/>
                <w:szCs w:val="15"/>
                <w:color w:val="auto"/>
              </w:rPr>
            </w:pPr>
          </w:p>
        </w:tc>
        <w:tc>
          <w:tcPr>
            <w:tcW w:w="862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Annual Meeting or by proxy (meaning the number of shares voted “FOR” a proposal must exceed the number of</w:t>
            </w:r>
          </w:p>
        </w:tc>
      </w:tr>
      <w:tr>
        <w:trPr>
          <w:trHeight w:val="175"/>
        </w:trPr>
        <w:tc>
          <w:tcPr>
            <w:tcW w:w="2620" w:type="dxa"/>
            <w:vAlign w:val="bottom"/>
          </w:tcPr>
          <w:p>
            <w:pPr>
              <w:spacing w:after="0"/>
              <w:rPr>
                <w:sz w:val="15"/>
                <w:szCs w:val="15"/>
                <w:color w:val="auto"/>
              </w:rPr>
            </w:pPr>
          </w:p>
        </w:tc>
        <w:tc>
          <w:tcPr>
            <w:tcW w:w="86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shares voted “AGAINST” each such proposal). For these matters, we expect that abstentions and any broker non-</w:t>
            </w:r>
          </w:p>
        </w:tc>
      </w:tr>
      <w:tr>
        <w:trPr>
          <w:trHeight w:val="176"/>
        </w:trPr>
        <w:tc>
          <w:tcPr>
            <w:tcW w:w="2620" w:type="dxa"/>
            <w:vAlign w:val="bottom"/>
          </w:tcPr>
          <w:p>
            <w:pPr>
              <w:spacing w:after="0"/>
              <w:rPr>
                <w:sz w:val="15"/>
                <w:szCs w:val="15"/>
                <w:color w:val="auto"/>
              </w:rPr>
            </w:pPr>
          </w:p>
        </w:tc>
        <w:tc>
          <w:tcPr>
            <w:tcW w:w="86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votes cast will not be counted as votes in favor of such proposals and will also not be counted as shares voting on</w:t>
            </w:r>
          </w:p>
        </w:tc>
      </w:tr>
      <w:tr>
        <w:trPr>
          <w:trHeight w:val="184"/>
        </w:trPr>
        <w:tc>
          <w:tcPr>
            <w:tcW w:w="2620" w:type="dxa"/>
            <w:vAlign w:val="bottom"/>
          </w:tcPr>
          <w:p>
            <w:pPr>
              <w:spacing w:after="0"/>
              <w:rPr>
                <w:sz w:val="16"/>
                <w:szCs w:val="16"/>
                <w:color w:val="auto"/>
              </w:rPr>
            </w:pPr>
          </w:p>
        </w:tc>
        <w:tc>
          <w:tcPr>
            <w:tcW w:w="86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such matters, but will be considered shares present at the Meeting for purposes of establishing a quorum. As such,</w:t>
            </w:r>
          </w:p>
        </w:tc>
      </w:tr>
      <w:tr>
        <w:trPr>
          <w:trHeight w:val="234"/>
        </w:trPr>
        <w:tc>
          <w:tcPr>
            <w:tcW w:w="2620" w:type="dxa"/>
            <w:vAlign w:val="bottom"/>
          </w:tcPr>
          <w:p>
            <w:pPr>
              <w:spacing w:after="0"/>
              <w:rPr>
                <w:sz w:val="20"/>
                <w:szCs w:val="20"/>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 expect that abstentions and broker non-votes will have no effect on Proposal Nos. 2 and 3.</w:t>
            </w:r>
          </w:p>
        </w:tc>
      </w:tr>
      <w:tr>
        <w:trPr>
          <w:trHeight w:val="243"/>
        </w:trPr>
        <w:tc>
          <w:tcPr>
            <w:tcW w:w="2620" w:type="dxa"/>
            <w:vAlign w:val="bottom"/>
          </w:tcPr>
          <w:p>
            <w:pPr>
              <w:spacing w:after="0"/>
              <w:rPr>
                <w:sz w:val="21"/>
                <w:szCs w:val="21"/>
                <w:color w:val="auto"/>
              </w:rPr>
            </w:pPr>
          </w:p>
        </w:tc>
        <w:tc>
          <w:tcPr>
            <w:tcW w:w="8620" w:type="dxa"/>
            <w:vAlign w:val="bottom"/>
          </w:tcPr>
          <w:p>
            <w:pPr>
              <w:spacing w:after="0"/>
              <w:rPr>
                <w:sz w:val="21"/>
                <w:szCs w:val="2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Revocation of Proxies</w:t>
            </w:r>
          </w:p>
        </w:tc>
        <w:tc>
          <w:tcPr>
            <w:tcW w:w="86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You may revoke or change your proxy at any time before the Annual Meeting by filing, with our Corporate</w:t>
            </w:r>
          </w:p>
        </w:tc>
      </w:tr>
      <w:tr>
        <w:trPr>
          <w:trHeight w:val="176"/>
        </w:trPr>
        <w:tc>
          <w:tcPr>
            <w:tcW w:w="2620" w:type="dxa"/>
            <w:vAlign w:val="bottom"/>
            <w:shd w:val="clear" w:color="auto" w:fill="CCEEFF"/>
          </w:tcPr>
          <w:p>
            <w:pPr>
              <w:spacing w:after="0"/>
              <w:rPr>
                <w:sz w:val="15"/>
                <w:szCs w:val="15"/>
                <w:color w:val="auto"/>
              </w:rPr>
            </w:pPr>
          </w:p>
        </w:tc>
        <w:tc>
          <w:tcPr>
            <w:tcW w:w="86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Secretary at our principal executive offices, located at 343 Allerton Avenue, South San Francisco, California</w:t>
            </w:r>
          </w:p>
        </w:tc>
      </w:tr>
      <w:tr>
        <w:trPr>
          <w:trHeight w:val="184"/>
        </w:trPr>
        <w:tc>
          <w:tcPr>
            <w:tcW w:w="2620" w:type="dxa"/>
            <w:vAlign w:val="bottom"/>
            <w:shd w:val="clear" w:color="auto" w:fill="CCEEFF"/>
          </w:tcPr>
          <w:p>
            <w:pPr>
              <w:spacing w:after="0"/>
              <w:rPr>
                <w:sz w:val="16"/>
                <w:szCs w:val="16"/>
                <w:color w:val="auto"/>
              </w:rPr>
            </w:pPr>
          </w:p>
        </w:tc>
        <w:tc>
          <w:tcPr>
            <w:tcW w:w="862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94080, a notice of revocation or another signed proxy with a later date. You may also revoke your proxy by</w:t>
            </w:r>
          </w:p>
        </w:tc>
      </w:tr>
      <w:tr>
        <w:trPr>
          <w:trHeight w:val="180"/>
        </w:trPr>
        <w:tc>
          <w:tcPr>
            <w:tcW w:w="2620" w:type="dxa"/>
            <w:vAlign w:val="bottom"/>
            <w:shd w:val="clear" w:color="auto" w:fill="CCEEFF"/>
          </w:tcPr>
          <w:p>
            <w:pPr>
              <w:spacing w:after="0"/>
              <w:rPr>
                <w:sz w:val="15"/>
                <w:szCs w:val="15"/>
                <w:color w:val="auto"/>
              </w:rPr>
            </w:pPr>
          </w:p>
        </w:tc>
        <w:tc>
          <w:tcPr>
            <w:tcW w:w="862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auto"/>
              </w:rPr>
              <w:t>virtually attending the Annual Meeting and voting at the Meeting. Your virtual attendance at the Annual Meeting</w:t>
            </w:r>
          </w:p>
        </w:tc>
      </w:tr>
      <w:tr>
        <w:trPr>
          <w:trHeight w:val="243"/>
        </w:trPr>
        <w:tc>
          <w:tcPr>
            <w:tcW w:w="2620" w:type="dxa"/>
            <w:vAlign w:val="bottom"/>
            <w:shd w:val="clear" w:color="auto" w:fill="CCEEFF"/>
          </w:tcPr>
          <w:p>
            <w:pPr>
              <w:spacing w:after="0"/>
              <w:rPr>
                <w:sz w:val="21"/>
                <w:szCs w:val="21"/>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will not, by itself, revoke your proxy.</w:t>
            </w:r>
          </w:p>
        </w:tc>
      </w:tr>
      <w:tr>
        <w:trPr>
          <w:trHeight w:val="405"/>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Solicitation</w:t>
            </w: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We will bear the entire cost of solicitation, including the preparation, assembly, printing and mailing of the Notice,</w:t>
            </w:r>
          </w:p>
        </w:tc>
      </w:tr>
      <w:tr>
        <w:trPr>
          <w:trHeight w:val="175"/>
        </w:trPr>
        <w:tc>
          <w:tcPr>
            <w:tcW w:w="2620" w:type="dxa"/>
            <w:vAlign w:val="bottom"/>
          </w:tcPr>
          <w:p>
            <w:pPr>
              <w:spacing w:after="0"/>
              <w:rPr>
                <w:sz w:val="15"/>
                <w:szCs w:val="15"/>
                <w:color w:val="auto"/>
              </w:rPr>
            </w:pPr>
          </w:p>
        </w:tc>
        <w:tc>
          <w:tcPr>
            <w:tcW w:w="86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as well as the preparation and posting on the Internet of this Proxy Statement and any additional solicitation</w:t>
            </w:r>
          </w:p>
        </w:tc>
      </w:tr>
      <w:tr>
        <w:trPr>
          <w:trHeight w:val="184"/>
        </w:trPr>
        <w:tc>
          <w:tcPr>
            <w:tcW w:w="2620" w:type="dxa"/>
            <w:vAlign w:val="bottom"/>
          </w:tcPr>
          <w:p>
            <w:pPr>
              <w:spacing w:after="0"/>
              <w:rPr>
                <w:sz w:val="16"/>
                <w:szCs w:val="16"/>
                <w:color w:val="auto"/>
              </w:rPr>
            </w:pPr>
          </w:p>
        </w:tc>
        <w:tc>
          <w:tcPr>
            <w:tcW w:w="86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materials furnished to the stockholders. We have retained Saratoga Proxy Consulting, LLC, a proxy soliciting</w:t>
            </w:r>
          </w:p>
        </w:tc>
      </w:tr>
      <w:tr>
        <w:trPr>
          <w:trHeight w:val="180"/>
        </w:trPr>
        <w:tc>
          <w:tcPr>
            <w:tcW w:w="2620" w:type="dxa"/>
            <w:vAlign w:val="bottom"/>
          </w:tcPr>
          <w:p>
            <w:pPr>
              <w:spacing w:after="0"/>
              <w:rPr>
                <w:sz w:val="15"/>
                <w:szCs w:val="15"/>
                <w:color w:val="auto"/>
              </w:rPr>
            </w:pPr>
          </w:p>
        </w:tc>
        <w:tc>
          <w:tcPr>
            <w:tcW w:w="862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firm, to assist with the solicitation of proxies for a fee of approximately $7,500 plus fees for any retail stockholder</w:t>
            </w:r>
          </w:p>
        </w:tc>
      </w:tr>
      <w:tr>
        <w:trPr>
          <w:trHeight w:val="175"/>
        </w:trPr>
        <w:tc>
          <w:tcPr>
            <w:tcW w:w="2620" w:type="dxa"/>
            <w:vAlign w:val="bottom"/>
          </w:tcPr>
          <w:p>
            <w:pPr>
              <w:spacing w:after="0"/>
              <w:rPr>
                <w:sz w:val="15"/>
                <w:szCs w:val="15"/>
                <w:color w:val="auto"/>
              </w:rPr>
            </w:pPr>
          </w:p>
        </w:tc>
        <w:tc>
          <w:tcPr>
            <w:tcW w:w="86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outreach services and reimbursement for out-of-pocket expenses. Copies of any solicitation materials will be</w:t>
            </w:r>
          </w:p>
        </w:tc>
      </w:tr>
      <w:tr>
        <w:trPr>
          <w:trHeight w:val="184"/>
        </w:trPr>
        <w:tc>
          <w:tcPr>
            <w:tcW w:w="2620" w:type="dxa"/>
            <w:vAlign w:val="bottom"/>
          </w:tcPr>
          <w:p>
            <w:pPr>
              <w:spacing w:after="0"/>
              <w:rPr>
                <w:sz w:val="16"/>
                <w:szCs w:val="16"/>
                <w:color w:val="auto"/>
              </w:rPr>
            </w:pPr>
          </w:p>
        </w:tc>
        <w:tc>
          <w:tcPr>
            <w:tcW w:w="86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furnished to brokerage houses, fiduciaries and custodians holding shares in their names that are beneficially</w:t>
            </w:r>
          </w:p>
        </w:tc>
      </w:tr>
      <w:tr>
        <w:trPr>
          <w:trHeight w:val="180"/>
        </w:trPr>
        <w:tc>
          <w:tcPr>
            <w:tcW w:w="2620" w:type="dxa"/>
            <w:vAlign w:val="bottom"/>
          </w:tcPr>
          <w:p>
            <w:pPr>
              <w:spacing w:after="0"/>
              <w:rPr>
                <w:sz w:val="15"/>
                <w:szCs w:val="15"/>
                <w:color w:val="auto"/>
              </w:rPr>
            </w:pPr>
          </w:p>
        </w:tc>
        <w:tc>
          <w:tcPr>
            <w:tcW w:w="862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owned by others so that they may forward the solicitation materials to such beneficial owners. In addition, we</w:t>
            </w:r>
          </w:p>
        </w:tc>
      </w:tr>
      <w:tr>
        <w:trPr>
          <w:trHeight w:val="175"/>
        </w:trPr>
        <w:tc>
          <w:tcPr>
            <w:tcW w:w="2620" w:type="dxa"/>
            <w:vAlign w:val="bottom"/>
          </w:tcPr>
          <w:p>
            <w:pPr>
              <w:spacing w:after="0"/>
              <w:rPr>
                <w:sz w:val="15"/>
                <w:szCs w:val="15"/>
                <w:color w:val="auto"/>
              </w:rPr>
            </w:pPr>
          </w:p>
        </w:tc>
        <w:tc>
          <w:tcPr>
            <w:tcW w:w="86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may reimburse such persons for their costs in forwarding the solicitation materials to such beneficial owners. The</w:t>
            </w:r>
          </w:p>
        </w:tc>
      </w:tr>
      <w:tr>
        <w:trPr>
          <w:trHeight w:val="184"/>
        </w:trPr>
        <w:tc>
          <w:tcPr>
            <w:tcW w:w="2620" w:type="dxa"/>
            <w:vAlign w:val="bottom"/>
          </w:tcPr>
          <w:p>
            <w:pPr>
              <w:spacing w:after="0"/>
              <w:rPr>
                <w:sz w:val="16"/>
                <w:szCs w:val="16"/>
                <w:color w:val="auto"/>
              </w:rPr>
            </w:pPr>
          </w:p>
        </w:tc>
        <w:tc>
          <w:tcPr>
            <w:tcW w:w="86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original solicitation of proxies may be supplemented by a solicitation, by telephone, email or other means, by our</w:t>
            </w:r>
          </w:p>
        </w:tc>
      </w:tr>
      <w:tr>
        <w:trPr>
          <w:trHeight w:val="180"/>
        </w:trPr>
        <w:tc>
          <w:tcPr>
            <w:tcW w:w="2620" w:type="dxa"/>
            <w:vAlign w:val="bottom"/>
          </w:tcPr>
          <w:p>
            <w:pPr>
              <w:spacing w:after="0"/>
              <w:rPr>
                <w:sz w:val="15"/>
                <w:szCs w:val="15"/>
                <w:color w:val="auto"/>
              </w:rPr>
            </w:pPr>
          </w:p>
        </w:tc>
        <w:tc>
          <w:tcPr>
            <w:tcW w:w="862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directors, officers or employees. No additional compensation will be paid to these individuals for any such</w:t>
            </w:r>
          </w:p>
        </w:tc>
      </w:tr>
      <w:tr>
        <w:trPr>
          <w:trHeight w:val="176"/>
        </w:trPr>
        <w:tc>
          <w:tcPr>
            <w:tcW w:w="2620" w:type="dxa"/>
            <w:vAlign w:val="bottom"/>
          </w:tcPr>
          <w:p>
            <w:pPr>
              <w:spacing w:after="0"/>
              <w:rPr>
                <w:sz w:val="15"/>
                <w:szCs w:val="15"/>
                <w:color w:val="auto"/>
              </w:rPr>
            </w:pPr>
          </w:p>
        </w:tc>
        <w:tc>
          <w:tcPr>
            <w:tcW w:w="86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services. Except as described above, we do not presently intend to solicit proxies other than by the Internet,</w:t>
            </w:r>
          </w:p>
        </w:tc>
      </w:tr>
      <w:tr>
        <w:trPr>
          <w:trHeight w:val="234"/>
        </w:trPr>
        <w:tc>
          <w:tcPr>
            <w:tcW w:w="2620" w:type="dxa"/>
            <w:vAlign w:val="bottom"/>
          </w:tcPr>
          <w:p>
            <w:pPr>
              <w:spacing w:after="0"/>
              <w:rPr>
                <w:sz w:val="20"/>
                <w:szCs w:val="20"/>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telephone, email and postal mail.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MATTERS TO BE CONSIDERED AT THE ANNUAL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Our Bylaws provide that our Board of Directors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shall consist of not less than one director and not more than seven (7) directors, with the exact number fixed at seven. In accordance with our Bylaws, the exact number of directors may only be amended by the vote or written consent of a majority of the outstanding shares of our voting securities.</w:t>
      </w:r>
    </w:p>
    <w:p>
      <w:pPr>
        <w:spacing w:after="0" w:line="17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Each of our current directors is nominated for election at the Annual Meeting to serve until our next annual meeting of stockholders, or until her or his successor is duly elected and qualified. Each nominee has confirmed that she or he is able and willing to continue serving as a director if elected. If any of the nominees becomes unable or unwilling to serve before the Annual Meeting, your proxy will be voted for the election of a substitute nominee recommended by the current Board, if any.</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Our Board has nominated the following directors for election at our Annual Meeting:</w:t>
            </w:r>
          </w:p>
        </w:tc>
        <w:tc>
          <w:tcPr>
            <w:tcW w:w="2420" w:type="dxa"/>
            <w:vAlign w:val="bottom"/>
          </w:tcPr>
          <w:p>
            <w:pPr>
              <w:spacing w:after="0"/>
              <w:rPr>
                <w:sz w:val="20"/>
                <w:szCs w:val="20"/>
                <w:color w:val="auto"/>
              </w:rPr>
            </w:pPr>
          </w:p>
        </w:tc>
      </w:tr>
      <w:tr>
        <w:trPr>
          <w:trHeight w:val="466"/>
        </w:trPr>
        <w:tc>
          <w:tcPr>
            <w:tcW w:w="642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rPr>
              <w:t>Margaret M. FitzPatrick, M.A.</w:t>
            </w:r>
          </w:p>
        </w:tc>
        <w:tc>
          <w:tcPr>
            <w:tcW w:w="24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Ann M. Cunningham, MBA</w:t>
            </w:r>
          </w:p>
        </w:tc>
      </w:tr>
      <w:tr>
        <w:trPr>
          <w:trHeight w:val="236"/>
        </w:trPr>
        <w:tc>
          <w:tcPr>
            <w:tcW w:w="6420" w:type="dxa"/>
            <w:vAlign w:val="bottom"/>
          </w:tcPr>
          <w:p>
            <w:pPr>
              <w:jc w:val="center"/>
              <w:ind w:right="2010"/>
              <w:spacing w:after="0"/>
              <w:rPr>
                <w:sz w:val="20"/>
                <w:szCs w:val="20"/>
                <w:color w:val="auto"/>
              </w:rPr>
            </w:pPr>
            <w:r>
              <w:rPr>
                <w:rFonts w:ascii="Times New Roman" w:cs="Times New Roman" w:eastAsia="Times New Roman" w:hAnsi="Times New Roman"/>
                <w:sz w:val="18"/>
                <w:szCs w:val="18"/>
                <w:i w:val="1"/>
                <w:iCs w:val="1"/>
                <w:color w:val="auto"/>
                <w:w w:val="99"/>
              </w:rPr>
              <w:t>Chair and Independent Director</w:t>
            </w:r>
          </w:p>
        </w:tc>
        <w:tc>
          <w:tcPr>
            <w:tcW w:w="2420" w:type="dxa"/>
            <w:vAlign w:val="bottom"/>
          </w:tcPr>
          <w:p>
            <w:pPr>
              <w:jc w:val="center"/>
              <w:ind w:left="190"/>
              <w:spacing w:after="0"/>
              <w:rPr>
                <w:sz w:val="20"/>
                <w:szCs w:val="20"/>
                <w:color w:val="auto"/>
              </w:rPr>
            </w:pPr>
            <w:r>
              <w:rPr>
                <w:rFonts w:ascii="Times New Roman" w:cs="Times New Roman" w:eastAsia="Times New Roman" w:hAnsi="Times New Roman"/>
                <w:sz w:val="18"/>
                <w:szCs w:val="18"/>
                <w:i w:val="1"/>
                <w:iCs w:val="1"/>
                <w:color w:val="auto"/>
                <w:w w:val="99"/>
              </w:rPr>
              <w:t>Non-Independent Director</w:t>
            </w:r>
          </w:p>
        </w:tc>
      </w:tr>
      <w:tr>
        <w:trPr>
          <w:trHeight w:val="425"/>
        </w:trPr>
        <w:tc>
          <w:tcPr>
            <w:tcW w:w="642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9"/>
              </w:rPr>
              <w:t>Joanne Curley, Ph.D.</w:t>
            </w:r>
          </w:p>
        </w:tc>
        <w:tc>
          <w:tcPr>
            <w:tcW w:w="24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Jon S. Saxe, J.D., LL.M.</w:t>
            </w:r>
          </w:p>
        </w:tc>
      </w:tr>
      <w:tr>
        <w:trPr>
          <w:trHeight w:val="236"/>
        </w:trPr>
        <w:tc>
          <w:tcPr>
            <w:tcW w:w="6420" w:type="dxa"/>
            <w:vAlign w:val="bottom"/>
          </w:tcPr>
          <w:p>
            <w:pPr>
              <w:jc w:val="center"/>
              <w:ind w:right="2070"/>
              <w:spacing w:after="0"/>
              <w:rPr>
                <w:sz w:val="20"/>
                <w:szCs w:val="20"/>
                <w:color w:val="auto"/>
              </w:rPr>
            </w:pPr>
            <w:r>
              <w:rPr>
                <w:rFonts w:ascii="Times New Roman" w:cs="Times New Roman" w:eastAsia="Times New Roman" w:hAnsi="Times New Roman"/>
                <w:sz w:val="18"/>
                <w:szCs w:val="18"/>
                <w:i w:val="1"/>
                <w:iCs w:val="1"/>
                <w:color w:val="auto"/>
                <w:w w:val="99"/>
              </w:rPr>
              <w:t>Independent Director</w:t>
            </w:r>
          </w:p>
        </w:tc>
        <w:tc>
          <w:tcPr>
            <w:tcW w:w="2420" w:type="dxa"/>
            <w:vAlign w:val="bottom"/>
          </w:tcPr>
          <w:p>
            <w:pPr>
              <w:jc w:val="center"/>
              <w:ind w:left="190"/>
              <w:spacing w:after="0"/>
              <w:rPr>
                <w:sz w:val="20"/>
                <w:szCs w:val="20"/>
                <w:color w:val="auto"/>
              </w:rPr>
            </w:pPr>
            <w:r>
              <w:rPr>
                <w:rFonts w:ascii="Times New Roman" w:cs="Times New Roman" w:eastAsia="Times New Roman" w:hAnsi="Times New Roman"/>
                <w:sz w:val="18"/>
                <w:szCs w:val="18"/>
                <w:i w:val="1"/>
                <w:iCs w:val="1"/>
                <w:color w:val="auto"/>
                <w:w w:val="99"/>
              </w:rPr>
              <w:t>Independent Director</w:t>
            </w:r>
          </w:p>
        </w:tc>
      </w:tr>
      <w:tr>
        <w:trPr>
          <w:trHeight w:val="425"/>
        </w:trPr>
        <w:tc>
          <w:tcPr>
            <w:tcW w:w="642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rPr>
              <w:t>Jerry B. Gin, Ph.D., MBA</w:t>
            </w:r>
          </w:p>
        </w:tc>
        <w:tc>
          <w:tcPr>
            <w:tcW w:w="24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Mary L. Rotunno, J.D.</w:t>
            </w:r>
          </w:p>
        </w:tc>
      </w:tr>
      <w:tr>
        <w:trPr>
          <w:trHeight w:val="236"/>
        </w:trPr>
        <w:tc>
          <w:tcPr>
            <w:tcW w:w="6420" w:type="dxa"/>
            <w:vAlign w:val="bottom"/>
          </w:tcPr>
          <w:p>
            <w:pPr>
              <w:jc w:val="center"/>
              <w:ind w:right="2070"/>
              <w:spacing w:after="0"/>
              <w:rPr>
                <w:sz w:val="20"/>
                <w:szCs w:val="20"/>
                <w:color w:val="auto"/>
              </w:rPr>
            </w:pPr>
            <w:r>
              <w:rPr>
                <w:rFonts w:ascii="Times New Roman" w:cs="Times New Roman" w:eastAsia="Times New Roman" w:hAnsi="Times New Roman"/>
                <w:sz w:val="18"/>
                <w:szCs w:val="18"/>
                <w:i w:val="1"/>
                <w:iCs w:val="1"/>
                <w:color w:val="auto"/>
                <w:w w:val="99"/>
              </w:rPr>
              <w:t>Independent Director</w:t>
            </w:r>
          </w:p>
        </w:tc>
        <w:tc>
          <w:tcPr>
            <w:tcW w:w="2420" w:type="dxa"/>
            <w:vAlign w:val="bottom"/>
          </w:tcPr>
          <w:p>
            <w:pPr>
              <w:jc w:val="center"/>
              <w:ind w:left="150"/>
              <w:spacing w:after="0"/>
              <w:rPr>
                <w:sz w:val="20"/>
                <w:szCs w:val="20"/>
                <w:color w:val="auto"/>
              </w:rPr>
            </w:pPr>
            <w:r>
              <w:rPr>
                <w:rFonts w:ascii="Times New Roman" w:cs="Times New Roman" w:eastAsia="Times New Roman" w:hAnsi="Times New Roman"/>
                <w:sz w:val="18"/>
                <w:szCs w:val="18"/>
                <w:i w:val="1"/>
                <w:iCs w:val="1"/>
                <w:color w:val="auto"/>
                <w:w w:val="99"/>
              </w:rPr>
              <w:t>Independent Director</w:t>
            </w:r>
          </w:p>
        </w:tc>
      </w:tr>
      <w:tr>
        <w:trPr>
          <w:trHeight w:val="425"/>
        </w:trPr>
        <w:tc>
          <w:tcPr>
            <w:tcW w:w="642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rPr>
              <w:t>Shawn K. Singh, J.D.</w:t>
            </w:r>
          </w:p>
        </w:tc>
        <w:tc>
          <w:tcPr>
            <w:tcW w:w="2420" w:type="dxa"/>
            <w:vAlign w:val="bottom"/>
          </w:tcPr>
          <w:p>
            <w:pPr>
              <w:spacing w:after="0"/>
              <w:rPr>
                <w:sz w:val="24"/>
                <w:szCs w:val="24"/>
                <w:color w:val="auto"/>
              </w:rPr>
            </w:pPr>
          </w:p>
        </w:tc>
      </w:tr>
      <w:tr>
        <w:trPr>
          <w:trHeight w:val="236"/>
        </w:trPr>
        <w:tc>
          <w:tcPr>
            <w:tcW w:w="6420" w:type="dxa"/>
            <w:vAlign w:val="bottom"/>
          </w:tcPr>
          <w:p>
            <w:pPr>
              <w:jc w:val="center"/>
              <w:ind w:right="2070"/>
              <w:spacing w:after="0"/>
              <w:rPr>
                <w:sz w:val="20"/>
                <w:szCs w:val="20"/>
                <w:color w:val="auto"/>
              </w:rPr>
            </w:pPr>
            <w:r>
              <w:rPr>
                <w:rFonts w:ascii="Times New Roman" w:cs="Times New Roman" w:eastAsia="Times New Roman" w:hAnsi="Times New Roman"/>
                <w:sz w:val="18"/>
                <w:szCs w:val="18"/>
                <w:i w:val="1"/>
                <w:iCs w:val="1"/>
                <w:color w:val="auto"/>
                <w:w w:val="99"/>
              </w:rPr>
              <w:t>Chief Executive Officer and Director</w:t>
            </w:r>
          </w:p>
        </w:tc>
        <w:tc>
          <w:tcPr>
            <w:tcW w:w="2420" w:type="dxa"/>
            <w:vAlign w:val="bottom"/>
          </w:tcPr>
          <w:p>
            <w:pPr>
              <w:spacing w:after="0"/>
              <w:rPr>
                <w:sz w:val="20"/>
                <w:szCs w:val="20"/>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Recommendation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Directors shall be elected by a plurality of the votes cast, whether present or represented by proxy, and entitled to vote at the Annual Meeting. The seven (7) nominees receiving the highest number of “FOR” votes will be elected to serve on our Board until our next annual meeting of stockholders, or until her or his successor is duly elected and qualified. Withholding the authority to vote your shares with respect to one or more director nominees will have no effect on the election of those nominees. Broker non-votes are not considered votes cast and will also have no effect on the election of the nominees. Unless otherwise instructed or unless authority to vote is withheld, shares represented by executed proxies will be voted “FOR” the election of the nominees.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Our Board unanimously recommends that the stockholders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 Ms. FitzPatrick, Ms. Cunningham, Dr. Curley, Dr.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Gin, Ms. Rotunno, Mr. Saxe and Mr. Singh.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 Qualification and Experience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believes that our seven (7) director nominees provide our Company with the combined skills, experience and personal qualities needed for an effective, engaged and well-functioning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 Diversity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directors come from diverse backgrounds, drawing on their substantial experience in the biopharmaceutical industry, finance, law and business. We comply with California SB 826, which requires a minimum of three female directors for corporations with six or more directors, and California AB 979, which requires corporations with nine or more directors to have a minimum of three directors from underrepresented communities. We also comply with Nasdaq Listing Rule 5605(f), which requires Nasdaq-listed companies to have at least two diverse directors, including one self-identified woman and one individual who self-identifies as an underrepresented minority or as LGBTQ+.</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provides certain highlights of the composition of our Board members and nominees as of July 16, 2024 and July 28, 2023, respectively. Each of the categories listed in the table below has the meaning as it is used in Nasdaq Listing Rule 5605(f).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316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(As of July 16, 2024)</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25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1420" w:type="dxa"/>
            <w:vAlign w:val="bottom"/>
            <w:tcBorders>
              <w:top w:val="single" w:sz="8" w:color="auto"/>
              <w:bottom w:val="single" w:sz="8" w:color="auto"/>
            </w:tcBorders>
          </w:tcPr>
          <w:p>
            <w:pPr>
              <w:spacing w:after="0"/>
              <w:rPr>
                <w:sz w:val="21"/>
                <w:szCs w:val="21"/>
                <w:color w:val="auto"/>
              </w:rPr>
            </w:pPr>
          </w:p>
        </w:tc>
      </w:tr>
      <w:tr>
        <w:trPr>
          <w:trHeight w:val="214"/>
        </w:trPr>
        <w:tc>
          <w:tcPr>
            <w:tcW w:w="44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Did Not</w:t>
            </w:r>
          </w:p>
        </w:tc>
      </w:tr>
      <w:tr>
        <w:trPr>
          <w:trHeight w:val="216"/>
        </w:trPr>
        <w:tc>
          <w:tcPr>
            <w:tcW w:w="44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w:t>
            </w:r>
          </w:p>
        </w:tc>
      </w:tr>
      <w:tr>
        <w:trPr>
          <w:trHeight w:val="265"/>
        </w:trPr>
        <w:tc>
          <w:tcPr>
            <w:tcW w:w="4420" w:type="dxa"/>
            <w:vAlign w:val="bottom"/>
            <w:tcBorders>
              <w:bottom w:val="single" w:sz="8" w:color="auto"/>
            </w:tcBorders>
            <w:shd w:val="clear" w:color="auto" w:fill="CCEEFF"/>
          </w:tcPr>
          <w:p>
            <w:pPr>
              <w:spacing w:after="0"/>
              <w:rPr>
                <w:sz w:val="23"/>
                <w:szCs w:val="23"/>
                <w:color w:val="auto"/>
              </w:rPr>
            </w:pPr>
          </w:p>
        </w:tc>
        <w:tc>
          <w:tcPr>
            <w:tcW w:w="250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0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90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Non-Binary</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23"/>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2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25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88"/>
              </w:rPr>
              <w:t>4</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3</w:t>
            </w:r>
          </w:p>
        </w:tc>
        <w:tc>
          <w:tcPr>
            <w:tcW w:w="1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2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5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88"/>
              </w:rPr>
              <w:t>1</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5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Asian</w:t>
            </w:r>
          </w:p>
        </w:tc>
        <w:tc>
          <w:tcPr>
            <w:tcW w:w="25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Hispanic or Latinx</w:t>
            </w:r>
          </w:p>
        </w:tc>
        <w:tc>
          <w:tcPr>
            <w:tcW w:w="25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5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25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88"/>
              </w:rPr>
              <w:t>3</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5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2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color w:val="auto"/>
                <w:w w:val="99"/>
              </w:rPr>
              <w:t>1*</w:t>
            </w:r>
          </w:p>
        </w:tc>
        <w:tc>
          <w:tcPr>
            <w:tcW w:w="1420" w:type="dxa"/>
            <w:vAlign w:val="bottom"/>
            <w:tcBorders>
              <w:bottom w:val="single" w:sz="8" w:color="auto"/>
            </w:tcBorders>
          </w:tcPr>
          <w:p>
            <w:pPr>
              <w:spacing w:after="0"/>
              <w:rPr>
                <w:sz w:val="19"/>
                <w:szCs w:val="19"/>
                <w:color w:val="auto"/>
              </w:rPr>
            </w:pPr>
          </w:p>
        </w:tc>
      </w:tr>
      <w:tr>
        <w:trPr>
          <w:trHeight w:val="50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 Did not disclose with respect to LGBTQ+ background.</w:t>
            </w:r>
          </w:p>
        </w:tc>
        <w:tc>
          <w:tcPr>
            <w:tcW w:w="2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44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r>
      <w:tr>
        <w:trPr>
          <w:trHeight w:val="216"/>
        </w:trPr>
        <w:tc>
          <w:tcPr>
            <w:tcW w:w="44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Board Diversity Matrix</w:t>
            </w:r>
          </w:p>
        </w:tc>
        <w:tc>
          <w:tcPr>
            <w:tcW w:w="10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68"/>
        </w:trPr>
        <w:tc>
          <w:tcPr>
            <w:tcW w:w="44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(As of July 28, 2023)</w:t>
            </w:r>
          </w:p>
        </w:tc>
        <w:tc>
          <w:tcPr>
            <w:tcW w:w="10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23"/>
        </w:trPr>
        <w:tc>
          <w:tcPr>
            <w:tcW w:w="4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25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1420" w:type="dxa"/>
            <w:vAlign w:val="bottom"/>
            <w:tcBorders>
              <w:top w:val="single" w:sz="8" w:color="auto"/>
              <w:bottom w:val="single" w:sz="8" w:color="auto"/>
            </w:tcBorders>
          </w:tcPr>
          <w:p>
            <w:pPr>
              <w:spacing w:after="0"/>
              <w:rPr>
                <w:sz w:val="19"/>
                <w:szCs w:val="19"/>
                <w:color w:val="auto"/>
              </w:rPr>
            </w:pPr>
          </w:p>
        </w:tc>
      </w:tr>
      <w:tr>
        <w:trPr>
          <w:trHeight w:val="214"/>
        </w:trPr>
        <w:tc>
          <w:tcPr>
            <w:tcW w:w="44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Did Not</w:t>
            </w:r>
          </w:p>
        </w:tc>
      </w:tr>
      <w:tr>
        <w:trPr>
          <w:trHeight w:val="216"/>
        </w:trPr>
        <w:tc>
          <w:tcPr>
            <w:tcW w:w="44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w:t>
            </w:r>
          </w:p>
        </w:tc>
      </w:tr>
      <w:tr>
        <w:trPr>
          <w:trHeight w:val="265"/>
        </w:trPr>
        <w:tc>
          <w:tcPr>
            <w:tcW w:w="4420" w:type="dxa"/>
            <w:vAlign w:val="bottom"/>
            <w:tcBorders>
              <w:bottom w:val="single" w:sz="8" w:color="auto"/>
            </w:tcBorders>
            <w:shd w:val="clear" w:color="auto" w:fill="CCEEFF"/>
          </w:tcPr>
          <w:p>
            <w:pPr>
              <w:spacing w:after="0"/>
              <w:rPr>
                <w:sz w:val="23"/>
                <w:szCs w:val="23"/>
                <w:color w:val="auto"/>
              </w:rPr>
            </w:pPr>
          </w:p>
        </w:tc>
        <w:tc>
          <w:tcPr>
            <w:tcW w:w="250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0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90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Non-Binary</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23"/>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2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25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88"/>
              </w:rPr>
              <w:t>4</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3</w:t>
            </w:r>
          </w:p>
        </w:tc>
        <w:tc>
          <w:tcPr>
            <w:tcW w:w="1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2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5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88"/>
              </w:rPr>
              <w:t>1</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43"/>
        </w:trPr>
        <w:tc>
          <w:tcPr>
            <w:tcW w:w="4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480" w:type="dxa"/>
            <w:vAlign w:val="bottom"/>
            <w:tcBorders>
              <w:top w:val="single" w:sz="8" w:color="auto"/>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Asian</w:t>
            </w:r>
          </w:p>
        </w:tc>
        <w:tc>
          <w:tcPr>
            <w:tcW w:w="248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Hispanic or Latinx</w:t>
            </w:r>
          </w:p>
        </w:tc>
        <w:tc>
          <w:tcPr>
            <w:tcW w:w="248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48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248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88"/>
              </w:rPr>
              <w:t>3</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4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5120" w:type="dxa"/>
            <w:vAlign w:val="bottom"/>
            <w:tcBorders>
              <w:top w:val="single" w:sz="8" w:color="auto"/>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51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1*</w:t>
            </w:r>
          </w:p>
        </w:tc>
      </w:tr>
      <w:tr>
        <w:trPr>
          <w:trHeight w:val="50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 Did not disclose with respect to LGBTQ+ background.</w:t>
            </w:r>
          </w:p>
        </w:tc>
        <w:tc>
          <w:tcPr>
            <w:tcW w:w="512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 Experience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brief description of our current directors, each of whom has been nominated by the Board to stand for re-election as a director at the Annual Meeting. The age indicated in each nominee’s biography is as of July 16, 2024, the date of this Proxy Statement. There are no arrangements or understandings by which any of the directors or nominees for director of the Company were selected, and there are no family relationships between any of the directors, nominees or executive officers.</w:t>
      </w:r>
    </w:p>
    <w:p>
      <w:pPr>
        <w:spacing w:after="0" w:line="20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Unless the context otherwise requires, reference in this Proxy Statement to the terms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and similar designations refer to Vistagen Therapeutics, Inc., a Nevada corporation, and where appropriate, our consolidated subsidiaries.</w:t>
      </w:r>
    </w:p>
    <w:p>
      <w:pPr>
        <w:sectPr>
          <w:pgSz w:w="11900" w:h="16838" w:orient="portrait"/>
          <w:cols w:equalWidth="0" w:num="1">
            <w:col w:w="11240"/>
          </w:cols>
          <w:pgMar w:left="320" w:top="9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Margaret M. FitzPatrick,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-2079625</wp:posOffset>
            </wp:positionV>
            <wp:extent cx="1234440" cy="1843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18434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Chair and Independent Director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Age 58</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Ms. FitzPatrick has served on our Board of Directors since July 2021, and as Chair since October 2023. Ms. FitzPatrick is the Founder of FitzPatrick &amp; Co., LLC, a business advisory firm founded in July 2020. Prior to the founding of FitzPatrick &amp; Co. LLC, Ms. FitzPatrick served as Senior Vice President, Corporate Affairs, Philanthropy and Customer Engagement at Exelon Corporation (NASDAQ: EXC), a diversified clean energy company, from 2016 to 2020, as Global Chief Communications Officer at Johnson &amp; Johnson, one of the largest and most broadly-based healthcare companies, from 2013 to 2016, and as Global Chief Communication Officer and President of the Foundation at CIGNA. Ms. FitzPatrick also served as Executive Vice President at APCO Worldwide, a global public affairs and strategic communications consultancy, where she counseled executives on major global reputation efforts for notable industry leaders. Ms. FitzPatrick currently serves on the board of directors of AN2 Therapeutics, Inc. (NASDAQ: ANTX), where she is lead independent director and a member of the Nominating and Corporate Governance Committee. Ms. FitzPatrick holds a B.A. in English and Policy Studies from Syracuse University, and an M.A. in Public Policy from The George Washington University. In 2018, she completed the Harvard Business School program for corporate directors. She is a National Association of Corporate Directors (</w:t>
      </w:r>
      <w:r>
        <w:rPr>
          <w:rFonts w:ascii="Times New Roman" w:cs="Times New Roman" w:eastAsia="Times New Roman" w:hAnsi="Times New Roman"/>
          <w:sz w:val="18"/>
          <w:szCs w:val="18"/>
          <w:i w:val="1"/>
          <w:iCs w:val="1"/>
          <w:color w:val="auto"/>
        </w:rPr>
        <w:t>NACD</w:t>
      </w:r>
      <w:r>
        <w:rPr>
          <w:rFonts w:ascii="Times New Roman" w:cs="Times New Roman" w:eastAsia="Times New Roman" w:hAnsi="Times New Roman"/>
          <w:sz w:val="18"/>
          <w:szCs w:val="18"/>
          <w:color w:val="auto"/>
        </w:rPr>
        <w:t>) Certified Director and a faculty member of NACD's Board Advisory Services.</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selected Ms. FitzPatrick to serve as Chair of our Board due to her extensive experience in corporate governance and leadership at some of the world's most successful companies. The Board believes Ms. FitzPatrick’s expertise in healthcare and her work in the global pharmaceutical market provides valuable contributions as the Company continues to advance the development of its drug candidates to address unmet patient needs.</w:t>
      </w:r>
    </w:p>
    <w:p>
      <w:pPr>
        <w:spacing w:after="0" w:line="200" w:lineRule="exact"/>
        <w:rPr>
          <w:sz w:val="20"/>
          <w:szCs w:val="20"/>
          <w:color w:val="auto"/>
        </w:rPr>
      </w:pPr>
    </w:p>
    <w:p>
      <w:pPr>
        <w:sectPr>
          <w:pgSz w:w="11900" w:h="16838" w:orient="portrait"/>
          <w:cols w:equalWidth="0" w:num="2">
            <w:col w:w="3020" w:space="720"/>
            <w:col w:w="7500"/>
          </w:cols>
          <w:pgMar w:left="320" w:top="9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type w:val="continuous"/>
        </w:sectPr>
      </w:pPr>
    </w:p>
    <w:bookmarkStart w:id="11" w:name="page12"/>
    <w:bookmarkEnd w:id="11"/>
    <w:p>
      <w:pPr>
        <w:jc w:val="both"/>
        <w:ind w:left="3720"/>
        <w:spacing w:after="0" w:line="253" w:lineRule="auto"/>
        <w:rPr>
          <w:sz w:val="20"/>
          <w:szCs w:val="20"/>
          <w:color w:val="auto"/>
        </w:rPr>
      </w:pPr>
      <w:r>
        <w:rPr>
          <w:rFonts w:ascii="Times New Roman" w:cs="Times New Roman" w:eastAsia="Times New Roman" w:hAnsi="Times New Roman"/>
          <w:sz w:val="18"/>
          <w:szCs w:val="18"/>
          <w:color w:val="auto"/>
        </w:rPr>
        <w:t>Ms. Cunningham has served as a member of our Board since January 2019 and served as the Company's Chief Commercial Officer from May 2021 to November 2022. Currently, Ms. Cunningham is the Founder and Managing Partner of i3 Strategy Partners, a consulting firm founded in 2018 specializing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-1313180</wp:posOffset>
            </wp:positionV>
            <wp:extent cx="1234440" cy="1843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4440" cy="1843405"/>
                    </a:xfrm>
                    <a:prstGeom prst="rect">
                      <a:avLst/>
                    </a:prstGeom>
                    <a:noFill/>
                  </pic:spPr>
                </pic:pic>
              </a:graphicData>
            </a:graphic>
          </wp:anchor>
        </w:drawing>
      </w:r>
    </w:p>
    <w:p>
      <w:pPr>
        <w:spacing w:after="0" w:line="174" w:lineRule="exact"/>
        <w:rPr>
          <w:sz w:val="20"/>
          <w:szCs w:val="20"/>
          <w:color w:val="auto"/>
        </w:rPr>
      </w:pPr>
    </w:p>
    <w:p>
      <w:pPr>
        <w:jc w:val="both"/>
        <w:ind w:left="3720"/>
        <w:spacing w:after="0" w:line="255" w:lineRule="auto"/>
        <w:rPr>
          <w:sz w:val="20"/>
          <w:szCs w:val="20"/>
          <w:color w:val="auto"/>
        </w:rPr>
      </w:pPr>
      <w:r>
        <w:rPr>
          <w:rFonts w:ascii="Times New Roman" w:cs="Times New Roman" w:eastAsia="Times New Roman" w:hAnsi="Times New Roman"/>
          <w:sz w:val="18"/>
          <w:szCs w:val="18"/>
          <w:color w:val="auto"/>
        </w:rPr>
        <w:t>We selected Ms. Cunningham to serve on our Board due to her substantial experience in healthcare commercialization and marketing, particularly in the successful development, positioning and commercial launch of products to treat neuropsychiatric disorders and other diseases of the central nervous system. Ms. Cunningham brings an insightful commercial perspective to us and to our Board</w:t>
      </w:r>
    </w:p>
    <w:p>
      <w:pPr>
        <w:spacing w:after="0" w:line="3" w:lineRule="exact"/>
        <w:rPr>
          <w:sz w:val="20"/>
          <w:szCs w:val="20"/>
          <w:color w:val="auto"/>
        </w:rPr>
      </w:pPr>
    </w:p>
    <w:p>
      <w:pPr>
        <w:spacing w:after="0"/>
        <w:tabs>
          <w:tab w:leader="none" w:pos="3700" w:val="left"/>
        </w:tabs>
        <w:rPr>
          <w:sz w:val="20"/>
          <w:szCs w:val="20"/>
          <w:color w:val="auto"/>
        </w:rPr>
      </w:pPr>
      <w:r>
        <w:rPr>
          <w:rFonts w:ascii="Times New Roman" w:cs="Times New Roman" w:eastAsia="Times New Roman" w:hAnsi="Times New Roman"/>
          <w:sz w:val="18"/>
          <w:szCs w:val="18"/>
          <w:b w:val="1"/>
          <w:bCs w:val="1"/>
          <w:i w:val="1"/>
          <w:iCs w:val="1"/>
          <w:color w:val="auto"/>
        </w:rPr>
        <w:t>Ann M. Cunningham, MBA</w:t>
      </w:r>
      <w:r>
        <w:rPr>
          <w:sz w:val="20"/>
          <w:szCs w:val="20"/>
          <w:color w:val="auto"/>
        </w:rPr>
        <w:tab/>
      </w:r>
      <w:r>
        <w:rPr>
          <w:rFonts w:ascii="Times New Roman" w:cs="Times New Roman" w:eastAsia="Times New Roman" w:hAnsi="Times New Roman"/>
          <w:sz w:val="18"/>
          <w:szCs w:val="18"/>
          <w:color w:val="auto"/>
        </w:rPr>
        <w:t>that is critical as our pipeline products move from clinical development to commercialization.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Non-Executive, Non-Independent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 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58" w:right="35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Joanne Curley, Ph.D.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1325880</wp:posOffset>
            </wp:positionV>
            <wp:extent cx="1234440" cy="1843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444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Jon S. Saxe, J.D., LL.M.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 87</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Dr. Curley has served as a member of our Board of Directors since April 2021. Dr. Curley brings more than 25 years of experience in the development and commercialization of pharmaceutical products, including research and development governance. From Mach 2020 until her retirement in October 2023, Dr. Curley served as the Chief Development Officer at Vera Therapeutics, Inc. Prior to joining Vera, from June 2005 to March 2020, Dr. Curley held various director-level positions with Gilead Sciences, Inc. (NASDAQ: GILD), during which time the anti-viral portfolio grew from four to seventeen commercial products. While at Gilead, Dr. Curley led Project and Portfolio Management with oversight of the development pipeline across four therapeutic areas and was responsible for research and development governance. Before Gilead, Dr. Curley worked as an aerosol formulation scientist and subsequently as a project leader at Nektar Therapeutics. Dr. Curley received a B.Sc in Physics and Chemistry from Trinity College, Ireland, a Ph.D. in Polymer Science and Engineering from the University of Massachusetts, Amherst and completed a post-doctorate at Massachusetts Institute of Technology and Harvard Medical School, focused on long-acting biodegradable formulations.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selected Dr. Curley to serve on our Board due to her extensive experience in early product development, regulatory approval and commercialization of pharmaceutical products, giving her a unique perspective of the life cycle of drug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Mr. Saxe has served as a director on our Board since 2000, and served as Chair of our Board until October 2023. He currently serves as the Chair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the lead director of Kyto Technology and Life Science and K2x Capital, as Chair of the board of directors of Aether, Inc. and Epalex Corporation, and serves as a director of four additional private life science companies, Achelios, Arbor Vita Corporation, NuvOx Pharma, LLC and Trellis Bioscience, Inc. In addition, Mr. Saxe serves as a board observer of InGeneron, Inc. and Renexxion, Inc. Mr. Saxe has also served as a director of other biotechnology and pharmaceutical companies, including ID Biomedical (acquired by GlaxoSmithKline), Sciele Pharmaceuticals, Inc. (acquired by Shionogi), Amalyte (acquired by Kemin Industries), Cell Pathways (acquired by OSI Pharmaceuticals), Lumos Pharma, Inc. (merged with New Link Genetics) and other companies, both public and private. Mr. Saxe has a B.S.Ch.E. from Carnegie-Mellon University, a J.D. degree from George Washington University and an LL.M. degree from New York University.</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selected Mr. Saxe to serve as a director on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200" w:lineRule="exact"/>
        <w:rPr>
          <w:sz w:val="20"/>
          <w:szCs w:val="20"/>
          <w:color w:val="auto"/>
        </w:rPr>
      </w:pPr>
    </w:p>
    <w:p>
      <w:pPr>
        <w:sectPr>
          <w:pgSz w:w="11900" w:h="16838" w:orient="portrait"/>
          <w:cols w:equalWidth="0" w:num="2">
            <w:col w:w="3000" w:space="720"/>
            <w:col w:w="7480"/>
          </w:cols>
          <w:pgMar w:left="340" w:top="95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241935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58" w:right="35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663575</wp:posOffset>
            </wp:positionV>
            <wp:extent cx="1234440" cy="1842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0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Jerry B. Gin, Ph.D., MBA </w:t>
      </w:r>
      <w:r>
        <w:rPr>
          <w:rFonts w:ascii="Times New Roman" w:cs="Times New Roman" w:eastAsia="Times New Roman" w:hAnsi="Times New Roman"/>
          <w:sz w:val="18"/>
          <w:szCs w:val="18"/>
          <w:i w:val="1"/>
          <w:iCs w:val="1"/>
          <w:color w:val="auto"/>
        </w:rPr>
        <w:t>Independent Director 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1271270</wp:posOffset>
            </wp:positionV>
            <wp:extent cx="1234440" cy="1842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444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Mary L. Rotunno, J.D.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 64</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Dr. Gin has served on our Board of Directors since March 2016. Dr. Gin is currently the co-founder and CEO of 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B.S. in Chemistry from the University of Arizona, his Ph.D. in Biochemistry from the University of California, Berkeley, his MBA from Loyola College, and conducted his post-doctoral research at the National Institutes of Health.</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selected Dr. Gin to serve on our Board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Ms. Rotunno has served as a member of our Board since July 2021. Prior to her retirement in March 2024, Ms. Rotunno served as General Counsel of El Camino Health, a health care system, since January 2014, and as a Member of the Executive Leadership Team at El Camino Health since August 2015. Ms. Rotunno is also a member of the Audit and Compensation Committees for healthcare provider Momentum for Health, located in San Jose, California. Before joining El Camino Health, Ms. Rotunno spent over 11 years as Senior Counsel and Client Service Leader for Common Spirit Health, formerly Dignity Health, in California’s San Francisco Bay Area. Prior to Dignity Health, she held various legal roles at Varian Medical Systems, Manatt, Phelps &amp; Phillips, Golden Living, and Pillsbury Winthrop Shaw Pitman. Ms. Rotunno graduated with honors from the University of Illinois with a B.S. in Nursing. She worked as a registered nurse before earning her J.D. degree, cum laude, from the University of California, Hastings College of Law, San Francisco. She obtained certification by the NACD, Stanford Directors College, the Women’s Corporate Board Readiness Program at Santa Clara University and completed the Hastings Leadership Academy for Women and Dignity Health Ministry Leadership Program.</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selected Ms. Rotunno to serve on our Board due to her extensive experience as an advocate for both patients and healthcare providers and her insights into strategies for value-based care and an understanding of the life cycle of the mental healthcare experience. Ms. Rotunno also brings insights on complex governance, regulatory and compliance requirements to complement her strategic vision and skills for scenario planning and enterprise risk management.</w:t>
      </w:r>
    </w:p>
    <w:p>
      <w:pPr>
        <w:spacing w:after="0" w:line="200" w:lineRule="exact"/>
        <w:rPr>
          <w:sz w:val="20"/>
          <w:szCs w:val="20"/>
          <w:color w:val="auto"/>
        </w:rPr>
      </w:pPr>
    </w:p>
    <w:p>
      <w:pPr>
        <w:sectPr>
          <w:pgSz w:w="11900" w:h="16838" w:orient="portrait"/>
          <w:cols w:equalWidth="0" w:num="2">
            <w:col w:w="3000" w:space="720"/>
            <w:col w:w="7480"/>
          </w:cols>
          <w:pgMar w:left="340" w:top="95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58" w:right="35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1234440" cy="1843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Shawn K. Singh, J.D.</w:t>
      </w:r>
    </w:p>
    <w:p>
      <w:pPr>
        <w:spacing w:after="0" w:line="3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i w:val="1"/>
          <w:iCs w:val="1"/>
          <w:color w:val="auto"/>
        </w:rPr>
        <w:t>Chief Executive Officer and Director Age 61</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Mr. Singh has served as our Chief Executive Officer and as a member of our Board since August 2009. Mr. Singh has over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(now Allucent), a contract research organization (</w:t>
      </w:r>
      <w:r>
        <w:rPr>
          <w:rFonts w:ascii="Times New Roman" w:cs="Times New Roman" w:eastAsia="Times New Roman" w:hAnsi="Times New Roman"/>
          <w:sz w:val="18"/>
          <w:szCs w:val="18"/>
          <w:i w:val="1"/>
          <w:iCs w:val="1"/>
          <w:color w:val="auto"/>
        </w:rPr>
        <w:t>CRO</w:t>
      </w:r>
      <w:r>
        <w:rPr>
          <w:rFonts w:ascii="Times New Roman" w:cs="Times New Roman" w:eastAsia="Times New Roman" w:hAnsi="Times New Roman"/>
          <w:sz w:val="18"/>
          <w:szCs w:val="18"/>
          <w:color w:val="auto"/>
        </w:rPr>
        <w:t>) previously affiliated with Cato BioVentures. Mr. Singh served as President (part-time) of Echo Therapeutics, a medical device company, from 2007 to 2009, and as a member of its Board of Directors from 2007 to 2011. He also served as Chief Executive Officer (part-time) of Hemodynamic Therapeutics, a private biopharmaceutical company previously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Greater China, from 1993 to 2000, and as a corporate finance associate of Morrison &amp; Foerster LLP, an international law firm, from 1991 to 1993. Mr. Singh earned a B.A., with honors, from the University of California, Berkeley, and a J.D. degree from the University of Maryland School of Law. Mr. Singh is a member of the State Bar of California.</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selected Mr. Singh to serve on our Board due to his substantial practical experience and expertise in multiple senior leadership roles with private and public biotechnology, pharmaceutical and medical device companies, and his extensive experience in corporate finance and capital markets, venture capital, corporate governance, drug development, intellectual property, regulatory affairs and strategic collaborations.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000" w:space="720"/>
            <w:col w:w="7480"/>
          </w:cols>
          <w:pgMar w:left="340" w:top="958"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our fiscal year ended March 31, 2024 (</w:t>
      </w:r>
      <w:r>
        <w:rPr>
          <w:rFonts w:ascii="Times New Roman" w:cs="Times New Roman" w:eastAsia="Times New Roman" w:hAnsi="Times New Roman"/>
          <w:sz w:val="18"/>
          <w:szCs w:val="18"/>
          <w:i w:val="1"/>
          <w:iCs w:val="1"/>
          <w:color w:val="auto"/>
        </w:rPr>
        <w:t>Fiscal 2024</w:t>
      </w:r>
      <w:r>
        <w:rPr>
          <w:rFonts w:ascii="Times New Roman" w:cs="Times New Roman" w:eastAsia="Times New Roman" w:hAnsi="Times New Roman"/>
          <w:sz w:val="18"/>
          <w:szCs w:val="18"/>
          <w:color w:val="auto"/>
        </w:rPr>
        <w:t xml:space="preserve">), our Board utilized the following director compensation policies for the non-executive members of our Board consistent with our Director Compensation Plan adopted pursuant to our Amended and Restated 2019 Omnibus Equity Incentive Plan, as amended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Unless otherwise noted, all share references and related information, including stock option exercise prices, have been revised to give effect to the 1-for-30 reverse stock split effected on June 6, 2023.</w:t>
      </w:r>
    </w:p>
    <w:p>
      <w:pPr>
        <w:spacing w:after="0" w:line="232"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b w:val="1"/>
          <w:bCs w:val="1"/>
          <w:color w:val="auto"/>
        </w:rPr>
        <w:t>Schedule of Director Fees</w:t>
      </w:r>
    </w:p>
    <w:p>
      <w:pPr>
        <w:spacing w:after="0" w:line="31"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b w:val="1"/>
          <w:bCs w:val="1"/>
          <w:color w:val="auto"/>
        </w:rPr>
        <w:t xml:space="preserve">April 1, 2023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22860</wp:posOffset>
            </wp:positionV>
            <wp:extent cx="29743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54" w:lineRule="exact"/>
        <w:rPr>
          <w:sz w:val="20"/>
          <w:szCs w:val="20"/>
          <w:color w:val="auto"/>
        </w:rPr>
      </w:pPr>
    </w:p>
    <w:tbl>
      <w:tblPr>
        <w:tblLayout w:type="fixed"/>
        <w:tblInd w:w="980" w:type="dxa"/>
        <w:tblCellMar>
          <w:top w:w="0" w:type="dxa"/>
          <w:left w:w="0" w:type="dxa"/>
          <w:bottom w:w="0" w:type="dxa"/>
          <w:right w:w="0" w:type="dxa"/>
        </w:tblCellMar>
      </w:tblPr>
      <w:tr>
        <w:trPr>
          <w:trHeight w:val="265"/>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9"/>
                <w:szCs w:val="9"/>
                <w:b w:val="1"/>
                <w:bCs w:val="1"/>
                <w:color w:val="auto"/>
              </w:rPr>
              <w:t>(1)</w:t>
            </w: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23"/>
                <w:szCs w:val="23"/>
                <w:color w:val="auto"/>
              </w:rPr>
            </w:pPr>
          </w:p>
        </w:tc>
      </w:tr>
      <w:tr>
        <w:trPr>
          <w:trHeight w:val="236"/>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Annual Retainer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20"/>
                <w:szCs w:val="20"/>
                <w:color w:val="auto"/>
              </w:rPr>
            </w:pPr>
          </w:p>
        </w:tc>
      </w:tr>
      <w:tr>
        <w:trPr>
          <w:trHeight w:val="25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22"/>
                <w:szCs w:val="22"/>
                <w:color w:val="auto"/>
              </w:rPr>
            </w:pPr>
          </w:p>
        </w:tc>
      </w:tr>
      <w:tr>
        <w:trPr>
          <w:trHeight w:val="25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2"/>
                <w:szCs w:val="22"/>
                <w:color w:val="auto"/>
              </w:rPr>
            </w:pPr>
          </w:p>
        </w:tc>
      </w:tr>
      <w:tr>
        <w:trPr>
          <w:trHeight w:val="257"/>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5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2"/>
                <w:szCs w:val="22"/>
                <w:color w:val="auto"/>
              </w:rPr>
            </w:pPr>
          </w:p>
        </w:tc>
      </w:tr>
      <w:tr>
        <w:trPr>
          <w:trHeight w:val="257"/>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22"/>
                <w:szCs w:val="22"/>
                <w:color w:val="auto"/>
              </w:rPr>
            </w:pPr>
          </w:p>
        </w:tc>
      </w:tr>
      <w:tr>
        <w:trPr>
          <w:trHeight w:val="25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2"/>
                <w:szCs w:val="22"/>
                <w:color w:val="auto"/>
              </w:rPr>
            </w:pPr>
          </w:p>
        </w:tc>
      </w:tr>
      <w:tr>
        <w:trPr>
          <w:trHeight w:val="25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2"/>
                <w:szCs w:val="22"/>
                <w:color w:val="auto"/>
              </w:rPr>
            </w:pPr>
          </w:p>
        </w:tc>
      </w:tr>
    </w:tbl>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85"/>
              </w:rPr>
              <w:t>(1)</w:t>
            </w:r>
          </w:p>
        </w:tc>
        <w:tc>
          <w:tcPr>
            <w:tcW w:w="3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Cash fees payable in quarterly installments.</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9"/>
          <w:szCs w:val="9"/>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36830</wp:posOffset>
            </wp:positionV>
            <wp:extent cx="1928495" cy="1628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28495" cy="1628775"/>
                    </a:xfrm>
                    <a:prstGeom prst="rect">
                      <a:avLst/>
                    </a:prstGeom>
                    <a:noFill/>
                  </pic:spPr>
                </pic:pic>
              </a:graphicData>
            </a:graphic>
          </wp:anchor>
        </w:drawing>
      </w:r>
    </w:p>
    <w:p>
      <w:pPr>
        <w:spacing w:after="0" w:line="47" w:lineRule="exact"/>
        <w:rPr>
          <w:sz w:val="20"/>
          <w:szCs w:val="20"/>
          <w:color w:val="auto"/>
        </w:rPr>
      </w:pPr>
    </w:p>
    <w:p>
      <w:pPr>
        <w:jc w:val="both"/>
        <w:ind w:right="1000"/>
        <w:spacing w:after="0" w:line="216" w:lineRule="auto"/>
        <w:rPr>
          <w:sz w:val="20"/>
          <w:szCs w:val="20"/>
          <w:color w:val="auto"/>
        </w:rPr>
      </w:pPr>
      <w:r>
        <w:rPr>
          <w:rFonts w:ascii="Times New Roman" w:cs="Times New Roman" w:eastAsia="Times New Roman" w:hAnsi="Times New Roman"/>
          <w:sz w:val="18"/>
          <w:szCs w:val="18"/>
          <w:color w:val="auto"/>
        </w:rPr>
        <w:t>Non-executive members of our Board will be entitled to the following equity Awards: (i) a one-time grant of stock</w:t>
      </w:r>
    </w:p>
    <w:p>
      <w:pPr>
        <w:spacing w:after="0" w:line="1" w:lineRule="exact"/>
        <w:rPr>
          <w:sz w:val="20"/>
          <w:szCs w:val="20"/>
          <w:color w:val="auto"/>
        </w:rPr>
      </w:pPr>
    </w:p>
    <w:p>
      <w:pPr>
        <w:jc w:val="both"/>
        <w:ind w:right="1000"/>
        <w:spacing w:after="0" w:line="208" w:lineRule="auto"/>
        <w:rPr>
          <w:sz w:val="20"/>
          <w:szCs w:val="20"/>
          <w:color w:val="auto"/>
        </w:rPr>
      </w:pPr>
      <w:r>
        <w:rPr>
          <w:rFonts w:ascii="Times New Roman" w:cs="Times New Roman" w:eastAsia="Times New Roman" w:hAnsi="Times New Roman"/>
          <w:sz w:val="18"/>
          <w:szCs w:val="18"/>
          <w:color w:val="auto"/>
        </w:rPr>
        <w:t>options upon appointment to the Board in an amount to be determined at the sole discretion of the Compensation</w:t>
      </w:r>
    </w:p>
    <w:p>
      <w:pPr>
        <w:spacing w:after="0" w:line="2" w:lineRule="exact"/>
        <w:rPr>
          <w:sz w:val="20"/>
          <w:szCs w:val="20"/>
          <w:color w:val="auto"/>
        </w:rPr>
      </w:pPr>
    </w:p>
    <w:p>
      <w:pPr>
        <w:jc w:val="both"/>
        <w:ind w:right="1000"/>
        <w:spacing w:after="0" w:line="208" w:lineRule="auto"/>
        <w:rPr>
          <w:sz w:val="20"/>
          <w:szCs w:val="20"/>
          <w:color w:val="auto"/>
        </w:rPr>
      </w:pPr>
      <w:r>
        <w:rPr>
          <w:rFonts w:ascii="Times New Roman" w:cs="Times New Roman" w:eastAsia="Times New Roman" w:hAnsi="Times New Roman"/>
          <w:sz w:val="18"/>
          <w:szCs w:val="18"/>
          <w:color w:val="auto"/>
        </w:rPr>
        <w:t>Committee, and (ii) an annual grant of stock options or restricted stock to be determined at the sole discretion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of the Board.</w:t>
      </w:r>
    </w:p>
    <w:p>
      <w:pPr>
        <w:spacing w:after="0" w:line="1379" w:lineRule="exact"/>
        <w:rPr>
          <w:sz w:val="20"/>
          <w:szCs w:val="20"/>
          <w:color w:val="auto"/>
        </w:rPr>
      </w:pPr>
    </w:p>
    <w:p>
      <w:pPr>
        <w:sectPr>
          <w:pgSz w:w="11900" w:h="16838" w:orient="portrait"/>
          <w:cols w:equalWidth="0" w:num="2">
            <w:col w:w="7220" w:space="20"/>
            <w:col w:w="4000"/>
          </w:cols>
          <w:pgMar w:left="320" w:top="1143" w:right="339" w:bottom="1440" w:gutter="0" w:footer="0" w:header="0"/>
          <w:type w:val="continuous"/>
        </w:sectPr>
      </w:pPr>
    </w:p>
    <w:p>
      <w:pPr>
        <w:ind w:left="400" w:right="40" w:hanging="374"/>
        <w:spacing w:after="0" w:line="208" w:lineRule="auto"/>
        <w:tabs>
          <w:tab w:leader="none" w:pos="4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awards issued pursuant to the Director Compensation Plan will be issued pursuant to the 2019 Plan or a successor plan, if any. Each award issued under the Director Compensation Plan will vest in equal monthly installments over a 12-month period beginning on the date of issuance.</w:t>
      </w:r>
    </w:p>
    <w:p>
      <w:pPr>
        <w:spacing w:after="0" w:line="3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Effective January 1, 2024, our Board approved of certain updates to the Director Compensation Plan. The updated Director Compensation Plan is set forth below:</w:t>
      </w:r>
    </w:p>
    <w:p>
      <w:pPr>
        <w:spacing w:after="0" w:line="212"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b w:val="1"/>
          <w:bCs w:val="1"/>
          <w:color w:val="auto"/>
        </w:rPr>
        <w:t>Current Schedule of Director Fees During Fiscal 2024</w:t>
      </w:r>
    </w:p>
    <w:p>
      <w:pPr>
        <w:spacing w:after="0" w:line="31"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b w:val="1"/>
          <w:bCs w:val="1"/>
          <w:color w:val="auto"/>
        </w:rPr>
        <w:t>Effective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22860</wp:posOffset>
            </wp:positionV>
            <wp:extent cx="29743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p>
      <w:pPr>
        <w:spacing w:after="0" w:line="54" w:lineRule="exact"/>
        <w:rPr>
          <w:sz w:val="20"/>
          <w:szCs w:val="20"/>
          <w:color w:val="auto"/>
        </w:rPr>
      </w:pPr>
    </w:p>
    <w:tbl>
      <w:tblPr>
        <w:tblLayout w:type="fixed"/>
        <w:tblInd w:w="980" w:type="dxa"/>
        <w:tblCellMar>
          <w:top w:w="0" w:type="dxa"/>
          <w:left w:w="0" w:type="dxa"/>
          <w:bottom w:w="0" w:type="dxa"/>
          <w:right w:w="0" w:type="dxa"/>
        </w:tblCellMar>
      </w:tblPr>
      <w:tr>
        <w:trPr>
          <w:trHeight w:val="265"/>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9"/>
                <w:szCs w:val="9"/>
                <w:b w:val="1"/>
                <w:bCs w:val="1"/>
                <w:color w:val="auto"/>
              </w:rPr>
              <w:t>(1)</w:t>
            </w: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23"/>
                <w:szCs w:val="23"/>
                <w:color w:val="auto"/>
              </w:rPr>
            </w:pPr>
          </w:p>
        </w:tc>
      </w:tr>
      <w:tr>
        <w:trPr>
          <w:trHeight w:val="236"/>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Annual Retainer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20"/>
                <w:szCs w:val="20"/>
                <w:color w:val="auto"/>
              </w:rPr>
            </w:pPr>
          </w:p>
        </w:tc>
      </w:tr>
      <w:tr>
        <w:trPr>
          <w:trHeight w:val="25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Additional fee for Board Chair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21"/>
                <w:szCs w:val="21"/>
                <w:color w:val="auto"/>
              </w:rPr>
            </w:pPr>
          </w:p>
        </w:tc>
      </w:tr>
      <w:tr>
        <w:trPr>
          <w:trHeight w:val="26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5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22"/>
                <w:szCs w:val="22"/>
                <w:color w:val="auto"/>
              </w:rPr>
            </w:pPr>
          </w:p>
        </w:tc>
      </w:tr>
      <w:tr>
        <w:trPr>
          <w:trHeight w:val="256"/>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2"/>
                <w:szCs w:val="22"/>
                <w:color w:val="auto"/>
              </w:rPr>
            </w:pPr>
          </w:p>
        </w:tc>
      </w:tr>
      <w:tr>
        <w:trPr>
          <w:trHeight w:val="25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2"/>
                <w:szCs w:val="22"/>
                <w:color w:val="auto"/>
              </w:rPr>
            </w:pPr>
          </w:p>
        </w:tc>
      </w:tr>
      <w:tr>
        <w:trPr>
          <w:trHeight w:val="25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2"/>
                <w:szCs w:val="22"/>
                <w:color w:val="auto"/>
              </w:rPr>
            </w:pPr>
          </w:p>
        </w:tc>
      </w:tr>
      <w:tr>
        <w:trPr>
          <w:trHeight w:val="257"/>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5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2"/>
                <w:szCs w:val="22"/>
                <w:color w:val="auto"/>
              </w:rPr>
            </w:pPr>
          </w:p>
        </w:tc>
      </w:tr>
      <w:tr>
        <w:trPr>
          <w:trHeight w:val="257"/>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22"/>
                <w:szCs w:val="22"/>
                <w:color w:val="auto"/>
              </w:rPr>
            </w:pPr>
          </w:p>
        </w:tc>
      </w:tr>
    </w:tbl>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85"/>
              </w:rPr>
              <w:t>(1)</w:t>
            </w:r>
          </w:p>
        </w:tc>
        <w:tc>
          <w:tcPr>
            <w:tcW w:w="3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Cash fees payable in quarterly installments.</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9"/>
          <w:szCs w:val="9"/>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36830</wp:posOffset>
            </wp:positionV>
            <wp:extent cx="1928495" cy="1791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28495" cy="1791335"/>
                    </a:xfrm>
                    <a:prstGeom prst="rect">
                      <a:avLst/>
                    </a:prstGeom>
                    <a:noFill/>
                  </pic:spPr>
                </pic:pic>
              </a:graphicData>
            </a:graphic>
          </wp:anchor>
        </w:drawing>
      </w:r>
    </w:p>
    <w:p>
      <w:pPr>
        <w:spacing w:after="0" w:line="47" w:lineRule="exact"/>
        <w:rPr>
          <w:sz w:val="20"/>
          <w:szCs w:val="20"/>
          <w:color w:val="auto"/>
        </w:rPr>
      </w:pPr>
    </w:p>
    <w:p>
      <w:pPr>
        <w:jc w:val="both"/>
        <w:ind w:right="1000"/>
        <w:spacing w:after="0" w:line="216" w:lineRule="auto"/>
        <w:rPr>
          <w:sz w:val="20"/>
          <w:szCs w:val="20"/>
          <w:color w:val="auto"/>
        </w:rPr>
      </w:pPr>
      <w:r>
        <w:rPr>
          <w:rFonts w:ascii="Times New Roman" w:cs="Times New Roman" w:eastAsia="Times New Roman" w:hAnsi="Times New Roman"/>
          <w:sz w:val="18"/>
          <w:szCs w:val="18"/>
          <w:color w:val="auto"/>
        </w:rPr>
        <w:t>Non-executive members of our Board will be entitled to the following equity awards: (i) a one-time grant of stock</w:t>
      </w:r>
    </w:p>
    <w:p>
      <w:pPr>
        <w:spacing w:after="0" w:line="1" w:lineRule="exact"/>
        <w:rPr>
          <w:sz w:val="20"/>
          <w:szCs w:val="20"/>
          <w:color w:val="auto"/>
        </w:rPr>
      </w:pPr>
    </w:p>
    <w:p>
      <w:pPr>
        <w:jc w:val="both"/>
        <w:ind w:right="1000"/>
        <w:spacing w:after="0" w:line="208" w:lineRule="auto"/>
        <w:rPr>
          <w:sz w:val="20"/>
          <w:szCs w:val="20"/>
          <w:color w:val="auto"/>
        </w:rPr>
      </w:pPr>
      <w:r>
        <w:rPr>
          <w:rFonts w:ascii="Times New Roman" w:cs="Times New Roman" w:eastAsia="Times New Roman" w:hAnsi="Times New Roman"/>
          <w:sz w:val="18"/>
          <w:szCs w:val="18"/>
          <w:color w:val="auto"/>
        </w:rPr>
        <w:t>options upon appointment to the Board equal to 2x the annual grant otherwise payable to directors, and (ii) an annual</w:t>
      </w:r>
    </w:p>
    <w:p>
      <w:pPr>
        <w:spacing w:after="0" w:line="2" w:lineRule="exact"/>
        <w:rPr>
          <w:sz w:val="20"/>
          <w:szCs w:val="20"/>
          <w:color w:val="auto"/>
        </w:rPr>
      </w:pPr>
    </w:p>
    <w:p>
      <w:pPr>
        <w:jc w:val="both"/>
        <w:ind w:right="1000"/>
        <w:spacing w:after="0" w:line="208" w:lineRule="auto"/>
        <w:rPr>
          <w:sz w:val="20"/>
          <w:szCs w:val="20"/>
          <w:color w:val="auto"/>
        </w:rPr>
      </w:pPr>
      <w:r>
        <w:rPr>
          <w:rFonts w:ascii="Times New Roman" w:cs="Times New Roman" w:eastAsia="Times New Roman" w:hAnsi="Times New Roman"/>
          <w:sz w:val="18"/>
          <w:szCs w:val="18"/>
          <w:color w:val="auto"/>
        </w:rPr>
        <w:t>grant of stock options equal to 0.05% of the Company's issued and outstanding common stock on the grant date. Annual</w:t>
      </w:r>
    </w:p>
    <w:p>
      <w:pPr>
        <w:spacing w:after="0" w:line="2" w:lineRule="exact"/>
        <w:rPr>
          <w:sz w:val="20"/>
          <w:szCs w:val="20"/>
          <w:color w:val="auto"/>
        </w:rPr>
      </w:pPr>
    </w:p>
    <w:p>
      <w:pPr>
        <w:jc w:val="both"/>
        <w:ind w:right="1000"/>
        <w:spacing w:after="0" w:line="218" w:lineRule="auto"/>
        <w:rPr>
          <w:sz w:val="20"/>
          <w:szCs w:val="20"/>
          <w:color w:val="auto"/>
        </w:rPr>
      </w:pPr>
      <w:r>
        <w:rPr>
          <w:rFonts w:ascii="Times New Roman" w:cs="Times New Roman" w:eastAsia="Times New Roman" w:hAnsi="Times New Roman"/>
          <w:sz w:val="18"/>
          <w:szCs w:val="18"/>
          <w:color w:val="auto"/>
        </w:rPr>
        <w:t>awards will be granted to directors following the Company's annual meeting of stockholders.</w:t>
      </w:r>
    </w:p>
    <w:p>
      <w:pPr>
        <w:spacing w:after="0" w:line="1362" w:lineRule="exact"/>
        <w:rPr>
          <w:sz w:val="20"/>
          <w:szCs w:val="20"/>
          <w:color w:val="auto"/>
        </w:rPr>
      </w:pPr>
    </w:p>
    <w:p>
      <w:pPr>
        <w:sectPr>
          <w:pgSz w:w="11900" w:h="16838" w:orient="portrait"/>
          <w:cols w:equalWidth="0" w:num="2">
            <w:col w:w="7220" w:space="20"/>
            <w:col w:w="4000"/>
          </w:cols>
          <w:pgMar w:left="320" w:top="1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16" w:name="page17"/>
    <w:bookmarkEnd w:id="16"/>
    <w:p>
      <w:pPr>
        <w:ind w:left="374" w:hanging="374"/>
        <w:spacing w:after="0" w:line="208" w:lineRule="auto"/>
        <w:tabs>
          <w:tab w:leader="none" w:pos="374"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Awards issued pursuant to the Director Compensation Plan will be issued pursuant to the 2019 Plan or a successor plan, if any. Each Award issued under the Director Compensation Plan will vest in equal monthly installments over a 12-month period beginning on the date of issuance.</w:t>
      </w:r>
    </w:p>
    <w:p>
      <w:pPr>
        <w:spacing w:after="0" w:line="293" w:lineRule="exact"/>
        <w:rPr>
          <w:sz w:val="20"/>
          <w:szCs w:val="20"/>
          <w:color w:val="auto"/>
        </w:rPr>
      </w:pPr>
    </w:p>
    <w:p>
      <w:pPr>
        <w:ind w:left="634"/>
        <w:spacing w:after="0"/>
        <w:rPr>
          <w:sz w:val="20"/>
          <w:szCs w:val="20"/>
          <w:color w:val="auto"/>
        </w:rPr>
      </w:pPr>
      <w:r>
        <w:rPr>
          <w:rFonts w:ascii="Times New Roman" w:cs="Times New Roman" w:eastAsia="Times New Roman" w:hAnsi="Times New Roman"/>
          <w:sz w:val="18"/>
          <w:szCs w:val="18"/>
          <w:color w:val="auto"/>
        </w:rPr>
        <w:t>The following table sets forth a summary of the compensation earned by our non-executive directors in Fiscal 2024.</w:t>
      </w:r>
    </w:p>
    <w:p>
      <w:pPr>
        <w:spacing w:after="0" w:line="275" w:lineRule="exact"/>
        <w:rPr>
          <w:sz w:val="20"/>
          <w:szCs w:val="20"/>
          <w:color w:val="auto"/>
        </w:rPr>
      </w:pPr>
    </w:p>
    <w:tbl>
      <w:tblPr>
        <w:tblLayout w:type="fixed"/>
        <w:tblInd w:w="654"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2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3"/>
                <w:szCs w:val="2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23"/>
                <w:szCs w:val="2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9"/>
                <w:szCs w:val="9"/>
                <w:b w:val="1"/>
                <w:bCs w:val="1"/>
                <w:color w:val="auto"/>
              </w:rPr>
              <w:t>(2)(3)</w:t>
            </w:r>
          </w:p>
        </w:tc>
        <w:tc>
          <w:tcPr>
            <w:tcW w:w="220" w:type="dxa"/>
            <w:vAlign w:val="bottom"/>
          </w:tcPr>
          <w:p>
            <w:pPr>
              <w:spacing w:after="0"/>
              <w:rPr>
                <w:sz w:val="23"/>
                <w:szCs w:val="23"/>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60" w:type="dxa"/>
            <w:vAlign w:val="bottom"/>
          </w:tcPr>
          <w:p>
            <w:pPr>
              <w:spacing w:after="0"/>
              <w:rPr>
                <w:sz w:val="23"/>
                <w:szCs w:val="23"/>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7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Margaret M. FitzPatrick, M.A.</w:t>
            </w:r>
            <w:r>
              <w:rPr>
                <w:rFonts w:ascii="Times New Roman" w:cs="Times New Roman" w:eastAsia="Times New Roman" w:hAnsi="Times New Roman"/>
                <w:sz w:val="9"/>
                <w:szCs w:val="9"/>
                <w:color w:val="auto"/>
              </w:rPr>
              <w:t>(4)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185,617</w:t>
            </w:r>
          </w:p>
        </w:tc>
      </w:tr>
      <w:tr>
        <w:trPr>
          <w:trHeight w:val="27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 M. Cunningham, MBA</w:t>
            </w:r>
            <w:r>
              <w:rPr>
                <w:rFonts w:ascii="Times New Roman" w:cs="Times New Roman" w:eastAsia="Times New Roman" w:hAnsi="Times New Roman"/>
                <w:sz w:val="9"/>
                <w:szCs w:val="9"/>
                <w:color w:val="auto"/>
              </w:rPr>
              <w:t>(5)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313,117</w:t>
            </w:r>
          </w:p>
        </w:tc>
      </w:tr>
      <w:tr>
        <w:trPr>
          <w:trHeight w:val="27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Joanne Curley, Ph.D.</w:t>
            </w:r>
            <w:r>
              <w:rPr>
                <w:rFonts w:ascii="Times New Roman" w:cs="Times New Roman" w:eastAsia="Times New Roman" w:hAnsi="Times New Roman"/>
                <w:sz w:val="9"/>
                <w:szCs w:val="9"/>
                <w:color w:val="auto"/>
              </w:rPr>
              <w:t>(6)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113,117</w:t>
            </w:r>
          </w:p>
        </w:tc>
      </w:tr>
      <w:tr>
        <w:trPr>
          <w:trHeight w:val="27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Jerry B. Gin, Ph.D., MBA</w:t>
            </w:r>
            <w:r>
              <w:rPr>
                <w:rFonts w:ascii="Times New Roman" w:cs="Times New Roman" w:eastAsia="Times New Roman" w:hAnsi="Times New Roman"/>
                <w:sz w:val="9"/>
                <w:szCs w:val="9"/>
                <w:color w:val="auto"/>
              </w:rPr>
              <w:t>(7)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128,117</w:t>
            </w:r>
          </w:p>
        </w:tc>
      </w:tr>
      <w:tr>
        <w:trPr>
          <w:trHeight w:val="27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 L. Rotunno, J.D.</w:t>
            </w:r>
            <w:r>
              <w:rPr>
                <w:rFonts w:ascii="Times New Roman" w:cs="Times New Roman" w:eastAsia="Times New Roman" w:hAnsi="Times New Roman"/>
                <w:sz w:val="9"/>
                <w:szCs w:val="9"/>
                <w:color w:val="auto"/>
              </w:rPr>
              <w:t>(8)</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128,117</w:t>
            </w:r>
          </w:p>
        </w:tc>
      </w:tr>
      <w:tr>
        <w:trPr>
          <w:trHeight w:val="27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 S. Saxe, J.D., LL.M.</w:t>
            </w:r>
            <w:r>
              <w:rPr>
                <w:rFonts w:ascii="Times New Roman" w:cs="Times New Roman" w:eastAsia="Times New Roman" w:hAnsi="Times New Roman"/>
                <w:sz w:val="9"/>
                <w:szCs w:val="9"/>
                <w:color w:val="auto"/>
              </w:rPr>
              <w:t>(9)</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71,250</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129,367</w:t>
            </w:r>
          </w:p>
        </w:tc>
      </w:tr>
    </w:tbl>
    <w:p>
      <w:pPr>
        <w:spacing w:after="0" w:line="333" w:lineRule="exact"/>
        <w:rPr>
          <w:sz w:val="20"/>
          <w:szCs w:val="20"/>
          <w:color w:val="auto"/>
        </w:rPr>
      </w:pPr>
    </w:p>
    <w:p>
      <w:pPr>
        <w:ind w:left="374" w:hanging="374"/>
        <w:spacing w:after="0" w:line="208" w:lineRule="auto"/>
        <w:tabs>
          <w:tab w:leader="none" w:pos="37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shown in the table above represent fees earned for service on our Board, and Audit Committee, Compensation Committee and Corporate Governance and Nominating Committee during Fiscal 2024, which amounts were paid in full during Fiscal 2024.</w:t>
      </w:r>
    </w:p>
    <w:p>
      <w:pPr>
        <w:spacing w:after="0" w:line="131" w:lineRule="exact"/>
        <w:rPr>
          <w:rFonts w:ascii="Times New Roman" w:cs="Times New Roman" w:eastAsia="Times New Roman" w:hAnsi="Times New Roman"/>
          <w:sz w:val="23"/>
          <w:szCs w:val="23"/>
          <w:color w:val="auto"/>
          <w:vertAlign w:val="superscript"/>
        </w:rPr>
      </w:pPr>
    </w:p>
    <w:p>
      <w:pPr>
        <w:jc w:val="both"/>
        <w:ind w:left="374" w:hanging="374"/>
        <w:spacing w:after="0" w:line="209" w:lineRule="auto"/>
        <w:tabs>
          <w:tab w:leader="none" w:pos="37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shown in the “Option Awards” column do not represent any cash payments actually received by Ms. FitzPatrick, Ms. Cunningham, Dr. Curley, Dr. Gin, Ms. Rotunno or Mr. Saxe during Fiscal 2024. Rather, the amounts shown represent the aggregate grant date fair value of options to purchase shares of our common stock awarded to each of Ms. FitzPatrick, Ms. Cunningham, Dr. Curley, Dr. Gin, Ms. Rotunno or Mr. Saxe during Fiscal 2024, computed in accordance with Financial Accounting Standards Board’s Accounting Standards Codification Topic 718, Compensation –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To date, Ms. FitzPatrick, Ms. Cunningham, Dr. Curley, Dr. Gin, Ms. Rotunno or Mr. Saxe have not exercised any of the options granted during Fiscal 2024, and there can be no assurance that any of them will ever realize all or any portion of the full ASC 718 grant date fair value amounts presented above in the “Option Awards” column.</w:t>
      </w:r>
    </w:p>
    <w:p>
      <w:pPr>
        <w:spacing w:after="0" w:line="105" w:lineRule="exact"/>
        <w:rPr>
          <w:rFonts w:ascii="Times New Roman" w:cs="Times New Roman" w:eastAsia="Times New Roman" w:hAnsi="Times New Roman"/>
          <w:sz w:val="23"/>
          <w:szCs w:val="23"/>
          <w:color w:val="auto"/>
          <w:vertAlign w:val="superscript"/>
        </w:rPr>
      </w:pPr>
    </w:p>
    <w:p>
      <w:pPr>
        <w:jc w:val="both"/>
        <w:ind w:left="374" w:hanging="374"/>
        <w:spacing w:after="0" w:line="211" w:lineRule="auto"/>
        <w:tabs>
          <w:tab w:leader="none" w:pos="37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table below provides information regarding the option awards we granted to our independent Board members, as well as to Ms. Cunningham, who is a non-executive, non-independent member of our Board, during Fiscal 2024 and the weighted average assumptions used in the Black Scholes Option Pricing Model to determine the grant date fair values of the respective awards.</w:t>
      </w:r>
    </w:p>
    <w:p>
      <w:pPr>
        <w:spacing w:after="0" w:line="331" w:lineRule="exact"/>
        <w:rPr>
          <w:sz w:val="20"/>
          <w:szCs w:val="20"/>
          <w:color w:val="auto"/>
        </w:rPr>
      </w:pPr>
    </w:p>
    <w:tbl>
      <w:tblPr>
        <w:tblLayout w:type="fixed"/>
        <w:tblInd w:w="934"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8"/>
        </w:trPr>
        <w:tc>
          <w:tcPr>
            <w:tcW w:w="4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3/4/2024</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 Shares Granted</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 FitzPatrick</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Cunningham</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CEEFF"/>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Curley</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Gin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 Rotunno</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Saxe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CEEFF"/>
          </w:tcPr>
          <w:p>
            <w:pPr>
              <w:spacing w:after="0"/>
              <w:rPr>
                <w:sz w:val="19"/>
                <w:szCs w:val="19"/>
                <w:color w:val="auto"/>
              </w:rPr>
            </w:pPr>
          </w:p>
        </w:tc>
      </w:tr>
      <w:tr>
        <w:trPr>
          <w:trHeight w:val="230"/>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 Award Compensation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 FitzPatrick</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1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Cunningham</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120" w:type="dxa"/>
            <w:vAlign w:val="bottom"/>
            <w:shd w:val="clear" w:color="auto" w:fill="CCEEFF"/>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Curley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1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Gin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120" w:type="dxa"/>
            <w:vAlign w:val="bottom"/>
            <w:shd w:val="clear" w:color="auto" w:fill="CCEEFF"/>
          </w:tcPr>
          <w:p>
            <w:pPr>
              <w:spacing w:after="0"/>
              <w:rPr>
                <w:sz w:val="19"/>
                <w:szCs w:val="19"/>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 Rotunno</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3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4"/>
          </w:cols>
          <w:pgMar w:left="346" w:top="945" w:right="379" w:bottom="1440" w:gutter="0" w:footer="0" w:header="0"/>
        </w:sectPr>
      </w:pPr>
    </w:p>
    <w:bookmarkStart w:id="17" w:name="page18"/>
    <w:bookmarkEnd w:id="17"/>
    <w:tbl>
      <w:tblPr>
        <w:tblLayout w:type="fixed"/>
        <w:tblInd w:w="940" w:type="dxa"/>
        <w:tblCellMar>
          <w:top w:w="0" w:type="dxa"/>
          <w:left w:w="0" w:type="dxa"/>
          <w:bottom w:w="0" w:type="dxa"/>
          <w:right w:w="0" w:type="dxa"/>
        </w:tblCellMar>
      </w:tblP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Saxe</w:t>
            </w:r>
          </w:p>
        </w:tc>
        <w:tc>
          <w:tcPr>
            <w:tcW w:w="1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58,117</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58,117</w:t>
            </w:r>
          </w:p>
        </w:tc>
      </w:tr>
      <w:tr>
        <w:trPr>
          <w:trHeight w:val="229"/>
        </w:trPr>
        <w:tc>
          <w:tcPr>
            <w:tcW w:w="35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 Award Assumptions</w:t>
            </w:r>
          </w:p>
        </w:tc>
        <w:tc>
          <w:tcPr>
            <w:tcW w:w="1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4.85</w:t>
            </w: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market price</w:t>
            </w:r>
          </w:p>
        </w:tc>
        <w:tc>
          <w:tcPr>
            <w:tcW w:w="1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4.85</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8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4.17 %</w:t>
            </w: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5.27</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173.63 %</w:t>
            </w: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0.00 %</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5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share</w:t>
            </w:r>
          </w:p>
        </w:tc>
        <w:tc>
          <w:tcPr>
            <w:tcW w:w="1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4.6493</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option shares</w:t>
            </w:r>
          </w:p>
        </w:tc>
        <w:tc>
          <w:tcPr>
            <w:tcW w:w="186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75,000</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314" w:lineRule="exact"/>
        <w:rPr>
          <w:sz w:val="20"/>
          <w:szCs w:val="20"/>
          <w:color w:val="auto"/>
        </w:rPr>
      </w:pPr>
    </w:p>
    <w:p>
      <w:pPr>
        <w:jc w:val="both"/>
        <w:ind w:left="380" w:hanging="374"/>
        <w:spacing w:after="0" w:line="211" w:lineRule="auto"/>
        <w:tabs>
          <w:tab w:leader="none" w:pos="38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Ms. FitzPatrick was appointed to our Board in July 2021 and was appointed to serve as Chair of our Board in October 2023, Ms. FitzPatrick has also served as a member of our Corporate Governance and Nominating Committee since her appointment. On November 21, 2022, Ms. FitzPatrick was also appointed as a member of the Compensation Committee.</w:t>
      </w:r>
    </w:p>
    <w:p>
      <w:pPr>
        <w:spacing w:after="0" w:line="184" w:lineRule="exact"/>
        <w:rPr>
          <w:rFonts w:ascii="Times New Roman" w:cs="Times New Roman" w:eastAsia="Times New Roman" w:hAnsi="Times New Roman"/>
          <w:sz w:val="23"/>
          <w:szCs w:val="23"/>
          <w:color w:val="auto"/>
          <w:vertAlign w:val="superscript"/>
        </w:rPr>
      </w:pPr>
    </w:p>
    <w:p>
      <w:pPr>
        <w:jc w:val="both"/>
        <w:ind w:left="380"/>
        <w:spacing w:after="0" w:line="223"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fourth quarter of our fiscal year ended March 31, 2022 (</w:t>
      </w:r>
      <w:r>
        <w:rPr>
          <w:rFonts w:ascii="Times New Roman" w:cs="Times New Roman" w:eastAsia="Times New Roman" w:hAnsi="Times New Roman"/>
          <w:sz w:val="18"/>
          <w:szCs w:val="18"/>
          <w:i w:val="1"/>
          <w:iCs w:val="1"/>
          <w:color w:val="auto"/>
        </w:rPr>
        <w:t>Fiscal 2022</w:t>
      </w:r>
      <w:r>
        <w:rPr>
          <w:rFonts w:ascii="Times New Roman" w:cs="Times New Roman" w:eastAsia="Times New Roman" w:hAnsi="Times New Roman"/>
          <w:sz w:val="18"/>
          <w:szCs w:val="18"/>
          <w:color w:val="auto"/>
        </w:rPr>
        <w:t>), we entered into a consulting agreement with FitzPatrick &amp; Co LLC, a consulting firm for which Ms. FitzPatrick is the Managing Director, to provide corporate development and public relations advisory services. During Fiscal 2024, we paid to FitzPatrick &amp; Co LLC a total of $60,000 for services under the consulting agreement. The agreement was terminated in October 2023, as work contemplated by the agreement was completed. At March 31, 2024, Ms. FitzPatrick held options to purchase 18,334 registered shares of our common stock, of which options to purchase 5,834 shares were exercisable.</w:t>
      </w:r>
    </w:p>
    <w:p>
      <w:pPr>
        <w:spacing w:after="0" w:line="120" w:lineRule="exact"/>
        <w:rPr>
          <w:rFonts w:ascii="Times New Roman" w:cs="Times New Roman" w:eastAsia="Times New Roman" w:hAnsi="Times New Roman"/>
          <w:sz w:val="23"/>
          <w:szCs w:val="23"/>
          <w:color w:val="auto"/>
          <w:vertAlign w:val="superscript"/>
        </w:rPr>
      </w:pPr>
    </w:p>
    <w:p>
      <w:pPr>
        <w:jc w:val="both"/>
        <w:ind w:left="380" w:hanging="374"/>
        <w:spacing w:after="0" w:line="209" w:lineRule="auto"/>
        <w:tabs>
          <w:tab w:leader="none" w:pos="38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Ms. Cunningham served as an independent member of our Board and as a member of our Corporate Governance and Nominating Committee from January 2019 through April 30, 2021. On May 1, 2021, Ms. Cunningham joined the Company as its Chief Commercial Officer (</w:t>
      </w:r>
      <w:r>
        <w:rPr>
          <w:rFonts w:ascii="Times New Roman" w:cs="Times New Roman" w:eastAsia="Times New Roman" w:hAnsi="Times New Roman"/>
          <w:sz w:val="18"/>
          <w:szCs w:val="18"/>
          <w:i w:val="1"/>
          <w:iCs w:val="1"/>
          <w:color w:val="auto"/>
        </w:rPr>
        <w:t>CCO</w:t>
      </w:r>
      <w:r>
        <w:rPr>
          <w:rFonts w:ascii="Times New Roman" w:cs="Times New Roman" w:eastAsia="Times New Roman" w:hAnsi="Times New Roman"/>
          <w:sz w:val="18"/>
          <w:szCs w:val="18"/>
          <w:color w:val="auto"/>
        </w:rPr>
        <w:t>) and served in such capacity through November 11, 2022. During the period in which she served as CCO, her service on the Corporate Governance and Nominating Committee terminated.</w:t>
      </w:r>
    </w:p>
    <w:p>
      <w:pPr>
        <w:spacing w:after="0" w:line="187" w:lineRule="exact"/>
        <w:rPr>
          <w:rFonts w:ascii="Times New Roman" w:cs="Times New Roman" w:eastAsia="Times New Roman" w:hAnsi="Times New Roman"/>
          <w:sz w:val="23"/>
          <w:szCs w:val="23"/>
          <w:color w:val="auto"/>
          <w:vertAlign w:val="superscript"/>
        </w:rPr>
      </w:pPr>
    </w:p>
    <w:p>
      <w:pPr>
        <w:jc w:val="both"/>
        <w:ind w:left="380"/>
        <w:spacing w:after="0" w:line="21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Following her departure as CCO of the Company in November 2022, Ms. Cunningham was reappointed as a non-employee, non-independent member of the Corporate Governance and Nominating Committee. Following Ms. Cunningham’s departure as CCO, i3 Strategy Partners, a consulting firm for which Ms. Cunningham is the Managing Partner, began providing certain pre-commercial planning and strategic advisory services to us relating to fasedienol and itruvone pursuant to a consulting agreement. During Fiscal 2024, we paid to i3 Strategy Partners a total of $200,000 for such advisory and consulting services under the consulting agreement. On March 31, 2024, the consulting agreement terminated pursuant to its terms and is no longer in effect. At March 31, 2024, Ms. Cunningham held options to purchase 37,503 registered shares of our common stock, of which options to purchase 22,090 shares were exercisable.</w:t>
      </w:r>
    </w:p>
    <w:p>
      <w:pPr>
        <w:spacing w:after="0" w:line="134" w:lineRule="exact"/>
        <w:rPr>
          <w:rFonts w:ascii="Times New Roman" w:cs="Times New Roman" w:eastAsia="Times New Roman" w:hAnsi="Times New Roman"/>
          <w:sz w:val="23"/>
          <w:szCs w:val="23"/>
          <w:color w:val="auto"/>
          <w:vertAlign w:val="superscript"/>
        </w:rPr>
      </w:pPr>
    </w:p>
    <w:p>
      <w:pPr>
        <w:jc w:val="both"/>
        <w:ind w:left="380" w:hanging="374"/>
        <w:spacing w:after="0" w:line="207" w:lineRule="auto"/>
        <w:tabs>
          <w:tab w:leader="none" w:pos="38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Dr. Curley was appointed to our Board in April 2021 and has also served as a member of our Corporate Governance and Nominating Committee since her appointment. At March 31, 2024, Dr. Curley held options to purchase 18,834 registered shares of our common stock, of which options to purchase 5,834 shares were exercisable.</w:t>
      </w:r>
    </w:p>
    <w:p>
      <w:pPr>
        <w:sectPr>
          <w:pgSz w:w="11900" w:h="16838" w:orient="portrait"/>
          <w:cols w:equalWidth="0" w:num="1">
            <w:col w:w="11180"/>
          </w:cols>
          <w:pgMar w:left="340" w:top="950" w:right="379" w:bottom="1440" w:gutter="0" w:footer="0" w:header="0"/>
        </w:sectPr>
      </w:pP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 Gin has served as a member of our Board and as a member of our Audit Committee since his appointment to the Board in 2016. Beginning in July</w:t>
      </w:r>
    </w:p>
    <w:p>
      <w:pPr>
        <w:spacing w:after="0" w:line="1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2021, he was also appointed as the chairperson of our Compensation Committee. At March 31, 2024, Mr. Gin held: (i) 13,334 shares of our common stock, and (ii) options to purchase 36,171 registered shares of our common stock, of which options to purchase 23,671 shares were exercisable.</w:t>
      </w:r>
    </w:p>
    <w:p>
      <w:pPr>
        <w:spacing w:after="0" w:line="11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Ms. Rotunno was appointed to our Board in July 2021 and, since her appointment to the Board, serves as a member of our Audit Committee and as chairperson of the Corporate Governance and Nominating Committee. At March 31, 2024, Ms. Rotunno held options to purchase 18,334 registered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of which options to purchase 5,834 shares were exercisable.</w:t>
      </w:r>
    </w:p>
    <w:p>
      <w:pPr>
        <w:spacing w:after="0" w:line="124" w:lineRule="exact"/>
        <w:rPr>
          <w:sz w:val="20"/>
          <w:szCs w:val="20"/>
          <w:color w:val="auto"/>
        </w:rPr>
      </w:pPr>
    </w:p>
    <w:p>
      <w:pPr>
        <w:sectPr>
          <w:pgSz w:w="11900" w:h="16838" w:orient="portrait"/>
          <w:cols w:equalWidth="0" w:num="2">
            <w:col w:w="140" w:space="240"/>
            <w:col w:w="10800"/>
          </w:cols>
          <w:pgMar w:left="340" w:top="950" w:right="379" w:bottom="1440" w:gutter="0" w:footer="0" w:header="0"/>
          <w:type w:val="continuous"/>
        </w:sectPr>
      </w:pPr>
    </w:p>
    <w:p>
      <w:pPr>
        <w:jc w:val="both"/>
        <w:ind w:left="380" w:hanging="374"/>
        <w:spacing w:after="0" w:line="207" w:lineRule="auto"/>
        <w:tabs>
          <w:tab w:leader="none" w:pos="38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Saxe currently serves as Chair of our Audit Committee and as a member of our Compensation Committee, and previously served as Chairman of our Board until October 2023. At March 31, 2024, Mr. Saxe held (i) 1,858 shares of our common stock and (ii) options to purchase 35,337 registered shares of our common stock, of which options to purchase 22,837 shares were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50" w:right="3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Board Attendance at Board of Directors, Committee and Stockholder Meetings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met eight times and acted by unanimous written consent three times during our fiscal year ended March 31, 2024. Our Audit Committee met four times and acted twice by unanimous written consent. Our Compensation Committee met three times and acted by unanimous written consent ten times. Our Corporate Governance and Nominating Committee met five times. Each director serving during Fiscal 2024 attended all of the meetings of the Board and the committees of the Board upon which such director served that were held during Fiscal 2024.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 formal policy regarding attendance by members of the Board at our annual meetings of stockholders, but directors are encouraged to attend. We held our 2023 Annual Meeting in a virtual meeting format, for which all but one of our directors were in attendance.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our Board shall consist of not less than one and not more than seven directors, with the exact number fixed at seven. Our Board currently consists of seven members. In accordance with our Bylaws, the exact number of directors may only be amended by the vote or written consent of a majority of the outstanding shares of our voting securities. All actions of the Board require the approval of a majority of the directors in attendance at a meeting at which a quorum is present.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securities are currently listed on The Nasdaq Capital Market, which requires that a majority of our directors be “independent,” as such term is defined by Nasdaq Listing Rule 5605(a)(2). Accordingly, we evaluate director independence under the standards established by the SEC and the rules of The Nasdaq Stock Market.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some exceptions, these standards generally provide that a director will not be independent if (a) the director is, or in the past three years has been, an employee of ours; (b) a member of the director’s immediate family is, or in the past three fiscal years has been, an executive officer of ours;</w:t>
      </w:r>
    </w:p>
    <w:p>
      <w:pPr>
        <w:jc w:val="both"/>
        <w:ind w:firstLine="8"/>
        <w:spacing w:after="0" w:line="250" w:lineRule="auto"/>
        <w:tabs>
          <w:tab w:leader="none" w:pos="2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a controlling shareholder or an executive officer of any organization to which the Company made, or from which the Company received, payments for property or services in the current or any of the past three fiscal years that exceeds 5% of the recipient's gross revenues for that year, or $200,000, whichever is greater;</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or in the past three years has been, employed in a professional capacity by our independent public accountants, or has worked for such firm in any capacity on our audit.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has undertaken a review of its composition, the composition of its committees and the independence of each director. Based upon information requested from and provided by each director concerning her or his background, employment and affiliations, including family relationships, our Board has determined that each of Ms. FitzPatrick, Dr. Curley, Dr. Gin, Mr. Saxe and Ms. Rotunno is “independent” as that term is defined by Nasdaq Listing Rule 5605(a)(2). In making these determinations, our Board considered the current and prior relationships that each non-employee director has with the Company and all other facts and circumstances that our Board deemed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Board Committees and Charters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and a Corporate Governance and Nominating Committee. Directors currently serving on each committee of the Board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5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360" w:type="dxa"/>
            <w:vAlign w:val="bottom"/>
            <w:gridSpan w:val="2"/>
            <w:vMerge w:val="continue"/>
          </w:tcPr>
          <w:p>
            <w:pPr>
              <w:spacing w:after="0"/>
              <w:rPr>
                <w:sz w:val="17"/>
                <w:szCs w:val="17"/>
                <w:color w:val="auto"/>
              </w:rPr>
            </w:pPr>
          </w:p>
        </w:tc>
        <w:tc>
          <w:tcPr>
            <w:tcW w:w="2540" w:type="dxa"/>
            <w:vAlign w:val="bottom"/>
            <w:gridSpan w:val="2"/>
            <w:vMerge w:val="continue"/>
          </w:tcPr>
          <w:p>
            <w:pPr>
              <w:spacing w:after="0"/>
              <w:rPr>
                <w:sz w:val="17"/>
                <w:szCs w:val="17"/>
                <w:color w:val="auto"/>
              </w:rPr>
            </w:pPr>
          </w:p>
        </w:tc>
        <w:tc>
          <w:tcPr>
            <w:tcW w:w="25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and Nominating</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2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Margaret M. FitzPatrick, M.A.</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28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 Cunningham, MBA</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Joanne Curley, Ph.D.</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Jerry B. Gin, Ph.D.</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2540" w:type="dxa"/>
            <w:vAlign w:val="bottom"/>
            <w:gridSpan w:val="2"/>
          </w:tcPr>
          <w:p>
            <w:pPr>
              <w:ind w:left="680"/>
              <w:spacing w:after="0"/>
              <w:rPr>
                <w:sz w:val="20"/>
                <w:szCs w:val="20"/>
                <w:color w:val="auto"/>
              </w:rPr>
            </w:pPr>
            <w:r>
              <w:rPr>
                <w:rFonts w:ascii="Times New Roman" w:cs="Times New Roman" w:eastAsia="Times New Roman" w:hAnsi="Times New Roman"/>
                <w:sz w:val="18"/>
                <w:szCs w:val="18"/>
                <w:i w:val="1"/>
                <w:iCs w:val="1"/>
                <w:color w:val="auto"/>
              </w:rPr>
              <w:t>Chair</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 L. Rotunno, J.D.</w:t>
            </w:r>
          </w:p>
        </w:tc>
        <w:tc>
          <w:tcPr>
            <w:tcW w:w="23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2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w:t>
            </w:r>
          </w:p>
        </w:tc>
        <w:tc>
          <w:tcPr>
            <w:tcW w:w="0" w:type="dxa"/>
            <w:vAlign w:val="bottom"/>
          </w:tcPr>
          <w:p>
            <w:pPr>
              <w:spacing w:after="0"/>
              <w:rPr>
                <w:sz w:val="1"/>
                <w:szCs w:val="1"/>
                <w:color w:val="auto"/>
              </w:rPr>
            </w:pPr>
          </w:p>
        </w:tc>
      </w:tr>
      <w:tr>
        <w:trPr>
          <w:trHeight w:val="23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 S. Saxe, J.D., LL.M.</w:t>
            </w:r>
          </w:p>
        </w:tc>
        <w:tc>
          <w:tcPr>
            <w:tcW w:w="2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9"/>
              </w:rPr>
              <w:t>Chair</w:t>
            </w:r>
          </w:p>
        </w:tc>
        <w:tc>
          <w:tcPr>
            <w:tcW w:w="2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Appointed Board members serve on these committees until their resignation or until otherwise determined by our Board.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our fiscal year ended March 31, 2024, the Audit Committee of our Board consisted of Mr. Saxe, who serves as the Audit Committee Chair, Dr. Gin and Ms. Rotunno. Mr. Saxe is our Audit Committee financial expert, as that term is defined under SEC rules implementing Section 407 of the Sarbanes Oxley Act of 2002, and has certified that he possesses the requisite financial sophistication, as defined under applicable rules. The Audit Committee operates under a written charter. Our Audit Committee charter is available on our website at www.vistagen.com. Under its charter, our Audit Committee is primarily responsible for, among other things, the following:</w:t>
      </w:r>
    </w:p>
    <w:p>
      <w:pPr>
        <w:spacing w:after="0" w:line="224" w:lineRule="exact"/>
        <w:rPr>
          <w:sz w:val="20"/>
          <w:szCs w:val="20"/>
          <w:color w:val="auto"/>
        </w:rPr>
      </w:pPr>
    </w:p>
    <w:p>
      <w:pPr>
        <w:ind w:left="1180" w:hanging="39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w:t>
      </w:r>
    </w:p>
    <w:p>
      <w:pPr>
        <w:spacing w:after="0" w:line="184"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certain areas of risk for the Company, including our cybersecurity;</w:t>
      </w:r>
    </w:p>
    <w:p>
      <w:pPr>
        <w:spacing w:after="0" w:line="184"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and replacing our independent auditors and evaluating their qualifications, independence and performance;</w:t>
      </w:r>
    </w:p>
    <w:p>
      <w:pPr>
        <w:spacing w:after="0" w:line="171"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scope of the annual audit and audit fees;</w:t>
      </w:r>
    </w:p>
    <w:p>
      <w:pPr>
        <w:spacing w:after="0" w:line="184"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rotation of partners of independent auditors on engagement team as required by law;</w:t>
      </w:r>
    </w:p>
    <w:p>
      <w:pPr>
        <w:spacing w:after="0" w:line="184"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independent auditors the results of annual audit and review of quarterly financial statements;</w:t>
      </w:r>
    </w:p>
    <w:p>
      <w:pPr>
        <w:spacing w:after="0" w:line="171"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adequacy and effectiveness of internal control policies and procedures;</w:t>
      </w:r>
    </w:p>
    <w:p>
      <w:pPr>
        <w:spacing w:after="0" w:line="184"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retention of independent auditors to perform any proposed permissible non-audit services;</w:t>
      </w:r>
    </w:p>
    <w:p>
      <w:pPr>
        <w:spacing w:after="0" w:line="184"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internal audit functions and annually reviewing Audit Committee charter and committee performance; and</w:t>
      </w:r>
    </w:p>
    <w:p>
      <w:pPr>
        <w:spacing w:after="0" w:line="171"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in our annual proxy statement.</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our fiscal year ended March 31, 2024, the Compensation Committee of our Board was composed of Dr. Gin, who served as the Compensation Committee Chair, Ms. FitzPatrick and Mr. Saxe. Our Compensation Committee charter is available on our website at www.vistagen.com. Under its charter, the Compensation Committee is primarily responsible for, among other things,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0" w:name="page21"/>
    <w:bookmarkEnd w:id="20"/>
    <w:p>
      <w:pPr>
        <w:jc w:val="both"/>
        <w:ind w:left="1180" w:right="20" w:hanging="398"/>
        <w:spacing w:after="0" w:line="224"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compensation programs and arrangements applicable to our executive officers (as defined in Rule I 6a-I (f) of the Securities Exchange Act of 1934, as amended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04"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philosophy and objectives of our executive officer compensation programs;</w:t>
      </w:r>
    </w:p>
    <w:p>
      <w:pPr>
        <w:spacing w:after="0" w:line="184" w:lineRule="exact"/>
        <w:rPr>
          <w:rFonts w:ascii="Times New Roman" w:cs="Times New Roman" w:eastAsia="Times New Roman" w:hAnsi="Times New Roman"/>
          <w:sz w:val="18"/>
          <w:szCs w:val="18"/>
          <w:color w:val="auto"/>
        </w:rPr>
      </w:pPr>
    </w:p>
    <w:p>
      <w:pPr>
        <w:ind w:left="1180" w:right="20" w:hanging="398"/>
        <w:spacing w:after="0" w:line="237"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corporate performance measures and goals regarding executive officer compensation are set and determining the extent to which they are achieved, and any related compensation earned;</w:t>
      </w:r>
    </w:p>
    <w:p>
      <w:pPr>
        <w:spacing w:after="0" w:line="131" w:lineRule="exact"/>
        <w:rPr>
          <w:rFonts w:ascii="Times New Roman" w:cs="Times New Roman" w:eastAsia="Times New Roman" w:hAnsi="Times New Roman"/>
          <w:sz w:val="18"/>
          <w:szCs w:val="18"/>
          <w:color w:val="auto"/>
        </w:rPr>
      </w:pPr>
    </w:p>
    <w:p>
      <w:pPr>
        <w:ind w:left="1180" w:right="20" w:hanging="398"/>
        <w:spacing w:after="0" w:line="237"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goals and objectives relevant to Chief Executive Officer compensation, evaluating Chief Executive Officer performance in light of such goals and objectives, and determining Chief Executive Officer compensation based on the evaluation;</w:t>
      </w:r>
    </w:p>
    <w:p>
      <w:pPr>
        <w:spacing w:after="0" w:line="117" w:lineRule="exact"/>
        <w:rPr>
          <w:rFonts w:ascii="Times New Roman" w:cs="Times New Roman" w:eastAsia="Times New Roman" w:hAnsi="Times New Roman"/>
          <w:sz w:val="18"/>
          <w:szCs w:val="18"/>
          <w:color w:val="auto"/>
        </w:rPr>
      </w:pPr>
    </w:p>
    <w:p>
      <w:pPr>
        <w:jc w:val="both"/>
        <w:ind w:left="1180" w:right="20" w:hanging="398"/>
        <w:spacing w:after="0" w:line="231"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compensation consultant,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17"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new equity compensation plan or any material change to an existing plan; and</w:t>
      </w:r>
    </w:p>
    <w:p>
      <w:pPr>
        <w:spacing w:after="0" w:line="184" w:lineRule="exact"/>
        <w:rPr>
          <w:rFonts w:ascii="Times New Roman" w:cs="Times New Roman" w:eastAsia="Times New Roman" w:hAnsi="Times New Roman"/>
          <w:sz w:val="18"/>
          <w:szCs w:val="18"/>
          <w:color w:val="auto"/>
        </w:rPr>
      </w:pPr>
    </w:p>
    <w:p>
      <w:pPr>
        <w:ind w:left="1180" w:right="20" w:hanging="398"/>
        <w:spacing w:after="0" w:line="237"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stock option award or any other type of award as may be required for complying with any tax, securities, or other regulatory requirement, or otherwise determined to be appropriate or desirable by the Compensation Committee or Board.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and Nominating Committee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our fiscal year ended March 31, 2024, the Corporate Governance and Nominating Committee of our Board was composed of Ms. Rotunno, who served as the Corporate Governance and Nominating Committee Chair, Dr. Curley, Ms. FitzPatrick and Ms. Cunningham. Our Corporate Governance and Nominating Committee charter is available on our website at www.vistagen.com. Under its charter, the Corporate Governance and Nominating Committee is primarily responsible for, among other things, the following:</w:t>
      </w:r>
    </w:p>
    <w:p>
      <w:pPr>
        <w:spacing w:after="0" w:line="220" w:lineRule="exact"/>
        <w:rPr>
          <w:sz w:val="20"/>
          <w:szCs w:val="20"/>
          <w:color w:val="auto"/>
        </w:rPr>
      </w:pPr>
    </w:p>
    <w:p>
      <w:pPr>
        <w:ind w:left="1180" w:hanging="398"/>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size and composition of our Board;</w:t>
      </w:r>
    </w:p>
    <w:p>
      <w:pPr>
        <w:spacing w:after="0" w:line="184"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periodic assessments of our Board;</w:t>
      </w:r>
    </w:p>
    <w:p>
      <w:pPr>
        <w:spacing w:after="0" w:line="184" w:lineRule="exact"/>
        <w:rPr>
          <w:rFonts w:ascii="Times New Roman" w:cs="Times New Roman" w:eastAsia="Times New Roman" w:hAnsi="Times New Roman"/>
          <w:sz w:val="18"/>
          <w:szCs w:val="18"/>
          <w:color w:val="auto"/>
        </w:rPr>
      </w:pPr>
    </w:p>
    <w:p>
      <w:pPr>
        <w:ind w:left="1180" w:hanging="398"/>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with respect to the nominations or elections of our directors;</w:t>
      </w:r>
    </w:p>
    <w:p>
      <w:pPr>
        <w:spacing w:after="0" w:line="171" w:lineRule="exact"/>
        <w:rPr>
          <w:rFonts w:ascii="Times New Roman" w:cs="Times New Roman" w:eastAsia="Times New Roman" w:hAnsi="Times New Roman"/>
          <w:sz w:val="18"/>
          <w:szCs w:val="18"/>
          <w:color w:val="auto"/>
        </w:rPr>
      </w:pPr>
    </w:p>
    <w:p>
      <w:pPr>
        <w:ind w:left="1180" w:right="20" w:hanging="398"/>
        <w:spacing w:after="0" w:line="237"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corporate governance policies and procedures and our Code of Business Conduct and Ethics, and recommending any proposed changes to our Board for approval; and</w:t>
      </w:r>
    </w:p>
    <w:p>
      <w:pPr>
        <w:spacing w:after="0" w:line="131" w:lineRule="exact"/>
        <w:rPr>
          <w:rFonts w:ascii="Times New Roman" w:cs="Times New Roman" w:eastAsia="Times New Roman" w:hAnsi="Times New Roman"/>
          <w:sz w:val="18"/>
          <w:szCs w:val="18"/>
          <w:color w:val="auto"/>
        </w:rPr>
      </w:pPr>
    </w:p>
    <w:p>
      <w:pPr>
        <w:ind w:left="1180" w:right="40" w:hanging="398"/>
        <w:spacing w:after="0" w:line="237"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of our Board currently consists of Dr. Gin, Ms. FitzPatrick and Mr. Saxe, each of whom is an independent, non-employee director. No member of the Compensation Committee has a relationship that would constitute an interlocking relationship with any executive officer or director of another entity.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currently separates the roles of Chief Executive Officer and Chair of the Board. Our Chief Executive Officer, who is also a member of our Board, is responsible for setting the strategic direction of the Company and the day-to-day leadership and operation of the Company. The Chair of our Board provides guidance to the Chief Executive Officer, sets the agenda for the Board meetings and presides over Board meetings. Although these roles are currently separate, the Board believes it should be 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to freely select the Chair of the Board based on criteria that it deems to be in the best interest of the Company and its stockholders, and therefore one person may, in the future, serve as both the Chief Executive Officer and Chair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Assessment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outside legal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corporate responsibility is fundamental to our mission and we are committed to holding ourselves to high ethical standards. Beyond our quest to develop and commercialize innovative therapeutic solutions with potential to combat widespread psychiatric and neurological disorders, and to improve mental health and healthcare outcomes, we strive to have a positive impact on our employees, our local communities, our stockholders, patients, healthcare providers, the healthcare ecosystem, and society as a whole.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and Leadership</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clinical-stage, neuroscience-focused biopharmaceutical company that is passionate about transforming lives affected by anxiety, depression and other neurological disorders, we believe creating an environment that allows our team to collectively thrive and achieve its full potential begins with our Board, which consists of directors with diverse and dynamic backgrounds in pharmaceutical research and development, commercial affairs, corporate finance, corporate governance, intellectual property, law, and strategic collaborations. Applying the Nasdaq Stock Market’s continued listing standards for director independence, five of our seven directors are currently independent. At the management level, we have built a team of highly experienced professionals that we believe provide us with a broad, diverse and inclusive corporate culture, while also providing the critical know-how necessary to allow us to achieve our mission, which includes developing and advancing a strategic environmental, social and governance (</w:t>
      </w:r>
      <w:r>
        <w:rPr>
          <w:rFonts w:ascii="Times New Roman" w:cs="Times New Roman" w:eastAsia="Times New Roman" w:hAnsi="Times New Roman"/>
          <w:sz w:val="18"/>
          <w:szCs w:val="18"/>
          <w:i w:val="1"/>
          <w:iCs w:val="1"/>
          <w:color w:val="auto"/>
        </w:rPr>
        <w:t>ESG</w:t>
      </w:r>
      <w:r>
        <w:rPr>
          <w:rFonts w:ascii="Times New Roman" w:cs="Times New Roman" w:eastAsia="Times New Roman" w:hAnsi="Times New Roman"/>
          <w:sz w:val="18"/>
          <w:szCs w:val="18"/>
          <w:color w:val="auto"/>
        </w:rPr>
        <w:t>) roadmap and framework to guide our operations and to ensure that we continue to operate in a manner that is consistent with our mission to improve lives by developing and commercializing groundbreaking therapies for psychiatric and neurological disorders.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Core Values and Ethics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committed to driving improvement and innovation in the care of patients suffering from neuropsychiatric and neurological disorders. In this pursuit, our core values of integrity, compassion, teamwork, and excellence guide our internal processes and define our mission to radically improve mental health and physical health and well-being of individuals worldwide. In addition, all of our directors, officers and employees are responsible for upholding these values as set forth in our Code of Business Conduct, which forms the fundamental foundation of our policies and practices. Our Code of Business Conduct is available on our website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Environmental Commitment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protecting the environment and attempt to mitigate any negative impact of our operations. We strive to address the environmental impacts of the building in which we operate and minimize waste by reducing our use of paper by operating primarily in a digital environment. We have safety protocols in place for handling biohazardous waste in our labs, and we use third-party vendors for biohazardous waste and chemical disposal.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applicable to our employees, officers and directors. Our Code of Business Conduct is available on our website at www.vistagen.com. We intend to disclose any future amendments to certain provisions of our Code of Business Conduct, or waivers of these provisions, on our website or in filings with the SEC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Policy on Equity Ownership</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We do not have a policy on equity ownership at this time. However, as illustrated in the “</w:t>
      </w:r>
      <w:r>
        <w:rPr>
          <w:rFonts w:ascii="Times New Roman" w:cs="Times New Roman" w:eastAsia="Times New Roman" w:hAnsi="Times New Roman"/>
          <w:sz w:val="18"/>
          <w:szCs w:val="18"/>
          <w:i w:val="1"/>
          <w:iCs w:val="1"/>
          <w:color w:val="auto"/>
        </w:rPr>
        <w:t>Security Ownership of Management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 table on page 38, each of our NEOs and directors are beneficial owners of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and Clawback Policy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our Board adopted our Policy for Recovery of Erroneously Awarded Compensation (the </w:t>
      </w: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Trading/Anti-Hedging Policies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All employees, officers and directors of, and consultants and contractors to us or any of our subsidiaries are subject to our Insider Trading Policy. The policy prohibits the unauthorized disclosure of any non-public information acquired in the workplace, and the misuse of material non-public information in securities trading. The policy also includes specific anti-hedging provisions.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ensure compliance with the policy and applicable federal and state securities laws, all individuals subject to our Insider Trading Policy must refrain from the purchase or sale of our securities except in limited and designated trading windows or pursuant to preapproved 10b5-1 trading plans. The anti-hedging provisions prohibit all employees, officers and directors from engaging in “short sales” of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NON-BINDING ADVISORY VOTE TO APPROVE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providing our stockholders with the opportunity to approve, on a non-binding advisory basis, the compensation of our NEOs as disclosed in this Proxy Statement in accordance with rules promulgated by the SEC. This Say-on-Pay proposal is required by the Dodd-Frank Wall Street Reform and Consumer Protection Act of 2010 (the </w:t>
      </w:r>
      <w:r>
        <w:rPr>
          <w:rFonts w:ascii="Times New Roman" w:cs="Times New Roman" w:eastAsia="Times New Roman" w:hAnsi="Times New Roman"/>
          <w:sz w:val="18"/>
          <w:szCs w:val="18"/>
          <w:i w:val="1"/>
          <w:iCs w:val="1"/>
          <w:color w:val="auto"/>
        </w:rPr>
        <w:t>Dodd-Frank Act</w:t>
      </w:r>
      <w:r>
        <w:rPr>
          <w:rFonts w:ascii="Times New Roman" w:cs="Times New Roman" w:eastAsia="Times New Roman" w:hAnsi="Times New Roman"/>
          <w:sz w:val="18"/>
          <w:szCs w:val="18"/>
          <w:color w:val="auto"/>
        </w:rPr>
        <w:t>), which added Section 14A to the Exchange Act.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is designed to attract key employees and to retain, motivate and reward our named executive officers (</w:t>
      </w:r>
      <w:r>
        <w:rPr>
          <w:rFonts w:ascii="Times New Roman" w:cs="Times New Roman" w:eastAsia="Times New Roman" w:hAnsi="Times New Roman"/>
          <w:sz w:val="18"/>
          <w:szCs w:val="18"/>
          <w:i w:val="1"/>
          <w:iCs w:val="1"/>
          <w:color w:val="auto"/>
        </w:rPr>
        <w:t>NEOs</w:t>
      </w:r>
      <w:r>
        <w:rPr>
          <w:rFonts w:ascii="Times New Roman" w:cs="Times New Roman" w:eastAsia="Times New Roman" w:hAnsi="Times New Roman"/>
          <w:sz w:val="18"/>
          <w:szCs w:val="18"/>
          <w:color w:val="auto"/>
        </w:rPr>
        <w:t>) for their performance and contribution to our operations and long-term success. Under these programs, our NEOs are rewarded for the achievement of corporate and individual performance objectives, and our NEOs’ incentives are intended to be aligned with stockholder value creation. These goals may include the achievement of specific financial or corporate development goals, including, but not limited to, research and development goals. In addition, our Compensation Committee seeks to set performance goals that reach across all business areas and include achievements in finance/business development, as well as the advancement of our research and development programs.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“Executive Compensation” section beginning on page 21 below describes our executive compensation programs and the decisions made by our Board’s Compensation Committee with respect to our fiscal years ended March 31, 2024 and 2023. In general, we seek to implement a pay mix for our NEOs that is aligned with our peer group, providing a competitive salary with a significant portion of compensation awarded for achievement of corporate performance measures.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an advisory vote, the outcome of this proposal is not binding. The outcome of this Say-on-Pay proposal does not overrule any prior or future decision by the Company or the Board, including decisions made by the Compensation Committee, create or imply any change to the fiduciary duties of the Company or the Board, or create or imply any additional fiduciary duties for the Company or the Board. However, the Compensation Committee values the opinions expressed by our stockholders in their vote on this proposal and will consider the outcome of the vote when making future compensation decisions for NEOs.</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UNANIMOUSLY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FOLLOWING ADVISORY RESOLUTION:</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Company’s named executive officers, as disclosed in the Company’s proxy statement for the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Stockholders of Vistagen Therapeutics, Inc., pursuant to Item 402 of Regulation S-K, including the compensation tables and narrative discussion, is hereby approved.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this non-binding advisory matter, the affirmative vote of at least a majority of the votes cast, whether in person or by proxy, at the Annual Meeting is required to approve this Proposal No. 2 (meaning the number of shares voted “FOR” this proposal must exceed the number of shares voted “AGAINST” this proposal). Abstentions and broker non-votes will have no effect on this Proposal No. 2 as they are not considered votes cast for the foregoing purposes.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Board unanimously recommends that stockholders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non-binding advisory resolution above, approving of the compensation paid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NEOs,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Shawn K. Singh, J.D.</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40" w:type="dxa"/>
            <w:vAlign w:val="bottom"/>
            <w:tcBorders>
              <w:top w:val="single" w:sz="8" w:color="CCEEFF"/>
            </w:tcBorders>
            <w:shd w:val="clear" w:color="auto" w:fill="CCEEFF"/>
          </w:tcPr>
          <w:p>
            <w:pPr>
              <w:spacing w:after="0"/>
              <w:rPr>
                <w:sz w:val="19"/>
                <w:szCs w:val="19"/>
                <w:color w:val="auto"/>
              </w:rPr>
            </w:pPr>
          </w:p>
        </w:tc>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Cynthia L. Anderson, CPA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4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Reid G. Adler, J.D.</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4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Corporate Development Officer and General Counsel</w:t>
            </w:r>
          </w:p>
        </w:tc>
      </w:tr>
      <w:tr>
        <w:trPr>
          <w:trHeight w:val="234"/>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Joshua S. Prince, MBA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Shawn K. Singh, J.D. </w:t>
      </w:r>
      <w:r>
        <w:rPr>
          <w:rFonts w:ascii="Times New Roman" w:cs="Times New Roman" w:eastAsia="Times New Roman" w:hAnsi="Times New Roman"/>
          <w:sz w:val="18"/>
          <w:szCs w:val="18"/>
          <w:color w:val="auto"/>
        </w:rPr>
        <w:t>Please see Mr. Singh’s biography on page 12 of this Proxy Statement, under the section titled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Cynthia L. Anderson, CPA </w:t>
      </w:r>
      <w:r>
        <w:rPr>
          <w:rFonts w:ascii="Times New Roman" w:cs="Times New Roman" w:eastAsia="Times New Roman" w:hAnsi="Times New Roman"/>
          <w:sz w:val="18"/>
          <w:szCs w:val="18"/>
          <w:color w:val="auto"/>
        </w:rPr>
        <w:t>was appointed as our Chief Financial Officer on August 21, 2023. Ms. Anderson has over 15 years of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leadership experience in the biopharmaceutical industry. Prior to joining the Company, Ms. Anderson served as Chief Accounting Officer for Alnylam Pharmaceuticals, Inc. (NASDAQ: ALNY), a position she held from 2019 to 2023. From 2011 to 2019, Ms. Anderson served in senior financial reporting roles at Alexion Pharmaceuticals, Inc. Ms. Anderson also previously served as an Audit Senior Manager at Ernst &amp; Young LLP and in various audit roles at PricewaterhouseCoopers LLP. Ms. Anderson holds a B.S. in Business Administration from the University of Connecticut, and a Master of Science in Accounting from the University of Texas at Dallas. She is a certified public accountant, having earned that status in Texas.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Reid G. Adler, J.D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appointed as our Chief Corporate Development Officer and General Counsel on May 2, 2022. Prior to joining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Mr. Adler was in private law practice from 2011 to 2022, during which time he founded Capital Technology Law Group in 2019 and served as co-managing partner. While in private practice, Mr. Adler represented the Company with respect to certain technology transactions and intellectual property matters. In addition to his duties with Capital Technology Law Group, Mr. Adler founded Innovation Matters in 2009, a provider of strategic business courses and training resources for innovative management practices and served as Principal of Innovation Matters from 2009 to 2022. Mr. Adler’s career also includes experience as a partner of two international law firms, Morrison &amp; Foerster and Morgan Lewis, as well as general counsel to the pioneering J. Craig Venter Institute for Genomics. In addition, Mr. Adler was the founding director of the National Institutes of Health, Office of Technology Transfer, where he recruited a team of over 40 people involved in the translation of research projects into health care products. Mr. Adler holds a B.S. degree in Chemistry from the University of Maryland and a J.D. from George Washington University.</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Joshua S. Prince, MBA</w:t>
      </w:r>
      <w:r>
        <w:rPr>
          <w:rFonts w:ascii="Times New Roman" w:cs="Times New Roman" w:eastAsia="Times New Roman" w:hAnsi="Times New Roman"/>
          <w:sz w:val="18"/>
          <w:szCs w:val="18"/>
          <w:color w:val="auto"/>
        </w:rPr>
        <w:t>, has served as our Chief Operating Officer since October 2023 and served as our Senior Vice President,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from November 2021 until October 2023. Mr. Prince has over 20 years of experience in the pharmaceutical industry. Throughout his career, he has developed extensive expertise from early development through commercial launch of pharmaceuticals across a range of therapeutic areas. Prior to joining the Company, Mr. Prince held multiple positions at CSL Behring (ASX: CSL), Teva Pharmaceuticals (NYSE: TEVA), and AstraZeneca PLC (NASDAQ: AZN), including North American Lead, Commercial Insight and Analytics, Senior Director of CNS Global Insight, and Director of Forecasting &amp; Performance Analytics. Mr. Prince holds a B.S. in Mechanical Engineering from the University of Missouri-Rolla, and an MBA from The Pennsylvania State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Philosophy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compensation philosophy is designed to attract, retain, motivate and reward our NEOs for their performance and contribution to our operations and long-term success. Our Board, through the Compensation Committee, seeks to compensate our executive officers by a mix of cash and equity incentives awarded upon achievement of corporate-wide and, to a lesser extent, individual performance objectives, in order to align our NEOs’ incentives with opportunities for stockholder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makes decisions regarding salaries, annual cash bonus payments, if any, and equity incentive compensation, if any, for our NEOs, approves the compensation philosophy for our NEOs, which includes target payouts for the achievement of pre-determined corporate-wide goals and objectives. The Compensation Committee solicits input from our executive compensation consultant regarding the compensation of our NEOs, as well as from our Chief Executive Officer regarding the performance of our non-NEO executive officers. Finally, the Compensation Committee also administers our incentive compensation and benefit plans, including the 2019 Plan and the 2019 Employee Stock Purchase Plan, as amended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Components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general rule, and when possible and appropriate, taking into account the Company’s financial condition and other related facts and circumstances, our compensation consists primarily of three elements: base salary, annual cash bonus, and long-term equity incentives consisting of stock option grants. We describe each element of compensation in more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 salaries for our NEOs are established based on the scope of their responsibilities and their prior relevant experience, taking into account competitive market compensation paid by companies in our peer group for similar positions and the overall market demand for such executives, both initially at the time of hire and thereafter, to ensure that we retain our executive management team. A NEO’s base salary is also determined by reviewing the executive officer’s other compensation to ensure that the executive officer’s total compensation is in line with our overall compensation philosophy and peer group-based input from our compensation consultant.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 salaries are reviewed periodically as deemed necessary by the Compensation Committee and increased for merit reasons, based on a NEO’s or other executive officer’s success in meeting or exceeding individual objectives. Additionally, we may adjust base salaries as warranted throughout the year for promotions or other changes in the scope or breadth of a NEO’s or other executive officer’s role or responsibilities.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Using our compensation philosophy as a guide, the Compensation Committee assesses each NEO’s contribution to achieving our corporate-wide goals and overall corporate performance for the applicable year when considering annual cash bonus payments. Currently, at the discretion of our Compensation Committee, our CEO is eligible to receive an annual cash bonus of up to 50% of his base salary and each of our other NEOs is eligible to receive annual cash bonuses of up to 45% of their base salary. Should the Compensation Committee approve of any annual cash bonus payments, the amount of the cash bonus depends on the level of achievement of performance goals, with a target bonus generally set as a percentage of base salary and based on the achievement of corporate milestones.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Fiscal 2024, the following three significant corporate milestones were among the factors supporting NEO compensation-related decisions: (i) the substantial progress in our registration-directed PALISADE Phase 3 program for our lead pherine drug candidate, fasedienol, for the acute treatment of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including from our PALISADE-2 Phase 3 study, which was the first-ever positive, statistically significant Phase 3 study of an investigational agent for the acute treatment of SAD, reported in the second fiscal quarter of Fiscal 2024; (ii) completion of public financing with aggregate net proceeds to the Company totaling approximately $125 million in Fiscal 2024, including an underwritten public offering of Company equity securities in the third fiscal quarter of Fiscal 2024 resulting in net proceeds to us of $93.5 million; and (iii) initiation of our PALISADE-3 Phase 3 study of fasedienol for the acute treatment of SAD in the fourth fiscal quarter of Fiscal 2024. Each of these milestones primarily enabled the Company to make substantial progress in its registration-directed PALISADE Phase 3 program for fasedienol as a first-in-class and fundamentally differentiated acute treatment of anxiety for adults with SAD, and also allowed the Company to advance the development of certain other clinical-stage product candidates in our neuroscience pipeline. As a result, the Compensation Committee awarded each of Fiscal 2024 NEOs 100% of their then-current respective cash bonus opportunities, as adjusted for those NEOs who joined the Company during Fiscal 2024.</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fiscal year ended March 31, 2023 (</w:t>
      </w:r>
      <w:r>
        <w:rPr>
          <w:rFonts w:ascii="Times New Roman" w:cs="Times New Roman" w:eastAsia="Times New Roman" w:hAnsi="Times New Roman"/>
          <w:sz w:val="18"/>
          <w:szCs w:val="18"/>
          <w:i w:val="1"/>
          <w:iCs w:val="1"/>
          <w:color w:val="auto"/>
        </w:rPr>
        <w:t>Fiscal 2023</w:t>
      </w:r>
      <w:r>
        <w:rPr>
          <w:rFonts w:ascii="Times New Roman" w:cs="Times New Roman" w:eastAsia="Times New Roman" w:hAnsi="Times New Roman"/>
          <w:sz w:val="18"/>
          <w:szCs w:val="18"/>
          <w:color w:val="auto"/>
        </w:rPr>
        <w:t>), the key factor driving executive compensation decisions was preservation of the Company’s cash position to ensure optimal use of the Company’s available capital for the Company’s drug development programs following the precipitous decrease in the Company’s stock price and market value following the announcement of topline results of PALISADE-1, the Company’s single-dose administration Phase 3 clinical trial of fasedienol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the acute treatment of SAD, which study did not achieve its primary endpoint and potentially was affected by pandemic-impacted variability. As a result and at the recommendation of our CEO, to preserve capital, none of our NEOs received a cash bonus in or related to Fiscal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believes that to attract, retain and incentivize management, employees and independent directors, the compensation paid to these persons should include non-cash equity-based compensation, in addition to base salary and potential annual cash incentives, that is competitive with peer companies. The Compensation Committee, in consultation with our overall compensation philosophy and peer group-based input from our compensation consultant, determines the amount and terms of equity-based compensation granted to our NEOs, employees and non-employee directors. Any long-term equity compensation granted to our NEOs, employees and non-employee directors does not represent cash payments made to such individuals, and there is no guarantee that any recipients of equity awards granted as long-term equity compensation will realize any cash value as a result of the equity awards.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we had a limited number of shares available for issuance under our 2019 Plan during Fiscal 2024, at the recommendation of our CEO, our Compensation Committee elected to utilize substantially all of the available shares under the 2019 Plan for stock option grants to current and newly-hired employees, rather than to any NEOs, as we continued to advance our registration-directed PALISADE Phase 3 program for fasedienol in SAD. Accordingly, the Compensation Committee did not grant stock options or any other equity incentives to any of our NEOs in Fiscal 2024, other than a new-hire stock option award granted to Ms. Anderson upon commencement of her employment as our Chief Financial Officer in August 2023.</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To address the limited number of shares available for issuance under our 2019 Plan, our Board recommended, and our stockholders approved at a special meeting of stockholders held on May 29, 2024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an amendment to the 2019 Plan to increase the number of shares of common stock available for issuance thereunder from 1.0 million shares to 5.0 million shares. Subsequent to the Special Meeting, our Compensation Committee, in consultation with our overall compensation philosophy and peer group-based input from our compensation consultant, granted equity awards to our NEOs in order to award them for the achievement of the significant corporate milestones described above, and to align the long-term interests of our NEOs with our stockholders.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Options granted to non-NEO employees and directors in Fiscal 2024 and Fiscal 2023 have a term of ten years, and an exercise price that was at least 100% of the market price of our common stock on the grant date, which the Compensation Committee believes aligns the long-term interests of employees and non-executive directors with those of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NEOs for services performed in Fiscal 2024 and Fiscal 2023. Unless otherwise noted, all share references and related information, including stock option exercise prices, have been revised to give effect to the 1-for-30 reverse stock split of our issued and outstanding common stock effected on June 6,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6"/>
        </w:trPr>
        <w:tc>
          <w:tcPr>
            <w:tcW w:w="5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9"/>
                <w:szCs w:val="9"/>
                <w:b w:val="1"/>
                <w:bCs w:val="1"/>
                <w:color w:val="auto"/>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r>
              <w:rPr>
                <w:rFonts w:ascii="Times New Roman" w:cs="Times New Roman" w:eastAsia="Times New Roman" w:hAnsi="Times New Roman"/>
                <w:sz w:val="9"/>
                <w:szCs w:val="9"/>
                <w:b w:val="1"/>
                <w:bCs w:val="1"/>
                <w:color w:val="auto"/>
                <w:w w:val="99"/>
              </w:rPr>
              <w:t>(2)</w:t>
            </w:r>
          </w:p>
        </w:tc>
        <w:tc>
          <w:tcPr>
            <w:tcW w:w="360" w:type="dxa"/>
            <w:vAlign w:val="bottom"/>
          </w:tcPr>
          <w:p>
            <w:pPr>
              <w:spacing w:after="0"/>
              <w:rPr>
                <w:sz w:val="22"/>
                <w:szCs w:val="22"/>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Shawn K. Singh, J.D.</w:t>
            </w:r>
            <w:r>
              <w:rPr>
                <w:rFonts w:ascii="Times New Roman" w:cs="Times New Roman" w:eastAsia="Times New Roman" w:hAnsi="Times New Roman"/>
                <w:sz w:val="9"/>
                <w:szCs w:val="9"/>
                <w:color w:val="auto"/>
              </w:rPr>
              <w:t>(3)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622,917</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947,917</w:t>
            </w:r>
          </w:p>
        </w:tc>
      </w:tr>
      <w:tr>
        <w:trPr>
          <w:trHeight w:val="23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600,000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5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7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Cynthia L. Anderson, CPA</w:t>
            </w:r>
            <w:r>
              <w:rPr>
                <w:rFonts w:ascii="Times New Roman" w:cs="Times New Roman" w:eastAsia="Times New Roman" w:hAnsi="Times New Roman"/>
                <w:sz w:val="9"/>
                <w:szCs w:val="9"/>
                <w:color w:val="auto"/>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261,198</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42,993</w:t>
            </w:r>
          </w:p>
        </w:tc>
        <w:tc>
          <w:tcPr>
            <w:tcW w:w="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7"/>
              </w:rPr>
              <w:t>(6)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434,191</w:t>
            </w:r>
          </w:p>
        </w:tc>
      </w:tr>
      <w:tr>
        <w:trPr>
          <w:trHeight w:val="22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Reid G. Adler, J.D.</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450,000</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w:t>
            </w:r>
          </w:p>
        </w:tc>
      </w:tr>
      <w:tr>
        <w:trPr>
          <w:trHeight w:val="23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Chief Corporate Development Officer and General Counsel</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371,875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180,568</w:t>
            </w:r>
          </w:p>
        </w:tc>
        <w:tc>
          <w:tcPr>
            <w:tcW w:w="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7"/>
              </w:rPr>
              <w:t>(7)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552,443</w:t>
            </w:r>
          </w:p>
        </w:tc>
      </w:tr>
      <w:tr>
        <w:trPr>
          <w:trHeight w:val="229"/>
        </w:trPr>
        <w:tc>
          <w:tcPr>
            <w:tcW w:w="5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61"/>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S. Prince, MBA</w:t>
            </w:r>
            <w:r>
              <w:rPr>
                <w:rFonts w:ascii="Times New Roman" w:cs="Times New Roman" w:eastAsia="Times New Roman" w:hAnsi="Times New Roman"/>
                <w:sz w:val="9"/>
                <w:szCs w:val="9"/>
                <w:color w:val="auto"/>
              </w:rPr>
              <w:t>(5)</w:t>
            </w:r>
          </w:p>
        </w:tc>
        <w:tc>
          <w:tcPr>
            <w:tcW w:w="2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368,437</w:t>
            </w: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200,000</w:t>
            </w: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568,437</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2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both"/>
        <w:ind w:left="400" w:right="20" w:hanging="374"/>
        <w:spacing w:after="0" w:line="211" w:lineRule="auto"/>
        <w:tabs>
          <w:tab w:leader="none" w:pos="4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reported in the Bonus column for Fiscal 2024 reflect bonuses awarded by the Compensation Committee that were earned in the same period. At the recommendation of our CEO, for strategic cash-preservation purposes, the Compensation Committee did not award any bonuses to NEOs and none were paid or accrued during Fiscal 2023.</w:t>
      </w:r>
    </w:p>
    <w:p>
      <w:pPr>
        <w:spacing w:after="0" w:line="119" w:lineRule="exact"/>
        <w:rPr>
          <w:rFonts w:ascii="Times New Roman" w:cs="Times New Roman" w:eastAsia="Times New Roman" w:hAnsi="Times New Roman"/>
          <w:sz w:val="23"/>
          <w:szCs w:val="23"/>
          <w:color w:val="auto"/>
          <w:vertAlign w:val="superscript"/>
        </w:rPr>
      </w:pPr>
    </w:p>
    <w:p>
      <w:pPr>
        <w:jc w:val="both"/>
        <w:ind w:left="400" w:right="20" w:hanging="374"/>
        <w:spacing w:after="0" w:line="211" w:lineRule="auto"/>
        <w:tabs>
          <w:tab w:leader="none" w:pos="4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in the Option Awards column represent the aggregate grant date fair value of options to purchase shares of our common stock awarded to the NEOs during the fiscal year presented, computed in accordance with the Financial Accounting Standards Board’s Accounting Standards Codification Topic 718, Compensation – Stock Compensation (ASC 718).</w:t>
      </w:r>
    </w:p>
    <w:p>
      <w:pPr>
        <w:spacing w:after="0" w:line="119" w:lineRule="exact"/>
        <w:rPr>
          <w:rFonts w:ascii="Times New Roman" w:cs="Times New Roman" w:eastAsia="Times New Roman" w:hAnsi="Times New Roman"/>
          <w:sz w:val="23"/>
          <w:szCs w:val="23"/>
          <w:color w:val="auto"/>
          <w:vertAlign w:val="superscript"/>
        </w:rPr>
      </w:pPr>
    </w:p>
    <w:p>
      <w:pPr>
        <w:jc w:val="both"/>
        <w:ind w:left="400" w:hanging="374"/>
        <w:spacing w:after="0" w:line="208" w:lineRule="auto"/>
        <w:tabs>
          <w:tab w:leader="none" w:pos="4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Pursuant to the employment agreement by and between the Company and Mr. Singh, as amended in June 2016, Mr. Singh’s annual base cash salary was originally contractually set in 2016 at $395,000 and is subject to adjustments at the discretion of the Compensation Committee. During Fiscal 2023, the Compensation Committee set Mr. Singh’s base annual salary at $600,000 and adjusted Mr. Singh’s base annual salary to $650,000 during Fiscal 2024. Pursuant to his employment agreement, Mr. Singh is eligible to receive an annual cash incentive bonus of up to 50% of his base cash salary.</w:t>
      </w:r>
    </w:p>
    <w:p>
      <w:pPr>
        <w:spacing w:after="0" w:line="119" w:lineRule="exact"/>
        <w:rPr>
          <w:rFonts w:ascii="Times New Roman" w:cs="Times New Roman" w:eastAsia="Times New Roman" w:hAnsi="Times New Roman"/>
          <w:sz w:val="23"/>
          <w:szCs w:val="23"/>
          <w:color w:val="auto"/>
          <w:vertAlign w:val="superscript"/>
        </w:rPr>
      </w:pPr>
    </w:p>
    <w:p>
      <w:pPr>
        <w:ind w:left="400" w:hanging="374"/>
        <w:spacing w:after="0" w:line="215" w:lineRule="auto"/>
        <w:tabs>
          <w:tab w:leader="none" w:pos="4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Ms. Anderson was appointed as the Company’s Chief Financial Officer in August 2023. No compensation information is therefore reported for Ms. Anderson for Fiscal 2023.</w:t>
      </w:r>
    </w:p>
    <w:p>
      <w:pPr>
        <w:spacing w:after="0" w:line="117" w:lineRule="exact"/>
        <w:rPr>
          <w:rFonts w:ascii="Times New Roman" w:cs="Times New Roman" w:eastAsia="Times New Roman" w:hAnsi="Times New Roman"/>
          <w:sz w:val="23"/>
          <w:szCs w:val="23"/>
          <w:color w:val="auto"/>
          <w:vertAlign w:val="superscript"/>
        </w:rPr>
      </w:pPr>
    </w:p>
    <w:p>
      <w:pPr>
        <w:jc w:val="both"/>
        <w:ind w:left="400" w:right="20" w:hanging="374"/>
        <w:spacing w:after="0" w:line="211" w:lineRule="auto"/>
        <w:tabs>
          <w:tab w:leader="none" w:pos="4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Prince was appointed as the Company’s Chief Operating Officer in October 2023. Prior to this appointment, Mr. Prince served as the Company’s Senior Vice President, Business Operations. No compensation information is provided for Mr. Prince for Fiscal 2023 as he was not among our NEOs for this period.</w:t>
      </w:r>
    </w:p>
    <w:p>
      <w:pPr>
        <w:spacing w:after="0" w:line="119" w:lineRule="exact"/>
        <w:rPr>
          <w:rFonts w:ascii="Times New Roman" w:cs="Times New Roman" w:eastAsia="Times New Roman" w:hAnsi="Times New Roman"/>
          <w:sz w:val="23"/>
          <w:szCs w:val="23"/>
          <w:color w:val="auto"/>
          <w:vertAlign w:val="superscript"/>
        </w:rPr>
      </w:pPr>
    </w:p>
    <w:p>
      <w:pPr>
        <w:jc w:val="both"/>
        <w:ind w:left="400" w:right="20" w:hanging="374"/>
        <w:spacing w:after="0" w:line="209" w:lineRule="auto"/>
        <w:tabs>
          <w:tab w:leader="none" w:pos="4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Ms. Anderson received a grant of options to purchase 8,333 registered shares of our common stock upon commencement of her employment by the Company in August 2023. The table below provides information regarding the stock option granted to Ms. Anderson upon commencement of her employment by the Company during Fiscal 2024 and the assumptions used in the Black Scholes Option Pricing Model to determine the grant date fair value of her new-hire award.</w:t>
      </w:r>
    </w:p>
    <w:p>
      <w:pPr>
        <w:spacing w:after="0" w:line="34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 Award Compensation</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Option Grant</w:t>
            </w:r>
          </w:p>
        </w:tc>
      </w:tr>
      <w:tr>
        <w:trPr>
          <w:trHeight w:val="238"/>
        </w:trPr>
        <w:tc>
          <w:tcPr>
            <w:tcW w:w="6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March 31, 2024</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8/21/2023</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23"/>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Anderson</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42,993</w:t>
            </w:r>
          </w:p>
        </w:tc>
        <w:tc>
          <w:tcPr>
            <w:tcW w:w="100" w:type="dxa"/>
            <w:vAlign w:val="bottom"/>
            <w:shd w:val="clear" w:color="auto" w:fill="CCEEFF"/>
          </w:tcPr>
          <w:p>
            <w:pPr>
              <w:spacing w:after="0"/>
              <w:rPr>
                <w:sz w:val="19"/>
                <w:szCs w:val="19"/>
                <w:color w:val="auto"/>
              </w:rPr>
            </w:pPr>
          </w:p>
        </w:tc>
      </w:tr>
      <w:tr>
        <w:trPr>
          <w:trHeight w:val="59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Option Award Assumptions </w:t>
            </w: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Option Grant</w:t>
            </w:r>
          </w:p>
        </w:tc>
      </w:tr>
      <w:tr>
        <w:trPr>
          <w:trHeight w:val="238"/>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March 31, 2024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8/21/2023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per share</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 per share</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4.39 %</w:t>
            </w: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167.68 %</w:t>
            </w: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r>
      <w:tr>
        <w:trPr>
          <w:trHeight w:val="22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share</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4"/>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shares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328" w:lineRule="exact"/>
        <w:rPr>
          <w:sz w:val="20"/>
          <w:szCs w:val="20"/>
          <w:color w:val="auto"/>
        </w:rPr>
      </w:pPr>
    </w:p>
    <w:p>
      <w:pPr>
        <w:jc w:val="both"/>
        <w:ind w:left="400" w:right="20" w:hanging="374"/>
        <w:spacing w:after="0" w:line="206" w:lineRule="auto"/>
        <w:tabs>
          <w:tab w:leader="none" w:pos="4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Adler received a grant of options to purchase 6,667 registered shares of our common stock upon commencement of his employment by the Company in May 2022. The table below provides information regarding the stock option granted to Mr. Adler upon commencement of his employment by the Company during Fiscal 2023 and the assumptions used in the Black Scholes Option Pricing Model to determine the grant date fair value of his new-hire award.</w:t>
      </w:r>
    </w:p>
    <w:p>
      <w:pPr>
        <w:spacing w:after="0" w:line="330"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 Award Compensation</w:t>
            </w:r>
          </w:p>
        </w:tc>
        <w:tc>
          <w:tcPr>
            <w:tcW w:w="20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Option Grant</w:t>
            </w:r>
          </w:p>
        </w:tc>
      </w:tr>
      <w:tr>
        <w:trPr>
          <w:trHeight w:val="238"/>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March 31, 2023</w:t>
            </w: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5/2/2022</w:t>
            </w:r>
          </w:p>
        </w:tc>
        <w:tc>
          <w:tcPr>
            <w:tcW w:w="100" w:type="dxa"/>
            <w:vAlign w:val="bottom"/>
          </w:tcPr>
          <w:p>
            <w:pPr>
              <w:spacing w:after="0"/>
              <w:rPr>
                <w:sz w:val="20"/>
                <w:szCs w:val="20"/>
                <w:color w:val="auto"/>
              </w:rPr>
            </w:pPr>
          </w:p>
        </w:tc>
      </w:tr>
      <w:tr>
        <w:trPr>
          <w:trHeight w:val="223"/>
        </w:trPr>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Adler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180,568</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58" w:right="739" w:bottom="1440" w:gutter="0" w:footer="0" w:header="0"/>
        </w:sectPr>
      </w:pPr>
    </w:p>
    <w:bookmarkStart w:id="28" w:name="page29"/>
    <w:bookmarkEnd w:id="28"/>
    <w:tbl>
      <w:tblPr>
        <w:tblLayout w:type="fixed"/>
        <w:tblInd w:w="660" w:type="dxa"/>
        <w:tblCellMar>
          <w:top w:w="0" w:type="dxa"/>
          <w:left w:w="0" w:type="dxa"/>
          <w:bottom w:w="0" w:type="dxa"/>
          <w:right w:w="0" w:type="dxa"/>
        </w:tblCellMar>
      </w:tblPr>
      <w:tr>
        <w:trPr>
          <w:trHeight w:val="25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Option Award Assumptions </w:t>
            </w: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Option Grant</w:t>
            </w:r>
          </w:p>
        </w:tc>
      </w:tr>
      <w:tr>
        <w:trPr>
          <w:trHeight w:val="238"/>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March 31, 2023</w:t>
            </w:r>
          </w:p>
        </w:tc>
        <w:tc>
          <w:tcPr>
            <w:tcW w:w="18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5/2/2022</w:t>
            </w:r>
          </w:p>
        </w:tc>
        <w:tc>
          <w:tcPr>
            <w:tcW w:w="240" w:type="dxa"/>
            <w:vAlign w:val="bottom"/>
          </w:tcPr>
          <w:p>
            <w:pPr>
              <w:spacing w:after="0"/>
              <w:rPr>
                <w:sz w:val="20"/>
                <w:szCs w:val="20"/>
                <w:color w:val="auto"/>
              </w:rPr>
            </w:pPr>
          </w:p>
        </w:tc>
      </w:tr>
      <w:tr>
        <w:trPr>
          <w:trHeight w:val="223"/>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per share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Borders>
              <w:top w:val="single" w:sz="8" w:color="CCEEFF"/>
            </w:tcBorders>
            <w:shd w:val="clear" w:color="auto" w:fill="CCEEFF"/>
          </w:tcPr>
          <w:p>
            <w:pPr>
              <w:spacing w:after="0"/>
              <w:rPr>
                <w:sz w:val="19"/>
                <w:szCs w:val="19"/>
                <w:color w:val="auto"/>
              </w:rPr>
            </w:pP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Pr>
          <w:p>
            <w:pPr>
              <w:spacing w:after="0"/>
              <w:rPr>
                <w:sz w:val="19"/>
                <w:szCs w:val="19"/>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3.00 %</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80.07 %</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shd w:val="clear" w:color="auto" w:fill="CCEEFF"/>
          </w:tcPr>
          <w:p>
            <w:pPr>
              <w:spacing w:after="0"/>
              <w:rPr>
                <w:sz w:val="19"/>
                <w:szCs w:val="19"/>
                <w:color w:val="auto"/>
              </w:rPr>
            </w:pP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240" w:type="dxa"/>
            <w:vAlign w:val="bottom"/>
            <w:shd w:val="clear" w:color="auto" w:fill="CCEEFF"/>
          </w:tcPr>
          <w:p>
            <w:pPr>
              <w:spacing w:after="0"/>
              <w:rPr>
                <w:sz w:val="19"/>
                <w:szCs w:val="19"/>
                <w:color w:val="auto"/>
              </w:rPr>
            </w:pPr>
          </w:p>
        </w:tc>
      </w:tr>
      <w:tr>
        <w:trPr>
          <w:trHeight w:val="23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shares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40" w:type="dxa"/>
            <w:vAlign w:val="bottom"/>
          </w:tcPr>
          <w:p>
            <w:pPr>
              <w:spacing w:after="0"/>
              <w:rPr>
                <w:sz w:val="20"/>
                <w:szCs w:val="20"/>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maintain, through a registered agent, a retirement and deferred savings plan for our officers and employees. This plan is intended to qualify as a tax-qualified plan under Section 401(k) of the Internal Revenue Code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The retirement and deferred savings plan provides that each participant may contribute a portion of her or his pre-tax compensation, subject to statutory limits. Under the plan, each employee is fully vested in her or his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any participating officers or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the approval of the 2019 ESPP by our stockholders in September 2019, the 2019 ESPP became operational effective January 1, 2020. Under our 2019 ESPP, shares of our common stock are available for purchase by eligible officers and employees, including our NEOs, each of whom participates in the 2019 ESPP. Eligible employees will be entitled to purchase, by means of payroll deductions, limited amounts of our common stock at a discount to the market price during periodic option periods under the 2019 ESPP. The table below indicates the number of shares purchased by each of our Fiscal 2024 NEOs and the per share purchase price for each option period completed in Fiscal 2024 and 2023. As a result of certain limitations in the 2019 ESPP, participating employees were only permitted to purchase up to a maximum of 5,000 shares of common stock in each periodic option period, which amount was adjusted to a maximum 167 shares per period to reflect the impact of the 1-for-30 reverse split of our common stock on June 6, 2023 (</w:t>
      </w:r>
      <w:r>
        <w:rPr>
          <w:rFonts w:ascii="Times New Roman" w:cs="Times New Roman" w:eastAsia="Times New Roman" w:hAnsi="Times New Roman"/>
          <w:sz w:val="18"/>
          <w:szCs w:val="18"/>
          <w:i w:val="1"/>
          <w:iCs w:val="1"/>
          <w:color w:val="auto"/>
        </w:rPr>
        <w:t>Reverse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Split</w:t>
      </w:r>
      <w:r>
        <w:rPr>
          <w:rFonts w:ascii="Times New Roman" w:cs="Times New Roman" w:eastAsia="Times New Roman" w:hAnsi="Times New Roman"/>
          <w:sz w:val="18"/>
          <w:szCs w:val="18"/>
          <w:color w:val="auto"/>
        </w:rPr>
        <w:t>). During Fiscal 2024, all NEOs that were eligible to participate in the 2019 ESPP purchased the maximum number of shares permitted under the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ESPP at that time.</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2024, our Compensation Committee removed this limitation. Participation in the 2019 ESPP is now subject to the following limits:</w:t>
      </w:r>
    </w:p>
    <w:p>
      <w:pPr>
        <w:spacing w:after="0" w:line="266" w:lineRule="exact"/>
        <w:rPr>
          <w:sz w:val="20"/>
          <w:szCs w:val="20"/>
          <w:color w:val="auto"/>
        </w:rPr>
      </w:pPr>
    </w:p>
    <w:p>
      <w:pPr>
        <w:ind w:left="1180" w:right="20" w:hanging="398"/>
        <w:spacing w:after="0" w:line="245"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contribute less than 1% or more than 15% of his or her compensation to the purchase of stock under the 2019 ESPP in any one payroll period;</w:t>
      </w:r>
    </w:p>
    <w:p>
      <w:pPr>
        <w:jc w:val="both"/>
        <w:ind w:left="1180" w:right="20" w:hanging="398"/>
        <w:spacing w:after="0" w:line="229"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spacing w:after="0" w:line="1" w:lineRule="exact"/>
        <w:rPr>
          <w:rFonts w:ascii="Times New Roman" w:cs="Times New Roman" w:eastAsia="Times New Roman" w:hAnsi="Times New Roman"/>
          <w:sz w:val="18"/>
          <w:szCs w:val="18"/>
          <w:color w:val="auto"/>
        </w:rPr>
      </w:pPr>
    </w:p>
    <w:p>
      <w:pPr>
        <w:jc w:val="both"/>
        <w:ind w:left="1180" w:right="20" w:hanging="398"/>
        <w:spacing w:after="0" w:line="229"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will not be granted an option under the 2019 ESPP if it would cause the participant to own stock and/or hold outstanding options to purchase common stock constituting 5.0% or more of the total combined voting power or value of all classes of stock of the Company or of one of its subsidiaries or to the extent it would exceed certain other limits under the Code.</w:t>
      </w:r>
    </w:p>
    <w:p>
      <w:pPr>
        <w:spacing w:after="0" w:line="2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$25,000 annual purchase and the 5% ownership limitations referred to above are required under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Unless otherwise noted, all share references and related purchase prices have been revised to give effect to the Reverse Split.</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Purchase Period Ended</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14"/>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purchase price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Shares purchased by</w:t>
            </w: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Singh</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7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Ms. Anderson </w:t>
            </w:r>
            <w:r>
              <w:rPr>
                <w:rFonts w:ascii="Times New Roman" w:cs="Times New Roman" w:eastAsia="Times New Roman" w:hAnsi="Times New Roman"/>
                <w:sz w:val="9"/>
                <w:szCs w:val="9"/>
                <w:color w:val="auto"/>
              </w:rPr>
              <w:t>(1)</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Adler </w:t>
            </w:r>
            <w:r>
              <w:rPr>
                <w:rFonts w:ascii="Times New Roman" w:cs="Times New Roman" w:eastAsia="Times New Roman" w:hAnsi="Times New Roman"/>
                <w:sz w:val="9"/>
                <w:szCs w:val="9"/>
                <w:color w:val="auto"/>
              </w:rPr>
              <w:t>(2)</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Prince</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4" w:lineRule="exact"/>
        <w:rPr>
          <w:sz w:val="20"/>
          <w:szCs w:val="20"/>
          <w:color w:val="auto"/>
        </w:rPr>
      </w:pPr>
    </w:p>
    <w:p>
      <w:pPr>
        <w:ind w:left="400" w:right="420" w:hanging="374"/>
        <w:spacing w:after="0" w:line="215" w:lineRule="auto"/>
        <w:tabs>
          <w:tab w:leader="none" w:pos="4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Ms. Anderson joined the Company in August 2023, and, as such, was not eligible to participate in the 2019 ESPP until the purchase option period ending June 30, 2024.</w:t>
      </w:r>
    </w:p>
    <w:p>
      <w:pPr>
        <w:spacing w:after="0" w:line="117" w:lineRule="exact"/>
        <w:rPr>
          <w:rFonts w:ascii="Times New Roman" w:cs="Times New Roman" w:eastAsia="Times New Roman" w:hAnsi="Times New Roman"/>
          <w:sz w:val="23"/>
          <w:szCs w:val="23"/>
          <w:color w:val="auto"/>
          <w:vertAlign w:val="superscript"/>
        </w:rPr>
      </w:pPr>
    </w:p>
    <w:p>
      <w:pPr>
        <w:ind w:left="400" w:right="1180" w:hanging="374"/>
        <w:spacing w:after="0" w:line="208" w:lineRule="auto"/>
        <w:tabs>
          <w:tab w:leader="none" w:pos="4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Adler joined the Company in May 2022 and, as such, was not eligible to participate in the 2019 ESPP until the purchase option period ended December 31, 2022.</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March 31, 2024</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held by each of our Fiscal 2024 NEOs as of the end of Fiscal 2024 on March 31, 2024, consisting exclusively of stock options. Unless otherwise noted, all share references and stock option exercise prices have been revised to give effect to the Reverse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Stock Options at March 31, 2024</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4"/>
        </w:trPr>
        <w:tc>
          <w:tcPr>
            <w:tcW w:w="2380" w:type="dxa"/>
            <w:vAlign w:val="bottom"/>
          </w:tcPr>
          <w:p>
            <w:pPr>
              <w:spacing w:after="0"/>
              <w:rPr>
                <w:sz w:val="18"/>
                <w:szCs w:val="18"/>
                <w:color w:val="auto"/>
              </w:rPr>
            </w:pPr>
          </w:p>
        </w:tc>
        <w:tc>
          <w:tcPr>
            <w:tcW w:w="2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Securities Underlying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Underlying</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Unexercised Options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Unexercised Options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6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 Exercisable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Unexercisable</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23"/>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Shawn K. Singh, J.D.</w:t>
            </w: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38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6/19/2026</w:t>
            </w:r>
          </w:p>
        </w:tc>
      </w:tr>
      <w:tr>
        <w:trPr>
          <w:trHeight w:val="230"/>
        </w:trPr>
        <w:tc>
          <w:tcPr>
            <w:tcW w:w="23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38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11/9/2026</w:t>
            </w:r>
          </w:p>
        </w:tc>
      </w:tr>
      <w:tr>
        <w:trPr>
          <w:trHeight w:val="229"/>
        </w:trPr>
        <w:tc>
          <w:tcPr>
            <w:tcW w:w="238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3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4/26/2027</w:t>
            </w:r>
          </w:p>
        </w:tc>
      </w:tr>
      <w:tr>
        <w:trPr>
          <w:trHeight w:val="230"/>
        </w:trPr>
        <w:tc>
          <w:tcPr>
            <w:tcW w:w="23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38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9/19/2027</w:t>
            </w:r>
          </w:p>
        </w:tc>
      </w:tr>
      <w:tr>
        <w:trPr>
          <w:trHeight w:val="229"/>
        </w:trPr>
        <w:tc>
          <w:tcPr>
            <w:tcW w:w="238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2/2/2028</w:t>
            </w:r>
          </w:p>
        </w:tc>
      </w:tr>
      <w:tr>
        <w:trPr>
          <w:trHeight w:val="229"/>
        </w:trPr>
        <w:tc>
          <w:tcPr>
            <w:tcW w:w="23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38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1/14/2029</w:t>
            </w:r>
          </w:p>
        </w:tc>
      </w:tr>
      <w:tr>
        <w:trPr>
          <w:trHeight w:val="230"/>
        </w:trPr>
        <w:tc>
          <w:tcPr>
            <w:tcW w:w="238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3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5/23/2029</w:t>
            </w:r>
          </w:p>
        </w:tc>
      </w:tr>
      <w:tr>
        <w:trPr>
          <w:trHeight w:val="229"/>
        </w:trPr>
        <w:tc>
          <w:tcPr>
            <w:tcW w:w="23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38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9/5/2029</w:t>
            </w:r>
          </w:p>
        </w:tc>
      </w:tr>
      <w:tr>
        <w:trPr>
          <w:trHeight w:val="229"/>
        </w:trPr>
        <w:tc>
          <w:tcPr>
            <w:tcW w:w="238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3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r>
      <w:tr>
        <w:trPr>
          <w:trHeight w:val="230"/>
        </w:trPr>
        <w:tc>
          <w:tcPr>
            <w:tcW w:w="23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38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4/23/2030</w:t>
            </w:r>
          </w:p>
        </w:tc>
      </w:tr>
      <w:tr>
        <w:trPr>
          <w:trHeight w:val="229"/>
        </w:trPr>
        <w:tc>
          <w:tcPr>
            <w:tcW w:w="238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3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12/30/2030</w:t>
            </w:r>
          </w:p>
        </w:tc>
      </w:tr>
      <w:tr>
        <w:trPr>
          <w:trHeight w:val="230"/>
        </w:trPr>
        <w:tc>
          <w:tcPr>
            <w:tcW w:w="238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380" w:type="dxa"/>
            <w:vAlign w:val="bottom"/>
            <w:tcBorders>
              <w:bottom w:val="single" w:sz="8" w:color="CCEEFF"/>
            </w:tcBorders>
          </w:tcPr>
          <w:p>
            <w:pPr>
              <w:spacing w:after="0"/>
              <w:rPr>
                <w:sz w:val="19"/>
                <w:szCs w:val="19"/>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82,341</w:t>
            </w:r>
          </w:p>
        </w:tc>
        <w:tc>
          <w:tcPr>
            <w:tcW w:w="3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2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Cynthia L. Anderson, CPA</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xml:space="preserve">8,333 </w:t>
            </w:r>
            <w:r>
              <w:rPr>
                <w:rFonts w:ascii="Times New Roman" w:cs="Times New Roman" w:eastAsia="Times New Roman" w:hAnsi="Times New Roman"/>
                <w:sz w:val="19"/>
                <w:szCs w:val="19"/>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8/21/2033</w:t>
            </w: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2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38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7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Reid G. Adler, J.D.</w:t>
            </w:r>
            <w:r>
              <w:rPr>
                <w:rFonts w:ascii="Times New Roman" w:cs="Times New Roman" w:eastAsia="Times New Roman" w:hAnsi="Times New Roman"/>
                <w:sz w:val="9"/>
                <w:szCs w:val="9"/>
                <w:color w:val="auto"/>
              </w:rPr>
              <w:t>(2)</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80" w:type="dxa"/>
            <w:vAlign w:val="bottom"/>
          </w:tcPr>
          <w:p>
            <w:pPr>
              <w:spacing w:after="0"/>
              <w:rPr>
                <w:sz w:val="23"/>
                <w:szCs w:val="23"/>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9/19/2027</w:t>
            </w:r>
          </w:p>
        </w:tc>
      </w:tr>
      <w:tr>
        <w:trPr>
          <w:trHeight w:val="229"/>
        </w:trPr>
        <w:tc>
          <w:tcPr>
            <w:tcW w:w="238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2/2/2028</w:t>
            </w:r>
          </w:p>
        </w:tc>
      </w:tr>
      <w:tr>
        <w:trPr>
          <w:trHeight w:val="230"/>
        </w:trPr>
        <w:tc>
          <w:tcPr>
            <w:tcW w:w="23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38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5/23/2029</w:t>
            </w:r>
          </w:p>
        </w:tc>
      </w:tr>
      <w:tr>
        <w:trPr>
          <w:trHeight w:val="230"/>
        </w:trPr>
        <w:tc>
          <w:tcPr>
            <w:tcW w:w="238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r>
      <w:tr>
        <w:trPr>
          <w:trHeight w:val="230"/>
        </w:trPr>
        <w:tc>
          <w:tcPr>
            <w:tcW w:w="23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8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4/23/2030</w:t>
            </w:r>
          </w:p>
        </w:tc>
      </w:tr>
      <w:tr>
        <w:trPr>
          <w:trHeight w:val="229"/>
        </w:trPr>
        <w:tc>
          <w:tcPr>
            <w:tcW w:w="238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7/16/2031</w:t>
            </w:r>
          </w:p>
        </w:tc>
      </w:tr>
      <w:tr>
        <w:trPr>
          <w:trHeight w:val="230"/>
        </w:trPr>
        <w:tc>
          <w:tcPr>
            <w:tcW w:w="23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8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r>
      <w:tr>
        <w:trPr>
          <w:trHeight w:val="230"/>
        </w:trPr>
        <w:tc>
          <w:tcPr>
            <w:tcW w:w="238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380" w:type="dxa"/>
            <w:vAlign w:val="bottom"/>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0"/>
                <w:szCs w:val="10"/>
                <w:color w:val="auto"/>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5/2/2032</w:t>
            </w: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38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38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S. Prince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38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11/15/2031</w:t>
            </w:r>
          </w:p>
        </w:tc>
      </w:tr>
      <w:tr>
        <w:trPr>
          <w:trHeight w:val="229"/>
        </w:trPr>
        <w:tc>
          <w:tcPr>
            <w:tcW w:w="238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3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r>
      <w:tr>
        <w:trPr>
          <w:trHeight w:val="230"/>
        </w:trPr>
        <w:tc>
          <w:tcPr>
            <w:tcW w:w="238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380" w:type="dxa"/>
            <w:vAlign w:val="bottom"/>
            <w:tcBorders>
              <w:bottom w:val="single" w:sz="8" w:color="CCEEFF"/>
            </w:tcBorders>
          </w:tcPr>
          <w:p>
            <w:pPr>
              <w:spacing w:after="0"/>
              <w:rPr>
                <w:sz w:val="19"/>
                <w:szCs w:val="19"/>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32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0"/>
                <w:szCs w:val="10"/>
                <w:color w:val="auto"/>
              </w:rPr>
              <w:t>(5)</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11/16/2032</w:t>
            </w: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3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ind w:left="460" w:hanging="396"/>
        <w:spacing w:after="0" w:line="209" w:lineRule="auto"/>
        <w:tabs>
          <w:tab w:leader="none" w:pos="46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an option to purchase shares of our common stock at $5.34 per share granted on August 21, 2023 when the market price of our common stock was $5.34 per share. The option will become exercisable for 25% of the shares granted on the first anniversary of the grant date, with the remaining 75% of the shares becoming exercisable ratably monthly through August 21, 2027, when all shares granted will be fully exercisable.</w:t>
      </w:r>
    </w:p>
    <w:p>
      <w:pPr>
        <w:spacing w:after="0" w:line="119" w:lineRule="exact"/>
        <w:rPr>
          <w:rFonts w:ascii="Times New Roman" w:cs="Times New Roman" w:eastAsia="Times New Roman" w:hAnsi="Times New Roman"/>
          <w:sz w:val="23"/>
          <w:szCs w:val="23"/>
          <w:color w:val="auto"/>
          <w:vertAlign w:val="superscript"/>
        </w:rPr>
      </w:pPr>
    </w:p>
    <w:p>
      <w:pPr>
        <w:ind w:left="460" w:hanging="396"/>
        <w:spacing w:after="0" w:line="208" w:lineRule="auto"/>
        <w:tabs>
          <w:tab w:leader="none" w:pos="46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options held by Mr. Adler to purchase shares of our common stock reflected in this table as expiring on or before March 1, 2032 were awarded to him for services to the Company as a legal advisor prior to his employment by the Company effective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00" w:right="359" w:bottom="1440" w:gutter="0" w:footer="0" w:header="0"/>
        </w:sectPr>
      </w:pPr>
    </w:p>
    <w:bookmarkStart w:id="31" w:name="page32"/>
    <w:bookmarkEnd w:id="31"/>
    <w:p>
      <w:pPr>
        <w:jc w:val="both"/>
        <w:ind w:left="800" w:right="20" w:hanging="396"/>
        <w:spacing w:after="0" w:line="209" w:lineRule="auto"/>
        <w:tabs>
          <w:tab w:leader="none" w:pos="80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an option to purchase 6,667 shares of our common stock at $38.40 per share granted to Mr. Adler upon commencement of his employment by the Company on May 2, 2022 when the market price of our common stock was $38.40 per share. The option became exercisable for 25% of the shares granted on the first anniversary of the grant date, with the remaining 75% of the shares becoming exercisable ratably monthly through May 2, 2026, when all shares granted will be fully exercisable.</w:t>
      </w:r>
    </w:p>
    <w:p>
      <w:pPr>
        <w:spacing w:after="0" w:line="106" w:lineRule="exact"/>
        <w:rPr>
          <w:rFonts w:ascii="Times New Roman" w:cs="Times New Roman" w:eastAsia="Times New Roman" w:hAnsi="Times New Roman"/>
          <w:sz w:val="23"/>
          <w:szCs w:val="23"/>
          <w:color w:val="auto"/>
          <w:vertAlign w:val="superscript"/>
        </w:rPr>
      </w:pPr>
    </w:p>
    <w:p>
      <w:pPr>
        <w:jc w:val="both"/>
        <w:ind w:left="800" w:right="20" w:hanging="396"/>
        <w:spacing w:after="0" w:line="209" w:lineRule="auto"/>
        <w:tabs>
          <w:tab w:leader="none" w:pos="80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an option to purchase shares of our common stock at $64.50 per share granted on November 15, 2021 when the market price of our common stock was $64.50 per share. The option will become exercisable for 25% of the shares granted on the first anniversary of the grant date, with the remaining 75% of the shares becoming exercisable ratably monthly through November 15, 2025, when all shares granted will be fully exercisable.</w:t>
      </w:r>
    </w:p>
    <w:p>
      <w:pPr>
        <w:spacing w:after="0" w:line="119" w:lineRule="exact"/>
        <w:rPr>
          <w:rFonts w:ascii="Times New Roman" w:cs="Times New Roman" w:eastAsia="Times New Roman" w:hAnsi="Times New Roman"/>
          <w:sz w:val="23"/>
          <w:szCs w:val="23"/>
          <w:color w:val="auto"/>
          <w:vertAlign w:val="superscript"/>
        </w:rPr>
      </w:pPr>
    </w:p>
    <w:p>
      <w:pPr>
        <w:jc w:val="both"/>
        <w:ind w:left="800" w:right="20" w:hanging="396"/>
        <w:spacing w:after="0" w:line="209" w:lineRule="auto"/>
        <w:tabs>
          <w:tab w:leader="none" w:pos="80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an option to purchase shares of our common stock at $4.437 per share granted on November 16, 2022 when the market price of our common stock was $4.437 per share. The option will become exercisable for 25% of the shares granted on the first anniversary of the grant date, with the remaining 75% of the shares becoming exercisable ratably monthly through November 16, 2026, when all shares granted will be fully exercisable.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an employment agreement with Mr. Singh, the material terms of which are described below. Aside from Mr. Singh, we have not entered into an employment agreement with any of our NEOs. Instead, offer letters provided to Ms. Anderson and Messrs. Adler and Prince prior to the commencement of their employment by the Company contain certain compensation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Mr. Singh</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Singh on April 28, 2010. Under this employment agreement, as amended on June 22, 2016, Mr. Singh’s base salary was increased from $347,500 per year to $395,000 per year, effective June 16, 2016. The Compensation Committee subsequently adjusted Mr. Singh’s base annual salary to $477,000 effective in July 2018, to $498,000 effective in April 2019, to $550,000 effective in January 2021, to $600,000 effective in January 2022 and to $650,000 effective in October 2023. Under his employment agreement, Mr. Singh is eligible to receive an annual incentive cash bonus of up to 50% of his base salary. Mr. Singh was awarded a cash bonus of $325,000 during Fiscal 2024 for the attainment of multiple performance-based objectives. At the recommendation of Mr. Singh for strategic cash-preservation purposes, the Compensation Committee did not award Mr. Singh or any of our other NEOs a cash bonus in Fiscal 2023. The award of Mr. Singh’s incentive cash bonus, if any, is at the discretion of the Compensation Committee. In the event we terminate Mr. Singh’s employment without cause, he is entitled to receive severance in an amount equal to:</w:t>
      </w:r>
    </w:p>
    <w:p>
      <w:pPr>
        <w:spacing w:after="0" w:line="232" w:lineRule="exact"/>
        <w:rPr>
          <w:sz w:val="20"/>
          <w:szCs w:val="20"/>
          <w:color w:val="auto"/>
        </w:rPr>
      </w:pPr>
    </w:p>
    <w:p>
      <w:pPr>
        <w:ind w:left="1180" w:hanging="398"/>
        <w:spacing w:after="0"/>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of his then-current base salary payable in the form of salary continuation;</w:t>
      </w:r>
    </w:p>
    <w:p>
      <w:pPr>
        <w:spacing w:after="0" w:line="171" w:lineRule="exact"/>
        <w:rPr>
          <w:rFonts w:ascii="Times New Roman" w:cs="Times New Roman" w:eastAsia="Times New Roman" w:hAnsi="Times New Roman"/>
          <w:sz w:val="18"/>
          <w:szCs w:val="18"/>
          <w:color w:val="auto"/>
        </w:rPr>
      </w:pPr>
    </w:p>
    <w:p>
      <w:pPr>
        <w:ind w:left="1180" w:right="20" w:hanging="398"/>
        <w:spacing w:after="0" w:line="250" w:lineRule="auto"/>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portion of the incentive cash bonus that the Board of Directors determines in good faith that Mr. Singh earned prior to such termination; and</w:t>
      </w:r>
    </w:p>
    <w:p>
      <w:pPr>
        <w:spacing w:after="0" w:line="120" w:lineRule="exact"/>
        <w:rPr>
          <w:rFonts w:ascii="Times New Roman" w:cs="Times New Roman" w:eastAsia="Times New Roman" w:hAnsi="Times New Roman"/>
          <w:sz w:val="18"/>
          <w:szCs w:val="18"/>
          <w:color w:val="auto"/>
        </w:rPr>
      </w:pPr>
    </w:p>
    <w:p>
      <w:pPr>
        <w:ind w:left="1180" w:right="20" w:hanging="398"/>
        <w:spacing w:after="0" w:line="284" w:lineRule="auto"/>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required to reimburse him for Consolidated Omnibus Budget Reconciliation Act (</w:t>
      </w:r>
      <w:r>
        <w:rPr>
          <w:rFonts w:ascii="Times New Roman" w:cs="Times New Roman" w:eastAsia="Times New Roman" w:hAnsi="Times New Roman"/>
          <w:sz w:val="18"/>
          <w:szCs w:val="18"/>
          <w:i w:val="1"/>
          <w:iCs w:val="1"/>
          <w:color w:val="auto"/>
        </w:rPr>
        <w:t>COBRA</w:t>
      </w:r>
      <w:r>
        <w:rPr>
          <w:rFonts w:ascii="Times New Roman" w:cs="Times New Roman" w:eastAsia="Times New Roman" w:hAnsi="Times New Roman"/>
          <w:sz w:val="18"/>
          <w:szCs w:val="18"/>
          <w:color w:val="auto"/>
        </w:rPr>
        <w:t>) payments for continuation of his medical health benefits for a twelve-month period from such termination.</w:t>
      </w:r>
    </w:p>
    <w:p>
      <w:pPr>
        <w:spacing w:after="0" w:line="2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Provisions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his employment agreement, Mr. Singh is entitled to severance if he terminates his employment for good reason after a change of control. Under his agreement, “good reason” means any of the following events, if we affect the event without Mr. Singh’s consent (subject to our right to cure):</w:t>
      </w:r>
    </w:p>
    <w:p>
      <w:pPr>
        <w:spacing w:after="0" w:line="216" w:lineRule="exact"/>
        <w:rPr>
          <w:sz w:val="20"/>
          <w:szCs w:val="20"/>
          <w:color w:val="auto"/>
        </w:rPr>
      </w:pPr>
    </w:p>
    <w:p>
      <w:pPr>
        <w:ind w:left="1180" w:hanging="398"/>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his responsibility; or</w:t>
      </w:r>
    </w:p>
    <w:p>
      <w:pPr>
        <w:spacing w:after="0" w:line="171" w:lineRule="exact"/>
        <w:rPr>
          <w:rFonts w:ascii="Times New Roman" w:cs="Times New Roman" w:eastAsia="Times New Roman" w:hAnsi="Times New Roman"/>
          <w:sz w:val="18"/>
          <w:szCs w:val="18"/>
          <w:color w:val="auto"/>
        </w:rPr>
      </w:pPr>
    </w:p>
    <w:p>
      <w:pPr>
        <w:ind w:left="1180" w:right="20" w:hanging="398"/>
        <w:spacing w:after="0" w:line="250" w:lineRule="auto"/>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his base salary except for reductions that are comparable to reductions generally applicable to similarly situated executives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we terminate Mr. Singh without cause within twelve months of a change of control, his remaining unvested option shares become fully vested and exercisable. Upon a change of control in which the successor corporation does not assume Mr. Singh’s stock options, the stock options granted to him become fully vested and exercisable.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change of control occurs under Mr. Singh’s employment agreement when: (i) any “person” as such term is used in Sections 13(d) and 14(d) of the Exchange Act (other than the Company, a subsidiary, an affiliate, or a Company employee benefit plan, including any trustee of such plan acting as trustee) becoming the “beneficial owner” (as defined in Rule 13d-3 under the Exchange Act), directly or indirectly, of securities of the Company representing 50% or more 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following termination of employment, amounts are payable to Mr. Singh pursuant to his employment agreement, his eligibility for severance is conditioned on his having first signed a release agreement.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estimated amount that could be paid by the Company to Mr. Singh assuming that a change of control occurred on the last business day of our current fiscal year is $650,000, excluding any pro-rated portion of an annual or periodic bonus and the imputed value of accelerated vesting of stock options,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information regarding compensation paid to our Chief Executive Officer, who serves as our Principal Executive Officer (</w:t>
      </w:r>
      <w:r>
        <w:rPr>
          <w:rFonts w:ascii="Times New Roman" w:cs="Times New Roman" w:eastAsia="Times New Roman" w:hAnsi="Times New Roman"/>
          <w:sz w:val="18"/>
          <w:szCs w:val="18"/>
          <w:i w:val="1"/>
          <w:iCs w:val="1"/>
          <w:color w:val="auto"/>
        </w:rPr>
        <w:t>PEO</w:t>
      </w:r>
      <w:r>
        <w:rPr>
          <w:rFonts w:ascii="Times New Roman" w:cs="Times New Roman" w:eastAsia="Times New Roman" w:hAnsi="Times New Roman"/>
          <w:sz w:val="18"/>
          <w:szCs w:val="18"/>
          <w:color w:val="auto"/>
        </w:rPr>
        <w:t>), and other NEOs (</w:t>
      </w:r>
      <w:r>
        <w:rPr>
          <w:rFonts w:ascii="Times New Roman" w:cs="Times New Roman" w:eastAsia="Times New Roman" w:hAnsi="Times New Roman"/>
          <w:sz w:val="18"/>
          <w:szCs w:val="18"/>
          <w:i w:val="1"/>
          <w:iCs w:val="1"/>
          <w:color w:val="auto"/>
        </w:rPr>
        <w:t>Other NEOs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Non-PEOs</w:t>
      </w:r>
      <w:r>
        <w:rPr>
          <w:rFonts w:ascii="Times New Roman" w:cs="Times New Roman" w:eastAsia="Times New Roman" w:hAnsi="Times New Roman"/>
          <w:sz w:val="18"/>
          <w:szCs w:val="18"/>
          <w:color w:val="auto"/>
        </w:rPr>
        <w:t xml:space="preserve">), and certain measures of financial performance for Fiscal 2022, as well as Fiscal 2023 and Fiscal 2024. The amounts shown below are calculated in accordance with Item 402(v) of Regulation S-K. The Compensation Committee did not consider the </w:t>
      </w:r>
      <w:r>
        <w:rPr>
          <w:rFonts w:ascii="Times New Roman" w:cs="Times New Roman" w:eastAsia="Times New Roman" w:hAnsi="Times New Roman"/>
          <w:sz w:val="18"/>
          <w:szCs w:val="18"/>
          <w:i w:val="1"/>
          <w:iCs w:val="1"/>
          <w:color w:val="auto"/>
        </w:rPr>
        <w:t>pay versus performance</w:t>
      </w:r>
      <w:r>
        <w:rPr>
          <w:rFonts w:ascii="Times New Roman" w:cs="Times New Roman" w:eastAsia="Times New Roman" w:hAnsi="Times New Roman"/>
          <w:sz w:val="18"/>
          <w:szCs w:val="18"/>
          <w:color w:val="auto"/>
        </w:rPr>
        <w:t xml:space="preserve"> disclosure below in making its pay decisions for any of the years shown.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gridSpan w:val="6"/>
          </w:tcPr>
          <w:p>
            <w:pPr>
              <w:jc w:val="center"/>
              <w:ind w:left="995"/>
              <w:spacing w:after="0"/>
              <w:rPr>
                <w:sz w:val="20"/>
                <w:szCs w:val="20"/>
                <w:color w:val="auto"/>
              </w:rPr>
            </w:pPr>
            <w:r>
              <w:rPr>
                <w:rFonts w:ascii="Times New Roman" w:cs="Times New Roman" w:eastAsia="Times New Roman" w:hAnsi="Times New Roman"/>
                <w:sz w:val="18"/>
                <w:szCs w:val="18"/>
                <w:b w:val="1"/>
                <w:bCs w:val="1"/>
                <w:color w:val="auto"/>
                <w:w w:val="98"/>
              </w:rPr>
              <w:t>Pay Versus Performance Table</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8"/>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Average</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Summary</w:t>
            </w:r>
          </w:p>
        </w:tc>
        <w:tc>
          <w:tcPr>
            <w:tcW w:w="1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5"/>
              </w:rPr>
              <w:t>Value of</w:t>
            </w: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Net Income</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Compensation</w:t>
            </w:r>
          </w:p>
        </w:tc>
        <w:tc>
          <w:tcPr>
            <w:tcW w:w="1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Compensation</w:t>
            </w:r>
          </w:p>
        </w:tc>
        <w:tc>
          <w:tcPr>
            <w:tcW w:w="2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Initial $100</w:t>
            </w:r>
          </w:p>
        </w:tc>
        <w:tc>
          <w:tcPr>
            <w:tcW w:w="1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(Loss)</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Summary</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Total for</w:t>
            </w:r>
          </w:p>
        </w:tc>
        <w:tc>
          <w:tcPr>
            <w:tcW w:w="18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Actually Paid</w:t>
            </w:r>
          </w:p>
        </w:tc>
        <w:tc>
          <w:tcPr>
            <w:tcW w:w="2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Investment</w:t>
            </w: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Attributable</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Compensation</w:t>
            </w:r>
          </w:p>
        </w:tc>
        <w:tc>
          <w:tcPr>
            <w:tcW w:w="14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Compensation</w:t>
            </w:r>
          </w:p>
        </w:tc>
        <w:tc>
          <w:tcPr>
            <w:tcW w:w="20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Non-</w:t>
            </w:r>
          </w:p>
        </w:tc>
        <w:tc>
          <w:tcPr>
            <w:tcW w:w="18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to Non-PEO</w:t>
            </w:r>
          </w:p>
        </w:tc>
        <w:tc>
          <w:tcPr>
            <w:tcW w:w="2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based on</w:t>
            </w:r>
          </w:p>
        </w:tc>
        <w:tc>
          <w:tcPr>
            <w:tcW w:w="1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to</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Table</w:t>
            </w:r>
          </w:p>
        </w:tc>
        <w:tc>
          <w:tcPr>
            <w:tcW w:w="1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Actually</w:t>
            </w:r>
          </w:p>
        </w:tc>
        <w:tc>
          <w:tcPr>
            <w:tcW w:w="2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PEO Named</w:t>
            </w:r>
          </w:p>
        </w:tc>
        <w:tc>
          <w:tcPr>
            <w:tcW w:w="1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Named</w:t>
            </w:r>
          </w:p>
        </w:tc>
        <w:tc>
          <w:tcPr>
            <w:tcW w:w="2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Total</w:t>
            </w: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Common</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Total for</w:t>
            </w:r>
          </w:p>
        </w:tc>
        <w:tc>
          <w:tcPr>
            <w:tcW w:w="1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Paid to</w:t>
            </w:r>
          </w:p>
        </w:tc>
        <w:tc>
          <w:tcPr>
            <w:tcW w:w="20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Executive</w:t>
            </w:r>
          </w:p>
        </w:tc>
        <w:tc>
          <w:tcPr>
            <w:tcW w:w="1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Executive</w:t>
            </w:r>
          </w:p>
        </w:tc>
        <w:tc>
          <w:tcPr>
            <w:tcW w:w="2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Stockholder</w:t>
            </w:r>
          </w:p>
        </w:tc>
        <w:tc>
          <w:tcPr>
            <w:tcW w:w="1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61"/>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200" w:type="dxa"/>
            <w:vAlign w:val="bottom"/>
          </w:tcPr>
          <w:p>
            <w:pPr>
              <w:spacing w:after="0"/>
              <w:rPr>
                <w:sz w:val="22"/>
                <w:szCs w:val="22"/>
                <w:color w:val="auto"/>
              </w:rPr>
            </w:pPr>
          </w:p>
        </w:tc>
        <w:tc>
          <w:tcPr>
            <w:tcW w:w="1640" w:type="dxa"/>
            <w:vAlign w:val="bottom"/>
            <w:gridSpan w:val="2"/>
          </w:tcPr>
          <w:p>
            <w:pPr>
              <w:jc w:val="center"/>
              <w:ind w:right="420"/>
              <w:spacing w:after="0" w:line="261" w:lineRule="exact"/>
              <w:rPr>
                <w:sz w:val="20"/>
                <w:szCs w:val="20"/>
                <w:color w:val="auto"/>
              </w:rPr>
            </w:pPr>
            <w:r>
              <w:rPr>
                <w:rFonts w:ascii="Times New Roman" w:cs="Times New Roman" w:eastAsia="Times New Roman" w:hAnsi="Times New Roman"/>
                <w:sz w:val="30"/>
                <w:szCs w:val="30"/>
                <w:color w:val="auto"/>
                <w:w w:val="95"/>
                <w:vertAlign w:val="subscript"/>
              </w:rPr>
              <w:t>PEO</w:t>
            </w:r>
            <w:r>
              <w:rPr>
                <w:rFonts w:ascii="Times New Roman" w:cs="Times New Roman" w:eastAsia="Times New Roman" w:hAnsi="Times New Roman"/>
                <w:sz w:val="9"/>
                <w:szCs w:val="9"/>
                <w:color w:val="auto"/>
                <w:w w:val="95"/>
              </w:rPr>
              <w:t>(1)</w:t>
            </w:r>
          </w:p>
        </w:tc>
        <w:tc>
          <w:tcPr>
            <w:tcW w:w="140" w:type="dxa"/>
            <w:vAlign w:val="bottom"/>
          </w:tcPr>
          <w:p>
            <w:pPr>
              <w:spacing w:after="0"/>
              <w:rPr>
                <w:sz w:val="22"/>
                <w:szCs w:val="22"/>
                <w:color w:val="auto"/>
              </w:rPr>
            </w:pPr>
          </w:p>
        </w:tc>
        <w:tc>
          <w:tcPr>
            <w:tcW w:w="1460" w:type="dxa"/>
            <w:vAlign w:val="bottom"/>
            <w:gridSpan w:val="2"/>
          </w:tcPr>
          <w:p>
            <w:pPr>
              <w:jc w:val="center"/>
              <w:ind w:right="360"/>
              <w:spacing w:after="0" w:line="261" w:lineRule="exact"/>
              <w:rPr>
                <w:sz w:val="20"/>
                <w:szCs w:val="20"/>
                <w:color w:val="auto"/>
              </w:rPr>
            </w:pPr>
            <w:r>
              <w:rPr>
                <w:rFonts w:ascii="Times New Roman" w:cs="Times New Roman" w:eastAsia="Times New Roman" w:hAnsi="Times New Roman"/>
                <w:sz w:val="30"/>
                <w:szCs w:val="30"/>
                <w:color w:val="auto"/>
                <w:w w:val="95"/>
                <w:vertAlign w:val="subscript"/>
              </w:rPr>
              <w:t>PEO</w:t>
            </w:r>
            <w:r>
              <w:rPr>
                <w:rFonts w:ascii="Times New Roman" w:cs="Times New Roman" w:eastAsia="Times New Roman" w:hAnsi="Times New Roman"/>
                <w:sz w:val="9"/>
                <w:szCs w:val="9"/>
                <w:color w:val="auto"/>
                <w:w w:val="95"/>
              </w:rPr>
              <w:t>(2)</w:t>
            </w:r>
          </w:p>
        </w:tc>
        <w:tc>
          <w:tcPr>
            <w:tcW w:w="200" w:type="dxa"/>
            <w:vAlign w:val="bottom"/>
          </w:tcPr>
          <w:p>
            <w:pPr>
              <w:spacing w:after="0"/>
              <w:rPr>
                <w:sz w:val="22"/>
                <w:szCs w:val="22"/>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Officers</w:t>
            </w:r>
            <w:r>
              <w:rPr>
                <w:rFonts w:ascii="Times New Roman" w:cs="Times New Roman" w:eastAsia="Times New Roman" w:hAnsi="Times New Roman"/>
                <w:sz w:val="9"/>
                <w:szCs w:val="9"/>
                <w:color w:val="auto"/>
              </w:rPr>
              <w:t>(3)</w:t>
            </w:r>
          </w:p>
        </w:tc>
        <w:tc>
          <w:tcPr>
            <w:tcW w:w="180" w:type="dxa"/>
            <w:vAlign w:val="bottom"/>
          </w:tcPr>
          <w:p>
            <w:pPr>
              <w:spacing w:after="0"/>
              <w:rPr>
                <w:sz w:val="22"/>
                <w:szCs w:val="22"/>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Officers</w:t>
            </w:r>
            <w:r>
              <w:rPr>
                <w:rFonts w:ascii="Times New Roman" w:cs="Times New Roman" w:eastAsia="Times New Roman" w:hAnsi="Times New Roman"/>
                <w:sz w:val="9"/>
                <w:szCs w:val="9"/>
                <w:color w:val="auto"/>
              </w:rPr>
              <w:t>(4)</w:t>
            </w:r>
          </w:p>
        </w:tc>
        <w:tc>
          <w:tcPr>
            <w:tcW w:w="200" w:type="dxa"/>
            <w:vAlign w:val="bottom"/>
          </w:tcPr>
          <w:p>
            <w:pPr>
              <w:spacing w:after="0"/>
              <w:rPr>
                <w:sz w:val="22"/>
                <w:szCs w:val="22"/>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Return</w:t>
            </w:r>
            <w:r>
              <w:rPr>
                <w:rFonts w:ascii="Times New Roman" w:cs="Times New Roman" w:eastAsia="Times New Roman" w:hAnsi="Times New Roman"/>
                <w:sz w:val="9"/>
                <w:szCs w:val="9"/>
                <w:color w:val="auto"/>
              </w:rPr>
              <w:t>(5)</w:t>
            </w:r>
          </w:p>
        </w:tc>
        <w:tc>
          <w:tcPr>
            <w:tcW w:w="140" w:type="dxa"/>
            <w:vAlign w:val="bottom"/>
          </w:tcPr>
          <w:p>
            <w:pPr>
              <w:spacing w:after="0"/>
              <w:rPr>
                <w:sz w:val="22"/>
                <w:szCs w:val="22"/>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w:t>
            </w:r>
          </w:p>
        </w:tc>
      </w:tr>
      <w:tr>
        <w:trPr>
          <w:trHeight w:val="223"/>
        </w:trPr>
        <w:tc>
          <w:tcPr>
            <w:tcW w:w="1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947,917</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1,175,054</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559,209</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575,433</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(29,362,000)</w:t>
            </w:r>
          </w:p>
        </w:tc>
      </w:tr>
      <w:tr>
        <w:trPr>
          <w:trHeight w:val="229"/>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225,350</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493,409</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304,160</w:t>
            </w: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(59,247,700)</w:t>
            </w:r>
          </w:p>
        </w:tc>
      </w:tr>
      <w:tr>
        <w:trPr>
          <w:trHeight w:val="229"/>
        </w:trPr>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(371,529)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356,057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(67,169)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(48,707,500)</w:t>
            </w:r>
          </w:p>
        </w:tc>
      </w:tr>
    </w:tbl>
    <w:p>
      <w:pPr>
        <w:spacing w:after="0" w:line="289" w:lineRule="exact"/>
        <w:rPr>
          <w:sz w:val="20"/>
          <w:szCs w:val="20"/>
          <w:color w:val="auto"/>
        </w:rPr>
      </w:pPr>
    </w:p>
    <w:p>
      <w:pPr>
        <w:ind w:left="400" w:hanging="374"/>
        <w:spacing w:after="0"/>
        <w:tabs>
          <w:tab w:leader="none" w:pos="40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Shawn K. Singh, J.D. served as our PEO for each of Fiscal 2024, Fiscal 2023 and Fiscal 2022.</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(2)</w:t>
      </w:r>
    </w:p>
    <w:p>
      <w:pPr>
        <w:ind w:left="400" w:right="40"/>
        <w:spacing w:after="0" w:line="258" w:lineRule="auto"/>
        <w:rPr>
          <w:sz w:val="20"/>
          <w:szCs w:val="20"/>
          <w:color w:val="auto"/>
        </w:rPr>
      </w:pPr>
      <w:r>
        <w:rPr>
          <w:rFonts w:ascii="Times New Roman" w:cs="Times New Roman" w:eastAsia="Times New Roman" w:hAnsi="Times New Roman"/>
          <w:sz w:val="18"/>
          <w:szCs w:val="18"/>
          <w:color w:val="auto"/>
        </w:rPr>
        <w:t>The following amounts were added to and deducted from the Summary Compensation Table (</w:t>
      </w:r>
      <w:r>
        <w:rPr>
          <w:rFonts w:ascii="Times New Roman" w:cs="Times New Roman" w:eastAsia="Times New Roman" w:hAnsi="Times New Roman"/>
          <w:sz w:val="18"/>
          <w:szCs w:val="18"/>
          <w:i w:val="1"/>
          <w:iCs w:val="1"/>
          <w:color w:val="auto"/>
        </w:rPr>
        <w:t>SCT</w:t>
      </w:r>
      <w:r>
        <w:rPr>
          <w:rFonts w:ascii="Times New Roman" w:cs="Times New Roman" w:eastAsia="Times New Roman" w:hAnsi="Times New Roman"/>
          <w:sz w:val="18"/>
          <w:szCs w:val="18"/>
          <w:color w:val="auto"/>
        </w:rPr>
        <w:t>) amount to determine the compensation actually paid to the PEO as determined in accordance with SEC regulations:</w:t>
      </w:r>
    </w:p>
    <w:p>
      <w:pPr>
        <w:spacing w:after="0" w:line="200" w:lineRule="exact"/>
        <w:rPr>
          <w:sz w:val="20"/>
          <w:szCs w:val="20"/>
          <w:color w:val="auto"/>
        </w:rPr>
      </w:pPr>
    </w:p>
    <w:p>
      <w:pPr>
        <w:spacing w:after="0" w:line="370" w:lineRule="exact"/>
        <w:rPr>
          <w:sz w:val="20"/>
          <w:szCs w:val="20"/>
          <w:color w:val="auto"/>
        </w:rPr>
      </w:pPr>
    </w:p>
    <w:tbl>
      <w:tblPr>
        <w:tblLayout w:type="fixed"/>
        <w:tblInd w:w="800" w:type="dxa"/>
        <w:tblCellMar>
          <w:top w:w="0" w:type="dxa"/>
          <w:left w:w="0" w:type="dxa"/>
          <w:bottom w:w="0" w:type="dxa"/>
          <w:right w:w="0" w:type="dxa"/>
        </w:tblCellMar>
      </w:tblPr>
      <w:tr>
        <w:trPr>
          <w:trHeight w:val="265"/>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Adjustments to Determine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Actually Paid</w:t>
            </w: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00" w:type="dxa"/>
            <w:vAlign w:val="bottom"/>
          </w:tcPr>
          <w:p>
            <w:pPr>
              <w:spacing w:after="0"/>
              <w:rPr>
                <w:sz w:val="23"/>
                <w:szCs w:val="2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200" w:type="dxa"/>
            <w:vAlign w:val="bottom"/>
          </w:tcPr>
          <w:p>
            <w:pPr>
              <w:spacing w:after="0"/>
              <w:rPr>
                <w:sz w:val="23"/>
                <w:szCs w:val="23"/>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Fiscal 2022</w:t>
            </w:r>
          </w:p>
        </w:tc>
      </w:tr>
      <w:tr>
        <w:trPr>
          <w:trHeight w:val="155"/>
        </w:trPr>
        <w:tc>
          <w:tcPr>
            <w:tcW w:w="49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Deduction for amount reported under the “Stock Awards” column</w:t>
            </w:r>
          </w:p>
        </w:tc>
        <w:tc>
          <w:tcPr>
            <w:tcW w:w="1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the SCT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Deduction for amount reported under the “Option Awards”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column in the SCT</w:t>
            </w:r>
          </w:p>
        </w:tc>
        <w:tc>
          <w:tcPr>
            <w:tcW w:w="18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(269,960)</w:t>
            </w:r>
          </w:p>
        </w:tc>
      </w:tr>
      <w:tr>
        <w:trPr>
          <w:trHeight w:val="175"/>
        </w:trPr>
        <w:tc>
          <w:tcPr>
            <w:tcW w:w="4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for the fair value of awards granted during year that</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 unvested as of year-end</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181,190</w:t>
            </w:r>
          </w:p>
        </w:tc>
      </w:tr>
      <w:tr>
        <w:trPr>
          <w:trHeight w:val="175"/>
        </w:trPr>
        <w:tc>
          <w:tcPr>
            <w:tcW w:w="4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for the fair value of awards granted during year that</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 vested as of year-end</w:t>
            </w:r>
          </w:p>
        </w:tc>
        <w:tc>
          <w:tcPr>
            <w:tcW w:w="18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59,481</w:t>
            </w:r>
          </w:p>
        </w:tc>
      </w:tr>
      <w:tr>
        <w:trPr>
          <w:trHeight w:val="175"/>
        </w:trPr>
        <w:tc>
          <w:tcPr>
            <w:tcW w:w="4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6"/>
        </w:trPr>
        <w:tc>
          <w:tcPr>
            <w:tcW w:w="4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current year-end of awards granted prior to year-end that were</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as of year-end</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222,115</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(87,164)</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(666,398)</w:t>
            </w:r>
          </w:p>
        </w:tc>
      </w:tr>
      <w:tr>
        <w:trPr>
          <w:trHeight w:val="175"/>
        </w:trPr>
        <w:tc>
          <w:tcPr>
            <w:tcW w:w="4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date of awards granted prior to year-end that vested</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during year</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(287,486)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(858,242)</w:t>
            </w:r>
          </w:p>
        </w:tc>
      </w:tr>
      <w:tr>
        <w:trPr>
          <w:trHeight w:val="175"/>
        </w:trPr>
        <w:tc>
          <w:tcPr>
            <w:tcW w:w="4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Deduction of fair value of awards granted prior to year-end that</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were forfeited during year</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based upon incremental fair value of awards modified</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during year</w:t>
            </w:r>
          </w:p>
        </w:tc>
        <w:tc>
          <w:tcPr>
            <w:tcW w:w="18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based on dividends or other earnings paid during year</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to vesting date of award.</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4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227,137</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(374,650)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(1,553,929)</w:t>
            </w: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left="374"/>
        <w:spacing w:after="0" w:line="256" w:lineRule="auto"/>
        <w:rPr>
          <w:sz w:val="20"/>
          <w:szCs w:val="20"/>
          <w:color w:val="auto"/>
        </w:rPr>
      </w:pPr>
      <w:r>
        <w:rPr>
          <w:rFonts w:ascii="Times New Roman" w:cs="Times New Roman" w:eastAsia="Times New Roman" w:hAnsi="Times New Roman"/>
          <w:sz w:val="18"/>
          <w:szCs w:val="18"/>
          <w:color w:val="auto"/>
        </w:rPr>
        <w:t>Fair values used in the determination of compensation actually paid (</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are determined using the same methodology as used for determining grant date fair values in our financial statements. Specifically, the fair value of option awards was calculated in accordance with the Financial Accounting Standards Board’s Accounting Standards Codification Topic 718, Compensation - Stock Compensation, and does not reflect any amounts actually paid to or actually realized by Mr. Singh. The fair value of the option awards used in the determination of CAP was estimated using the Black-Scholes option pricing model and valuation assumptions reflecting the closing price of our common stock and related assumptions on the respective valuation dates. The grant date valuation assumptions used in the valuation of option awards may be found in the applicable footnotes to the SCT on page 24 above.</w:t>
      </w:r>
    </w:p>
    <w:p>
      <w:pPr>
        <w:spacing w:after="0" w:line="117" w:lineRule="exact"/>
        <w:rPr>
          <w:sz w:val="20"/>
          <w:szCs w:val="20"/>
          <w:color w:val="auto"/>
        </w:rPr>
      </w:pPr>
    </w:p>
    <w:p>
      <w:pPr>
        <w:ind w:left="374" w:hanging="374"/>
        <w:spacing w:after="0" w:line="215" w:lineRule="auto"/>
        <w:tabs>
          <w:tab w:leader="none" w:pos="374"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Fiscal 2024, our other NEOs consisted of Cynthia L. Anderson, Reid G. Adler and Joshua S. Prince. For Fiscal 2023 and Fiscal 2022, Jerrold D. Dotson, CPA, our former Chief Financial Officer, and Mr. Adler, J.D. were our other NEOs.</w:t>
      </w:r>
    </w:p>
    <w:p>
      <w:pPr>
        <w:spacing w:after="0" w:line="117" w:lineRule="exact"/>
        <w:rPr>
          <w:rFonts w:ascii="Times New Roman" w:cs="Times New Roman" w:eastAsia="Times New Roman" w:hAnsi="Times New Roman"/>
          <w:sz w:val="23"/>
          <w:szCs w:val="23"/>
          <w:color w:val="auto"/>
          <w:vertAlign w:val="superscript"/>
        </w:rPr>
      </w:pPr>
    </w:p>
    <w:p>
      <w:pPr>
        <w:ind w:left="374" w:hanging="374"/>
        <w:spacing w:after="0" w:line="208" w:lineRule="auto"/>
        <w:tabs>
          <w:tab w:leader="none" w:pos="374"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our other NEOs, the following amounts were added and deducted to the SCT amount to determine the average compensation “actually paid” as determined in accordance with SEC regulations.</w:t>
      </w:r>
    </w:p>
    <w:p>
      <w:pPr>
        <w:spacing w:after="0" w:line="357" w:lineRule="exact"/>
        <w:rPr>
          <w:sz w:val="20"/>
          <w:szCs w:val="20"/>
          <w:color w:val="auto"/>
        </w:rPr>
      </w:pPr>
    </w:p>
    <w:tbl>
      <w:tblPr>
        <w:tblLayout w:type="fixed"/>
        <w:tblInd w:w="954" w:type="dxa"/>
        <w:tblCellMar>
          <w:top w:w="0" w:type="dxa"/>
          <w:left w:w="0" w:type="dxa"/>
          <w:bottom w:w="0" w:type="dxa"/>
          <w:right w:w="0" w:type="dxa"/>
        </w:tblCellMar>
      </w:tblP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Adjustments to Determine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Actually</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Paid</w:t>
            </w: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6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180" w:type="dxa"/>
            <w:vAlign w:val="bottom"/>
          </w:tcPr>
          <w:p>
            <w:pPr>
              <w:spacing w:after="0"/>
              <w:rPr>
                <w:sz w:val="23"/>
                <w:szCs w:val="23"/>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Fiscal 2022</w:t>
            </w:r>
          </w:p>
        </w:tc>
      </w:tr>
      <w:tr>
        <w:trPr>
          <w:trHeight w:val="223"/>
        </w:trPr>
        <w:tc>
          <w:tcPr>
            <w:tcW w:w="4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175"/>
        </w:trPr>
        <w:tc>
          <w:tcPr>
            <w:tcW w:w="4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Deduction for amount reported under the “Stock Awards”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column in the SCT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Deduction for amount reported under the “Option Awards”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column in the SCT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(67,307)</w:t>
            </w:r>
          </w:p>
        </w:tc>
      </w:tr>
      <w:tr>
        <w:trPr>
          <w:trHeight w:val="176"/>
        </w:trPr>
        <w:tc>
          <w:tcPr>
            <w:tcW w:w="4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for the fair value of awards granted during year</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that remain unvested as of year-end</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14,331</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68,438</w:t>
            </w:r>
          </w:p>
        </w:tc>
      </w:tr>
      <w:tr>
        <w:trPr>
          <w:trHeight w:val="176"/>
        </w:trPr>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for the fair value of awards granted during year</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that remain vested as of year-end</w:t>
            </w:r>
          </w:p>
        </w:tc>
        <w:tc>
          <w:tcPr>
            <w:tcW w:w="18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27,795</w:t>
            </w:r>
          </w:p>
        </w:tc>
      </w:tr>
      <w:tr>
        <w:trPr>
          <w:trHeight w:val="176"/>
        </w:trPr>
        <w:tc>
          <w:tcPr>
            <w:tcW w:w="4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Increase/deduction for change in fair value from prior</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5"/>
        </w:trPr>
        <w:tc>
          <w:tcPr>
            <w:tcW w:w="4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year-end to current year-end of awards granted prior to</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year-end that were outstanding and unvested as of year-end</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(19,664)</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(188,332)</w:t>
            </w:r>
          </w:p>
        </w:tc>
      </w:tr>
      <w:tr>
        <w:trPr>
          <w:trHeight w:val="175"/>
        </w:trPr>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Increase/deduction for change in fair value from prior</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year-end to vesting date of awards granted prior to year-</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that vested during year</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(263,846)</w:t>
            </w:r>
          </w:p>
        </w:tc>
      </w:tr>
      <w:tr>
        <w:trPr>
          <w:trHeight w:val="175"/>
        </w:trPr>
        <w:tc>
          <w:tcPr>
            <w:tcW w:w="4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Deduction of fair value of awards granted prior to year-end</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that were forfeited during year</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based upon incremental fair value of awards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modified during year</w:t>
            </w:r>
          </w:p>
        </w:tc>
        <w:tc>
          <w:tcPr>
            <w:tcW w:w="18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based on dividends or other earnings paid during</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prior to vesting date of award.</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(189,249)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(423,252)</w:t>
            </w: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74"/>
        <w:spacing w:after="0"/>
        <w:rPr>
          <w:sz w:val="20"/>
          <w:szCs w:val="20"/>
          <w:color w:val="auto"/>
        </w:rPr>
      </w:pPr>
      <w:r>
        <w:rPr>
          <w:rFonts w:ascii="Times New Roman" w:cs="Times New Roman" w:eastAsia="Times New Roman" w:hAnsi="Times New Roman"/>
          <w:sz w:val="18"/>
          <w:szCs w:val="18"/>
          <w:color w:val="auto"/>
        </w:rPr>
        <w:t>Fair values used in the determination of CAP are determined using the same methodology as used for determining grant date fair values in our</w:t>
      </w:r>
    </w:p>
    <w:p>
      <w:pPr>
        <w:spacing w:after="0" w:line="2" w:lineRule="exact"/>
        <w:rPr>
          <w:sz w:val="20"/>
          <w:szCs w:val="20"/>
          <w:color w:val="auto"/>
        </w:rPr>
      </w:pPr>
    </w:p>
    <w:p>
      <w:pPr>
        <w:jc w:val="both"/>
        <w:ind w:left="374"/>
        <w:spacing w:after="0" w:line="208" w:lineRule="auto"/>
        <w:rPr>
          <w:sz w:val="20"/>
          <w:szCs w:val="20"/>
          <w:color w:val="auto"/>
        </w:rPr>
      </w:pPr>
      <w:r>
        <w:rPr>
          <w:rFonts w:ascii="Times New Roman" w:cs="Times New Roman" w:eastAsia="Times New Roman" w:hAnsi="Times New Roman"/>
          <w:sz w:val="18"/>
          <w:szCs w:val="18"/>
          <w:color w:val="auto"/>
        </w:rPr>
        <w:t>financial statements. Specifically, the fair value of option awards was calculated in accordance with the Financial Accounting Standards Board’s Accounting Standards Codification Topic 718, Compensation - Stock Compensation, and does not reflect any amounts actually paid to or actually realized by Messrs. Dotson or Adler. The fair value of the option awards used in the determination of CAP was estimated using the Black-</w:t>
      </w:r>
    </w:p>
    <w:p>
      <w:pPr>
        <w:spacing w:after="0" w:line="2" w:lineRule="exact"/>
        <w:rPr>
          <w:sz w:val="20"/>
          <w:szCs w:val="20"/>
          <w:color w:val="auto"/>
        </w:rPr>
      </w:pPr>
    </w:p>
    <w:p>
      <w:pPr>
        <w:jc w:val="both"/>
        <w:ind w:left="374"/>
        <w:spacing w:after="0" w:line="218" w:lineRule="auto"/>
        <w:rPr>
          <w:sz w:val="20"/>
          <w:szCs w:val="20"/>
          <w:color w:val="auto"/>
        </w:rPr>
      </w:pPr>
      <w:r>
        <w:rPr>
          <w:rFonts w:ascii="Times New Roman" w:cs="Times New Roman" w:eastAsia="Times New Roman" w:hAnsi="Times New Roman"/>
          <w:sz w:val="18"/>
          <w:szCs w:val="18"/>
          <w:color w:val="auto"/>
        </w:rPr>
        <w:t>Scholes option pricing model and valuation assumptions reflecting the closing price of our common stock and related assumptions on the respective valuation dates. The grant date valuation assumptions used in the valuation of option awards may be found in the applicable footnotes to the SCT on page 24 above.</w:t>
      </w:r>
    </w:p>
    <w:p>
      <w:pPr>
        <w:spacing w:after="0" w:line="118" w:lineRule="exact"/>
        <w:rPr>
          <w:sz w:val="20"/>
          <w:szCs w:val="20"/>
          <w:color w:val="auto"/>
        </w:rPr>
      </w:pPr>
    </w:p>
    <w:p>
      <w:pPr>
        <w:jc w:val="both"/>
        <w:ind w:left="374" w:hanging="374"/>
        <w:spacing w:after="0" w:line="211" w:lineRule="auto"/>
        <w:tabs>
          <w:tab w:leader="none" w:pos="374"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Assumes $100 invested in our common stock on March 31, 2021, and calculated based on the difference between the closing price of our common stock, as reported on The Nasdaq Capital Market, on March 31, 2024, March 31, 2023 and 2022, the end and beginning of the measurement period, respectively, and adjusted to give effect to the Reverse Split completed in June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4"/>
          </w:cols>
          <w:pgMar w:left="346" w:top="1172"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generally seek to incentivize a mix between current and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the information presented in the Pay Versus Performance table. The disclosure included in this section is prescribed by SEC rules and does not necessarily align with how the Company or the Compensation Committee views the relationship between the Company’s performance and the compensation of our NEOs.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graphs below describe the relationship between compensation actually paid to our NEOs and the Company’s cumulative Total Shareholder Return and net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6000750" cy="3934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0750" cy="393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155575</wp:posOffset>
            </wp:positionV>
            <wp:extent cx="6000750" cy="386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00750"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 information provided above under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 Versus Performance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RATIFICATION OF THE APPOINTMENT OF KPMG LLP TO SERVE AS THE COMPANY'S INDEPENDENT REGISTERED PUBLIC ACCOUNTING FIRM FOR THE CURRENT FISCAL YEAR</w:t>
      </w:r>
    </w:p>
    <w:p>
      <w:pPr>
        <w:spacing w:after="0" w:line="16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Audit Committee recently conducted a competitive process to select a new independent registered public accounting firm for our fiscal year ending March 31, 2025 (</w:t>
      </w:r>
      <w:r>
        <w:rPr>
          <w:rFonts w:ascii="Times New Roman" w:cs="Times New Roman" w:eastAsia="Times New Roman" w:hAnsi="Times New Roman"/>
          <w:sz w:val="18"/>
          <w:szCs w:val="18"/>
          <w:i w:val="1"/>
          <w:iCs w:val="1"/>
          <w:color w:val="auto"/>
        </w:rPr>
        <w:t>Fiscal 2025</w:t>
      </w:r>
      <w:r>
        <w:rPr>
          <w:rFonts w:ascii="Times New Roman" w:cs="Times New Roman" w:eastAsia="Times New Roman" w:hAnsi="Times New Roman"/>
          <w:sz w:val="18"/>
          <w:szCs w:val="18"/>
          <w:color w:val="auto"/>
        </w:rPr>
        <w:t>). The Audit Committee invited several independent registered public accounting firms to participate in this process, evaluated the proposals submitted by the responding firms and considered several factors, including audit quality, potential transition risks, auditor independence and the appropriateness of fees relative to efficiency, level of service and audit quality.</w:t>
      </w:r>
    </w:p>
    <w:p>
      <w:pPr>
        <w:spacing w:after="0" w:line="21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Board unanimously recommends that stockholders ratify the Audit Committee’s selection of KPMG LLP (</w:t>
      </w:r>
      <w:r>
        <w:rPr>
          <w:rFonts w:ascii="Times New Roman" w:cs="Times New Roman" w:eastAsia="Times New Roman" w:hAnsi="Times New Roman"/>
          <w:sz w:val="18"/>
          <w:szCs w:val="18"/>
          <w:i w:val="1"/>
          <w:iCs w:val="1"/>
          <w:color w:val="auto"/>
        </w:rPr>
        <w:t>KPMG</w:t>
      </w:r>
      <w:r>
        <w:rPr>
          <w:rFonts w:ascii="Times New Roman" w:cs="Times New Roman" w:eastAsia="Times New Roman" w:hAnsi="Times New Roman"/>
          <w:sz w:val="18"/>
          <w:szCs w:val="18"/>
          <w:color w:val="auto"/>
        </w:rPr>
        <w:t>) as the Company’s independent registered public accounting firm for Fiscal 2025. Representatives of KPMG, as well as representatives from WithumSmith+Brown, PC (</w:t>
      </w:r>
      <w:r>
        <w:rPr>
          <w:rFonts w:ascii="Times New Roman" w:cs="Times New Roman" w:eastAsia="Times New Roman" w:hAnsi="Times New Roman"/>
          <w:sz w:val="18"/>
          <w:szCs w:val="18"/>
          <w:i w:val="1"/>
          <w:iCs w:val="1"/>
          <w:color w:val="auto"/>
        </w:rPr>
        <w:t>Withum</w:t>
      </w:r>
      <w:r>
        <w:rPr>
          <w:rFonts w:ascii="Times New Roman" w:cs="Times New Roman" w:eastAsia="Times New Roman" w:hAnsi="Times New Roman"/>
          <w:sz w:val="18"/>
          <w:szCs w:val="18"/>
          <w:color w:val="auto"/>
        </w:rPr>
        <w:t>), the Company’s prior independent registered public accounting firm, have each been invited to be present at the Annual Meeting, and it is expected that they will attend. If present, representatives from both KPMG and Withum will have an opportunity to make a statement if they so choose, and will be available to respond to appropriate questions from stockholders.</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the stockholders do not ratify the selection of KPMG as the independent registered public accounting firm for the Company for Fiscal 2025, the Audit Committee will reconsider whether to engage KPMG, but may ultimately determine to continue the engagement of KPMG or engage another audit firm without resubmitting the matter to stockholders.</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 if the selection of KPMG is ratified by the stockholders at the Annual Meeting, the Audit Committee, in its discretion, may direct the selection of a different independent registered public accounting firm at any time during the year, although it has no current intention to do so.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engagement of KPMG, Withum served as our independent registered public accounting firm for each of Fiscal 2024 and Fiscal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below includes fees for professional services provided to us by Withum for Fiscal 2024 and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Fiscal Years Ended</w:t>
      </w:r>
    </w:p>
    <w:p>
      <w:pPr>
        <w:spacing w:after="0" w:line="3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5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542,000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391,800</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fees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418,800</w:t>
            </w: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Audit fees include fees billed for the annual audit of the Company’s financial statements and quarterly reviews for Fiscal 2024 and Fiscal 2023, and for services normally provided by Withum in connection with routine statutory and regulatory filings or engagements, as well as the issuance of consents and comfort letters in connection with registration statements, including the filing of our registration statements on Form S-3 and Form S-8.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Audit-related fees include fees billed for assurance and related services that are reasonably related to the performance of the audit or review of the Company’s financial statements and are not reported under Audit fees. During Fiscal 2024 and Fiscal 2023, no such fees were billed by Withum.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 fees include fees for professional services for tax compliance, tax advice and tax planning for Fiscal 2024 and Fiscal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other fees include fees for products and services other than those described above. During Fiscal 2024 and Fiscal 2023, no such fees were billed by Withum.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Recommendation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Ratification of the appointment of KPMG as the Company’s independent registered public accounting firm for our fiscal year ending March 31, 2025 requires the affirmative vote of a majority of the votes cast, either present or represented by proxy (meaning the number of shares voted “FOR” this proposal must exceed the number of shares voted “AGAINST” this proposal). Abstentions and broker non-votes will have no effect on the ratification of KPMG as the Company’s independent registered public accounting firm for our fiscal year ending March 31, 2025. Unless otherwise instructed on the proxy or unless authority to vote is withheld, shares represented by executed proxies will be voted “FOR” the ratification of KPMG as the Company’s independent registered public accounting firm for our fiscal year ending March 31, 2025.</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Board unanimously recommends that stockholders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the appointment of KPMG as our independent registered public accounting firm for our fiscal year ending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and WithumSmith+Brown, PC (</w:t>
      </w:r>
      <w:r>
        <w:rPr>
          <w:rFonts w:ascii="Times New Roman" w:cs="Times New Roman" w:eastAsia="Times New Roman" w:hAnsi="Times New Roman"/>
          <w:sz w:val="18"/>
          <w:szCs w:val="18"/>
          <w:i w:val="1"/>
          <w:iCs w:val="1"/>
          <w:color w:val="auto"/>
        </w:rPr>
        <w:t>Withum</w:t>
      </w:r>
      <w:r>
        <w:rPr>
          <w:rFonts w:ascii="Times New Roman" w:cs="Times New Roman" w:eastAsia="Times New Roman" w:hAnsi="Times New Roman"/>
          <w:sz w:val="18"/>
          <w:szCs w:val="18"/>
          <w:color w:val="auto"/>
        </w:rPr>
        <w:t>), our independent registered public accounting firm for our fiscal year ended March 31, 2024, the audited consolidated financial statements in the Company’s Annual Report on Form 10-K for the year ended March 31, 2024. The Audit Committee also discussed with Withum those matters required to be discussed by Public Company Accounting Oversight Board (</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Auditing Standard No. 16.</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that the audited financial statements be included in our Annual Report on Form 10-K for the fiscal year ended March 31, 2024.</w:t>
      </w:r>
    </w:p>
    <w:p>
      <w:pPr>
        <w:spacing w:after="0" w:line="23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Respectfully Submitted by:</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Jon S. Saxe, Audit Committee Chair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Jerry B. Gin</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Mary L. Rotunno</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6, 2024</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information contained above under the caption “</w:t>
      </w:r>
      <w:r>
        <w:rPr>
          <w:rFonts w:ascii="Times New Roman" w:cs="Times New Roman" w:eastAsia="Times New Roman" w:hAnsi="Times New Roman"/>
          <w:sz w:val="18"/>
          <w:szCs w:val="18"/>
          <w:i w:val="1"/>
          <w:iCs w:val="1"/>
          <w:color w:val="auto"/>
        </w:rPr>
        <w:t>Report of the Audit Committee of the Board of Directors</w:t>
      </w:r>
      <w:r>
        <w:rPr>
          <w:rFonts w:ascii="Times New Roman" w:cs="Times New Roman" w:eastAsia="Times New Roman" w:hAnsi="Times New Roman"/>
          <w:sz w:val="18"/>
          <w:szCs w:val="18"/>
          <w:color w:val="auto"/>
        </w:rPr>
        <w:t>” 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July 16, 2024 for:</w:t>
      </w:r>
    </w:p>
    <w:p>
      <w:pPr>
        <w:spacing w:after="0" w:line="166" w:lineRule="exact"/>
        <w:rPr>
          <w:sz w:val="20"/>
          <w:szCs w:val="20"/>
          <w:color w:val="auto"/>
        </w:rPr>
      </w:pPr>
    </w:p>
    <w:p>
      <w:pPr>
        <w:ind w:left="1180" w:hanging="398"/>
        <w:spacing w:after="0"/>
        <w:tabs>
          <w:tab w:leader="none" w:pos="1180"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each of our NEOs;</w:t>
      </w:r>
    </w:p>
    <w:p>
      <w:pPr>
        <w:spacing w:after="0" w:line="55" w:lineRule="exact"/>
        <w:rPr>
          <w:rFonts w:ascii="Times New Roman" w:cs="Times New Roman" w:eastAsia="Times New Roman" w:hAnsi="Times New Roman"/>
          <w:sz w:val="29"/>
          <w:szCs w:val="29"/>
          <w:color w:val="auto"/>
          <w:vertAlign w:val="superscript"/>
        </w:rPr>
      </w:pPr>
    </w:p>
    <w:p>
      <w:pPr>
        <w:ind w:left="1180" w:hanging="398"/>
        <w:spacing w:after="0" w:line="186" w:lineRule="auto"/>
        <w:tabs>
          <w:tab w:leader="none" w:pos="118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each of our directors;</w:t>
      </w:r>
    </w:p>
    <w:p>
      <w:pPr>
        <w:spacing w:after="0" w:line="56" w:lineRule="exact"/>
        <w:rPr>
          <w:rFonts w:ascii="Times New Roman" w:cs="Times New Roman" w:eastAsia="Times New Roman" w:hAnsi="Times New Roman"/>
          <w:sz w:val="24"/>
          <w:szCs w:val="24"/>
          <w:color w:val="auto"/>
          <w:vertAlign w:val="superscript"/>
        </w:rPr>
      </w:pPr>
    </w:p>
    <w:p>
      <w:pPr>
        <w:ind w:left="1180" w:hanging="398"/>
        <w:spacing w:after="0" w:line="186" w:lineRule="auto"/>
        <w:tabs>
          <w:tab w:leader="none" w:pos="118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all of our directors and NEOs as a group; and</w:t>
      </w:r>
    </w:p>
    <w:p>
      <w:pPr>
        <w:spacing w:after="0" w:line="56" w:lineRule="exact"/>
        <w:rPr>
          <w:rFonts w:ascii="Times New Roman" w:cs="Times New Roman" w:eastAsia="Times New Roman" w:hAnsi="Times New Roman"/>
          <w:sz w:val="24"/>
          <w:szCs w:val="24"/>
          <w:color w:val="auto"/>
          <w:vertAlign w:val="superscript"/>
        </w:rPr>
      </w:pPr>
    </w:p>
    <w:p>
      <w:pPr>
        <w:ind w:left="1180" w:hanging="398"/>
        <w:spacing w:after="0" w:line="186" w:lineRule="auto"/>
        <w:tabs>
          <w:tab w:leader="none" w:pos="118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5%+ stockholders.</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percentage ownership is based on 27,055,107 shares of common stock outstanding at July 16, 2024.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computing the percentage of shares of common stock beneficially owned, we deemed to be outstanding all shares of common stock subject to options or warrants held by that person or entity that are currently exercisable or exchangeable or that will become exercisable or exchangeable within 60 days of July 16, 2024.</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is c/o Vistagen Therapeutics, Inc., 343 Allerton Avenue, South San Francisco, California 94080.</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Beneficial Ownership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Shawn K. Singh, J.D. </w:t>
      </w:r>
      <w:r>
        <w:rPr>
          <w:rFonts w:ascii="Times New Roman" w:cs="Times New Roman" w:eastAsia="Times New Roman" w:hAnsi="Times New Roman"/>
          <w:sz w:val="9"/>
          <w:szCs w:val="9"/>
          <w:color w:val="auto"/>
        </w:rPr>
        <w:t>(2)</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0" w:type="dxa"/>
            <w:vAlign w:val="bottom"/>
          </w:tcPr>
          <w:p>
            <w:pPr>
              <w:spacing w:after="0"/>
              <w:rPr>
                <w:sz w:val="1"/>
                <w:szCs w:val="1"/>
                <w:color w:val="auto"/>
              </w:rPr>
            </w:pPr>
          </w:p>
        </w:tc>
      </w:tr>
      <w:tr>
        <w:trPr>
          <w:trHeight w:val="216"/>
        </w:trPr>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0" w:type="dxa"/>
            <w:vAlign w:val="bottom"/>
          </w:tcPr>
          <w:p>
            <w:pPr>
              <w:spacing w:after="0"/>
              <w:rPr>
                <w:sz w:val="1"/>
                <w:szCs w:val="1"/>
                <w:color w:val="auto"/>
              </w:rPr>
            </w:pPr>
          </w:p>
        </w:tc>
      </w:tr>
      <w:tr>
        <w:trPr>
          <w:trHeight w:val="216"/>
        </w:trPr>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38"/>
        </w:trPr>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w:t>
            </w:r>
            <w:r>
              <w:rPr>
                <w:rFonts w:ascii="Times New Roman" w:cs="Times New Roman" w:eastAsia="Times New Roman" w:hAnsi="Times New Roman"/>
                <w:sz w:val="9"/>
                <w:szCs w:val="9"/>
                <w:b w:val="1"/>
                <w:bCs w:val="1"/>
                <w:color w:val="auto"/>
                <w:w w:val="99"/>
              </w:rPr>
              <w:t>(1)</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141,481</w:t>
            </w: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5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-445135</wp:posOffset>
            </wp:positionV>
            <wp:extent cx="712343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6820" w:space="720"/>
            <w:col w:w="37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Cynthia L. Anderson, CPA </w:t>
            </w:r>
            <w:r>
              <w:rPr>
                <w:rFonts w:ascii="Times New Roman" w:cs="Times New Roman" w:eastAsia="Times New Roman" w:hAnsi="Times New Roman"/>
                <w:sz w:val="9"/>
                <w:szCs w:val="9"/>
                <w:color w:val="auto"/>
              </w:rPr>
              <w:t>(3)</w:t>
            </w:r>
          </w:p>
        </w:tc>
        <w:tc>
          <w:tcPr>
            <w:tcW w:w="3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18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14,008</w:t>
            </w: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Reid G. Adler, J.D. </w:t>
            </w:r>
            <w:r>
              <w:rPr>
                <w:rFonts w:ascii="Times New Roman" w:cs="Times New Roman" w:eastAsia="Times New Roman" w:hAnsi="Times New Roman"/>
                <w:sz w:val="9"/>
                <w:szCs w:val="9"/>
                <w:color w:val="auto"/>
              </w:rPr>
              <w:t>(4)</w:t>
            </w:r>
          </w:p>
        </w:tc>
        <w:tc>
          <w:tcPr>
            <w:tcW w:w="31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38,013</w:t>
            </w:r>
          </w:p>
        </w:tc>
        <w:tc>
          <w:tcPr>
            <w:tcW w:w="144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Corporate Development Officer and General Counsel</w:t>
            </w:r>
          </w:p>
        </w:tc>
        <w:tc>
          <w:tcPr>
            <w:tcW w:w="3180" w:type="dxa"/>
            <w:vAlign w:val="bottom"/>
            <w:vMerge w:val="continue"/>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6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Joshua S. Prince, MBA </w:t>
            </w:r>
            <w:r>
              <w:rPr>
                <w:rFonts w:ascii="Times New Roman" w:cs="Times New Roman" w:eastAsia="Times New Roman" w:hAnsi="Times New Roman"/>
                <w:sz w:val="9"/>
                <w:szCs w:val="9"/>
                <w:color w:val="auto"/>
              </w:rPr>
              <w:t>(5)</w:t>
            </w:r>
          </w:p>
        </w:tc>
        <w:tc>
          <w:tcPr>
            <w:tcW w:w="318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19,971</w:t>
            </w:r>
          </w:p>
        </w:tc>
        <w:tc>
          <w:tcPr>
            <w:tcW w:w="1440" w:type="dxa"/>
            <w:vAlign w:val="bottom"/>
            <w:shd w:val="clear" w:color="auto" w:fill="CCEEFF"/>
          </w:tcPr>
          <w:p>
            <w:pPr>
              <w:jc w:val="right"/>
              <w:ind w:right="290"/>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c>
          <w:tcPr>
            <w:tcW w:w="3180" w:type="dxa"/>
            <w:vAlign w:val="bottom"/>
            <w:vMerge w:val="continue"/>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3180" w:type="dxa"/>
            <w:vAlign w:val="bottom"/>
          </w:tcPr>
          <w:p>
            <w:pPr>
              <w:spacing w:after="0"/>
              <w:rPr>
                <w:sz w:val="19"/>
                <w:szCs w:val="19"/>
                <w:color w:val="auto"/>
              </w:rPr>
            </w:pP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Margaret M. FitzPatrick, M.A. </w:t>
            </w:r>
            <w:r>
              <w:rPr>
                <w:rFonts w:ascii="Times New Roman" w:cs="Times New Roman" w:eastAsia="Times New Roman" w:hAnsi="Times New Roman"/>
                <w:sz w:val="9"/>
                <w:szCs w:val="9"/>
                <w:color w:val="auto"/>
              </w:rPr>
              <w:t>(6)</w:t>
            </w:r>
          </w:p>
        </w:tc>
        <w:tc>
          <w:tcPr>
            <w:tcW w:w="3180" w:type="dxa"/>
            <w:vAlign w:val="bottom"/>
            <w:shd w:val="clear" w:color="auto" w:fill="CCEEFF"/>
          </w:tcPr>
          <w:p>
            <w:pPr>
              <w:jc w:val="right"/>
              <w:ind w:right="650"/>
              <w:spacing w:after="0" w:line="198" w:lineRule="exact"/>
              <w:rPr>
                <w:sz w:val="20"/>
                <w:szCs w:val="20"/>
                <w:color w:val="auto"/>
              </w:rPr>
            </w:pPr>
            <w:r>
              <w:rPr>
                <w:rFonts w:ascii="Times New Roman" w:cs="Times New Roman" w:eastAsia="Times New Roman" w:hAnsi="Times New Roman"/>
                <w:sz w:val="18"/>
                <w:szCs w:val="18"/>
                <w:color w:val="auto"/>
              </w:rPr>
              <w:t>12,084</w:t>
            </w:r>
          </w:p>
        </w:tc>
        <w:tc>
          <w:tcPr>
            <w:tcW w:w="1440" w:type="dxa"/>
            <w:vAlign w:val="bottom"/>
            <w:shd w:val="clear" w:color="auto" w:fill="CCEEFF"/>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Chair</w:t>
            </w:r>
          </w:p>
        </w:tc>
        <w:tc>
          <w:tcPr>
            <w:tcW w:w="3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Ann M. Cunningham, MBA </w:t>
            </w:r>
            <w:r>
              <w:rPr>
                <w:rFonts w:ascii="Times New Roman" w:cs="Times New Roman" w:eastAsia="Times New Roman" w:hAnsi="Times New Roman"/>
                <w:sz w:val="9"/>
                <w:szCs w:val="9"/>
                <w:color w:val="auto"/>
              </w:rPr>
              <w:t>(7)</w:t>
            </w:r>
          </w:p>
        </w:tc>
        <w:tc>
          <w:tcPr>
            <w:tcW w:w="3180" w:type="dxa"/>
            <w:vAlign w:val="bottom"/>
          </w:tcPr>
          <w:p>
            <w:pPr>
              <w:jc w:val="right"/>
              <w:ind w:right="650"/>
              <w:spacing w:after="0" w:line="198" w:lineRule="exact"/>
              <w:rPr>
                <w:sz w:val="20"/>
                <w:szCs w:val="20"/>
                <w:color w:val="auto"/>
              </w:rPr>
            </w:pPr>
            <w:r>
              <w:rPr>
                <w:rFonts w:ascii="Times New Roman" w:cs="Times New Roman" w:eastAsia="Times New Roman" w:hAnsi="Times New Roman"/>
                <w:sz w:val="18"/>
                <w:szCs w:val="18"/>
                <w:color w:val="auto"/>
              </w:rPr>
              <w:t>29,589</w:t>
            </w:r>
          </w:p>
        </w:tc>
        <w:tc>
          <w:tcPr>
            <w:tcW w:w="144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6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Joanne Curley, Ph.D. </w:t>
            </w:r>
            <w:r>
              <w:rPr>
                <w:rFonts w:ascii="Times New Roman" w:cs="Times New Roman" w:eastAsia="Times New Roman" w:hAnsi="Times New Roman"/>
                <w:sz w:val="9"/>
                <w:szCs w:val="9"/>
                <w:color w:val="auto"/>
              </w:rPr>
              <w:t>(8)</w:t>
            </w:r>
          </w:p>
        </w:tc>
        <w:tc>
          <w:tcPr>
            <w:tcW w:w="3180" w:type="dxa"/>
            <w:vAlign w:val="bottom"/>
            <w:shd w:val="clear" w:color="auto" w:fill="CCEEFF"/>
          </w:tcPr>
          <w:p>
            <w:pPr>
              <w:jc w:val="right"/>
              <w:ind w:right="650"/>
              <w:spacing w:after="0" w:line="205" w:lineRule="exact"/>
              <w:rPr>
                <w:sz w:val="20"/>
                <w:szCs w:val="20"/>
                <w:color w:val="auto"/>
              </w:rPr>
            </w:pPr>
            <w:r>
              <w:rPr>
                <w:rFonts w:ascii="Times New Roman" w:cs="Times New Roman" w:eastAsia="Times New Roman" w:hAnsi="Times New Roman"/>
                <w:sz w:val="18"/>
                <w:szCs w:val="18"/>
                <w:color w:val="auto"/>
              </w:rPr>
              <w:t>12,084</w:t>
            </w:r>
          </w:p>
        </w:tc>
        <w:tc>
          <w:tcPr>
            <w:tcW w:w="1440" w:type="dxa"/>
            <w:vAlign w:val="bottom"/>
            <w:shd w:val="clear" w:color="auto" w:fill="CCEEFF"/>
          </w:tcPr>
          <w:p>
            <w:pPr>
              <w:jc w:val="right"/>
              <w:ind w:right="290"/>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Jerry B. Gin, Ph.D., MBA </w:t>
            </w:r>
            <w:r>
              <w:rPr>
                <w:rFonts w:ascii="Times New Roman" w:cs="Times New Roman" w:eastAsia="Times New Roman" w:hAnsi="Times New Roman"/>
                <w:sz w:val="9"/>
                <w:szCs w:val="9"/>
                <w:color w:val="auto"/>
              </w:rPr>
              <w:t>(9)</w:t>
            </w:r>
          </w:p>
        </w:tc>
        <w:tc>
          <w:tcPr>
            <w:tcW w:w="3180" w:type="dxa"/>
            <w:vAlign w:val="bottom"/>
          </w:tcPr>
          <w:p>
            <w:pPr>
              <w:jc w:val="right"/>
              <w:ind w:right="650"/>
              <w:spacing w:after="0" w:line="198" w:lineRule="exact"/>
              <w:rPr>
                <w:sz w:val="20"/>
                <w:szCs w:val="20"/>
                <w:color w:val="auto"/>
              </w:rPr>
            </w:pPr>
            <w:r>
              <w:rPr>
                <w:rFonts w:ascii="Times New Roman" w:cs="Times New Roman" w:eastAsia="Times New Roman" w:hAnsi="Times New Roman"/>
                <w:sz w:val="18"/>
                <w:szCs w:val="18"/>
                <w:color w:val="auto"/>
              </w:rPr>
              <w:t>43,255</w:t>
            </w:r>
          </w:p>
        </w:tc>
        <w:tc>
          <w:tcPr>
            <w:tcW w:w="144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6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Mary L. Rotunno, J.D. </w:t>
            </w:r>
            <w:r>
              <w:rPr>
                <w:rFonts w:ascii="Times New Roman" w:cs="Times New Roman" w:eastAsia="Times New Roman" w:hAnsi="Times New Roman"/>
                <w:sz w:val="9"/>
                <w:szCs w:val="9"/>
                <w:color w:val="auto"/>
              </w:rPr>
              <w:t>(10)</w:t>
            </w:r>
          </w:p>
        </w:tc>
        <w:tc>
          <w:tcPr>
            <w:tcW w:w="3180" w:type="dxa"/>
            <w:vAlign w:val="bottom"/>
            <w:shd w:val="clear" w:color="auto" w:fill="CCEEFF"/>
          </w:tcPr>
          <w:p>
            <w:pPr>
              <w:jc w:val="right"/>
              <w:ind w:right="650"/>
              <w:spacing w:after="0" w:line="205" w:lineRule="exact"/>
              <w:rPr>
                <w:sz w:val="20"/>
                <w:szCs w:val="20"/>
                <w:color w:val="auto"/>
              </w:rPr>
            </w:pPr>
            <w:r>
              <w:rPr>
                <w:rFonts w:ascii="Times New Roman" w:cs="Times New Roman" w:eastAsia="Times New Roman" w:hAnsi="Times New Roman"/>
                <w:sz w:val="18"/>
                <w:szCs w:val="18"/>
                <w:color w:val="auto"/>
              </w:rPr>
              <w:t>12,084</w:t>
            </w:r>
          </w:p>
        </w:tc>
        <w:tc>
          <w:tcPr>
            <w:tcW w:w="1440" w:type="dxa"/>
            <w:vAlign w:val="bottom"/>
            <w:shd w:val="clear" w:color="auto" w:fill="CCEEFF"/>
          </w:tcPr>
          <w:p>
            <w:pPr>
              <w:jc w:val="right"/>
              <w:ind w:right="290"/>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Jon S. Saxe, J.D., LL.M. </w:t>
            </w:r>
            <w:r>
              <w:rPr>
                <w:rFonts w:ascii="Times New Roman" w:cs="Times New Roman" w:eastAsia="Times New Roman" w:hAnsi="Times New Roman"/>
                <w:sz w:val="9"/>
                <w:szCs w:val="9"/>
                <w:color w:val="auto"/>
              </w:rPr>
              <w:t>(11)</w:t>
            </w:r>
          </w:p>
        </w:tc>
        <w:tc>
          <w:tcPr>
            <w:tcW w:w="3180" w:type="dxa"/>
            <w:vAlign w:val="bottom"/>
          </w:tcPr>
          <w:p>
            <w:pPr>
              <w:jc w:val="right"/>
              <w:ind w:right="650"/>
              <w:spacing w:after="0" w:line="198" w:lineRule="exact"/>
              <w:rPr>
                <w:sz w:val="20"/>
                <w:szCs w:val="20"/>
                <w:color w:val="auto"/>
              </w:rPr>
            </w:pPr>
            <w:r>
              <w:rPr>
                <w:rFonts w:ascii="Times New Roman" w:cs="Times New Roman" w:eastAsia="Times New Roman" w:hAnsi="Times New Roman"/>
                <w:sz w:val="18"/>
                <w:szCs w:val="18"/>
                <w:color w:val="auto"/>
              </w:rPr>
              <w:t>30,945</w:t>
            </w:r>
          </w:p>
        </w:tc>
        <w:tc>
          <w:tcPr>
            <w:tcW w:w="144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All executive officers and directors as a group (10 persons) </w:t>
            </w:r>
            <w:r>
              <w:rPr>
                <w:rFonts w:ascii="Times New Roman" w:cs="Times New Roman" w:eastAsia="Times New Roman" w:hAnsi="Times New Roman"/>
                <w:sz w:val="9"/>
                <w:szCs w:val="9"/>
                <w:color w:val="auto"/>
              </w:rPr>
              <w:t>(12)</w:t>
            </w:r>
          </w:p>
        </w:tc>
        <w:tc>
          <w:tcPr>
            <w:tcW w:w="31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353,514</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343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Commodore Capital Master Fund LP </w:t>
            </w:r>
            <w:r>
              <w:rPr>
                <w:rFonts w:ascii="Times New Roman" w:cs="Times New Roman" w:eastAsia="Times New Roman" w:hAnsi="Times New Roman"/>
                <w:sz w:val="9"/>
                <w:szCs w:val="9"/>
                <w:color w:val="auto"/>
              </w:rPr>
              <w:t>(13)</w:t>
            </w:r>
          </w:p>
        </w:tc>
        <w:tc>
          <w:tcPr>
            <w:tcW w:w="3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7,447,944</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22.62 %</w:t>
            </w:r>
          </w:p>
        </w:tc>
      </w:tr>
      <w:tr>
        <w:trPr>
          <w:trHeight w:val="216"/>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444</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Madison Ave., Floor 35</w:t>
            </w:r>
          </w:p>
        </w:tc>
        <w:tc>
          <w:tcPr>
            <w:tcW w:w="37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New York 10022</w:t>
            </w:r>
          </w:p>
        </w:tc>
        <w:tc>
          <w:tcPr>
            <w:tcW w:w="37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0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60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Entities affiliated with BVF, Inc. </w:t>
            </w:r>
            <w:r>
              <w:rPr>
                <w:rFonts w:ascii="Times New Roman" w:cs="Times New Roman" w:eastAsia="Times New Roman" w:hAnsi="Times New Roman"/>
                <w:sz w:val="9"/>
                <w:szCs w:val="9"/>
                <w:color w:val="auto"/>
              </w:rPr>
              <w:t>(14)</w:t>
            </w:r>
          </w:p>
        </w:tc>
        <w:tc>
          <w:tcPr>
            <w:tcW w:w="3720" w:type="dxa"/>
            <w:vAlign w:val="bottom"/>
            <w:shd w:val="clear" w:color="auto" w:fill="CCEEFF"/>
          </w:tcPr>
          <w:p>
            <w:pPr>
              <w:jc w:val="right"/>
              <w:ind w:right="590"/>
              <w:spacing w:after="0" w:line="184" w:lineRule="exact"/>
              <w:rPr>
                <w:sz w:val="20"/>
                <w:szCs w:val="20"/>
                <w:color w:val="auto"/>
              </w:rPr>
            </w:pPr>
            <w:r>
              <w:rPr>
                <w:rFonts w:ascii="Times New Roman" w:cs="Times New Roman" w:eastAsia="Times New Roman" w:hAnsi="Times New Roman"/>
                <w:sz w:val="18"/>
                <w:szCs w:val="18"/>
                <w:color w:val="auto"/>
              </w:rPr>
              <w:t>5,842,798</w:t>
            </w:r>
          </w:p>
        </w:tc>
        <w:tc>
          <w:tcPr>
            <w:tcW w:w="1480" w:type="dxa"/>
            <w:vAlign w:val="bottom"/>
            <w:shd w:val="clear" w:color="auto" w:fill="CCEEFF"/>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18.89 %</w:t>
            </w:r>
          </w:p>
        </w:tc>
      </w:tr>
      <w:tr>
        <w:trPr>
          <w:trHeight w:val="216"/>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44 Montgomery St.</w:t>
            </w:r>
          </w:p>
        </w:tc>
        <w:tc>
          <w:tcPr>
            <w:tcW w:w="3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41"/>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Francisco, California 94104</w:t>
            </w:r>
          </w:p>
        </w:tc>
        <w:tc>
          <w:tcPr>
            <w:tcW w:w="37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184"/>
        </w:trPr>
        <w:tc>
          <w:tcPr>
            <w:tcW w:w="60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TCG Crossover Fund II, L.P. </w:t>
            </w:r>
            <w:r>
              <w:rPr>
                <w:rFonts w:ascii="Times New Roman" w:cs="Times New Roman" w:eastAsia="Times New Roman" w:hAnsi="Times New Roman"/>
                <w:sz w:val="9"/>
                <w:szCs w:val="9"/>
                <w:color w:val="auto"/>
              </w:rPr>
              <w:t>(15)</w:t>
            </w:r>
          </w:p>
        </w:tc>
        <w:tc>
          <w:tcPr>
            <w:tcW w:w="3720" w:type="dxa"/>
            <w:vAlign w:val="bottom"/>
          </w:tcPr>
          <w:p>
            <w:pPr>
              <w:jc w:val="right"/>
              <w:ind w:right="590"/>
              <w:spacing w:after="0" w:line="184" w:lineRule="exact"/>
              <w:rPr>
                <w:sz w:val="20"/>
                <w:szCs w:val="20"/>
                <w:color w:val="auto"/>
              </w:rPr>
            </w:pPr>
            <w:r>
              <w:rPr>
                <w:rFonts w:ascii="Times New Roman" w:cs="Times New Roman" w:eastAsia="Times New Roman" w:hAnsi="Times New Roman"/>
                <w:sz w:val="18"/>
                <w:szCs w:val="18"/>
                <w:color w:val="auto"/>
              </w:rPr>
              <w:t>4,227,737</w:t>
            </w:r>
          </w:p>
        </w:tc>
        <w:tc>
          <w:tcPr>
            <w:tcW w:w="148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14.44 %</w:t>
            </w:r>
          </w:p>
        </w:tc>
      </w:tr>
      <w:tr>
        <w:trPr>
          <w:trHeight w:val="216"/>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705</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St.</w:t>
            </w:r>
          </w:p>
        </w:tc>
        <w:tc>
          <w:tcPr>
            <w:tcW w:w="37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Palo Alto, California 94301</w:t>
            </w:r>
          </w:p>
        </w:tc>
        <w:tc>
          <w:tcPr>
            <w:tcW w:w="37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0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60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Great Point Partners, LLC </w:t>
            </w:r>
            <w:r>
              <w:rPr>
                <w:rFonts w:ascii="Times New Roman" w:cs="Times New Roman" w:eastAsia="Times New Roman" w:hAnsi="Times New Roman"/>
                <w:sz w:val="9"/>
                <w:szCs w:val="9"/>
                <w:color w:val="auto"/>
              </w:rPr>
              <w:t>(16)</w:t>
            </w:r>
          </w:p>
        </w:tc>
        <w:tc>
          <w:tcPr>
            <w:tcW w:w="3720" w:type="dxa"/>
            <w:vAlign w:val="bottom"/>
            <w:shd w:val="clear" w:color="auto" w:fill="CCEEFF"/>
          </w:tcPr>
          <w:p>
            <w:pPr>
              <w:jc w:val="right"/>
              <w:ind w:right="590"/>
              <w:spacing w:after="0" w:line="184" w:lineRule="exact"/>
              <w:rPr>
                <w:sz w:val="20"/>
                <w:szCs w:val="20"/>
                <w:color w:val="auto"/>
              </w:rPr>
            </w:pPr>
            <w:r>
              <w:rPr>
                <w:rFonts w:ascii="Times New Roman" w:cs="Times New Roman" w:eastAsia="Times New Roman" w:hAnsi="Times New Roman"/>
                <w:sz w:val="18"/>
                <w:szCs w:val="18"/>
                <w:color w:val="auto"/>
              </w:rPr>
              <w:t>3,914,569</w:t>
            </w:r>
          </w:p>
        </w:tc>
        <w:tc>
          <w:tcPr>
            <w:tcW w:w="1480" w:type="dxa"/>
            <w:vAlign w:val="bottom"/>
            <w:shd w:val="clear" w:color="auto" w:fill="CCEEFF"/>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13.45 %</w:t>
            </w:r>
          </w:p>
        </w:tc>
      </w:tr>
      <w:tr>
        <w:trPr>
          <w:trHeight w:val="216"/>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165</w:t>
            </w: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Mason St., 3</w:t>
            </w:r>
            <w:r>
              <w:rPr>
                <w:rFonts w:ascii="Times New Roman" w:cs="Times New Roman" w:eastAsia="Times New Roman" w:hAnsi="Times New Roman"/>
                <w:sz w:val="9"/>
                <w:szCs w:val="9"/>
                <w:color w:val="auto"/>
              </w:rPr>
              <w:t>rd</w:t>
            </w:r>
            <w:r>
              <w:rPr>
                <w:rFonts w:ascii="Times New Roman" w:cs="Times New Roman" w:eastAsia="Times New Roman" w:hAnsi="Times New Roman"/>
                <w:sz w:val="18"/>
                <w:szCs w:val="18"/>
                <w:color w:val="auto"/>
              </w:rPr>
              <w:t xml:space="preserve"> Floor</w:t>
            </w:r>
          </w:p>
        </w:tc>
        <w:tc>
          <w:tcPr>
            <w:tcW w:w="3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41"/>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Greenwich, Connecticut</w:t>
            </w:r>
          </w:p>
        </w:tc>
        <w:tc>
          <w:tcPr>
            <w:tcW w:w="37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184"/>
        </w:trPr>
        <w:tc>
          <w:tcPr>
            <w:tcW w:w="60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Nantahala Capital Management, LLC </w:t>
            </w:r>
            <w:r>
              <w:rPr>
                <w:rFonts w:ascii="Times New Roman" w:cs="Times New Roman" w:eastAsia="Times New Roman" w:hAnsi="Times New Roman"/>
                <w:sz w:val="9"/>
                <w:szCs w:val="9"/>
                <w:color w:val="auto"/>
              </w:rPr>
              <w:t>(17)</w:t>
            </w:r>
          </w:p>
        </w:tc>
        <w:tc>
          <w:tcPr>
            <w:tcW w:w="3720" w:type="dxa"/>
            <w:vAlign w:val="bottom"/>
          </w:tcPr>
          <w:p>
            <w:pPr>
              <w:jc w:val="right"/>
              <w:ind w:right="590"/>
              <w:spacing w:after="0" w:line="184" w:lineRule="exact"/>
              <w:rPr>
                <w:sz w:val="20"/>
                <w:szCs w:val="20"/>
                <w:color w:val="auto"/>
              </w:rPr>
            </w:pPr>
            <w:r>
              <w:rPr>
                <w:rFonts w:ascii="Times New Roman" w:cs="Times New Roman" w:eastAsia="Times New Roman" w:hAnsi="Times New Roman"/>
                <w:sz w:val="18"/>
                <w:szCs w:val="18"/>
                <w:color w:val="auto"/>
              </w:rPr>
              <w:t>3,266,661</w:t>
            </w:r>
          </w:p>
        </w:tc>
        <w:tc>
          <w:tcPr>
            <w:tcW w:w="148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11.46 %</w:t>
            </w:r>
          </w:p>
        </w:tc>
      </w:tr>
      <w:tr>
        <w:trPr>
          <w:trHeight w:val="216"/>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130</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 St., 2</w:t>
            </w:r>
            <w:r>
              <w:rPr>
                <w:rFonts w:ascii="Times New Roman" w:cs="Times New Roman" w:eastAsia="Times New Roman" w:hAnsi="Times New Roman"/>
                <w:sz w:val="9"/>
                <w:szCs w:val="9"/>
                <w:color w:val="auto"/>
              </w:rPr>
              <w:t>nd</w:t>
            </w:r>
            <w:r>
              <w:rPr>
                <w:rFonts w:ascii="Times New Roman" w:cs="Times New Roman" w:eastAsia="Times New Roman" w:hAnsi="Times New Roman"/>
                <w:sz w:val="18"/>
                <w:szCs w:val="18"/>
                <w:color w:val="auto"/>
              </w:rPr>
              <w:t xml:space="preserve"> Floor</w:t>
            </w:r>
          </w:p>
        </w:tc>
        <w:tc>
          <w:tcPr>
            <w:tcW w:w="37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Canaan, Connecticut 06840</w:t>
            </w:r>
          </w:p>
        </w:tc>
        <w:tc>
          <w:tcPr>
            <w:tcW w:w="37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0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60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The Vanguard Group </w:t>
            </w:r>
            <w:r>
              <w:rPr>
                <w:rFonts w:ascii="Times New Roman" w:cs="Times New Roman" w:eastAsia="Times New Roman" w:hAnsi="Times New Roman"/>
                <w:sz w:val="9"/>
                <w:szCs w:val="9"/>
                <w:color w:val="auto"/>
              </w:rPr>
              <w:t>(18)</w:t>
            </w:r>
          </w:p>
        </w:tc>
        <w:tc>
          <w:tcPr>
            <w:tcW w:w="3720" w:type="dxa"/>
            <w:vAlign w:val="bottom"/>
            <w:shd w:val="clear" w:color="auto" w:fill="CCEEFF"/>
          </w:tcPr>
          <w:p>
            <w:pPr>
              <w:jc w:val="right"/>
              <w:ind w:right="590"/>
              <w:spacing w:after="0" w:line="184" w:lineRule="exact"/>
              <w:rPr>
                <w:sz w:val="20"/>
                <w:szCs w:val="20"/>
                <w:color w:val="auto"/>
              </w:rPr>
            </w:pPr>
            <w:r>
              <w:rPr>
                <w:rFonts w:ascii="Times New Roman" w:cs="Times New Roman" w:eastAsia="Times New Roman" w:hAnsi="Times New Roman"/>
                <w:sz w:val="18"/>
                <w:szCs w:val="18"/>
                <w:color w:val="auto"/>
              </w:rPr>
              <w:t>1,823,703</w:t>
            </w:r>
          </w:p>
        </w:tc>
        <w:tc>
          <w:tcPr>
            <w:tcW w:w="1480" w:type="dxa"/>
            <w:vAlign w:val="bottom"/>
            <w:shd w:val="clear" w:color="auto" w:fill="CCEEFF"/>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6.74 %</w:t>
            </w:r>
          </w:p>
        </w:tc>
      </w:tr>
      <w:tr>
        <w:trPr>
          <w:trHeight w:val="216"/>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Blvd.</w:t>
            </w:r>
          </w:p>
        </w:tc>
        <w:tc>
          <w:tcPr>
            <w:tcW w:w="3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41"/>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Malvern, Pennsylvania 19355</w:t>
            </w:r>
          </w:p>
        </w:tc>
        <w:tc>
          <w:tcPr>
            <w:tcW w:w="37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184"/>
        </w:trPr>
        <w:tc>
          <w:tcPr>
            <w:tcW w:w="60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StemPoint Capital Master Fund LP </w:t>
            </w:r>
            <w:r>
              <w:rPr>
                <w:rFonts w:ascii="Times New Roman" w:cs="Times New Roman" w:eastAsia="Times New Roman" w:hAnsi="Times New Roman"/>
                <w:sz w:val="9"/>
                <w:szCs w:val="9"/>
                <w:color w:val="auto"/>
              </w:rPr>
              <w:t>(19)</w:t>
            </w:r>
          </w:p>
        </w:tc>
        <w:tc>
          <w:tcPr>
            <w:tcW w:w="3720" w:type="dxa"/>
            <w:vAlign w:val="bottom"/>
          </w:tcPr>
          <w:p>
            <w:pPr>
              <w:jc w:val="right"/>
              <w:ind w:right="590"/>
              <w:spacing w:after="0" w:line="184" w:lineRule="exact"/>
              <w:rPr>
                <w:sz w:val="20"/>
                <w:szCs w:val="20"/>
                <w:color w:val="auto"/>
              </w:rPr>
            </w:pPr>
            <w:r>
              <w:rPr>
                <w:rFonts w:ascii="Times New Roman" w:cs="Times New Roman" w:eastAsia="Times New Roman" w:hAnsi="Times New Roman"/>
                <w:sz w:val="18"/>
                <w:szCs w:val="18"/>
                <w:color w:val="auto"/>
              </w:rPr>
              <w:t>1,790,182</w:t>
            </w:r>
          </w:p>
        </w:tc>
        <w:tc>
          <w:tcPr>
            <w:tcW w:w="148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6.47 %</w:t>
            </w:r>
          </w:p>
        </w:tc>
      </w:tr>
      <w:tr>
        <w:trPr>
          <w:trHeight w:val="216"/>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520</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Madison, Ave., 19</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Floor</w:t>
            </w:r>
          </w:p>
        </w:tc>
        <w:tc>
          <w:tcPr>
            <w:tcW w:w="37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New York 10022</w:t>
            </w:r>
          </w:p>
        </w:tc>
        <w:tc>
          <w:tcPr>
            <w:tcW w:w="37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1"/>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Entities affiliated with Citadel Advisors LLC </w:t>
            </w:r>
            <w:r>
              <w:rPr>
                <w:rFonts w:ascii="Times New Roman" w:cs="Times New Roman" w:eastAsia="Times New Roman" w:hAnsi="Times New Roman"/>
                <w:sz w:val="9"/>
                <w:szCs w:val="9"/>
                <w:color w:val="auto"/>
              </w:rPr>
              <w:t>(20)</w:t>
            </w:r>
          </w:p>
        </w:tc>
        <w:tc>
          <w:tcPr>
            <w:tcW w:w="3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1,565,829</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5.62 %</w:t>
            </w:r>
          </w:p>
        </w:tc>
      </w:tr>
      <w:tr>
        <w:trPr>
          <w:trHeight w:val="21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Southeast Financial Center</w:t>
            </w:r>
          </w:p>
        </w:tc>
        <w:tc>
          <w:tcPr>
            <w:tcW w:w="37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Biscayne Blvd., Suite 300</w:t>
            </w:r>
          </w:p>
        </w:tc>
        <w:tc>
          <w:tcPr>
            <w:tcW w:w="372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23430" cy="557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23430" cy="5575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355" w:lineRule="exact"/>
        <w:rPr>
          <w:sz w:val="20"/>
          <w:szCs w:val="20"/>
          <w:color w:val="auto"/>
        </w:rPr>
      </w:pPr>
    </w:p>
    <w:p>
      <w:pPr>
        <w:ind w:left="400" w:hanging="374"/>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ectPr>
          <w:pgSz w:w="11900" w:h="16838" w:orient="portrait"/>
          <w:cols w:equalWidth="0" w:num="1">
            <w:col w:w="11220"/>
          </w:cols>
          <w:pgMar w:left="320" w:top="927" w:right="359" w:bottom="1440" w:gutter="0" w:footer="0" w:header="0"/>
        </w:sect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Based on 27,055,107 shares of common stock outstanding as of July 16, 2024. Percentages reported herein do not give effect to beneficial ownership blockers contained within outstanding common stock purchase warrants.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Number of shares beneficially held consists of (i) 31,362 shares of common stock, and (ii) stock options to purchase up to 110,119 shares of registered common stock exercisable within 60 days of July 16, 2024.</w:t>
      </w:r>
    </w:p>
    <w:p>
      <w:pPr>
        <w:spacing w:after="0" w:line="200" w:lineRule="exact"/>
        <w:rPr>
          <w:sz w:val="20"/>
          <w:szCs w:val="20"/>
          <w:color w:val="auto"/>
        </w:rPr>
      </w:pPr>
    </w:p>
    <w:p>
      <w:pPr>
        <w:sectPr>
          <w:pgSz w:w="11900" w:h="16838" w:orient="portrait"/>
          <w:cols w:equalWidth="0" w:num="2">
            <w:col w:w="160" w:space="240"/>
            <w:col w:w="10820"/>
          </w:cols>
          <w:pgMar w:left="320" w:top="927" w:right="359" w:bottom="1440" w:gutter="0" w:footer="0" w:header="0"/>
          <w:type w:val="continuous"/>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900"/>
        <w:spacing w:after="0" w:line="237" w:lineRule="auto"/>
        <w:rPr>
          <w:sz w:val="20"/>
          <w:szCs w:val="20"/>
          <w:color w:val="auto"/>
        </w:rPr>
      </w:pPr>
      <w:r>
        <w:rPr>
          <w:rFonts w:ascii="Times New Roman" w:cs="Times New Roman" w:eastAsia="Times New Roman" w:hAnsi="Times New Roman"/>
          <w:sz w:val="18"/>
          <w:szCs w:val="18"/>
          <w:color w:val="auto"/>
        </w:rPr>
        <w:t>Number of shares beneficially held consists of (i) 3,592 shares of common stock, and (ii) stock options to purchase up to 10,416 shares of registered common stock exercisable within 60 days of July 16, 2024.</w:t>
      </w:r>
    </w:p>
    <w:p>
      <w:pPr>
        <w:spacing w:after="0" w:line="13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Number of shares beneficially held consists of (i) 16,509 shares of common stock, and (ii) stock options to purchase up to 21,504 shares of registered common stock exercisable within 60 days of July 16, 2024.</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Number of shares beneficially held consists of of (i) 2,671 shares of common stock, and (ii) stock options to purchase up to 17,300 shares of registered common stock exercisable within 60 days of July 16, 2024.</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Number of shares beneficially held consists of stock options to purchase up to 12,084 shares of registered common stock exercisable within 60 days of July 16, 2024.</w:t>
      </w:r>
    </w:p>
    <w:p>
      <w:pPr>
        <w:spacing w:after="0" w:line="91" w:lineRule="exact"/>
        <w:rPr>
          <w:sz w:val="20"/>
          <w:szCs w:val="20"/>
          <w:color w:val="auto"/>
        </w:rPr>
      </w:pPr>
    </w:p>
    <w:p>
      <w:pPr>
        <w:sectPr>
          <w:pgSz w:w="11900" w:h="16838" w:orient="portrait"/>
          <w:cols w:equalWidth="0" w:num="2">
            <w:col w:w="160" w:space="240"/>
            <w:col w:w="10820"/>
          </w:cols>
          <w:pgMar w:left="320" w:top="927"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2"/>
          <w:szCs w:val="12"/>
          <w:color w:val="auto"/>
        </w:rPr>
        <w:t>(7)</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br w:type="column"/>
      </w:r>
    </w:p>
    <w:p>
      <w:pPr>
        <w:ind w:right="400"/>
        <w:spacing w:after="0" w:line="282" w:lineRule="auto"/>
        <w:rPr>
          <w:sz w:val="20"/>
          <w:szCs w:val="20"/>
          <w:color w:val="auto"/>
        </w:rPr>
      </w:pPr>
      <w:r>
        <w:rPr>
          <w:rFonts w:ascii="Times New Roman" w:cs="Times New Roman" w:eastAsia="Times New Roman" w:hAnsi="Times New Roman"/>
          <w:sz w:val="18"/>
          <w:szCs w:val="18"/>
          <w:color w:val="auto"/>
        </w:rPr>
        <w:t>Number of shares beneficially held consists of stock options to purchase up to 29,589 shares of registered common stock exercisable within 60 days of July 16, 2024.</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Number of shares beneficially held consists of stock options to purchase up to 12,084 shares of registered common stock exercisable within 60 days of July 16, 2024.</w:t>
      </w:r>
    </w:p>
    <w:p>
      <w:pPr>
        <w:spacing w:after="0" w:line="3" w:lineRule="exact"/>
        <w:rPr>
          <w:sz w:val="20"/>
          <w:szCs w:val="20"/>
          <w:color w:val="auto"/>
        </w:rPr>
      </w:pPr>
    </w:p>
    <w:p>
      <w:pPr>
        <w:sectPr>
          <w:pgSz w:w="11900" w:h="16838" w:orient="portrait"/>
          <w:cols w:equalWidth="0" w:num="2">
            <w:col w:w="160" w:space="240"/>
            <w:col w:w="10820"/>
          </w:cols>
          <w:pgMar w:left="320" w:top="927"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2"/>
          <w:szCs w:val="12"/>
          <w:color w:val="auto"/>
        </w:rPr>
        <w:t>(9)</w:t>
      </w:r>
    </w:p>
    <w:p>
      <w:pPr>
        <w:ind w:left="400" w:right="400"/>
        <w:spacing w:after="0" w:line="258" w:lineRule="auto"/>
        <w:rPr>
          <w:sz w:val="20"/>
          <w:szCs w:val="20"/>
          <w:color w:val="auto"/>
        </w:rPr>
      </w:pPr>
      <w:r>
        <w:rPr>
          <w:rFonts w:ascii="Times New Roman" w:cs="Times New Roman" w:eastAsia="Times New Roman" w:hAnsi="Times New Roman"/>
          <w:sz w:val="18"/>
          <w:szCs w:val="18"/>
          <w:color w:val="auto"/>
        </w:rPr>
        <w:t>Number of shares beneficially held consists of (i) 13,334 shares of common stock, of which 667 shares are held by Dr. Gin’s wife, and (ii) stock options to purchase up to 29,921 shares of registered common stock exercisable within 60 days of July 16, 2024.</w:t>
      </w:r>
    </w:p>
    <w:p>
      <w:pPr>
        <w:spacing w:after="0" w:line="129" w:lineRule="exact"/>
        <w:rPr>
          <w:sz w:val="20"/>
          <w:szCs w:val="20"/>
          <w:color w:val="auto"/>
        </w:rPr>
      </w:pPr>
    </w:p>
    <w:p>
      <w:pPr>
        <w:ind w:left="400" w:right="400" w:hanging="374"/>
        <w:spacing w:after="0" w:line="229" w:lineRule="auto"/>
        <w:tabs>
          <w:tab w:leader="none" w:pos="40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Number of shares beneficially held consists of stock options to purchase up to 12,084 shares of registered common stock exercisable within 60 days of July 16, 2024.</w:t>
      </w:r>
    </w:p>
    <w:p>
      <w:pPr>
        <w:sectPr>
          <w:pgSz w:w="11900" w:h="16838" w:orient="portrait"/>
          <w:cols w:equalWidth="0" w:num="1">
            <w:col w:w="11220"/>
          </w:cols>
          <w:pgMar w:left="320" w:top="92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type w:val="continuous"/>
        </w:sectPr>
      </w:pPr>
    </w:p>
    <w:bookmarkStart w:id="42" w:name="page43"/>
    <w:bookmarkEnd w:id="42"/>
    <w:p>
      <w:pPr>
        <w:ind w:left="380" w:right="20" w:hanging="374"/>
        <w:spacing w:after="0" w:line="229" w:lineRule="auto"/>
        <w:tabs>
          <w:tab w:leader="none" w:pos="38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Number of shares beneficially held consists of (i) 1,858 shares of common stock, and (ii) stock options to purchase up to 29,087 shares of registered common stock exercisable within 60 days of July 16, 2024.</w:t>
      </w:r>
    </w:p>
    <w:p>
      <w:pPr>
        <w:spacing w:after="0" w:line="144" w:lineRule="exact"/>
        <w:rPr>
          <w:rFonts w:ascii="Times New Roman" w:cs="Times New Roman" w:eastAsia="Times New Roman" w:hAnsi="Times New Roman"/>
          <w:sz w:val="23"/>
          <w:szCs w:val="23"/>
          <w:color w:val="auto"/>
          <w:vertAlign w:val="superscript"/>
        </w:rPr>
      </w:pPr>
    </w:p>
    <w:p>
      <w:pPr>
        <w:ind w:left="380" w:right="20" w:hanging="374"/>
        <w:spacing w:after="0" w:line="229" w:lineRule="auto"/>
        <w:tabs>
          <w:tab w:leader="none" w:pos="38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Number of shares beneficially held consists of an aggregate of (i) 69,326 shares of common stock, and (ii) stock options to purchase up to 284,188 shares of registered common stock exercisable within 60 days of July 16, 2024.</w:t>
      </w:r>
    </w:p>
    <w:p>
      <w:pPr>
        <w:sectPr>
          <w:pgSz w:w="11900" w:h="16838" w:orient="portrait"/>
          <w:cols w:equalWidth="0" w:num="1">
            <w:col w:w="10820"/>
          </w:cols>
          <w:pgMar w:left="340" w:top="1174" w:right="739" w:bottom="1440" w:gutter="0" w:footer="0" w:header="0"/>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color w:val="auto"/>
        </w:rPr>
        <w:t>Reported holdings based upon Amendment No. 1 to Schedule 13G filed by Commodore Capital LP (</w:t>
      </w:r>
      <w:r>
        <w:rPr>
          <w:rFonts w:ascii="Times New Roman" w:cs="Times New Roman" w:eastAsia="Times New Roman" w:hAnsi="Times New Roman"/>
          <w:sz w:val="18"/>
          <w:szCs w:val="18"/>
          <w:i w:val="1"/>
          <w:iCs w:val="1"/>
          <w:color w:val="auto"/>
        </w:rPr>
        <w:t>Commodore</w:t>
      </w:r>
      <w:r>
        <w:rPr>
          <w:rFonts w:ascii="Times New Roman" w:cs="Times New Roman" w:eastAsia="Times New Roman" w:hAnsi="Times New Roman"/>
          <w:sz w:val="18"/>
          <w:szCs w:val="18"/>
          <w:color w:val="auto"/>
        </w:rPr>
        <w:t>) on October 6, 2023 and Company records. Number of shares beneficially held consists of (i) 1,575,000 shares of common stock and (ii) up to 5,872,944 shares of common stock issuable upon exercise of certain warrants beneficially held by Commodore.</w:t>
      </w:r>
    </w:p>
    <w:p>
      <w:pPr>
        <w:spacing w:after="0" w:line="133"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color w:val="auto"/>
        </w:rPr>
        <w:t>Commodore is the investment manager to Commodore Capital Master LP (</w:t>
      </w:r>
      <w:r>
        <w:rPr>
          <w:rFonts w:ascii="Times New Roman" w:cs="Times New Roman" w:eastAsia="Times New Roman" w:hAnsi="Times New Roman"/>
          <w:sz w:val="18"/>
          <w:szCs w:val="18"/>
          <w:i w:val="1"/>
          <w:iCs w:val="1"/>
          <w:color w:val="auto"/>
        </w:rPr>
        <w:t>Commodore Master</w:t>
      </w:r>
      <w:r>
        <w:rPr>
          <w:rFonts w:ascii="Times New Roman" w:cs="Times New Roman" w:eastAsia="Times New Roman" w:hAnsi="Times New Roman"/>
          <w:sz w:val="18"/>
          <w:szCs w:val="18"/>
          <w:color w:val="auto"/>
        </w:rPr>
        <w:t>) and Messrs. Michael Kramarz and Robert Egen are the managing partners of Commodore. As such, Commodore, Mr. Kramarz and Mr. Egen may be deemed to beneficially own the shares beneficially held by Commodore Master.</w:t>
      </w:r>
    </w:p>
    <w:p>
      <w:pPr>
        <w:spacing w:after="0" w:line="13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Reported holdings based upon Schedule 13G filed by Biotechnology Value Fund L.P. (</w:t>
      </w:r>
      <w:r>
        <w:rPr>
          <w:rFonts w:ascii="Times New Roman" w:cs="Times New Roman" w:eastAsia="Times New Roman" w:hAnsi="Times New Roman"/>
          <w:sz w:val="18"/>
          <w:szCs w:val="18"/>
          <w:i w:val="1"/>
          <w:iCs w:val="1"/>
          <w:color w:val="auto"/>
        </w:rPr>
        <w:t>BVF</w:t>
      </w:r>
      <w:r>
        <w:rPr>
          <w:rFonts w:ascii="Times New Roman" w:cs="Times New Roman" w:eastAsia="Times New Roman" w:hAnsi="Times New Roman"/>
          <w:sz w:val="18"/>
          <w:szCs w:val="18"/>
          <w:color w:val="auto"/>
        </w:rPr>
        <w:t>) on October 16, 2023 and Company records. Number of shares beneficially held consists of (i) 1,969,854 shares of common stock and (ii) up to 3,872,944 shares of common stock issuable upon exercise of certain warrants beneficially held by BVF, Inc. and its affiliates.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Entities affiliated with BVF, Inc. consist of BVF, BVF I GP LLC (</w:t>
      </w:r>
      <w:r>
        <w:rPr>
          <w:rFonts w:ascii="Times New Roman" w:cs="Times New Roman" w:eastAsia="Times New Roman" w:hAnsi="Times New Roman"/>
          <w:sz w:val="18"/>
          <w:szCs w:val="18"/>
          <w:i w:val="1"/>
          <w:iCs w:val="1"/>
          <w:color w:val="auto"/>
        </w:rPr>
        <w:t>BVF GP</w:t>
      </w:r>
      <w:r>
        <w:rPr>
          <w:rFonts w:ascii="Times New Roman" w:cs="Times New Roman" w:eastAsia="Times New Roman" w:hAnsi="Times New Roman"/>
          <w:sz w:val="18"/>
          <w:szCs w:val="18"/>
          <w:color w:val="auto"/>
        </w:rPr>
        <w:t>), Biotechnology Value Fund II, L.P. (</w:t>
      </w:r>
      <w:r>
        <w:rPr>
          <w:rFonts w:ascii="Times New Roman" w:cs="Times New Roman" w:eastAsia="Times New Roman" w:hAnsi="Times New Roman"/>
          <w:sz w:val="18"/>
          <w:szCs w:val="18"/>
          <w:i w:val="1"/>
          <w:iCs w:val="1"/>
          <w:color w:val="auto"/>
        </w:rPr>
        <w:t>BVF2</w:t>
      </w:r>
      <w:r>
        <w:rPr>
          <w:rFonts w:ascii="Times New Roman" w:cs="Times New Roman" w:eastAsia="Times New Roman" w:hAnsi="Times New Roman"/>
          <w:sz w:val="18"/>
          <w:szCs w:val="18"/>
          <w:color w:val="auto"/>
        </w:rPr>
        <w:t>), BVF II GP LLC (</w:t>
      </w:r>
      <w:r>
        <w:rPr>
          <w:rFonts w:ascii="Times New Roman" w:cs="Times New Roman" w:eastAsia="Times New Roman" w:hAnsi="Times New Roman"/>
          <w:sz w:val="18"/>
          <w:szCs w:val="18"/>
          <w:i w:val="1"/>
          <w:iCs w:val="1"/>
          <w:color w:val="auto"/>
        </w:rPr>
        <w:t>BVF2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GP</w:t>
      </w:r>
      <w:r>
        <w:rPr>
          <w:rFonts w:ascii="Times New Roman" w:cs="Times New Roman" w:eastAsia="Times New Roman" w:hAnsi="Times New Roman"/>
          <w:sz w:val="18"/>
          <w:szCs w:val="18"/>
          <w:color w:val="auto"/>
        </w:rPr>
        <w:t>), Biotechnology Value Trading Fund OS LP (</w:t>
      </w:r>
      <w:r>
        <w:rPr>
          <w:rFonts w:ascii="Times New Roman" w:cs="Times New Roman" w:eastAsia="Times New Roman" w:hAnsi="Times New Roman"/>
          <w:sz w:val="18"/>
          <w:szCs w:val="18"/>
          <w:i w:val="1"/>
          <w:iCs w:val="1"/>
          <w:color w:val="auto"/>
        </w:rPr>
        <w:t>Trading Fund OS</w:t>
      </w:r>
      <w:r>
        <w:rPr>
          <w:rFonts w:ascii="Times New Roman" w:cs="Times New Roman" w:eastAsia="Times New Roman" w:hAnsi="Times New Roman"/>
          <w:sz w:val="18"/>
          <w:szCs w:val="18"/>
          <w:color w:val="auto"/>
        </w:rPr>
        <w:t>), BVF Partners OS Ltd. (</w:t>
      </w:r>
      <w:r>
        <w:rPr>
          <w:rFonts w:ascii="Times New Roman" w:cs="Times New Roman" w:eastAsia="Times New Roman" w:hAnsi="Times New Roman"/>
          <w:sz w:val="18"/>
          <w:szCs w:val="18"/>
          <w:i w:val="1"/>
          <w:iCs w:val="1"/>
          <w:color w:val="auto"/>
        </w:rPr>
        <w:t>Partners OS</w:t>
      </w:r>
      <w:r>
        <w:rPr>
          <w:rFonts w:ascii="Times New Roman" w:cs="Times New Roman" w:eastAsia="Times New Roman" w:hAnsi="Times New Roman"/>
          <w:sz w:val="18"/>
          <w:szCs w:val="18"/>
          <w:color w:val="auto"/>
        </w:rPr>
        <w:t>), BVF GP Holdings LLC (</w:t>
      </w:r>
      <w:r>
        <w:rPr>
          <w:rFonts w:ascii="Times New Roman" w:cs="Times New Roman" w:eastAsia="Times New Roman" w:hAnsi="Times New Roman"/>
          <w:sz w:val="18"/>
          <w:szCs w:val="18"/>
          <w:i w:val="1"/>
          <w:iCs w:val="1"/>
          <w:color w:val="auto"/>
        </w:rPr>
        <w:t>BVF GPH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BVF Partners L.P. (</w:t>
      </w:r>
      <w:r>
        <w:rPr>
          <w:rFonts w:ascii="Times New Roman" w:cs="Times New Roman" w:eastAsia="Times New Roman" w:hAnsi="Times New Roman"/>
          <w:sz w:val="18"/>
          <w:szCs w:val="18"/>
          <w:i w:val="1"/>
          <w:iCs w:val="1"/>
          <w:color w:val="auto"/>
        </w:rPr>
        <w:t>Partners</w:t>
      </w:r>
      <w:r>
        <w:rPr>
          <w:rFonts w:ascii="Times New Roman" w:cs="Times New Roman" w:eastAsia="Times New Roman" w:hAnsi="Times New Roman"/>
          <w:sz w:val="18"/>
          <w:szCs w:val="18"/>
          <w:color w:val="auto"/>
        </w:rPr>
        <w:t>). BVF GP is the general partner of BVF and may be deemed to beneficially own the shares held by BVF. BVF2 GP is the general partner of BVF2 and may be deemed to beneficially own the shares held by BVF2. Partners OS is the general partner of Trading Fund OS and may be deemed to beneficially own the shares held by Trading Fund OS. BVF GPH is the sole member of each of BVF GP and BVF2 GP, and may be deemed to beneficially own in the aggregate the shares held by BVF and BVF2. Partners is the investment manager of BVF, BVF2 and Trading Fund OS, and is the sole member of Partners OS and may be deemed to beneficially own in the aggregate shares held by BVF, BVF2 and Trading Fund OS. BVF, Inc. is the general partner of Partners and may be deemed to beneficially own the shares held by Partners. Mr. Mark N. Lampert is a director and officer of BVF, Inc and may be deemed to beneficially own the shares held by BVF, Inc.</w:t>
      </w:r>
    </w:p>
    <w:p>
      <w:pPr>
        <w:spacing w:after="0" w:line="131" w:lineRule="exact"/>
        <w:rPr>
          <w:sz w:val="20"/>
          <w:szCs w:val="20"/>
          <w:color w:val="auto"/>
        </w:rPr>
      </w:pPr>
    </w:p>
    <w:p>
      <w:pPr>
        <w:sectPr>
          <w:pgSz w:w="11900" w:h="16838" w:orient="portrait"/>
          <w:cols w:equalWidth="0" w:num="2">
            <w:col w:w="200" w:space="180"/>
            <w:col w:w="10440"/>
          </w:cols>
          <w:pgMar w:left="340" w:top="1174" w:right="739" w:bottom="1440" w:gutter="0" w:footer="0" w:header="0"/>
          <w:type w:val="continuous"/>
        </w:sectPr>
      </w:pPr>
    </w:p>
    <w:p>
      <w:pPr>
        <w:jc w:val="both"/>
        <w:ind w:left="380" w:right="20" w:hanging="374"/>
        <w:spacing w:after="0" w:line="236" w:lineRule="auto"/>
        <w:tabs>
          <w:tab w:leader="none" w:pos="38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Reported holdings based upon Schedule 13G filed by TCG Crossover GP II, LLC (</w:t>
      </w:r>
      <w:r>
        <w:rPr>
          <w:rFonts w:ascii="Times New Roman" w:cs="Times New Roman" w:eastAsia="Times New Roman" w:hAnsi="Times New Roman"/>
          <w:sz w:val="18"/>
          <w:szCs w:val="18"/>
          <w:i w:val="1"/>
          <w:iCs w:val="1"/>
          <w:color w:val="auto"/>
        </w:rPr>
        <w:t>TCG Crossover</w:t>
      </w:r>
      <w:r>
        <w:rPr>
          <w:rFonts w:ascii="Times New Roman" w:cs="Times New Roman" w:eastAsia="Times New Roman" w:hAnsi="Times New Roman"/>
          <w:sz w:val="18"/>
          <w:szCs w:val="18"/>
          <w:color w:val="auto"/>
        </w:rPr>
        <w:t>) on October 16, 2023 and Company records. Number of shares beneficially held consists of (i) 2,007,435 shares of common stock and (ii) up to 2,220,302 shares of common stock issuable upon exercise of certain warrants beneficially held by TCG Crossover.</w:t>
      </w:r>
    </w:p>
    <w:p>
      <w:pPr>
        <w:sectPr>
          <w:pgSz w:w="11900" w:h="16838" w:orient="portrait"/>
          <w:cols w:equalWidth="0" w:num="1">
            <w:col w:w="10820"/>
          </w:cols>
          <w:pgMar w:left="340" w:top="1174"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TCG Crossover is the General Partner of TCG Crossover Fund II, L.P. and Dr. Chen Yu is the Managing Member of TCG Crossover. As such, TCG Crossover and Dr. Yu may be deemed to beneficially own the shares beneficially held by TCG Crossover.</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Reported holdings based upon Amendment No. 1 to Schedule 13G filed by Great Point Partners, LLC (</w:t>
      </w:r>
      <w:r>
        <w:rPr>
          <w:rFonts w:ascii="Times New Roman" w:cs="Times New Roman" w:eastAsia="Times New Roman" w:hAnsi="Times New Roman"/>
          <w:sz w:val="18"/>
          <w:szCs w:val="18"/>
          <w:i w:val="1"/>
          <w:iCs w:val="1"/>
          <w:color w:val="auto"/>
        </w:rPr>
        <w:t>Great Point</w:t>
      </w:r>
      <w:r>
        <w:rPr>
          <w:rFonts w:ascii="Times New Roman" w:cs="Times New Roman" w:eastAsia="Times New Roman" w:hAnsi="Times New Roman"/>
          <w:sz w:val="18"/>
          <w:szCs w:val="18"/>
          <w:color w:val="auto"/>
        </w:rPr>
        <w:t>) on February 14, 2024 and Company records. Number of shares beneficially held consists of (i) 1,858,735 shares of common stock and (ii) up to 2,055,834 shares of common stock issuable upon exercise of certain warrants beneficially held by Great Point.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 Jeffrey R. Jay, M.D. is the Senior Managing Director of Great Point and Mr. Ortav Yehudai is the Managing Director of Great Point. As such, Dr. Jay and Mr. Yehudai may be deemed to beneficially own the shares beneficially held by Great Point.</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Reported holdings based upon Schedule 13G filed by Nantahala Capital Management, LLC (</w:t>
      </w:r>
      <w:r>
        <w:rPr>
          <w:rFonts w:ascii="Times New Roman" w:cs="Times New Roman" w:eastAsia="Times New Roman" w:hAnsi="Times New Roman"/>
          <w:sz w:val="18"/>
          <w:szCs w:val="18"/>
          <w:i w:val="1"/>
          <w:iCs w:val="1"/>
          <w:color w:val="auto"/>
        </w:rPr>
        <w:t>Nantahala</w:t>
      </w:r>
      <w:r>
        <w:rPr>
          <w:rFonts w:ascii="Times New Roman" w:cs="Times New Roman" w:eastAsia="Times New Roman" w:hAnsi="Times New Roman"/>
          <w:sz w:val="18"/>
          <w:szCs w:val="18"/>
          <w:color w:val="auto"/>
        </w:rPr>
        <w:t>) on February 14, 2024 and Company records. Number of shares beneficially held consists of (i) 1,816,730 shares of common stock and (ii) up to 1,449,931 shares of common stock issuable upon exercise of certain warrants beneficially held by Nantahala and Blackwell Partners LLC-Series A, a fund advised by Nantahala.</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Messrs. Wilmot B. Harkey and Daniel Mack are the managing members of Nantahala and, as such, may be deemed to beneficially own the shares beneficially held by Nantahala.</w:t>
      </w:r>
    </w:p>
    <w:p>
      <w:pPr>
        <w:spacing w:after="0" w:line="200" w:lineRule="exact"/>
        <w:rPr>
          <w:sz w:val="20"/>
          <w:szCs w:val="20"/>
          <w:color w:val="auto"/>
        </w:rPr>
      </w:pPr>
    </w:p>
    <w:p>
      <w:pPr>
        <w:sectPr>
          <w:pgSz w:w="11900" w:h="16838" w:orient="portrait"/>
          <w:cols w:equalWidth="0" w:num="2">
            <w:col w:w="200" w:space="180"/>
            <w:col w:w="10440"/>
          </w:cols>
          <w:pgMar w:left="340" w:top="1174"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174" w:right="739" w:bottom="1440" w:gutter="0" w:footer="0" w:header="0"/>
          <w:type w:val="continuous"/>
        </w:sectPr>
      </w:pPr>
    </w:p>
    <w:bookmarkStart w:id="43" w:name="page44"/>
    <w:bookmarkEnd w:id="43"/>
    <w:p>
      <w:pPr>
        <w:ind w:left="20"/>
        <w:spacing w:after="0"/>
        <w:rPr>
          <w:sz w:val="20"/>
          <w:szCs w:val="20"/>
          <w:color w:val="auto"/>
        </w:rPr>
      </w:pPr>
      <w:r>
        <w:rPr>
          <w:rFonts w:ascii="Times New Roman" w:cs="Times New Roman" w:eastAsia="Times New Roman" w:hAnsi="Times New Roman"/>
          <w:sz w:val="12"/>
          <w:szCs w:val="12"/>
          <w:color w:val="auto"/>
        </w:rPr>
        <w:t>(18)</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holdings based upon Schedule 13G filed by The Vanguard Group (</w:t>
      </w:r>
      <w:r>
        <w:rPr>
          <w:rFonts w:ascii="Times New Roman" w:cs="Times New Roman" w:eastAsia="Times New Roman" w:hAnsi="Times New Roman"/>
          <w:sz w:val="18"/>
          <w:szCs w:val="18"/>
          <w:i w:val="1"/>
          <w:iCs w:val="1"/>
          <w:color w:val="auto"/>
        </w:rPr>
        <w:t>Vanguard</w:t>
      </w:r>
      <w:r>
        <w:rPr>
          <w:rFonts w:ascii="Times New Roman" w:cs="Times New Roman" w:eastAsia="Times New Roman" w:hAnsi="Times New Roman"/>
          <w:sz w:val="18"/>
          <w:szCs w:val="18"/>
          <w:color w:val="auto"/>
        </w:rPr>
        <w:t>) on February 14, 2024.</w:t>
      </w:r>
    </w:p>
    <w:p>
      <w:pPr>
        <w:spacing w:after="0" w:line="171" w:lineRule="exact"/>
        <w:rPr>
          <w:sz w:val="20"/>
          <w:szCs w:val="20"/>
          <w:color w:val="auto"/>
        </w:rPr>
      </w:pPr>
    </w:p>
    <w:p>
      <w:pPr>
        <w:jc w:val="both"/>
        <w:ind w:right="420"/>
        <w:spacing w:after="0" w:line="267" w:lineRule="auto"/>
        <w:rPr>
          <w:sz w:val="20"/>
          <w:szCs w:val="20"/>
          <w:color w:val="auto"/>
        </w:rPr>
      </w:pPr>
      <w:r>
        <w:rPr>
          <w:rFonts w:ascii="Times New Roman" w:cs="Times New Roman" w:eastAsia="Times New Roman" w:hAnsi="Times New Roman"/>
          <w:sz w:val="18"/>
          <w:szCs w:val="18"/>
          <w:color w:val="auto"/>
        </w:rPr>
        <w:t>Reported holdings based upon Schedule 13G filed by StemPoint Capital LP (</w:t>
      </w:r>
      <w:r>
        <w:rPr>
          <w:rFonts w:ascii="Times New Roman" w:cs="Times New Roman" w:eastAsia="Times New Roman" w:hAnsi="Times New Roman"/>
          <w:sz w:val="18"/>
          <w:szCs w:val="18"/>
          <w:i w:val="1"/>
          <w:iCs w:val="1"/>
          <w:color w:val="auto"/>
        </w:rPr>
        <w:t>StemPoint</w:t>
      </w:r>
      <w:r>
        <w:rPr>
          <w:rFonts w:ascii="Times New Roman" w:cs="Times New Roman" w:eastAsia="Times New Roman" w:hAnsi="Times New Roman"/>
          <w:sz w:val="18"/>
          <w:szCs w:val="18"/>
          <w:color w:val="auto"/>
        </w:rPr>
        <w:t>) on February 12, 2024 and Company records. Number of shares beneficially held consists of (i) 1,173,433 shares of common stock and (ii) up to 616,749 shares of common stock issuable upon exercise of certain warrants beneficially held by StemPoint.</w:t>
      </w:r>
    </w:p>
    <w:p>
      <w:pPr>
        <w:spacing w:after="0" w:line="173" w:lineRule="exact"/>
        <w:rPr>
          <w:sz w:val="20"/>
          <w:szCs w:val="20"/>
          <w:color w:val="auto"/>
        </w:rPr>
      </w:pPr>
    </w:p>
    <w:p>
      <w:pPr>
        <w:jc w:val="both"/>
        <w:ind w:right="420"/>
        <w:spacing w:after="0" w:line="284" w:lineRule="auto"/>
        <w:rPr>
          <w:sz w:val="20"/>
          <w:szCs w:val="20"/>
          <w:color w:val="auto"/>
        </w:rPr>
      </w:pPr>
      <w:r>
        <w:rPr>
          <w:rFonts w:ascii="Times New Roman" w:cs="Times New Roman" w:eastAsia="Times New Roman" w:hAnsi="Times New Roman"/>
          <w:sz w:val="18"/>
          <w:szCs w:val="18"/>
          <w:color w:val="auto"/>
        </w:rPr>
        <w:t>StemPoint Capital Management GP LLC (</w:t>
      </w:r>
      <w:r>
        <w:rPr>
          <w:rFonts w:ascii="Times New Roman" w:cs="Times New Roman" w:eastAsia="Times New Roman" w:hAnsi="Times New Roman"/>
          <w:sz w:val="18"/>
          <w:szCs w:val="18"/>
          <w:i w:val="1"/>
          <w:iCs w:val="1"/>
          <w:color w:val="auto"/>
        </w:rPr>
        <w:t>StemPoint GP</w:t>
      </w:r>
      <w:r>
        <w:rPr>
          <w:rFonts w:ascii="Times New Roman" w:cs="Times New Roman" w:eastAsia="Times New Roman" w:hAnsi="Times New Roman"/>
          <w:sz w:val="18"/>
          <w:szCs w:val="18"/>
          <w:color w:val="auto"/>
        </w:rPr>
        <w:t>) is the General Partner of StemPoint and Ms. Michelle Ross is the Managing Partner of StemPoint GP. As such, StemPoint GP and Ms. Ross may be deemed to beneficially own the shares beneficially held by StemPoint.</w:t>
      </w:r>
    </w:p>
    <w:p>
      <w:pPr>
        <w:spacing w:after="0" w:line="118" w:lineRule="exact"/>
        <w:rPr>
          <w:sz w:val="20"/>
          <w:szCs w:val="20"/>
          <w:color w:val="auto"/>
        </w:rPr>
      </w:pPr>
    </w:p>
    <w:p>
      <w:pPr>
        <w:jc w:val="both"/>
        <w:ind w:right="420"/>
        <w:spacing w:after="0" w:line="267" w:lineRule="auto"/>
        <w:rPr>
          <w:sz w:val="20"/>
          <w:szCs w:val="20"/>
          <w:color w:val="auto"/>
        </w:rPr>
      </w:pPr>
      <w:r>
        <w:rPr>
          <w:rFonts w:ascii="Times New Roman" w:cs="Times New Roman" w:eastAsia="Times New Roman" w:hAnsi="Times New Roman"/>
          <w:sz w:val="18"/>
          <w:szCs w:val="18"/>
          <w:color w:val="auto"/>
        </w:rPr>
        <w:t>Reported holdings based upon Amendment No. 1 to Schedule 13G filed by Citadel Advisors LLC (</w:t>
      </w:r>
      <w:r>
        <w:rPr>
          <w:rFonts w:ascii="Times New Roman" w:cs="Times New Roman" w:eastAsia="Times New Roman" w:hAnsi="Times New Roman"/>
          <w:sz w:val="18"/>
          <w:szCs w:val="18"/>
          <w:i w:val="1"/>
          <w:iCs w:val="1"/>
          <w:color w:val="auto"/>
        </w:rPr>
        <w:t>Citadel Advisors</w:t>
      </w:r>
      <w:r>
        <w:rPr>
          <w:rFonts w:ascii="Times New Roman" w:cs="Times New Roman" w:eastAsia="Times New Roman" w:hAnsi="Times New Roman"/>
          <w:sz w:val="18"/>
          <w:szCs w:val="18"/>
          <w:color w:val="auto"/>
        </w:rPr>
        <w:t>) on February 14, 2024 and Company records. Number of shares beneficially held consists of (i) 743,495 shares of common stock and (ii) up to 822,334 shares of common stock issuable upon exercise of certain warrants beneficially held by Citadel Advisors and its affiliates.</w:t>
      </w:r>
    </w:p>
    <w:p>
      <w:pPr>
        <w:spacing w:after="0" w:line="173"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Entities affiliated with Citadel Advisors consist of Citadel Advisors Holdings LP (</w:t>
      </w:r>
      <w:r>
        <w:rPr>
          <w:rFonts w:ascii="Times New Roman" w:cs="Times New Roman" w:eastAsia="Times New Roman" w:hAnsi="Times New Roman"/>
          <w:sz w:val="18"/>
          <w:szCs w:val="18"/>
          <w:i w:val="1"/>
          <w:iCs w:val="1"/>
          <w:color w:val="auto"/>
        </w:rPr>
        <w:t>CAH</w:t>
      </w:r>
      <w:r>
        <w:rPr>
          <w:rFonts w:ascii="Times New Roman" w:cs="Times New Roman" w:eastAsia="Times New Roman" w:hAnsi="Times New Roman"/>
          <w:sz w:val="18"/>
          <w:szCs w:val="18"/>
          <w:color w:val="auto"/>
        </w:rPr>
        <w:t>) and Citadel GP LLC (</w:t>
      </w:r>
      <w:r>
        <w:rPr>
          <w:rFonts w:ascii="Times New Roman" w:cs="Times New Roman" w:eastAsia="Times New Roman" w:hAnsi="Times New Roman"/>
          <w:sz w:val="18"/>
          <w:szCs w:val="18"/>
          <w:i w:val="1"/>
          <w:iCs w:val="1"/>
          <w:color w:val="auto"/>
        </w:rPr>
        <w:t>CGP</w:t>
      </w:r>
      <w:r>
        <w:rPr>
          <w:rFonts w:ascii="Times New Roman" w:cs="Times New Roman" w:eastAsia="Times New Roman" w:hAnsi="Times New Roman"/>
          <w:sz w:val="18"/>
          <w:szCs w:val="18"/>
          <w:color w:val="auto"/>
        </w:rPr>
        <w:t>). CAH is the sole member of Citadel Advisors, and CGP is the general partner of CAH. Mr. Kenneth Griffin is the President and Chief Executive Officer of CGP, and owns a controlling interest in CGP. As such, Mr. Griffin may be deemed to beneficially own the shares beneficially held by Citadel Advisors and its affiliates.</w:t>
      </w:r>
    </w:p>
    <w:p>
      <w:pPr>
        <w:spacing w:after="0" w:line="200" w:lineRule="exact"/>
        <w:rPr>
          <w:sz w:val="20"/>
          <w:szCs w:val="20"/>
          <w:color w:val="auto"/>
        </w:rPr>
      </w:pPr>
    </w:p>
    <w:p>
      <w:pPr>
        <w:sectPr>
          <w:pgSz w:w="11900" w:h="16838" w:orient="portrait"/>
          <w:cols w:equalWidth="0" w:num="2">
            <w:col w:w="220" w:space="180"/>
            <w:col w:w="10840"/>
          </w:cols>
          <w:pgMar w:left="320" w:top="887" w:right="339"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of July 16, 2024, options to purchase a total of 2,907,125 registered shares of our common stock were outstanding at a weighted average exercise price of $11.83 per share, of which options to purchase 784,186 shares of our common stock were vested and exercisable at a weighted average exercise price of $32.28 per share and options to purchase 2,122,939 shares were unvested and not exercisable at a weighted average exercise price of $4.28 per share. These options were issued under our 2019 Plan and under our Amended and Restated 2016 Stock Incentive Plan, formerly titled the 2008 Stock Incentive Plan (the </w:t>
      </w: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18"/>
          <w:szCs w:val="18"/>
          <w:color w:val="auto"/>
        </w:rPr>
        <w:t>), as described below. At July 16, 2024, as a result of stockholder approval in May 2024 of an increase in the number of shares available for issuance under the 2019 Plan from 1.0 million shares to 5.0 million shares, an additional 2,374,670 shares remained available for future equity grants under our 2019 Plan, and no new awards are available for grant under our 2016 Plan.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awards outstanding under the 2016 Plan and the 2019 Plan, as well as shares available for issuance under the 2019 Plan and our 2019 ESPP as of March 31, 2024. The following information does not reflect issuances or exercises under the 2016 Plan, 2019 Plan or the 2019 ESPP subsequent to March 31, 2024, and does not reflect the stockholder approved increase in shares available for grant under the 2019 Plan and 2019 ESPP as discussed above.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all share references and related information, including stock option exercise prices, have been revised to give effect to the 1-for-30 reverse stock split of our issued and outstanding common stock effected on June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available for</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future</w:t>
            </w: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 under</w:t>
            </w: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vMerge w:val="restart"/>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56"/>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vMerge w:val="restart"/>
          </w:tcPr>
          <w:p>
            <w:pPr>
              <w:jc w:val="right"/>
              <w:ind w:right="301"/>
              <w:spacing w:after="0" w:line="162" w:lineRule="exact"/>
              <w:rPr>
                <w:sz w:val="20"/>
                <w:szCs w:val="20"/>
                <w:color w:val="auto"/>
              </w:rPr>
            </w:pPr>
            <w:r>
              <w:rPr>
                <w:rFonts w:ascii="Times New Roman" w:cs="Times New Roman" w:eastAsia="Times New Roman" w:hAnsi="Times New Roman"/>
                <w:sz w:val="16"/>
                <w:szCs w:val="16"/>
                <w:b w:val="1"/>
                <w:bCs w:val="1"/>
                <w:color w:val="auto"/>
              </w:rPr>
              <w:t>securities to be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w:t>
            </w:r>
          </w:p>
        </w:tc>
        <w:tc>
          <w:tcPr>
            <w:tcW w:w="0" w:type="dxa"/>
            <w:vAlign w:val="bottom"/>
          </w:tcPr>
          <w:p>
            <w:pPr>
              <w:spacing w:after="0" w:line="20" w:lineRule="exact"/>
              <w:rPr>
                <w:sz w:val="1"/>
                <w:szCs w:val="1"/>
                <w:color w:val="auto"/>
              </w:rPr>
            </w:pPr>
          </w:p>
        </w:tc>
      </w:t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issued upon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jc w:val="center"/>
              <w:ind w:right="360"/>
              <w:spacing w:after="0" w:line="175" w:lineRule="exact"/>
              <w:rPr>
                <w:sz w:val="20"/>
                <w:szCs w:val="20"/>
                <w:color w:val="auto"/>
              </w:rPr>
            </w:pPr>
            <w:r>
              <w:rPr>
                <w:rFonts w:ascii="Times New Roman" w:cs="Times New Roman" w:eastAsia="Times New Roman" w:hAnsi="Times New Roman"/>
                <w:sz w:val="16"/>
                <w:szCs w:val="16"/>
                <w:b w:val="1"/>
                <w:bCs w:val="1"/>
                <w:color w:val="auto"/>
              </w:rPr>
              <w:t>of outstanding</w:t>
            </w:r>
          </w:p>
        </w:tc>
        <w:tc>
          <w:tcPr>
            <w:tcW w:w="18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(excluding</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options,</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warrants and</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w:t>
            </w:r>
          </w:p>
        </w:tc>
        <w:tc>
          <w:tcPr>
            <w:tcW w:w="0" w:type="dxa"/>
            <w:vAlign w:val="bottom"/>
          </w:tcPr>
          <w:p>
            <w:pPr>
              <w:spacing w:after="0"/>
              <w:rPr>
                <w:sz w:val="1"/>
                <w:szCs w:val="1"/>
                <w:color w:val="auto"/>
              </w:rPr>
            </w:pPr>
          </w:p>
        </w:tc>
      </w:tr>
      <w:tr>
        <w:trPr>
          <w:trHeight w:val="106"/>
        </w:trPr>
        <w:tc>
          <w:tcPr>
            <w:tcW w:w="5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warrants and</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rights</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column (a)</w:t>
            </w: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rights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8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(b)</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line="20" w:lineRule="exact"/>
              <w:rPr>
                <w:sz w:val="1"/>
                <w:szCs w:val="1"/>
                <w:color w:val="auto"/>
              </w:rPr>
            </w:pPr>
          </w:p>
        </w:tc>
      </w:tr>
      <w:tr>
        <w:trPr>
          <w:trHeight w:val="214"/>
        </w:trPr>
        <w:tc>
          <w:tcPr>
            <w:tcW w:w="5600" w:type="dxa"/>
            <w:vAlign w:val="bottom"/>
            <w:gridSpan w:val="2"/>
            <w:vMerge w:val="continue"/>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2019 Plan and 2016 Plan</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815,357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466,438</w:t>
            </w:r>
          </w:p>
        </w:tc>
        <w:tc>
          <w:tcPr>
            <w:tcW w:w="0" w:type="dxa"/>
            <w:vAlign w:val="bottom"/>
          </w:tcPr>
          <w:p>
            <w:pPr>
              <w:spacing w:after="0"/>
              <w:rPr>
                <w:sz w:val="1"/>
                <w:szCs w:val="1"/>
                <w:color w:val="auto"/>
              </w:rPr>
            </w:pPr>
          </w:p>
        </w:tc>
      </w:tr>
      <w:tr>
        <w:trPr>
          <w:trHeight w:val="21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 ESPP</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19,480</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815,357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485,918</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2016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unanimously approved the Company’s 2016 Plan on July 26, 2016, and it was approved by our stockholders at our 2016 Annual Meeting of Stockholders on September 26, 2016, and further amended to increase the number of shares authorized for issuance therefrom at our 2017 Annual Meeting of Stockholders on September 15, 2017. The 2016 Plan provided for the grant of stock options, restricted shares of common stock, stock appreciation rights and dividend equivalent rights, collectively referred to as “Awards”. Stock options granted under the 2016 Plan were either incentive stock options under the provisions of Section 422 of the Code, or non-qualified stock options. We could grant incentive stock options only to employees of the Company or any parent or subsidiary of the Company. Awards other than incentive stock options could be granted to employees, directors and consultants. A total of 333,334 shares of our common stock were authorized for issuance under the 2016 Plan, of which options to purchase approximately 215,828 shares remained outstanding at March 31, 2023. Upon the adoption of our 2019 Plan, no further grants were permissible under the 2016 Plan and approximately 46,667 authorized shares were transferred to the 2019 Plan and became issuable thereunder. All options granted from the 2016 Plan remain operative under the terms of the respective grants.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2019 Plan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Below is a summary of the terms and conditions of the 2019 Plan. Unless otherwise indicated, all capitalized terms shall have the same meaning as defined in the 2019 Plan.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and</w:t>
            </w:r>
          </w:p>
        </w:tc>
        <w:tc>
          <w:tcPr>
            <w:tcW w:w="9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Eligible   </w:t>
            </w:r>
            <w:r>
              <w:rPr>
                <w:rFonts w:ascii="Times New Roman" w:cs="Times New Roman" w:eastAsia="Times New Roman" w:hAnsi="Times New Roman"/>
                <w:sz w:val="18"/>
                <w:szCs w:val="18"/>
                <w:color w:val="auto"/>
              </w:rPr>
              <w:t>The 2019 Plan is designed to secure and retain the services of our employees, non-employee directors and consultants,</w:t>
            </w:r>
          </w:p>
        </w:tc>
      </w:tr>
      <w:tr>
        <w:trPr>
          <w:trHeight w:val="2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Participants</w:t>
            </w:r>
          </w:p>
        </w:tc>
        <w:tc>
          <w:tcPr>
            <w:tcW w:w="520" w:type="dxa"/>
            <w:vAlign w:val="bottom"/>
            <w:shd w:val="clear" w:color="auto" w:fill="CCEEFF"/>
          </w:tcPr>
          <w:p>
            <w:pPr>
              <w:spacing w:after="0"/>
              <w:rPr>
                <w:sz w:val="21"/>
                <w:szCs w:val="21"/>
                <w:color w:val="auto"/>
              </w:rPr>
            </w:pPr>
          </w:p>
        </w:tc>
        <w:tc>
          <w:tcPr>
            <w:tcW w:w="97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 provide incentives for such persons to exert maximum efforts for the success of the Company and our affiliates, and</w:t>
            </w:r>
          </w:p>
        </w:tc>
      </w:tr>
      <w:tr>
        <w:trPr>
          <w:trHeight w:val="216"/>
        </w:trPr>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7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 provide a means by which such persons may be given an opportunity to benefit from increases in the value of our</w:t>
            </w:r>
          </w:p>
        </w:tc>
      </w:tr>
      <w:tr>
        <w:trPr>
          <w:trHeight w:val="234"/>
        </w:trPr>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7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common stock. The 2019 Plan is also designed to align employees’ interests with stockholder interests.</w:t>
            </w:r>
          </w:p>
        </w:tc>
      </w:tr>
      <w:tr>
        <w:trPr>
          <w:trHeight w:val="414"/>
        </w:trPr>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7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The 2019 Plan provides for the grant of stock options, stock appreciation rights (</w:t>
            </w: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restricted stock, restricted stock</w:t>
            </w:r>
          </w:p>
        </w:tc>
      </w:tr>
      <w:tr>
        <w:trPr>
          <w:trHeight w:val="216"/>
        </w:trPr>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7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units, and other stock-based awards, and performance awards, collectively referred to as “Awards”. Awards may be</w:t>
            </w:r>
          </w:p>
        </w:tc>
      </w:tr>
      <w:tr>
        <w:trPr>
          <w:trHeight w:val="216"/>
        </w:trPr>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7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granted under the 2019 Plan to officers, employees and consultants of the Company and our subsidiaries and to our non-</w:t>
            </w:r>
          </w:p>
        </w:tc>
      </w:tr>
      <w:tr>
        <w:trPr>
          <w:trHeight w:val="216"/>
        </w:trPr>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7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employee directors. Incentive stock options may be granted only to employees of the Company or one of our</w:t>
            </w:r>
          </w:p>
        </w:tc>
      </w:tr>
      <w:tr>
        <w:trPr>
          <w:trHeight w:val="234"/>
        </w:trPr>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7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subsidiaries.</w:t>
            </w:r>
          </w:p>
        </w:tc>
      </w:tr>
      <w:tr>
        <w:trPr>
          <w:trHeight w:val="243"/>
        </w:trPr>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74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2019 Plan is administered by the Compensation Committee of the Board. The Compensation Committee, in its discretion, selects the individuals to whom awards may be granted, the time or times at which such awards are granted, and the terms of such awards. The Compensation Committee may delegate its authority to the extent permitted by applicable law.</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sets stock option exercise prices and terms, except that stock options must be granted with an exercise price not less than 100% of the fair market value of the common stock on the date of grant. The Compensation Committee may grant either incentive stock options, which must comply with Section 422 of the Code, or nonqualified stock options. At the time of grant, the Compensation Committee determines the terms and conditions of stock options, including the quantity, exercise price, vesting periods, term (which cannot exceed ten years) and other conditions on exercise.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may grant SARs as a right in tandem with the number of shares underlying stock options granted under the 2019 Plan or as a freestanding award. Upon exercise, SARs entitle the holder to receive payment per share in stock or cash, or in a combination of stock and cash, equal to the excess of the share’s fair market value on the date of exercise over the grant price of the SAR.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may also grant awards of restricted stock, which are shares of common stock subject to specified restrictions, and restricted stock units, which represent the right to receive shares of common stock in the future. These awards may be made subject to repurchase, forfeiture or vesting restrictions at the Compensation Committee’s discretion. The restrictions may be based on continuous service with the Company or the attainment of specified performance goals, as determined by the Compensation Committee. Stock units may be paid in stock or cash or a combination of stock and cash, as determined by the Compensation Committee.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may condition the grant, exercise, vesting, or settlement of any award on such performance conditions as it may specify. We refer to these awards as “performance awards.” The Compensation Committee may select such business criteria or other performance measures as it may deem appropriate in establishing any performance conditions. At March 31, 2024, the Compensation Committee has not granted any 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145415</wp:posOffset>
            </wp:positionV>
            <wp:extent cx="7132320" cy="9944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a total of 5.0 million shares of common stock is authorized for issuance under the 2019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any award under the 2019 Plan is canceled, terminates, expires or lapses for any reason prior to the issuance of shares or if shares are issued under the 2019 Plan and thereafter are forfeited to us, the shares subject to such awards and the forfeited shares will again be available for grant under the 2019 Plan.</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more than 25% of any equity-based awards granted under the 2019 Plan may vest on the grant date of such award. The Board believes this provision provides the Company the necessary flexibility to issue Awards that will both attract new talent, particularly as the Company advances its late-stage clinical development and commercialization plans for its drug candidates and provide incentives sufficient to retain the Company’s existing employees and directors.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requirement does not apply to (i) substitute awards resulting from acquisitions or (ii) shares delivered in lieu of fully vested cash awards. In addition, the minimum vesting requirement does not apply to the Compensation Committee’s discretion to provide for accelerated exercisability or vesting of any award, including in cases of retirement, death, disability or a change in control, in the terms of the award or otherwise. Awards are not transferable other than by will or the laws of descent and distribution, except that in certain instances transfers may be made to or for the benefit of designated family members of the participant for no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820" w:space="720"/>
            <w:col w:w="8660"/>
          </w:cols>
          <w:pgMar w:left="340" w:top="94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Our Board approved the Vistagen Therapeutics, Inc. 2019 Employee Stock Purchase Plan (the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 on June 13, 2019. Our stockholders approved the 2019 ESPP at our annual meeting on September 5, 2019. The principal terms of our 2019 ESPP are summarized below.</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2019 ESPP is intended to qualify as an “employee stock purchase plan” under Section 423 of the Code. The Compensation Committee of the Board administers the 2019 ESPP. The Compensation Committee has authority to construe, interpret and apply the terms of the 2019 ESPP. As approved by our stockholders, a maximum of 1.0 million shares of our common stock may be purchased under the 2019 ESPP.</w:t>
      </w:r>
    </w:p>
    <w:p>
      <w:pPr>
        <w:spacing w:after="0" w:line="17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The 2019 ESPP is generally expected to operate in consecutive semi-annual periods referred to as “option periods.” The first option period commenced on January 1, 2020 and ended on the last trading day in the semi-annual period ended June 30, 2020, with successive option periods expected to begin on the first day of January and July and to terminate on the last trading day of June and December, respectively. Option periods may not last longer than the maximum period permitted under Section 423 of the Code, which generally limits the length of such offerings to either five years or 27 months, depending on the terms of the offering. Generally, all full-time employees of the Company and its subsidiaries are eligible to participate in an option period.</w:t>
      </w:r>
    </w:p>
    <w:p>
      <w:pPr>
        <w:spacing w:after="0" w:line="1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the first day of each option period (the </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elect to withdraw from any option period prior to the last day of the option period, in which case the participant’s payroll deductions will be refunded and the participant’s outstanding options will terminate.</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participant’s payroll deductions under the 2019 ESPP will be credited to a liability account in his or her name under the 2019 ESPP. The aggregate liability for participant payroll deductions at March 31, 2024 and 2023 was determined by the Company to be an immaterial amount of expense.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option granted under the 2019 ESPP will automatically be exercised on the last day of the respective option period (referred to as the </w:t>
      </w:r>
      <w:r>
        <w:rPr>
          <w:rFonts w:ascii="Times New Roman" w:cs="Times New Roman" w:eastAsia="Times New Roman" w:hAnsi="Times New Roman"/>
          <w:sz w:val="18"/>
          <w:szCs w:val="18"/>
          <w:i w:val="1"/>
          <w:iCs w:val="1"/>
          <w:color w:val="auto"/>
        </w:rPr>
        <w:t>Exercise Date</w:t>
      </w:r>
      <w:r>
        <w:rPr>
          <w:rFonts w:ascii="Times New Roman" w:cs="Times New Roman" w:eastAsia="Times New Roman" w:hAnsi="Times New Roman"/>
          <w:sz w:val="18"/>
          <w:szCs w:val="18"/>
          <w:color w:val="auto"/>
        </w:rPr>
        <w:t>). The number of shares acquired by a participant upon exercise of her or his option will be determined by dividing the participant’s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ESPP account balance as of the exercise date for the option period by the purchase price of the option. The purchase price for each option is generally equal to the lesser of (i) 85% of the fair market value of a share of our common stock on the applicable grant date, or (ii) 85% of the fair market value of a share of our common stock on the applicable exercise date. A participant’s 2019 ESPP account will be reduced upon exercise of her or his option by the amount used to pay the purchase price of the shares acquired by the participant. Following exercise of the option, any excess amount in a participant’s account will be refunded following the exercise date. No interest will be paid to any participant under the 2019 ESPP.</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Participation in the 2019 ESPP is subject to the following limits:</w:t>
      </w:r>
    </w:p>
    <w:p>
      <w:pPr>
        <w:spacing w:after="0" w:line="266" w:lineRule="exact"/>
        <w:rPr>
          <w:sz w:val="20"/>
          <w:szCs w:val="20"/>
          <w:color w:val="auto"/>
        </w:rPr>
      </w:pPr>
    </w:p>
    <w:p>
      <w:pPr>
        <w:ind w:left="1180" w:right="40" w:hanging="398"/>
        <w:spacing w:after="0" w:line="237"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contribute less than 1% or more than 15% of his or her compensation to the purchase of stock under the 2019 ESPP in any one payroll period;</w:t>
      </w:r>
    </w:p>
    <w:p>
      <w:pPr>
        <w:spacing w:after="0" w:line="9" w:lineRule="exact"/>
        <w:rPr>
          <w:rFonts w:ascii="Times New Roman" w:cs="Times New Roman" w:eastAsia="Times New Roman" w:hAnsi="Times New Roman"/>
          <w:sz w:val="18"/>
          <w:szCs w:val="18"/>
          <w:color w:val="auto"/>
        </w:rPr>
      </w:pPr>
    </w:p>
    <w:p>
      <w:pPr>
        <w:jc w:val="both"/>
        <w:ind w:left="1180" w:right="40" w:hanging="398"/>
        <w:spacing w:after="0" w:line="226"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spacing w:after="0" w:line="9" w:lineRule="exact"/>
        <w:rPr>
          <w:rFonts w:ascii="Times New Roman" w:cs="Times New Roman" w:eastAsia="Times New Roman" w:hAnsi="Times New Roman"/>
          <w:sz w:val="18"/>
          <w:szCs w:val="18"/>
          <w:color w:val="auto"/>
        </w:rPr>
      </w:pPr>
    </w:p>
    <w:p>
      <w:pPr>
        <w:jc w:val="both"/>
        <w:ind w:left="1180" w:right="40" w:hanging="398"/>
        <w:spacing w:after="0" w:line="226"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will not be granted an option under the 2019 ESPP if it would cause the participant to own stock and/or hold outstanding options to purchase common stock constituting 5.0% or more of the total combined voting power or value of all classes of stock of the Company or of one of its subsidiaries or to the extent it would exceed certain other limits under the Code.</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$25,000 annual purchase and the 5% ownership limitations referred to above are as required under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7" w:name="page48"/>
    <w:bookmarkEnd w:id="4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is customary, the number of shares of stock available under the 2019 ESPP or subject to outstanding options, is subject to adjustment in the event of certain reorganizations, combinations, recapitalization of shares, stock splits, reverse stock split, subdivision or other similar change in respect of our common stock. A participant’s rights with respect to options or the purchase of shares under the 2019 ESPP, as well as payroll deductions credited to his or her 2019 ESPP account, may not be assigned, transferred, pledged or otherwise disposed of in any way except by will or the laws of descent and distribution.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generally may amend, suspend, or terminate the 2019 ESPP at any time and in any manner, except that stockholder approval is 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2019 ESPP became effective on January 1, 2020 and will continue in effect until the earlier of such time as all of the shares of the Company’s common stock subject to the 2019 ESPP have been sold or December 31, 2030, unless terminated earlier by the Board. During Fiscal 2024, employees purchased an aggregate of 4,843 shares of our common stock under the 2019 ESPP and we received proceeds of $7,900. During Fiscal 2023, employees purchased an aggregate of 5,617 shares of our common stock under the 2019 ESPP and we received proceeds of $63,100.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the material terms of all related party transactions that took place during Fiscal 2024:</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2022, we entered into a consulting agreement with FitzPatrick Co. LLC, a consulting firm for which Margaret FitzPatrick, an independent member of our Board of Directors, is Managing Director, to provide corporate development and public relations advisory services. The consulting agreement, as amended, was set to expire on December 31, 2023. However, the Company and FitzPatrick Co. LLC mutually agreed to conclude the term of the FitzPatrick Co. Consulting Agreement effective October 1, 2023, as all matters set forth in the statement of work were completed as of that date. We recorded expense of $70,000 and $170,000 for the years ended March 31, 2024 and 2023, respectively.</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2022, Ann Cunningham resigned as our Chief Commercial Officer to serve full-time as Managing Partner of i3 Strategy Partners, a pharmaceutical consulting firm founded by Ms. Cunningham. i3 Strategy Partners began providing pre-commercial planning and strategic advisory services to us pursuant to a consulting agreement, dated November 2022. The consulting agreement expired on March 31, 2024. We recorded expense under the consulting agreement of $200,000 and $120,000 for the years ended March 31, 2024 and 2023, respectively. Ms. Cunningham remains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43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Deadline for Receipt of Stockholder Proposals for the 2024 Annual Meeting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Stockholder proposals that are intended to be presented by stockholders at the Company’s 2025 Annual Meeting of Stockholders must be received by the Secretary of the Company between May 28, 2025 and June 27, 2025 that they may be included, if appropriate, in the Company’s proxy statement and form of proxy relating to that meeting. A stockholder proposal not included in the Company’s proxy statement for the 2025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prior to the first anniversary of the previous year’s annual meeting of stockholders. However, if the date of the 2025 Annual Meeting of Stockholders is changed by more than 30 days from the date of this year’s Annual Meeting,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within 10 days after the Company’s public announcement.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date of this Proxy Statement, the Company knows of no other matters, other than those described above, that will be presented for consideration at the Annual Meeting. If any other business should come before the Annual Meeting, it is intended that the proxy holders will vote all proxies using their best judgment in the interest of the Company and the stockholders.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Notice, mailed to stockholders on or about July 16, 2024, contains instructions on how to access the Company’s Annual Report on Form 10-K for our fiscal year ended March 31, 2024. The Annual Report, which includes audited financial statements, does not form any part of the material for the solicitation of proxies.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invites you to attend the Annual Meeting virtually. Whether or not you expect to attend the Annual Meeting virtually, please submit your vote by Internet, telephone or postal mail as promptly as possible so that your shares will be represented at the Annual Meeting.</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REGARDLESS OF WHETHER YOU PLAN TO ATTEND THE ANNUAL MEETING VIRTUALLY, PLEASE READ THIS PROXY STATEMENT AND THEN VOTE BY INTERNET, TELEPHONE OR POSTAL MAIL AS PROMPTLY AS POSSIBLE. VOTING PROMPTLY WILL SAVE US ADDITIONAL EXPENSE IN SOLICITING PROXIES AND WILL ENSURE THAT YOUR SHARES ARE REPRESENTED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979805</wp:posOffset>
            </wp:positionH>
            <wp:positionV relativeFrom="page">
              <wp:posOffset>586105</wp:posOffset>
            </wp:positionV>
            <wp:extent cx="5589270" cy="7277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5589270" cy="727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979805</wp:posOffset>
            </wp:positionH>
            <wp:positionV relativeFrom="page">
              <wp:posOffset>586105</wp:posOffset>
            </wp:positionV>
            <wp:extent cx="5589270" cy="7269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589270"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2"/>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4"/>
    </w:lvl>
  </w:abstractNum>
  <w:abstractNum w:abstractNumId="9">
    <w:nsid w:val="628C895D"/>
    <w:multiLevelType w:val="hybridMultilevel"/>
    <w:lvl w:ilvl="0">
      <w:lvlJc w:val="left"/>
      <w:lvlText w:val="(%1)"/>
      <w:numFmt w:val="decimal"/>
      <w:start w:val="9"/>
    </w:lvl>
  </w:abstractNum>
  <w:abstractNum w:abstractNumId="10">
    <w:nsid w:val="333AB105"/>
    <w:multiLevelType w:val="hybridMultilevel"/>
    <w:lvl w:ilvl="0">
      <w:lvlJc w:val="left"/>
      <w:lvlText w:val="(%1)"/>
      <w:numFmt w:val="lowerLetter"/>
      <w:start w:val="3"/>
    </w:lvl>
  </w:abstractNum>
  <w:abstractNum w:abstractNumId="11">
    <w:nsid w:val="721DA317"/>
    <w:multiLevelType w:val="hybridMultilevel"/>
    <w:lvl w:ilvl="0">
      <w:lvlJc w:val="left"/>
      <w:lvlText w:val="(%1)"/>
      <w:numFmt w:val="lowerLetter"/>
      <w:start w:val="5"/>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7"/>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3"/>
    </w:lvl>
  </w:abstractNum>
  <w:abstractNum w:abstractNumId="25">
    <w:nsid w:val="2901D82"/>
    <w:multiLevelType w:val="hybridMultilevel"/>
    <w:lvl w:ilvl="0">
      <w:lvlJc w:val="left"/>
      <w:lvlText w:val="(%1)"/>
      <w:numFmt w:val="decimal"/>
      <w:start w:val="5"/>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0"/>
    </w:lvl>
  </w:abstractNum>
  <w:abstractNum w:abstractNumId="29">
    <w:nsid w:val="7C3DBD3D"/>
    <w:multiLevelType w:val="hybridMultilevel"/>
    <w:lvl w:ilvl="0">
      <w:lvlJc w:val="left"/>
      <w:lvlText w:val="(%1)"/>
      <w:numFmt w:val="decimal"/>
      <w:start w:val="11"/>
    </w:lvl>
  </w:abstractNum>
  <w:abstractNum w:abstractNumId="30">
    <w:nsid w:val="737B8DDC"/>
    <w:multiLevelType w:val="hybridMultilevel"/>
    <w:lvl w:ilvl="0">
      <w:lvlJc w:val="left"/>
      <w:lvlText w:val="(%1)"/>
      <w:numFmt w:val="decimal"/>
      <w:start w:val="15"/>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2024-07-17T05:19:47Z</dcterms:created>
  <dcterms:modified xsi:type="dcterms:W3CDTF">2024-07-17T05:19:47Z</dcterms:modified>
</cp:coreProperties>
</file>